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2840B" w14:textId="443A9F39" w:rsidR="006B1AFC" w:rsidRPr="00F204DA" w:rsidRDefault="006B1AFC" w:rsidP="009324EF">
      <w:pPr>
        <w:pStyle w:val="Nadpis1"/>
      </w:pPr>
      <w:bookmarkStart w:id="0" w:name="_Toc193366677"/>
      <w:bookmarkStart w:id="1" w:name="_Toc232503735"/>
      <w:bookmarkStart w:id="2" w:name="_Toc240366898"/>
      <w:r>
        <w:t>4</w:t>
      </w:r>
      <w:bookmarkStart w:id="3" w:name="_Toc19090679"/>
      <w:bookmarkStart w:id="4" w:name="_Toc74643856"/>
      <w:bookmarkStart w:id="5" w:name="_Toc42852411"/>
      <w:bookmarkStart w:id="6" w:name="_Toc74643857"/>
      <w:bookmarkEnd w:id="3"/>
      <w:r>
        <w:t>. Vnější vztahy</w:t>
      </w:r>
      <w:bookmarkEnd w:id="1"/>
      <w:bookmarkEnd w:id="2"/>
    </w:p>
    <w:tbl>
      <w:tblPr>
        <w:tblW w:w="9677" w:type="dxa"/>
        <w:tblInd w:w="-1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16"/>
        <w:gridCol w:w="284"/>
        <w:gridCol w:w="2811"/>
        <w:gridCol w:w="57"/>
        <w:gridCol w:w="4809"/>
      </w:tblGrid>
      <w:tr w:rsidR="006B1AFC" w14:paraId="6A59C300" w14:textId="77777777" w:rsidTr="003C4A79">
        <w:trPr>
          <w:trHeight w:val="145"/>
        </w:trPr>
        <w:tc>
          <w:tcPr>
            <w:tcW w:w="1716" w:type="dxa"/>
            <w:hideMark/>
          </w:tcPr>
          <w:p w14:paraId="65A06991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Ve 2. čtvrtletí zrychlil růst vývozu.</w:t>
            </w:r>
          </w:p>
        </w:tc>
        <w:tc>
          <w:tcPr>
            <w:tcW w:w="284" w:type="dxa"/>
          </w:tcPr>
          <w:p w14:paraId="55FEDC21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  <w:hideMark/>
          </w:tcPr>
          <w:p w14:paraId="2D4FD2E1" w14:textId="77777777" w:rsidR="006B1AFC" w:rsidRDefault="006B1AFC" w:rsidP="003C4A79">
            <w:pPr>
              <w:spacing w:after="180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Hodnota vývozu zboží</w:t>
            </w:r>
            <w:r>
              <w:rPr>
                <w:rStyle w:val="Znakapoznpodarou"/>
                <w:spacing w:val="-4"/>
                <w:lang w:eastAsia="en-US"/>
              </w:rPr>
              <w:footnoteReference w:id="1"/>
            </w:r>
            <w:r>
              <w:rPr>
                <w:spacing w:val="-4"/>
                <w:lang w:eastAsia="en-US"/>
              </w:rPr>
              <w:t xml:space="preserve"> v 1. pololetí 2026 dosáhla 2 509,2 mld. korun a meziročně byla vyšší o 64,5 mld. (2,6 %). Na růstu za celé pololetí se podílel z většiny vývoj ve druhé čtvrtině roku. Ve 2. čtvrtletí totiž hodnota exportu zboží meziročně vzrostla o 63,0 mld. korun (5,2 %) na 1 282,4 mld. Zrychlení dynamiky exportu (v 1. čtvrtletí prakticky stagnoval) bylo zčásti podpořeno i vývojem cen zahraničního obchodu</w:t>
            </w:r>
            <w:r>
              <w:rPr>
                <w:rStyle w:val="Znakapoznpodarou"/>
                <w:spacing w:val="-4"/>
                <w:lang w:eastAsia="en-US"/>
              </w:rPr>
              <w:footnoteReference w:id="2"/>
            </w:r>
            <w:r>
              <w:rPr>
                <w:spacing w:val="-4"/>
                <w:lang w:eastAsia="en-US"/>
              </w:rPr>
              <w:t xml:space="preserve">, hlavně výrazným růstem cen ropy a některých navázaných výrob. Celkově ale ceny vývozu meziročně rostly jen mírně, takže souhrnný přírůstek vývozu jimi byl podpořen jen minimálně. Jiná byla situace v mezičtvrtletním pohledu. Podle sezónně očištěných údajů se hodnota vývozu zboží mezičtvrtletně zvýšila o 2,8 % a cenový vývoj na tom měl značný podíl. </w:t>
            </w:r>
          </w:p>
        </w:tc>
      </w:tr>
      <w:tr w:rsidR="006B1AFC" w14:paraId="39752D7F" w14:textId="77777777" w:rsidTr="003C4A79">
        <w:trPr>
          <w:trHeight w:val="150"/>
        </w:trPr>
        <w:tc>
          <w:tcPr>
            <w:tcW w:w="1716" w:type="dxa"/>
            <w:vMerge w:val="restart"/>
          </w:tcPr>
          <w:p w14:paraId="109AB8DC" w14:textId="77777777" w:rsidR="006B1AFC" w:rsidRDefault="006B1AFC" w:rsidP="003C4A79">
            <w:pPr>
              <w:pStyle w:val="Marginlie"/>
              <w:rPr>
                <w:lang w:eastAsia="en-US"/>
              </w:rPr>
            </w:pPr>
          </w:p>
        </w:tc>
        <w:tc>
          <w:tcPr>
            <w:tcW w:w="284" w:type="dxa"/>
            <w:vMerge w:val="restart"/>
          </w:tcPr>
          <w:p w14:paraId="1AB28BF1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</w:tcPr>
          <w:p w14:paraId="4EAF62FC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Cs w:val="20"/>
                <w:lang w:eastAsia="en-US"/>
              </w:rPr>
              <w:t xml:space="preserve">Graf č. 10 Vývoz a dovoz zboží </w:t>
            </w:r>
            <w:r>
              <w:rPr>
                <w:rFonts w:cs="Arial"/>
                <w:bCs/>
                <w:color w:val="000000"/>
                <w:szCs w:val="20"/>
                <w:lang w:eastAsia="en-US"/>
              </w:rPr>
              <w:t>(meziročně v %)</w:t>
            </w:r>
            <w:r>
              <w:rPr>
                <w:rFonts w:cs="Arial"/>
                <w:b/>
                <w:bCs/>
                <w:color w:val="000000"/>
                <w:szCs w:val="20"/>
                <w:lang w:eastAsia="en-US"/>
              </w:rPr>
              <w:t xml:space="preserve"> a bilance zahraničního obchodu se zbožím </w:t>
            </w:r>
            <w:r>
              <w:rPr>
                <w:rFonts w:cs="Arial"/>
                <w:bCs/>
                <w:color w:val="000000"/>
                <w:szCs w:val="20"/>
                <w:lang w:eastAsia="en-US"/>
              </w:rPr>
              <w:t>(v mld. korun, pravá osa)</w:t>
            </w:r>
            <w:r>
              <w:rPr>
                <w:rFonts w:cs="Arial"/>
                <w:b/>
                <w:bCs/>
                <w:color w:val="000000"/>
                <w:szCs w:val="20"/>
                <w:lang w:eastAsia="en-US"/>
              </w:rPr>
              <w:t xml:space="preserve"> </w:t>
            </w:r>
          </w:p>
        </w:tc>
      </w:tr>
      <w:tr w:rsidR="006B1AFC" w14:paraId="2D404ED1" w14:textId="77777777" w:rsidTr="003C4A79">
        <w:tblPrEx>
          <w:tblCellMar>
            <w:left w:w="70" w:type="dxa"/>
            <w:right w:w="70" w:type="dxa"/>
          </w:tblCellMar>
        </w:tblPrEx>
        <w:trPr>
          <w:trHeight w:val="150"/>
        </w:trPr>
        <w:tc>
          <w:tcPr>
            <w:tcW w:w="1716" w:type="dxa"/>
            <w:vMerge/>
          </w:tcPr>
          <w:p w14:paraId="5F5F33B5" w14:textId="77777777" w:rsidR="006B1AFC" w:rsidRDefault="006B1AFC" w:rsidP="003C4A79">
            <w:pPr>
              <w:pStyle w:val="Marginlie"/>
              <w:rPr>
                <w:lang w:eastAsia="en-US"/>
              </w:rPr>
            </w:pPr>
          </w:p>
        </w:tc>
        <w:tc>
          <w:tcPr>
            <w:tcW w:w="284" w:type="dxa"/>
            <w:vMerge/>
          </w:tcPr>
          <w:p w14:paraId="624F8709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</w:tcPr>
          <w:p w14:paraId="1FFC4DC5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20AF69C" wp14:editId="63933B06">
                  <wp:extent cx="4752000" cy="3420000"/>
                  <wp:effectExtent l="0" t="0" r="0" b="0"/>
                  <wp:docPr id="59690366" name="Graf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5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6B1AFC" w14:paraId="2602A460" w14:textId="77777777" w:rsidTr="003C4A79">
        <w:trPr>
          <w:trHeight w:val="150"/>
        </w:trPr>
        <w:tc>
          <w:tcPr>
            <w:tcW w:w="1716" w:type="dxa"/>
            <w:vMerge/>
          </w:tcPr>
          <w:p w14:paraId="171C7002" w14:textId="77777777" w:rsidR="006B1AFC" w:rsidRDefault="006B1AFC" w:rsidP="003C4A79">
            <w:pPr>
              <w:pStyle w:val="Marginlie"/>
              <w:rPr>
                <w:lang w:eastAsia="en-US"/>
              </w:rPr>
            </w:pPr>
          </w:p>
        </w:tc>
        <w:tc>
          <w:tcPr>
            <w:tcW w:w="284" w:type="dxa"/>
            <w:vMerge/>
          </w:tcPr>
          <w:p w14:paraId="3901CC87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</w:tcPr>
          <w:p w14:paraId="15101BAE" w14:textId="77777777" w:rsidR="006B1AFC" w:rsidRDefault="006B1AFC" w:rsidP="003C4A79">
            <w:pPr>
              <w:spacing w:after="180"/>
              <w:rPr>
                <w:spacing w:val="-4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Zdroj: ČSÚ</w:t>
            </w:r>
          </w:p>
        </w:tc>
      </w:tr>
      <w:tr w:rsidR="006B1AFC" w14:paraId="53CF37B5" w14:textId="77777777" w:rsidTr="003C4A79">
        <w:trPr>
          <w:trHeight w:val="145"/>
        </w:trPr>
        <w:tc>
          <w:tcPr>
            <w:tcW w:w="1716" w:type="dxa"/>
          </w:tcPr>
          <w:p w14:paraId="4E68B943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Rostl zejména export do EU.</w:t>
            </w:r>
          </w:p>
        </w:tc>
        <w:tc>
          <w:tcPr>
            <w:tcW w:w="284" w:type="dxa"/>
          </w:tcPr>
          <w:p w14:paraId="229816A2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</w:tcPr>
          <w:p w14:paraId="3FA90FC8" w14:textId="77777777" w:rsidR="006B1AFC" w:rsidRDefault="006B1AFC" w:rsidP="003C4A79">
            <w:pPr>
              <w:spacing w:after="180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K meziročnímu nárůstu hodnoty exportu v 1. pololetí přispěl výhradně export do zemí EU (+82,1 mld. korun, 4,3 %), zatímco vývoz mimo EU byl nižší o 18,0 mld. (−3,3 %). Největší navýšení byla zaznamenána v případě vývozu do Rakouska</w:t>
            </w:r>
            <w:r>
              <w:rPr>
                <w:rStyle w:val="Znakapoznpodarou"/>
                <w:spacing w:val="-4"/>
                <w:lang w:eastAsia="en-US"/>
              </w:rPr>
              <w:footnoteReference w:id="3"/>
            </w:r>
            <w:r>
              <w:rPr>
                <w:spacing w:val="-4"/>
                <w:lang w:eastAsia="en-US"/>
              </w:rPr>
              <w:t xml:space="preserve"> (+22,9 mld. korun, 24,7 %), Francie</w:t>
            </w:r>
            <w:r>
              <w:rPr>
                <w:rStyle w:val="Znakapoznpodarou"/>
                <w:spacing w:val="-4"/>
                <w:lang w:eastAsia="en-US"/>
              </w:rPr>
              <w:footnoteReference w:id="4"/>
            </w:r>
            <w:r>
              <w:rPr>
                <w:spacing w:val="-4"/>
                <w:lang w:eastAsia="en-US"/>
              </w:rPr>
              <w:t xml:space="preserve"> (+12,2 mld., 10,1 %) a Itálie (+9,3 mld., 9,5 %). V 1. pololetí klesl export do menšiny sledovaných zemí, nejvíce do Spojených států amerických</w:t>
            </w:r>
            <w:r>
              <w:rPr>
                <w:rStyle w:val="Znakapoznpodarou"/>
                <w:spacing w:val="-4"/>
                <w:lang w:eastAsia="en-US"/>
              </w:rPr>
              <w:footnoteReference w:id="5"/>
            </w:r>
            <w:r>
              <w:rPr>
                <w:spacing w:val="-4"/>
                <w:lang w:eastAsia="en-US"/>
              </w:rPr>
              <w:t xml:space="preserve"> (−9,7 mld. korun, −13,1 %). Také v samotném 2. čtvrtletí měl na meziročním růstu exportu zboží podíl vývoz do EU (+63,5 mld. korun, 6,7 %), zatímco vývoz mimo EU pokračoval v poklesu (−0,7 mld., −0,2 %). Po dvou předchozích poklesech se opět meziročně zvýšila hodnota vývozu do Německa</w:t>
            </w:r>
            <w:r>
              <w:rPr>
                <w:rStyle w:val="Znakapoznpodarou"/>
                <w:spacing w:val="-4"/>
                <w:lang w:eastAsia="en-US"/>
              </w:rPr>
              <w:footnoteReference w:id="6"/>
            </w:r>
            <w:r>
              <w:rPr>
                <w:spacing w:val="-4"/>
                <w:lang w:eastAsia="en-US"/>
              </w:rPr>
              <w:t xml:space="preserve"> (viz Tabulka č. 4) a silně rostl export do Rakouska a Francie. Významně ve směru růstu exportu působil také obchod s Nizozemskem, Polskem, Itálií nebo Maďarskem. Jen </w:t>
            </w:r>
            <w:r>
              <w:rPr>
                <w:spacing w:val="-4"/>
                <w:lang w:eastAsia="en-US"/>
              </w:rPr>
              <w:lastRenderedPageBreak/>
              <w:t xml:space="preserve">u menšiny sledovaných zemí byl zaznamenán pokles exportu – více než 1 mld. korun dosáhl propad u Spojených států amerických, Kazachstánu, Velké Británie, Rumunska, SAE a Mexika.   </w:t>
            </w:r>
          </w:p>
        </w:tc>
      </w:tr>
      <w:tr w:rsidR="006B1AFC" w14:paraId="0547587D" w14:textId="77777777" w:rsidTr="003C4A79">
        <w:trPr>
          <w:trHeight w:val="145"/>
        </w:trPr>
        <w:tc>
          <w:tcPr>
            <w:tcW w:w="1716" w:type="dxa"/>
          </w:tcPr>
          <w:p w14:paraId="4F99029B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Nejvíce rostl vývoz počítačů, elektronických a optických přístrojů.</w:t>
            </w:r>
          </w:p>
        </w:tc>
        <w:tc>
          <w:tcPr>
            <w:tcW w:w="284" w:type="dxa"/>
          </w:tcPr>
          <w:p w14:paraId="3C05C4B5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</w:tcPr>
          <w:p w14:paraId="445829C6" w14:textId="77777777" w:rsidR="006B1AFC" w:rsidRDefault="006B1AFC" w:rsidP="003C4A79">
            <w:pPr>
              <w:spacing w:after="180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V 1. pololetí meziročně vzrostl export u většiny z oddílů produkce. Nejvíce se zvýšil vývoz počítačů, elektronických a optických přístrojů (+21,6 mld. korun, 9,9 %), motorových vozidel (+18,2 mld., 2,6 %) a chemických látek a přípravků (+8,5 mld., 7,9 %). V samotném 2. čtvrtletí nejvíce vzrostl export počítačů, elektronických a optických přístrojů a zařízení (viz Tabulka č. 3) a motorových vozidel. V obou zmíněných případech růst vývozu posílil, stejně jako u chemických látek a přípravků, elektřiny, plynu, páry a klimatizovaného vzduchu nebo také v oblasti sběru, přípravy k likvidaci a zpracování odpadu, kde se projevil m</w:t>
            </w:r>
            <w:r w:rsidRPr="006B6C63">
              <w:rPr>
                <w:spacing w:val="-4"/>
                <w:lang w:eastAsia="en-US"/>
              </w:rPr>
              <w:t>eziroční růst cen</w:t>
            </w:r>
            <w:r>
              <w:rPr>
                <w:spacing w:val="-4"/>
                <w:lang w:eastAsia="en-US"/>
              </w:rPr>
              <w:t xml:space="preserve">. Jen u minima oddílů klasifikace výroby byl ve 2. čtvrtletí zachycen meziroční pokles vývozu a 1 mld. korun propad překročil jen u potravinářských výrobků.  </w:t>
            </w:r>
          </w:p>
        </w:tc>
      </w:tr>
      <w:tr w:rsidR="006B1AFC" w14:paraId="4850B436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p w14:paraId="1D1A78CC" w14:textId="77777777" w:rsidR="006B1AFC" w:rsidRDefault="006B1AFC" w:rsidP="003C4A79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Tabulka č. 3 Oddíly klasifikace CPA s největším </w:t>
            </w:r>
          </w:p>
          <w:p w14:paraId="1B98E53B" w14:textId="77777777" w:rsidR="006B1AFC" w:rsidRDefault="006B1AFC" w:rsidP="003C4A79">
            <w:pPr>
              <w:spacing w:after="0"/>
              <w:jc w:val="left"/>
              <w:rPr>
                <w:spacing w:val="-4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vlivem na vývoj vývozu zboží ve 2. čtvrtletí 2026 </w:t>
            </w:r>
            <w:r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(meziročně)</w:t>
            </w:r>
          </w:p>
        </w:tc>
        <w:tc>
          <w:tcPr>
            <w:tcW w:w="57" w:type="dxa"/>
          </w:tcPr>
          <w:p w14:paraId="539EC7F9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  <w:tc>
          <w:tcPr>
            <w:tcW w:w="4809" w:type="dxa"/>
            <w:hideMark/>
          </w:tcPr>
          <w:p w14:paraId="0D6A7680" w14:textId="77777777" w:rsidR="006B1AFC" w:rsidRDefault="006B1AFC" w:rsidP="003C4A79">
            <w:pPr>
              <w:spacing w:after="0"/>
              <w:jc w:val="left"/>
              <w:rPr>
                <w:spacing w:val="-4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Tabulka č. 4 Země s největším vlivem na vývoj vývozu zboží ve 2. čtvrtletí 2026 </w:t>
            </w:r>
            <w:r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(meziročně)</w:t>
            </w:r>
          </w:p>
        </w:tc>
      </w:tr>
      <w:tr w:rsidR="006B1AFC" w14:paraId="385DBA02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tbl>
            <w:tblPr>
              <w:tblW w:w="481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17"/>
              <w:gridCol w:w="700"/>
              <w:gridCol w:w="700"/>
            </w:tblGrid>
            <w:tr w:rsidR="006B1AFC" w:rsidRPr="006B71FB" w14:paraId="031A8ADF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1E5FCC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ascii="Times New Roman" w:hAnsi="Times New Roman"/>
                      <w:sz w:val="24"/>
                      <w:szCs w:val="20"/>
                      <w:lang w:eastAsia="ko-KR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4DE954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mld. Kč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FD1BA6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%</w:t>
                  </w:r>
                </w:p>
              </w:tc>
            </w:tr>
            <w:tr w:rsidR="006B1AFC" w:rsidRPr="006B71FB" w14:paraId="2131FAB1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C4E3F24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Počítače, elektron. a opt. přístroje a zařízení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0D90F69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+14,5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311CFE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+13,2</w:t>
                  </w:r>
                </w:p>
              </w:tc>
            </w:tr>
            <w:tr w:rsidR="006B1AFC" w:rsidRPr="006B71FB" w14:paraId="714A1E52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156B178B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Motorová vozidla (kromě motocyklů) a díly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72EEA9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+12,1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3AA7F3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+3,4</w:t>
                  </w:r>
                </w:p>
              </w:tc>
            </w:tr>
            <w:tr w:rsidR="006B1AFC" w:rsidRPr="006B71FB" w14:paraId="610A54C0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37A122C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Chemické látky a přípravky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17E87E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+9,0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3F00B0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+17,2</w:t>
                  </w:r>
                </w:p>
              </w:tc>
            </w:tr>
            <w:tr w:rsidR="006B1AFC" w:rsidRPr="006B71FB" w14:paraId="0D7B6801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4622A68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Elektřina, plyn, pára a klimatizovaný vzduch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01BDC3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D99D7B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+71,9</w:t>
                  </w:r>
                </w:p>
              </w:tc>
            </w:tr>
            <w:tr w:rsidR="006B1AFC" w:rsidRPr="006B71FB" w14:paraId="080B29CC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251AC8E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Sběr, likvidace a zpracování odpadu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559449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26800C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+31,5</w:t>
                  </w:r>
                </w:p>
              </w:tc>
            </w:tr>
            <w:tr w:rsidR="006B1AFC" w:rsidRPr="006B71FB" w14:paraId="13D5650D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F4F3DFE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Produkty zemědělství a myslivosti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0A0CAC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94DC55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+24,4</w:t>
                  </w:r>
                </w:p>
              </w:tc>
            </w:tr>
            <w:tr w:rsidR="006B1AFC" w:rsidRPr="006B71FB" w14:paraId="6B71C8AA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7C9251BA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Stroje a zařízení j. n.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563AA5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1478F9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+2,1</w:t>
                  </w:r>
                </w:p>
              </w:tc>
            </w:tr>
            <w:tr w:rsidR="006B1AFC" w:rsidRPr="006B71FB" w14:paraId="4E8E6F00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72C044B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Základní kovy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AD5F54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2EE831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+6,2</w:t>
                  </w:r>
                </w:p>
              </w:tc>
            </w:tr>
            <w:tr w:rsidR="006B1AFC" w:rsidRPr="006B71FB" w14:paraId="4EDF2357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9452C9D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Ostatní dopravní prostředky a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CD6629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D53F03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+6,4</w:t>
                  </w:r>
                </w:p>
              </w:tc>
            </w:tr>
            <w:tr w:rsidR="006B1AFC" w:rsidRPr="006B71FB" w14:paraId="3C05DC03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615BA4DC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Ropa a zemní plyn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D0671D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D10792F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+864,0</w:t>
                  </w:r>
                </w:p>
              </w:tc>
            </w:tr>
            <w:tr w:rsidR="006B1AFC" w:rsidRPr="006B71FB" w14:paraId="579FEB11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7D6340F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Ostatní výrobky zpracovatelského průmyslu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97FC89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C012DA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+5,4</w:t>
                  </w:r>
                </w:p>
              </w:tc>
            </w:tr>
            <w:tr w:rsidR="006B1AFC" w:rsidRPr="006B71FB" w14:paraId="601962ED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2D09DC05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Pryžové a plastové výrobky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4A746B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612D73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+2,2</w:t>
                  </w:r>
                </w:p>
              </w:tc>
            </w:tr>
            <w:tr w:rsidR="006B1AFC" w:rsidRPr="006B71FB" w14:paraId="3955F221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8F5093F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Základní farmaceutické výrobky a přípravky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B7085FB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D0F50E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+6,2</w:t>
                  </w:r>
                </w:p>
              </w:tc>
            </w:tr>
            <w:tr w:rsidR="006B1AFC" w:rsidRPr="006B71FB" w14:paraId="11B09D55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1369FE0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Černé a hnědé uhlí a lignit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A01D95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0,7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9BA25C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44,2</w:t>
                  </w:r>
                </w:p>
              </w:tc>
            </w:tr>
            <w:tr w:rsidR="006B1AFC" w:rsidRPr="006B71FB" w14:paraId="3DE4E988" w14:textId="77777777" w:rsidTr="003C4A79">
              <w:trPr>
                <w:trHeight w:val="255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3F908DBC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Potravinářské výrobky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9A468E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1,1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4918695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2,2</w:t>
                  </w:r>
                </w:p>
              </w:tc>
            </w:tr>
          </w:tbl>
          <w:p w14:paraId="11DFD35C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  <w:tc>
          <w:tcPr>
            <w:tcW w:w="57" w:type="dxa"/>
          </w:tcPr>
          <w:p w14:paraId="52BC38CD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  <w:tc>
          <w:tcPr>
            <w:tcW w:w="4809" w:type="dxa"/>
            <w:hideMark/>
          </w:tcPr>
          <w:tbl>
            <w:tblPr>
              <w:tblW w:w="47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62"/>
              <w:gridCol w:w="700"/>
              <w:gridCol w:w="700"/>
            </w:tblGrid>
            <w:tr w:rsidR="006B1AFC" w:rsidRPr="006B71FB" w14:paraId="1769DF6D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DBFC26" w14:textId="77777777" w:rsidR="006B1AFC" w:rsidRPr="003E55A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szCs w:val="20"/>
                      <w:lang w:eastAsia="ko-KR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64F1F5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mld. Kč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A307AA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%</w:t>
                  </w:r>
                </w:p>
              </w:tc>
            </w:tr>
            <w:tr w:rsidR="006B1AFC" w:rsidRPr="006B71FB" w14:paraId="16DBD9AB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AD03D5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Německo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78D4CD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+13,8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888ED2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+3,9</w:t>
                  </w:r>
                </w:p>
              </w:tc>
            </w:tr>
            <w:tr w:rsidR="006B1AFC" w:rsidRPr="006B71FB" w14:paraId="719FBA6C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3A44A0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Rakousko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6756E3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+10,1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7D151C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+21,5</w:t>
                  </w:r>
                </w:p>
              </w:tc>
            </w:tr>
            <w:tr w:rsidR="006B1AFC" w:rsidRPr="006B71FB" w14:paraId="2382647F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BFA6C4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Francie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E6D657A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+9,4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DABC9B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+15,8</w:t>
                  </w:r>
                </w:p>
              </w:tc>
            </w:tr>
            <w:tr w:rsidR="006B1AFC" w:rsidRPr="006B71FB" w14:paraId="3AA4E346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C561BF9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Nizozemsko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7C165E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72F81B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+16,7</w:t>
                  </w:r>
                </w:p>
              </w:tc>
            </w:tr>
            <w:tr w:rsidR="006B1AFC" w:rsidRPr="006B71FB" w14:paraId="5DAD0B55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2AFC87F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Polsko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ABA8B3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739878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+6,7</w:t>
                  </w:r>
                </w:p>
              </w:tc>
            </w:tr>
            <w:tr w:rsidR="006B1AFC" w:rsidRPr="006B71FB" w14:paraId="4ECC60FD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298B09E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Itálie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6BC7716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317117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+9,0</w:t>
                  </w:r>
                </w:p>
              </w:tc>
            </w:tr>
            <w:tr w:rsidR="006B1AFC" w:rsidRPr="006B71FB" w14:paraId="4DA3BCE5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B19764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Maďarsko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0983C2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109EAA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+12,1</w:t>
                  </w:r>
                </w:p>
              </w:tc>
            </w:tr>
            <w:tr w:rsidR="006B1AFC" w:rsidRPr="006B71FB" w14:paraId="5DF067D8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D926E91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Belgie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A86E32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9982C82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+12,1</w:t>
                  </w:r>
                </w:p>
              </w:tc>
            </w:tr>
            <w:tr w:rsidR="006B1AFC" w:rsidRPr="006B71FB" w14:paraId="271624B3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CCA39B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Slovensko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AD5EDB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1CC09D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+2,5</w:t>
                  </w:r>
                </w:p>
              </w:tc>
            </w:tr>
            <w:tr w:rsidR="006B1AFC" w:rsidRPr="006B71FB" w14:paraId="4EAA2D64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8A9C74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Švýcarsko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A0D52C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1EDA51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+9,4</w:t>
                  </w:r>
                </w:p>
              </w:tc>
            </w:tr>
            <w:tr w:rsidR="006B1AFC" w:rsidRPr="006B71FB" w14:paraId="171438FE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19C389B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Tchaj-wan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1348600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0572DC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+93,5</w:t>
                  </w:r>
                </w:p>
              </w:tc>
            </w:tr>
            <w:tr w:rsidR="006B1AFC" w:rsidRPr="006B71FB" w14:paraId="48856D3E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DDB1E4B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Finsko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A262206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F426E9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+28,9</w:t>
                  </w:r>
                </w:p>
              </w:tc>
            </w:tr>
            <w:tr w:rsidR="006B1AFC" w:rsidRPr="006B71FB" w14:paraId="628EAB8A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1BCD0FE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Bulharsko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AA8894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46433F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+17,2</w:t>
                  </w:r>
                </w:p>
              </w:tc>
            </w:tr>
            <w:tr w:rsidR="006B1AFC" w:rsidRPr="006B71FB" w14:paraId="626662E3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57BD4E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Kazachstán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060997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1,7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AABECB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44,4</w:t>
                  </w:r>
                </w:p>
              </w:tc>
            </w:tr>
            <w:tr w:rsidR="006B1AFC" w:rsidRPr="006B71FB" w14:paraId="796701EA" w14:textId="77777777" w:rsidTr="003C4A79">
              <w:trPr>
                <w:trHeight w:val="255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EC82F2" w14:textId="77777777" w:rsidR="006B1AFC" w:rsidRPr="006B71F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Spojené státy</w:t>
                  </w: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 xml:space="preserve"> americké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86847A4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3,4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915498" w14:textId="77777777" w:rsidR="006B1AFC" w:rsidRPr="006B71F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6B71F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9,1</w:t>
                  </w:r>
                </w:p>
              </w:tc>
            </w:tr>
          </w:tbl>
          <w:p w14:paraId="7FC15EC5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</w:tr>
      <w:tr w:rsidR="006B1AFC" w14:paraId="16B5F5D8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p w14:paraId="7EB59DBD" w14:textId="77777777" w:rsidR="006B1AFC" w:rsidRDefault="006B1AFC" w:rsidP="003C4A79">
            <w:pPr>
              <w:jc w:val="left"/>
              <w:rPr>
                <w:spacing w:val="-4"/>
                <w:sz w:val="16"/>
                <w:szCs w:val="16"/>
                <w:lang w:eastAsia="en-US"/>
              </w:rPr>
            </w:pPr>
            <w:r>
              <w:rPr>
                <w:spacing w:val="-4"/>
                <w:sz w:val="16"/>
                <w:szCs w:val="16"/>
                <w:lang w:eastAsia="en-US"/>
              </w:rPr>
              <w:t>Zdroj: ČSÚ</w:t>
            </w:r>
          </w:p>
        </w:tc>
        <w:tc>
          <w:tcPr>
            <w:tcW w:w="57" w:type="dxa"/>
          </w:tcPr>
          <w:p w14:paraId="187152A6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  <w:tc>
          <w:tcPr>
            <w:tcW w:w="4809" w:type="dxa"/>
            <w:hideMark/>
          </w:tcPr>
          <w:p w14:paraId="4E7C6EDD" w14:textId="77777777" w:rsidR="006B1AFC" w:rsidRDefault="006B1AFC" w:rsidP="003C4A79">
            <w:pPr>
              <w:spacing w:after="0"/>
              <w:ind w:right="21"/>
              <w:jc w:val="left"/>
              <w:rPr>
                <w:spacing w:val="-4"/>
                <w:lang w:eastAsia="en-US"/>
              </w:rPr>
            </w:pPr>
            <w:r>
              <w:rPr>
                <w:spacing w:val="-4"/>
                <w:sz w:val="16"/>
                <w:szCs w:val="16"/>
                <w:lang w:eastAsia="en-US"/>
              </w:rPr>
              <w:t>Zdroj: ČSÚ</w:t>
            </w:r>
          </w:p>
        </w:tc>
      </w:tr>
      <w:tr w:rsidR="006B1AFC" w14:paraId="5C613DD4" w14:textId="77777777" w:rsidTr="003C4A79">
        <w:trPr>
          <w:trHeight w:val="145"/>
        </w:trPr>
        <w:tc>
          <w:tcPr>
            <w:tcW w:w="1716" w:type="dxa"/>
          </w:tcPr>
          <w:p w14:paraId="5DA525FA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Dovoz rostl rychleji než vývoz.</w:t>
            </w:r>
          </w:p>
        </w:tc>
        <w:tc>
          <w:tcPr>
            <w:tcW w:w="284" w:type="dxa"/>
          </w:tcPr>
          <w:p w14:paraId="23AEBEBD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  <w:hideMark/>
          </w:tcPr>
          <w:p w14:paraId="01D8271D" w14:textId="69DA6506" w:rsidR="006B1AFC" w:rsidRDefault="006B1AFC" w:rsidP="003C4A79">
            <w:pPr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 xml:space="preserve">Dovoz zboží v 1. pololetí dosáhl hodnoty 2 406,7 mld. korun a byl tak meziročně vyšší o 91,8 mld. (4,0 %). V samotném 2. čtvrtletí hodnota dovozu meziročně vzrostla </w:t>
            </w:r>
            <w:r>
              <w:rPr>
                <w:spacing w:val="-4"/>
                <w:lang w:eastAsia="en-US"/>
              </w:rPr>
              <w:br/>
              <w:t>o 85,4 mld. korun (7,3 %) na 1 250,1 mld. a stejně jako u vývozu hrál výraznou roli ve zrychlení dynamiky růst cen</w:t>
            </w:r>
            <w:r w:rsidRPr="00C11451">
              <w:rPr>
                <w:rStyle w:val="Znakapoznpodarou"/>
                <w:spacing w:val="-4"/>
                <w:lang w:eastAsia="en-US"/>
              </w:rPr>
              <w:footnoteReference w:id="7"/>
            </w:r>
            <w:r>
              <w:rPr>
                <w:spacing w:val="-4"/>
                <w:lang w:eastAsia="en-US"/>
              </w:rPr>
              <w:t xml:space="preserve">. Mezičtvrtletně se hodnota importu podle sezónně očištěných dat zvýšila o 5,0 %. V 1. pololetí se zvyšoval dovoz z EU (+73,5 mld. korun, 5,1 %) i ze zemí mimo Unii (+16,0 mld., 1,9 %). Největší nárůst dovozu byl v 1. pololetí zaznamenán </w:t>
            </w:r>
            <w:r>
              <w:rPr>
                <w:spacing w:val="-4"/>
                <w:lang w:eastAsia="en-US"/>
              </w:rPr>
              <w:br/>
              <w:t>u Německa</w:t>
            </w:r>
            <w:r>
              <w:rPr>
                <w:rStyle w:val="Znakapoznpodarou"/>
                <w:spacing w:val="-4"/>
                <w:lang w:eastAsia="en-US"/>
              </w:rPr>
              <w:footnoteReference w:id="8"/>
            </w:r>
            <w:r>
              <w:rPr>
                <w:spacing w:val="-4"/>
                <w:lang w:eastAsia="en-US"/>
              </w:rPr>
              <w:t xml:space="preserve"> (+31,7 mld. korun, 6,1 %), Polska (+10,1 mld., 4,7 %), Tchaj-wanu</w:t>
            </w:r>
            <w:r>
              <w:rPr>
                <w:rStyle w:val="Znakapoznpodarou"/>
                <w:spacing w:val="-4"/>
                <w:lang w:eastAsia="en-US"/>
              </w:rPr>
              <w:footnoteReference w:id="9"/>
            </w:r>
            <w:r>
              <w:rPr>
                <w:spacing w:val="-4"/>
                <w:lang w:eastAsia="en-US"/>
              </w:rPr>
              <w:t xml:space="preserve"> (+9,4</w:t>
            </w:r>
            <w:r w:rsidR="00A171A3">
              <w:rPr>
                <w:spacing w:val="-4"/>
                <w:lang w:eastAsia="en-US"/>
              </w:rPr>
              <w:t> </w:t>
            </w:r>
            <w:r>
              <w:rPr>
                <w:spacing w:val="-4"/>
                <w:lang w:eastAsia="en-US"/>
              </w:rPr>
              <w:t>mld., 53,2 %) a Maďarska (+9,2 mld., 18,2 %). Import klesl jen u menšiny zemí, nejvíce z Ruska</w:t>
            </w:r>
            <w:r>
              <w:rPr>
                <w:rStyle w:val="Znakapoznpodarou"/>
                <w:spacing w:val="-4"/>
                <w:lang w:eastAsia="en-US"/>
              </w:rPr>
              <w:footnoteReference w:id="10"/>
            </w:r>
            <w:r>
              <w:rPr>
                <w:spacing w:val="-4"/>
                <w:lang w:eastAsia="en-US"/>
              </w:rPr>
              <w:t xml:space="preserve"> (−7,7 mld. korun, −47,6 %). Ve 2. čtvrtletí dovoz z EU vzrostl meziročně o</w:t>
            </w:r>
            <w:r w:rsidR="00A171A3">
              <w:rPr>
                <w:spacing w:val="-4"/>
                <w:lang w:eastAsia="en-US"/>
              </w:rPr>
              <w:t> </w:t>
            </w:r>
            <w:r>
              <w:rPr>
                <w:spacing w:val="-4"/>
                <w:lang w:eastAsia="en-US"/>
              </w:rPr>
              <w:t>61,3</w:t>
            </w:r>
            <w:r w:rsidR="00A171A3">
              <w:rPr>
                <w:spacing w:val="-4"/>
                <w:lang w:eastAsia="en-US"/>
              </w:rPr>
              <w:t> </w:t>
            </w:r>
            <w:r>
              <w:rPr>
                <w:spacing w:val="-4"/>
                <w:lang w:eastAsia="en-US"/>
              </w:rPr>
              <w:t xml:space="preserve">mld. korun (8,5 %) a z mimounijních zemí o 22,1 mld. (5,2 %). Mimořádně silný byl nárůst dovozu z Německa (viz Tabulka č. 6) a výrazné přírůstky měl také import z Polska, Slovenska, </w:t>
            </w:r>
            <w:r>
              <w:rPr>
                <w:spacing w:val="-4"/>
                <w:lang w:eastAsia="en-US"/>
              </w:rPr>
              <w:lastRenderedPageBreak/>
              <w:t>Spojených států amerických</w:t>
            </w:r>
            <w:r>
              <w:rPr>
                <w:rStyle w:val="Znakapoznpodarou"/>
                <w:spacing w:val="-4"/>
                <w:lang w:eastAsia="en-US"/>
              </w:rPr>
              <w:footnoteReference w:id="11"/>
            </w:r>
            <w:r>
              <w:rPr>
                <w:spacing w:val="-4"/>
                <w:lang w:eastAsia="en-US"/>
              </w:rPr>
              <w:t xml:space="preserve"> nebo Číny. Do seznamu zemí s významným příspěvkem k růstu dovozu se dostaly i méně obvyklé destinace, jako je Malajsie nebo Irsko</w:t>
            </w:r>
            <w:r>
              <w:rPr>
                <w:rStyle w:val="Znakapoznpodarou"/>
                <w:spacing w:val="-4"/>
                <w:lang w:eastAsia="en-US"/>
              </w:rPr>
              <w:footnoteReference w:id="12"/>
            </w:r>
            <w:r>
              <w:rPr>
                <w:spacing w:val="-4"/>
                <w:lang w:eastAsia="en-US"/>
              </w:rPr>
              <w:t>. Jen u mála zemí import klesl, největší pokles byl zachycen v případě Norska.</w:t>
            </w:r>
          </w:p>
        </w:tc>
      </w:tr>
      <w:tr w:rsidR="006B1AFC" w14:paraId="6C51F84F" w14:textId="77777777" w:rsidTr="003C4A79">
        <w:trPr>
          <w:trHeight w:val="145"/>
        </w:trPr>
        <w:tc>
          <w:tcPr>
            <w:tcW w:w="1716" w:type="dxa"/>
          </w:tcPr>
          <w:p w14:paraId="198DD3FF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Část z nárůstu hodnoty dovozu souvisela se zvýšením cen surovin.</w:t>
            </w:r>
          </w:p>
        </w:tc>
        <w:tc>
          <w:tcPr>
            <w:tcW w:w="284" w:type="dxa"/>
          </w:tcPr>
          <w:p w14:paraId="710AB048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</w:tcPr>
          <w:p w14:paraId="4219A168" w14:textId="77777777" w:rsidR="006B1AFC" w:rsidRDefault="006B1AFC" w:rsidP="003C4A79">
            <w:pPr>
              <w:spacing w:after="180"/>
              <w:rPr>
                <w:spacing w:val="-4"/>
                <w:lang w:eastAsia="en-US"/>
              </w:rPr>
            </w:pPr>
            <w:r>
              <w:rPr>
                <w:spacing w:val="-4"/>
                <w:lang w:eastAsia="en-US"/>
              </w:rPr>
              <w:t>Největší meziroční nárůst hodnoty dovozu byl v 1. pololetí 2026 zachycen u počítačů, elektronických a optických přístrojů a zařízení (+20,2 mld. korun</w:t>
            </w:r>
            <w:r>
              <w:rPr>
                <w:rStyle w:val="Znakapoznpodarou"/>
                <w:spacing w:val="-4"/>
                <w:lang w:eastAsia="en-US"/>
              </w:rPr>
              <w:footnoteReference w:id="13"/>
            </w:r>
            <w:r>
              <w:rPr>
                <w:spacing w:val="-4"/>
                <w:lang w:eastAsia="en-US"/>
              </w:rPr>
              <w:t xml:space="preserve">, 7,9 %). Dále se významně zvýšila hodnota importu koksu a rafinovaných ropných produktů (+13,6 mld. korun, 29,3 %) a motorových vozidel (+11,2 mld., 3,2 %). Z pohledu odvětvové struktury lze faktory ovlivňující dynamiku dovozu v samotném 2. čtvrtletí rozdělit do více skupin. Na jedné straně pokračoval silný růst dovozu počítačů, elektronických a optických přístrojů a zařízení (viz Tabulka č. 5), motorových vozidel, základních farmaceutických výrobků a přípravků, elektřiny, plynu, páry a klimatizovaného vzduchu a ostatních nekovových minerálních výrobků, který byl patrný už v 1. kvartálu. V souvislosti s nárůstem cen značně posílil nebo se nově objevil přírůstek importu koksu a rafinovaných ropných produktů, chemických látek a přípravků, ropy a zemního plynu, základních kovů a pryžových a plastových výrobků. Oživení meziročního růstu dovozu bylo ve 2. čtvrtletí zaznamenáno také u elektrických zařízení, kovodělných výrobků, ostatních dopravních prostředků a zařízení a strojů a zařízení. Významnější meziroční pokles (více než 1 mld. korun) se ve 2. čtvrtletí odehrál jen u potravinářských výrobků. </w:t>
            </w:r>
          </w:p>
        </w:tc>
      </w:tr>
      <w:tr w:rsidR="006B1AFC" w14:paraId="375A86DA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p w14:paraId="1FAFCD43" w14:textId="77777777" w:rsidR="006B1AFC" w:rsidRDefault="006B1AFC" w:rsidP="003C4A79">
            <w:pPr>
              <w:spacing w:after="0"/>
              <w:jc w:val="left"/>
              <w:rPr>
                <w:spacing w:val="-4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Tabulka č. 5 Oddíly klasifikace CPA s největším vlivem na vývoj dovozu zboží ve 2. čtvrtletí 2026 </w:t>
            </w:r>
            <w:r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(meziročně)</w:t>
            </w:r>
          </w:p>
        </w:tc>
        <w:tc>
          <w:tcPr>
            <w:tcW w:w="57" w:type="dxa"/>
          </w:tcPr>
          <w:p w14:paraId="36623FCF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  <w:tc>
          <w:tcPr>
            <w:tcW w:w="4809" w:type="dxa"/>
            <w:hideMark/>
          </w:tcPr>
          <w:p w14:paraId="7236B213" w14:textId="77777777" w:rsidR="006B1AFC" w:rsidRDefault="006B1AFC" w:rsidP="003C4A79">
            <w:pPr>
              <w:spacing w:after="0"/>
              <w:jc w:val="left"/>
              <w:rPr>
                <w:spacing w:val="-4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Tabulka č. 6 Země s největším vlivem na vývoj dovozu zboží ve 2. čtvrtletí 2026 </w:t>
            </w:r>
            <w:r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(meziročně)</w:t>
            </w:r>
          </w:p>
        </w:tc>
      </w:tr>
      <w:tr w:rsidR="006B1AFC" w:rsidRPr="005A40B7" w14:paraId="1A27C311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tbl>
            <w:tblPr>
              <w:tblW w:w="4817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17"/>
              <w:gridCol w:w="700"/>
              <w:gridCol w:w="700"/>
            </w:tblGrid>
            <w:tr w:rsidR="006B1AFC" w:rsidRPr="00E66209" w14:paraId="038F9566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26F42E17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0098FA7B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mld. Kč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07CDF729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%</w:t>
                  </w:r>
                </w:p>
              </w:tc>
            </w:tr>
            <w:tr w:rsidR="006B1AFC" w:rsidRPr="00E66209" w14:paraId="3D6E3669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6631D32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Koks a rafinované ropné produkty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63CCAA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+13,0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AF481B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+57,9</w:t>
                  </w:r>
                </w:p>
              </w:tc>
            </w:tr>
            <w:tr w:rsidR="006B1AFC" w:rsidRPr="00E66209" w14:paraId="3F813628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2A24B3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Počítače, elektron. a opt. přístroje a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CEB69B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+10,0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400809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+7,8</w:t>
                  </w:r>
                </w:p>
              </w:tc>
            </w:tr>
            <w:tr w:rsidR="006B1AFC" w:rsidRPr="00E66209" w14:paraId="54F368C4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078428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Chemické látky a přípravky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65D463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+9,7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F91BC59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+10,8</w:t>
                  </w:r>
                </w:p>
              </w:tc>
            </w:tr>
            <w:tr w:rsidR="006B1AFC" w:rsidRPr="00E66209" w14:paraId="78D87E0C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906F728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Elektrická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4465BD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+9,2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FFE3F1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+7,6</w:t>
                  </w:r>
                </w:p>
              </w:tc>
            </w:tr>
            <w:tr w:rsidR="006B1AFC" w:rsidRPr="00E66209" w14:paraId="1386E85A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6888F9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Ropa a zemní plyn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5B809D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+8,0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61DDCE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+17,5</w:t>
                  </w:r>
                </w:p>
              </w:tc>
            </w:tr>
            <w:tr w:rsidR="006B1AFC" w:rsidRPr="00E66209" w14:paraId="66FCED37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8C873B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Kovodělné výrobky kromě strojů a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2CC7A9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+7,3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3F48771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+11,7</w:t>
                  </w:r>
                </w:p>
              </w:tc>
            </w:tr>
            <w:tr w:rsidR="006B1AFC" w:rsidRPr="00E66209" w14:paraId="7CDA62B5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2537CB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Motorová vozidla (kromě motocyklů) a díly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EDA0DEE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+5,7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E556397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+3,2</w:t>
                  </w:r>
                </w:p>
              </w:tc>
            </w:tr>
            <w:tr w:rsidR="006B1AFC" w:rsidRPr="00E66209" w14:paraId="608E5100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09A533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Základní kovy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1381A6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619B43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+6,4</w:t>
                  </w:r>
                </w:p>
              </w:tc>
            </w:tr>
            <w:tr w:rsidR="006B1AFC" w:rsidRPr="00E66209" w14:paraId="45D26E1D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C649E9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Ostatní dopravní prostředky a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0E527A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7EDC33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+25,5</w:t>
                  </w:r>
                </w:p>
              </w:tc>
            </w:tr>
            <w:tr w:rsidR="006B1AFC" w:rsidRPr="00E66209" w14:paraId="601307E3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D7235B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Základní farmaceutické výrobky a přípravky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742536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C46993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+11,6</w:t>
                  </w:r>
                </w:p>
              </w:tc>
            </w:tr>
            <w:tr w:rsidR="006B1AFC" w:rsidRPr="00E66209" w14:paraId="7FF1DB6E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5228759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Stroje a zařízení j. n.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AF5326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15AF45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+3,2</w:t>
                  </w:r>
                </w:p>
              </w:tc>
            </w:tr>
            <w:tr w:rsidR="006B1AFC" w:rsidRPr="00E66209" w14:paraId="2CD2A0D7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7C0457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Elektřina, plyn, pára a klimatizovaný vzduch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BF87B3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C5AEE1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+53,6</w:t>
                  </w:r>
                </w:p>
              </w:tc>
            </w:tr>
            <w:tr w:rsidR="006B1AFC" w:rsidRPr="00E66209" w14:paraId="4062D8C1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712D4D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Pryžové a plastové výrobky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E3AA9B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+2,4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814C8AA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+4,5</w:t>
                  </w:r>
                </w:p>
              </w:tc>
            </w:tr>
            <w:tr w:rsidR="006B1AFC" w:rsidRPr="00E66209" w14:paraId="11D71307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224A64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Ostatní nekovové minerální výrobky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8CB5D8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A28FF4C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+12,1</w:t>
                  </w:r>
                </w:p>
              </w:tc>
            </w:tr>
            <w:tr w:rsidR="006B1AFC" w:rsidRPr="00E66209" w14:paraId="35A06711" w14:textId="77777777" w:rsidTr="003C4A79">
              <w:trPr>
                <w:trHeight w:val="252"/>
              </w:trPr>
              <w:tc>
                <w:tcPr>
                  <w:tcW w:w="341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01B64F" w14:textId="77777777" w:rsidR="006B1AFC" w:rsidRPr="00E66209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Potravinářské výrobky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BBA21A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2,8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046C280" w14:textId="77777777" w:rsidR="006B1AFC" w:rsidRPr="00E66209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E66209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4,3</w:t>
                  </w:r>
                </w:p>
              </w:tc>
            </w:tr>
          </w:tbl>
          <w:p w14:paraId="659EC45A" w14:textId="77777777" w:rsidR="006B1AFC" w:rsidRPr="005A40B7" w:rsidRDefault="006B1AFC" w:rsidP="003C4A79">
            <w:pPr>
              <w:spacing w:after="0"/>
              <w:rPr>
                <w:spacing w:val="-4"/>
                <w:sz w:val="16"/>
                <w:szCs w:val="16"/>
                <w:lang w:eastAsia="en-US"/>
              </w:rPr>
            </w:pPr>
          </w:p>
        </w:tc>
        <w:tc>
          <w:tcPr>
            <w:tcW w:w="57" w:type="dxa"/>
          </w:tcPr>
          <w:p w14:paraId="16DF9C5F" w14:textId="77777777" w:rsidR="006B1AFC" w:rsidRPr="005A40B7" w:rsidRDefault="006B1AFC" w:rsidP="003C4A79">
            <w:pPr>
              <w:spacing w:after="0"/>
              <w:rPr>
                <w:spacing w:val="-4"/>
                <w:sz w:val="16"/>
                <w:szCs w:val="16"/>
                <w:lang w:eastAsia="en-US"/>
              </w:rPr>
            </w:pPr>
          </w:p>
        </w:tc>
        <w:tc>
          <w:tcPr>
            <w:tcW w:w="4809" w:type="dxa"/>
            <w:hideMark/>
          </w:tcPr>
          <w:tbl>
            <w:tblPr>
              <w:tblW w:w="47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62"/>
              <w:gridCol w:w="700"/>
              <w:gridCol w:w="700"/>
            </w:tblGrid>
            <w:tr w:rsidR="006B1AFC" w:rsidRPr="00A15444" w14:paraId="54B9C15E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1B7E9CAA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22"/>
                      <w:szCs w:val="22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22"/>
                      <w:szCs w:val="22"/>
                      <w:lang w:eastAsia="ko-KR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634CE96B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mld. Kč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18A38889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%</w:t>
                  </w:r>
                </w:p>
              </w:tc>
            </w:tr>
            <w:tr w:rsidR="006B1AFC" w:rsidRPr="00A15444" w14:paraId="54860056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3C0591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Německo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AAE8463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+27,3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19956B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+10,6</w:t>
                  </w:r>
                </w:p>
              </w:tc>
            </w:tr>
            <w:tr w:rsidR="006B1AFC" w:rsidRPr="00A15444" w14:paraId="44B5B4AE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3C7D49C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Polsko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43437B2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+8,6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2496508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+7,9</w:t>
                  </w:r>
                </w:p>
              </w:tc>
            </w:tr>
            <w:tr w:rsidR="006B1AFC" w:rsidRPr="00A15444" w14:paraId="356644FC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9E149B6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Slovensko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2D57E12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3523FCB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+10,3</w:t>
                  </w:r>
                </w:p>
              </w:tc>
            </w:tr>
            <w:tr w:rsidR="006B1AFC" w:rsidRPr="00A15444" w14:paraId="1787446B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71434D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Spojené státy</w:t>
                  </w: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 xml:space="preserve"> americké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72FACF4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0AC728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+18,5</w:t>
                  </w:r>
                </w:p>
              </w:tc>
            </w:tr>
            <w:tr w:rsidR="006B1AFC" w:rsidRPr="00A15444" w14:paraId="235669FC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586C27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Čína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39DF3F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364DE1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+3,2</w:t>
                  </w:r>
                </w:p>
              </w:tc>
            </w:tr>
            <w:tr w:rsidR="006B1AFC" w:rsidRPr="00A15444" w14:paraId="04EF0804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2CB9B2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Maďarsko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DCB0A3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71484A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+16,2</w:t>
                  </w:r>
                </w:p>
              </w:tc>
            </w:tr>
            <w:tr w:rsidR="006B1AFC" w:rsidRPr="00A15444" w14:paraId="5FFE5172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133FB8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Rakousko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804D83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2A61FF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+12,8</w:t>
                  </w:r>
                </w:p>
              </w:tc>
            </w:tr>
            <w:tr w:rsidR="006B1AFC" w:rsidRPr="00A15444" w14:paraId="0BAA3BEF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A876C23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Itálie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84C5FDD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+3,3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06A9BB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+6,5</w:t>
                  </w:r>
                </w:p>
              </w:tc>
            </w:tr>
            <w:tr w:rsidR="006B1AFC" w:rsidRPr="00A15444" w14:paraId="259ED8CF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CA00DD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Tchaj-wan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8FEB3D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8404B8B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+32,3</w:t>
                  </w:r>
                </w:p>
              </w:tc>
            </w:tr>
            <w:tr w:rsidR="006B1AFC" w:rsidRPr="00A15444" w14:paraId="162B28F5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F03159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Irsko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EA20D5A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9E736B8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+37,5</w:t>
                  </w:r>
                </w:p>
              </w:tc>
            </w:tr>
            <w:tr w:rsidR="006B1AFC" w:rsidRPr="00A15444" w14:paraId="15F851A5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CEF900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Malajsie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333F1A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08BAF0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+28,4</w:t>
                  </w:r>
                </w:p>
              </w:tc>
            </w:tr>
            <w:tr w:rsidR="006B1AFC" w:rsidRPr="00A15444" w14:paraId="0A94AAAE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260F337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Španělsko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5F81BD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00F3C5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+7,4</w:t>
                  </w:r>
                </w:p>
              </w:tc>
            </w:tr>
            <w:tr w:rsidR="006B1AFC" w:rsidRPr="00A15444" w14:paraId="4D73F5A3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4648E16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Bulharsko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AB904D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1,9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0CB9730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26,6</w:t>
                  </w:r>
                </w:p>
              </w:tc>
            </w:tr>
            <w:tr w:rsidR="006B1AFC" w:rsidRPr="00A15444" w14:paraId="60CC160C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4A348F3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Singapur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329135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2,2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9F96CB5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53,3</w:t>
                  </w:r>
                </w:p>
              </w:tc>
            </w:tr>
            <w:tr w:rsidR="006B1AFC" w:rsidRPr="00A15444" w14:paraId="291A0972" w14:textId="77777777" w:rsidTr="003C4A79">
              <w:trPr>
                <w:trHeight w:val="252"/>
              </w:trPr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076B057" w14:textId="77777777" w:rsidR="006B1AFC" w:rsidRPr="00A15444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Norsko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57B540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4,5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D12235" w14:textId="77777777" w:rsidR="006B1AFC" w:rsidRPr="00A15444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A15444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18,2</w:t>
                  </w:r>
                </w:p>
              </w:tc>
            </w:tr>
          </w:tbl>
          <w:p w14:paraId="66E92B1C" w14:textId="77777777" w:rsidR="006B1AFC" w:rsidRPr="005A40B7" w:rsidRDefault="006B1AFC" w:rsidP="003C4A79">
            <w:pPr>
              <w:spacing w:after="0"/>
              <w:rPr>
                <w:spacing w:val="-4"/>
                <w:sz w:val="16"/>
                <w:szCs w:val="16"/>
                <w:lang w:eastAsia="en-US"/>
              </w:rPr>
            </w:pPr>
          </w:p>
        </w:tc>
      </w:tr>
      <w:tr w:rsidR="006B1AFC" w14:paraId="6A134598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p w14:paraId="02731A41" w14:textId="77777777" w:rsidR="006B1AFC" w:rsidRDefault="006B1AFC" w:rsidP="003C4A79">
            <w:pPr>
              <w:jc w:val="left"/>
              <w:rPr>
                <w:spacing w:val="-4"/>
                <w:sz w:val="16"/>
                <w:szCs w:val="16"/>
                <w:lang w:eastAsia="en-US"/>
              </w:rPr>
            </w:pPr>
            <w:r>
              <w:rPr>
                <w:spacing w:val="-4"/>
                <w:sz w:val="16"/>
                <w:szCs w:val="16"/>
                <w:lang w:eastAsia="en-US"/>
              </w:rPr>
              <w:t>Zdroj: ČSÚ</w:t>
            </w:r>
          </w:p>
        </w:tc>
        <w:tc>
          <w:tcPr>
            <w:tcW w:w="57" w:type="dxa"/>
          </w:tcPr>
          <w:p w14:paraId="14C2D023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  <w:tc>
          <w:tcPr>
            <w:tcW w:w="4809" w:type="dxa"/>
            <w:hideMark/>
          </w:tcPr>
          <w:p w14:paraId="10B77BC1" w14:textId="77777777" w:rsidR="006B1AFC" w:rsidRDefault="006B1AFC" w:rsidP="003C4A79">
            <w:pPr>
              <w:spacing w:after="0"/>
              <w:ind w:right="21"/>
              <w:jc w:val="left"/>
              <w:rPr>
                <w:spacing w:val="-4"/>
                <w:lang w:eastAsia="en-US"/>
              </w:rPr>
            </w:pPr>
            <w:r>
              <w:rPr>
                <w:spacing w:val="-4"/>
                <w:sz w:val="16"/>
                <w:szCs w:val="16"/>
                <w:lang w:eastAsia="en-US"/>
              </w:rPr>
              <w:t>Zdroj: ČSÚ</w:t>
            </w:r>
          </w:p>
        </w:tc>
      </w:tr>
      <w:tr w:rsidR="006B1AFC" w14:paraId="29B15315" w14:textId="77777777" w:rsidTr="003C4A79">
        <w:trPr>
          <w:trHeight w:val="145"/>
        </w:trPr>
        <w:tc>
          <w:tcPr>
            <w:tcW w:w="1716" w:type="dxa"/>
            <w:hideMark/>
          </w:tcPr>
          <w:p w14:paraId="0061D80D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Přebytek bilance zahraničního obchodu se meziročně snižoval.</w:t>
            </w:r>
          </w:p>
        </w:tc>
        <w:tc>
          <w:tcPr>
            <w:tcW w:w="284" w:type="dxa"/>
          </w:tcPr>
          <w:p w14:paraId="44AA198E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  <w:hideMark/>
          </w:tcPr>
          <w:p w14:paraId="4CA32438" w14:textId="77777777" w:rsidR="006B1AFC" w:rsidRPr="002971BF" w:rsidRDefault="006B1AFC" w:rsidP="003C4A79">
            <w:pPr>
              <w:spacing w:after="180"/>
              <w:rPr>
                <w:spacing w:val="-4"/>
                <w:szCs w:val="20"/>
                <w:lang w:eastAsia="en-US"/>
              </w:rPr>
            </w:pPr>
            <w:r>
              <w:rPr>
                <w:spacing w:val="-4"/>
                <w:szCs w:val="20"/>
                <w:lang w:eastAsia="en-US"/>
              </w:rPr>
              <w:t xml:space="preserve">Dynamika exportu v posledních několika kvartálech zaostávala za dovozem, což opakovaně vedlo ke zhoršování bilance zahraničního obchodu se zbožím. Za celé 1. pololetí přebytek bilance dosáhl 102,5 mld. korun a meziročně byl nižší o 27,3 mld. Na tomto poklesu mělo většinový podíl samotné 2. čtvrtletí, kdy bilance dosáhla přebytku 32,3 mld. korun, což byl meziročně o 22,4 mld. horší výsledek. Podle sezónně očištěných údajů se bilance mezičtvrtletně podruhé v řadě výrazně zhoršila. V 1. pololetí se meziročně zhoršovala bilance zahraničního obchodu se zeměmi mimo EU (−34,1 mld. korun), zatímco přebytek obchodu s EU mírně vzrostl o 8,6 mld. Největší zhoršení bilance bylo v 1. pololetí zaznamenáno u obchodu s Německem (−30,1 mld. korun), Velkou Británií (−8,7 mld.) a Spojenými státy americkými (−8,1 mld.). Naopak výrazně lepší byla bilance obchodu </w:t>
            </w:r>
            <w:r>
              <w:rPr>
                <w:spacing w:val="-4"/>
                <w:szCs w:val="20"/>
                <w:lang w:eastAsia="en-US"/>
              </w:rPr>
              <w:br/>
            </w:r>
            <w:r>
              <w:rPr>
                <w:spacing w:val="-4"/>
                <w:szCs w:val="20"/>
                <w:lang w:eastAsia="en-US"/>
              </w:rPr>
              <w:lastRenderedPageBreak/>
              <w:t>s Rakouskem (+16,1 mld. korun) a Francií (+12,4 mld.). V samotném 2. čtvrtletí se bilance se zeměmi mimo EU meziročně zhoršila o 22,8 mld. korun, zatímco přebytek obchodu s EU se zvýšil o 2,2 mld. Ve směru zhoršení bilance nejvíce působil obchod s Německem (viz Tabulka č. 8) a dále se Spojenými státy americkými a Čínou. S odstupem následovalo Slovensko, Kazachstán nebo Velká Británie. Naopak výrazně ve směru zlepšení bilance zahraničního obchodu působil ve 2. kvartálu obchod s Francií, Rakouskem nebo Nizozemskem.</w:t>
            </w:r>
          </w:p>
        </w:tc>
      </w:tr>
      <w:tr w:rsidR="006B1AFC" w14:paraId="5E9CB164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p w14:paraId="12CD2532" w14:textId="77777777" w:rsidR="006B1AFC" w:rsidRDefault="006B1AFC" w:rsidP="003C4A79">
            <w:pPr>
              <w:spacing w:after="0"/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lastRenderedPageBreak/>
              <w:t xml:space="preserve">Tabulka č. 7 Oddíly klasifikace CPA s největším </w:t>
            </w:r>
          </w:p>
          <w:p w14:paraId="6318BD76" w14:textId="77777777" w:rsidR="006B1AFC" w:rsidRDefault="006B1AFC" w:rsidP="003C4A79">
            <w:pPr>
              <w:spacing w:after="0"/>
              <w:jc w:val="left"/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vlivem na vývoj bilance zahraničního obchodu se zbožím ve 2. čtvrtletí 2026 </w:t>
            </w:r>
            <w:r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(meziročně)</w:t>
            </w:r>
          </w:p>
        </w:tc>
        <w:tc>
          <w:tcPr>
            <w:tcW w:w="57" w:type="dxa"/>
          </w:tcPr>
          <w:p w14:paraId="472950F4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  <w:tc>
          <w:tcPr>
            <w:tcW w:w="4809" w:type="dxa"/>
            <w:hideMark/>
          </w:tcPr>
          <w:p w14:paraId="17136880" w14:textId="77777777" w:rsidR="006B1AFC" w:rsidRDefault="006B1AFC" w:rsidP="003C4A79">
            <w:pPr>
              <w:spacing w:after="0"/>
              <w:jc w:val="left"/>
              <w:rPr>
                <w:spacing w:val="-4"/>
                <w:sz w:val="18"/>
                <w:szCs w:val="18"/>
                <w:lang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US"/>
              </w:rPr>
              <w:t xml:space="preserve">Tabulka č. 8 Země s největším vlivem na vývoj bilance zahraničního obchodu se zbožím ve 2. čtvrtletí 2026 </w:t>
            </w:r>
            <w:r>
              <w:rPr>
                <w:rFonts w:cs="Arial"/>
                <w:bCs/>
                <w:color w:val="000000"/>
                <w:sz w:val="18"/>
                <w:szCs w:val="18"/>
                <w:lang w:eastAsia="en-US"/>
              </w:rPr>
              <w:t>(meziročně)</w:t>
            </w:r>
          </w:p>
        </w:tc>
      </w:tr>
      <w:tr w:rsidR="006B1AFC" w14:paraId="134283C1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tbl>
            <w:tblPr>
              <w:tblW w:w="4826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126"/>
              <w:gridCol w:w="700"/>
            </w:tblGrid>
            <w:tr w:rsidR="006B1AFC" w:rsidRPr="00180CEB" w14:paraId="2B98E18F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3C4E40B0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21148757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mld. Kč</w:t>
                  </w:r>
                </w:p>
              </w:tc>
            </w:tr>
            <w:tr w:rsidR="006B1AFC" w:rsidRPr="00180CEB" w14:paraId="532310F3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11F355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Motorová vozidla (kromě motocyklů) a díly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B0C931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+6,4</w:t>
                  </w:r>
                </w:p>
              </w:tc>
            </w:tr>
            <w:tr w:rsidR="006B1AFC" w:rsidRPr="00180CEB" w14:paraId="3A3A4F1D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34E244F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Počítače, elektron. a opt. přístroje a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7D38FA3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+4,5</w:t>
                  </w:r>
                </w:p>
              </w:tc>
            </w:tr>
            <w:tr w:rsidR="006B1AFC" w:rsidRPr="00180CEB" w14:paraId="556A5349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F9CF6B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Elektřina, plyn, pára a klimatizovaný vzduch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972B71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+3,6</w:t>
                  </w:r>
                </w:p>
              </w:tc>
            </w:tr>
            <w:tr w:rsidR="006B1AFC" w:rsidRPr="00180CEB" w14:paraId="685D3B71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09EB10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Sběr, likvidace a zpracování odpadu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68BB2F4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+3,0</w:t>
                  </w:r>
                </w:p>
              </w:tc>
            </w:tr>
            <w:tr w:rsidR="006B1AFC" w:rsidRPr="00180CEB" w14:paraId="5EA90D55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BE412E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Produkty zemědělství a myslivosti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D76777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+2,5</w:t>
                  </w:r>
                </w:p>
              </w:tc>
            </w:tr>
            <w:tr w:rsidR="006B1AFC" w:rsidRPr="00180CEB" w14:paraId="70018B7B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714C33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Potravinářské výrobky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384FD99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+1,7</w:t>
                  </w:r>
                </w:p>
              </w:tc>
            </w:tr>
            <w:tr w:rsidR="006B1AFC" w:rsidRPr="00180CEB" w14:paraId="771A799D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650D0AB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Ostatní nekovové minerální výrobky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561E1A6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1,1</w:t>
                  </w:r>
                </w:p>
              </w:tc>
            </w:tr>
            <w:tr w:rsidR="006B1AFC" w:rsidRPr="00180CEB" w14:paraId="331EADE3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DB873D8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Papír a výrobky z papíru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411064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1,4</w:t>
                  </w:r>
                </w:p>
              </w:tc>
            </w:tr>
            <w:tr w:rsidR="006B1AFC" w:rsidRPr="00180CEB" w14:paraId="14BD5754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B01A3F9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Základní farmaceutické výrobky a přípravky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FC5E60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2,6</w:t>
                  </w:r>
                </w:p>
              </w:tc>
            </w:tr>
            <w:tr w:rsidR="006B1AFC" w:rsidRPr="00180CEB" w14:paraId="2E84825B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ECBEBCF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Ostatní dopravní prostředky a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0224A2E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2,6</w:t>
                  </w:r>
                </w:p>
              </w:tc>
            </w:tr>
            <w:tr w:rsidR="006B1AFC" w:rsidRPr="00180CEB" w14:paraId="1B4744A4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89A704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Základní kovy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7D902A5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3,0</w:t>
                  </w:r>
                </w:p>
              </w:tc>
            </w:tr>
            <w:tr w:rsidR="006B1AFC" w:rsidRPr="00180CEB" w14:paraId="7CCFC7C4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821131C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Ropa a zemní plyn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7E6D03E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6,5</w:t>
                  </w:r>
                </w:p>
              </w:tc>
            </w:tr>
            <w:tr w:rsidR="006B1AFC" w:rsidRPr="00180CEB" w14:paraId="66036DCD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2FA3F6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Kovodělné výrobky kromě strojů a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0B1F4A7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6,6</w:t>
                  </w:r>
                </w:p>
              </w:tc>
            </w:tr>
            <w:tr w:rsidR="006B1AFC" w:rsidRPr="00180CEB" w14:paraId="7B9774B3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984816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Elektrická zařízení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123C12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9,0</w:t>
                  </w:r>
                </w:p>
              </w:tc>
            </w:tr>
            <w:tr w:rsidR="006B1AFC" w:rsidRPr="00180CEB" w14:paraId="3FCF2A37" w14:textId="77777777" w:rsidTr="003C4A79">
              <w:trPr>
                <w:trHeight w:val="255"/>
              </w:trPr>
              <w:tc>
                <w:tcPr>
                  <w:tcW w:w="412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C64E206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Koks a rafinované ropné produkty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53FE8B4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12,9</w:t>
                  </w:r>
                </w:p>
              </w:tc>
            </w:tr>
          </w:tbl>
          <w:p w14:paraId="09935E3E" w14:textId="77777777" w:rsidR="006B1AFC" w:rsidRPr="0010385A" w:rsidRDefault="006B1AFC" w:rsidP="003C4A79">
            <w:pPr>
              <w:spacing w:after="0"/>
              <w:rPr>
                <w:rFonts w:cs="Arial"/>
                <w:spacing w:val="-4"/>
                <w:sz w:val="16"/>
                <w:szCs w:val="16"/>
                <w:lang w:eastAsia="en-US"/>
              </w:rPr>
            </w:pPr>
          </w:p>
        </w:tc>
        <w:tc>
          <w:tcPr>
            <w:tcW w:w="57" w:type="dxa"/>
          </w:tcPr>
          <w:p w14:paraId="75933754" w14:textId="77777777" w:rsidR="006B1AFC" w:rsidRPr="0010385A" w:rsidRDefault="006B1AFC" w:rsidP="003C4A79">
            <w:pPr>
              <w:spacing w:after="0"/>
              <w:rPr>
                <w:rFonts w:cs="Arial"/>
                <w:spacing w:val="-4"/>
                <w:sz w:val="16"/>
                <w:szCs w:val="16"/>
                <w:lang w:eastAsia="en-US"/>
              </w:rPr>
            </w:pPr>
          </w:p>
        </w:tc>
        <w:tc>
          <w:tcPr>
            <w:tcW w:w="4809" w:type="dxa"/>
            <w:hideMark/>
          </w:tcPr>
          <w:tbl>
            <w:tblPr>
              <w:tblW w:w="477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71"/>
              <w:gridCol w:w="700"/>
            </w:tblGrid>
            <w:tr w:rsidR="006B1AFC" w:rsidRPr="00180CEB" w14:paraId="1515C3EB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2BBE844F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22"/>
                      <w:szCs w:val="22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22"/>
                      <w:szCs w:val="22"/>
                      <w:lang w:eastAsia="ko-KR"/>
                    </w:rPr>
                    <w:t> 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bottom"/>
                  <w:hideMark/>
                </w:tcPr>
                <w:p w14:paraId="46E688AA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mld. Kč</w:t>
                  </w:r>
                </w:p>
              </w:tc>
            </w:tr>
            <w:tr w:rsidR="006B1AFC" w:rsidRPr="00180CEB" w14:paraId="735B3418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09BFE5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Francie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13B6DE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+9,6</w:t>
                  </w:r>
                </w:p>
              </w:tc>
            </w:tr>
            <w:tr w:rsidR="006B1AFC" w:rsidRPr="00180CEB" w14:paraId="23E0BB13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CEA6792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Rakousko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794006B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+6,0</w:t>
                  </w:r>
                </w:p>
              </w:tc>
            </w:tr>
            <w:tr w:rsidR="006B1AFC" w:rsidRPr="00180CEB" w14:paraId="4E001DE4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F759633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Nizozemsko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101B9C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+5,2</w:t>
                  </w:r>
                </w:p>
              </w:tc>
            </w:tr>
            <w:tr w:rsidR="006B1AFC" w:rsidRPr="00180CEB" w14:paraId="5FA9FA62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75879515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Norsko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6F3DFD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+4,2</w:t>
                  </w:r>
                </w:p>
              </w:tc>
            </w:tr>
            <w:tr w:rsidR="006B1AFC" w:rsidRPr="00180CEB" w14:paraId="5E3C4A25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6F77BF6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Bulharsko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F5B5799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+3,4</w:t>
                  </w:r>
                </w:p>
              </w:tc>
            </w:tr>
            <w:tr w:rsidR="006B1AFC" w:rsidRPr="00180CEB" w14:paraId="5CAE0603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9F544CF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Belgie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15D8B18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+2,9</w:t>
                  </w:r>
                </w:p>
              </w:tc>
            </w:tr>
            <w:tr w:rsidR="006B1AFC" w:rsidRPr="00180CEB" w14:paraId="5B8932BF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298951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Singapur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85B54E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+2,5</w:t>
                  </w:r>
                </w:p>
              </w:tc>
            </w:tr>
            <w:tr w:rsidR="006B1AFC" w:rsidRPr="00180CEB" w14:paraId="417FB961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96CB92E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Irsko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08F3DA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2,6</w:t>
                  </w:r>
                </w:p>
              </w:tc>
            </w:tr>
            <w:tr w:rsidR="006B1AFC" w:rsidRPr="00180CEB" w14:paraId="57443D49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F78724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Polsko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08662A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2,8</w:t>
                  </w:r>
                </w:p>
              </w:tc>
            </w:tr>
            <w:tr w:rsidR="006B1AFC" w:rsidRPr="00180CEB" w14:paraId="5C935EBD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F0062A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Velká Británie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62961A2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3,0</w:t>
                  </w:r>
                </w:p>
              </w:tc>
            </w:tr>
            <w:tr w:rsidR="006B1AFC" w:rsidRPr="00180CEB" w14:paraId="794FBAE5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A65F2A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Kazachstán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59D9451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3,5</w:t>
                  </w:r>
                </w:p>
              </w:tc>
            </w:tr>
            <w:tr w:rsidR="006B1AFC" w:rsidRPr="00180CEB" w14:paraId="66716090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2C1CA5F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Slovensko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F7D56A2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3,6</w:t>
                  </w:r>
                </w:p>
              </w:tc>
            </w:tr>
            <w:tr w:rsidR="006B1AFC" w:rsidRPr="00180CEB" w14:paraId="51262E8F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69271BF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Čína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226269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4,8</w:t>
                  </w:r>
                </w:p>
              </w:tc>
            </w:tr>
            <w:tr w:rsidR="006B1AFC" w:rsidRPr="00180CEB" w14:paraId="5F7317AB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0D50AAD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Spojené státy</w:t>
                  </w: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 xml:space="preserve"> americké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80769CF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8,8</w:t>
                  </w:r>
                </w:p>
              </w:tc>
            </w:tr>
            <w:tr w:rsidR="006B1AFC" w:rsidRPr="00180CEB" w14:paraId="3AEC34EC" w14:textId="77777777" w:rsidTr="003C4A79">
              <w:trPr>
                <w:trHeight w:val="255"/>
              </w:trPr>
              <w:tc>
                <w:tcPr>
                  <w:tcW w:w="407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D5FE36B" w14:textId="77777777" w:rsidR="006B1AFC" w:rsidRPr="00180CEB" w:rsidRDefault="006B1AFC" w:rsidP="003C4A79">
                  <w:pPr>
                    <w:spacing w:after="0" w:line="240" w:lineRule="auto"/>
                    <w:jc w:val="lef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Německo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2A47A14" w14:textId="77777777" w:rsidR="006B1AFC" w:rsidRPr="00180CEB" w:rsidRDefault="006B1AFC" w:rsidP="003C4A79">
                  <w:pPr>
                    <w:spacing w:after="0" w:line="240" w:lineRule="auto"/>
                    <w:jc w:val="right"/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</w:pPr>
                  <w:r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−</w:t>
                  </w:r>
                  <w:r w:rsidRPr="00180CEB">
                    <w:rPr>
                      <w:rFonts w:cs="Arial"/>
                      <w:color w:val="000000"/>
                      <w:sz w:val="16"/>
                      <w:szCs w:val="16"/>
                      <w:lang w:eastAsia="ko-KR"/>
                    </w:rPr>
                    <w:t>13,5</w:t>
                  </w:r>
                </w:p>
              </w:tc>
            </w:tr>
          </w:tbl>
          <w:p w14:paraId="12B70B8B" w14:textId="77777777" w:rsidR="006B1AFC" w:rsidRPr="0010385A" w:rsidRDefault="006B1AFC" w:rsidP="003C4A79">
            <w:pPr>
              <w:spacing w:after="0"/>
              <w:rPr>
                <w:rFonts w:cs="Arial"/>
                <w:spacing w:val="-4"/>
                <w:sz w:val="16"/>
                <w:szCs w:val="16"/>
                <w:lang w:eastAsia="en-US"/>
              </w:rPr>
            </w:pPr>
          </w:p>
        </w:tc>
      </w:tr>
      <w:tr w:rsidR="006B1AFC" w14:paraId="349441DC" w14:textId="77777777" w:rsidTr="003C4A79">
        <w:trPr>
          <w:trHeight w:val="170"/>
        </w:trPr>
        <w:tc>
          <w:tcPr>
            <w:tcW w:w="4811" w:type="dxa"/>
            <w:gridSpan w:val="3"/>
            <w:hideMark/>
          </w:tcPr>
          <w:p w14:paraId="79C535B0" w14:textId="77777777" w:rsidR="006B1AFC" w:rsidRDefault="006B1AFC" w:rsidP="003C4A79">
            <w:pPr>
              <w:jc w:val="left"/>
              <w:rPr>
                <w:spacing w:val="-4"/>
                <w:sz w:val="16"/>
                <w:szCs w:val="16"/>
                <w:lang w:eastAsia="en-US"/>
              </w:rPr>
            </w:pPr>
            <w:r>
              <w:rPr>
                <w:spacing w:val="-4"/>
                <w:sz w:val="16"/>
                <w:szCs w:val="16"/>
                <w:lang w:eastAsia="en-US"/>
              </w:rPr>
              <w:t>Zdroj: ČSÚ</w:t>
            </w:r>
          </w:p>
        </w:tc>
        <w:tc>
          <w:tcPr>
            <w:tcW w:w="57" w:type="dxa"/>
          </w:tcPr>
          <w:p w14:paraId="1DA99215" w14:textId="77777777" w:rsidR="006B1AFC" w:rsidRDefault="006B1AFC" w:rsidP="003C4A79">
            <w:pPr>
              <w:spacing w:after="0"/>
              <w:rPr>
                <w:spacing w:val="-4"/>
                <w:lang w:eastAsia="en-US"/>
              </w:rPr>
            </w:pPr>
          </w:p>
        </w:tc>
        <w:tc>
          <w:tcPr>
            <w:tcW w:w="4809" w:type="dxa"/>
            <w:hideMark/>
          </w:tcPr>
          <w:p w14:paraId="0D55EDE6" w14:textId="77777777" w:rsidR="006B1AFC" w:rsidRDefault="006B1AFC" w:rsidP="003C4A79">
            <w:pPr>
              <w:spacing w:after="0"/>
              <w:ind w:right="21"/>
              <w:jc w:val="left"/>
              <w:rPr>
                <w:spacing w:val="-4"/>
                <w:lang w:eastAsia="en-US"/>
              </w:rPr>
            </w:pPr>
            <w:r>
              <w:rPr>
                <w:spacing w:val="-4"/>
                <w:sz w:val="16"/>
                <w:szCs w:val="16"/>
                <w:lang w:eastAsia="en-US"/>
              </w:rPr>
              <w:t>Zdroj: ČSÚ</w:t>
            </w:r>
          </w:p>
        </w:tc>
      </w:tr>
      <w:tr w:rsidR="006B1AFC" w14:paraId="3986AB88" w14:textId="77777777" w:rsidTr="003C4A79">
        <w:trPr>
          <w:trHeight w:val="170"/>
        </w:trPr>
        <w:tc>
          <w:tcPr>
            <w:tcW w:w="1716" w:type="dxa"/>
          </w:tcPr>
          <w:p w14:paraId="36AF5C54" w14:textId="77777777" w:rsidR="006B1AFC" w:rsidRDefault="006B1AFC" w:rsidP="003C4A79">
            <w:pPr>
              <w:pStyle w:val="Marginlie"/>
              <w:rPr>
                <w:lang w:eastAsia="en-US"/>
              </w:rPr>
            </w:pPr>
            <w:r>
              <w:rPr>
                <w:lang w:eastAsia="en-US"/>
              </w:rPr>
              <w:t>Zhoršení bilance výrazně ovlivňovala dražší ropa.</w:t>
            </w:r>
          </w:p>
        </w:tc>
        <w:tc>
          <w:tcPr>
            <w:tcW w:w="284" w:type="dxa"/>
          </w:tcPr>
          <w:p w14:paraId="0075E054" w14:textId="77777777" w:rsidR="006B1AFC" w:rsidRDefault="006B1AFC" w:rsidP="003C4A79">
            <w:pPr>
              <w:pStyle w:val="Textpoznpodarou"/>
              <w:jc w:val="both"/>
              <w:rPr>
                <w:spacing w:val="-4"/>
                <w:lang w:eastAsia="en-US"/>
              </w:rPr>
            </w:pPr>
          </w:p>
        </w:tc>
        <w:tc>
          <w:tcPr>
            <w:tcW w:w="7677" w:type="dxa"/>
            <w:gridSpan w:val="3"/>
          </w:tcPr>
          <w:p w14:paraId="452BB9E0" w14:textId="77777777" w:rsidR="006B1AFC" w:rsidRPr="009A2AD3" w:rsidRDefault="006B1AFC" w:rsidP="003C4A79">
            <w:pPr>
              <w:rPr>
                <w:rFonts w:cs="Arial"/>
                <w:color w:val="000000"/>
                <w:szCs w:val="20"/>
                <w:lang w:eastAsia="en-US"/>
              </w:rPr>
            </w:pPr>
            <w:r>
              <w:rPr>
                <w:rFonts w:cs="Arial"/>
                <w:color w:val="000000"/>
                <w:szCs w:val="20"/>
                <w:lang w:eastAsia="en-US"/>
              </w:rPr>
              <w:t xml:space="preserve">Na meziročním zhoršení bilance zahraničního obchodu se zbožím mělo v 1. pololetí největší podíl zhoršení výsledku obchodu s elektrickými zařízeními o 16,4 mld. korun a s koksem a rafinovanými ropnými produkty o 15,4 mld. Naproti tomu došlo ke zvýšení přebytku obchodu s motorovými vozidly o 6,9 mld. korun. Na meziročním zhoršení bilance v samotném 2. čtvrtletí se výrazně promítlo zvýšení cen ropy a souvisejících výrobků. To byl případ obchodu s koksem a rafinovanými ropnými produkty (viz Tabulka č. 7), ropou a zemním plynem nebo základními kovy. Stejně jako v 1. kvartálu ve směru zhoršení bilance výrazně působil obchod s elektrickými zařízeními a základními farmaceutickými výrobky a přípravky, u kterých se projevilo zvýšení dovozu. Ve směru meziročního zlepšení bilance působil ve 2. čtvrtletí hlavně obchod s motorovými vozidly, počítači, elektronickými a optickými přístroji a zařízeními, elektřinou, plynem, párou a klimatizovaným vzduchem nebo v oblasti sběru, likvidace a zpracování odpadu. </w:t>
            </w:r>
          </w:p>
        </w:tc>
      </w:tr>
      <w:bookmarkEnd w:id="4"/>
      <w:bookmarkEnd w:id="5"/>
      <w:bookmarkEnd w:id="6"/>
    </w:tbl>
    <w:p w14:paraId="7E6F4796" w14:textId="77777777" w:rsidR="006B1AFC" w:rsidRDefault="006B1AFC" w:rsidP="009324EF">
      <w:pPr>
        <w:spacing w:after="0" w:line="240" w:lineRule="auto"/>
        <w:jc w:val="left"/>
        <w:rPr>
          <w:rFonts w:eastAsia="MS Gothic"/>
          <w:bCs/>
          <w:color w:val="71818C"/>
          <w:sz w:val="2"/>
          <w:szCs w:val="2"/>
        </w:rPr>
      </w:pPr>
    </w:p>
    <w:p w14:paraId="0E1A34C4" w14:textId="77777777" w:rsidR="006B1AFC" w:rsidRPr="00C5418A" w:rsidRDefault="006B1AFC" w:rsidP="009324EF">
      <w:pPr>
        <w:spacing w:after="0" w:line="240" w:lineRule="auto"/>
        <w:jc w:val="left"/>
        <w:rPr>
          <w:rFonts w:eastAsia="MS Gothic"/>
          <w:b/>
          <w:bCs/>
          <w:color w:val="86BF5E"/>
          <w:sz w:val="32"/>
          <w:szCs w:val="28"/>
          <w:highlight w:val="yellow"/>
        </w:rPr>
      </w:pPr>
    </w:p>
    <w:bookmarkEnd w:id="0"/>
    <w:p w14:paraId="1E66ECA4" w14:textId="1B127544" w:rsidR="006B1AFC" w:rsidRDefault="006B1AFC" w:rsidP="009324EF">
      <w:pPr>
        <w:spacing w:after="0" w:line="240" w:lineRule="auto"/>
        <w:jc w:val="left"/>
        <w:rPr>
          <w:rFonts w:eastAsia="MS Gothic"/>
          <w:b/>
          <w:bCs/>
          <w:color w:val="86BF5E"/>
          <w:sz w:val="32"/>
          <w:szCs w:val="28"/>
        </w:rPr>
      </w:pPr>
    </w:p>
    <w:sectPr w:rsidR="006B1AFC" w:rsidSect="00EC7828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1134" w:right="1134" w:bottom="1418" w:left="1134" w:header="680" w:footer="680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7E0F9" w14:textId="77777777" w:rsidR="00185291" w:rsidRDefault="00185291" w:rsidP="00E71A58">
      <w:r>
        <w:separator/>
      </w:r>
    </w:p>
  </w:endnote>
  <w:endnote w:type="continuationSeparator" w:id="0">
    <w:p w14:paraId="217B4DF9" w14:textId="77777777" w:rsidR="00185291" w:rsidRDefault="00185291" w:rsidP="00E7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6754" w14:textId="006763FA" w:rsidR="00763B85" w:rsidRPr="00932443" w:rsidRDefault="00763B85" w:rsidP="00A418BC">
    <w:pPr>
      <w:pStyle w:val="Zpat"/>
      <w:rPr>
        <w:szCs w:val="16"/>
      </w:rPr>
    </w:pPr>
    <w:r w:rsidRPr="00932443">
      <w:rPr>
        <w:szCs w:val="16"/>
      </w:rPr>
      <w:fldChar w:fldCharType="begin"/>
    </w:r>
    <w:r w:rsidRPr="00932443">
      <w:rPr>
        <w:szCs w:val="16"/>
      </w:rPr>
      <w:instrText>PAGE   \* MERGEFORMAT</w:instrText>
    </w:r>
    <w:r w:rsidRPr="00932443">
      <w:rPr>
        <w:szCs w:val="16"/>
      </w:rPr>
      <w:fldChar w:fldCharType="separate"/>
    </w:r>
    <w:r w:rsidR="00C35666">
      <w:rPr>
        <w:szCs w:val="16"/>
      </w:rPr>
      <w:t>8</w:t>
    </w:r>
    <w:r w:rsidRPr="00932443">
      <w:rPr>
        <w:szCs w:val="16"/>
      </w:rPr>
      <w:fldChar w:fldCharType="end"/>
    </w:r>
    <w:r w:rsidRPr="00932443">
      <w:rPr>
        <w:szCs w:val="16"/>
      </w:rPr>
      <w:tab/>
    </w:r>
    <w:r w:rsidR="009203C8">
      <w:rPr>
        <w:szCs w:val="16"/>
      </w:rPr>
      <w:t>1. pololetí 2026</w:t>
    </w:r>
    <w:r w:rsidR="002B4121">
      <w:rPr>
        <w:szCs w:val="16"/>
      </w:rPr>
      <w:tab/>
      <w:t>ČSÚ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FA4F" w14:textId="6FEC4AAE" w:rsidR="00763B85" w:rsidRPr="00932443" w:rsidRDefault="002B4121" w:rsidP="00A418BC">
    <w:pPr>
      <w:pStyle w:val="Zpat"/>
      <w:rPr>
        <w:szCs w:val="16"/>
      </w:rPr>
    </w:pPr>
    <w:r>
      <w:rPr>
        <w:szCs w:val="16"/>
        <w:lang w:eastAsia="cs-CZ"/>
      </w:rPr>
      <w:t>ČSÚ</w:t>
    </w:r>
    <w:r w:rsidR="00763B85" w:rsidRPr="00932443">
      <w:rPr>
        <w:szCs w:val="16"/>
      </w:rPr>
      <w:tab/>
    </w:r>
    <w:r w:rsidR="009203C8">
      <w:rPr>
        <w:szCs w:val="16"/>
      </w:rPr>
      <w:t>1. pololetí 2026</w:t>
    </w:r>
    <w:r w:rsidR="00763B85" w:rsidRPr="00932443">
      <w:rPr>
        <w:szCs w:val="16"/>
      </w:rPr>
      <w:tab/>
    </w:r>
    <w:r w:rsidR="00763B85" w:rsidRPr="00932443">
      <w:rPr>
        <w:rStyle w:val="ZpatChar"/>
        <w:szCs w:val="16"/>
      </w:rPr>
      <w:fldChar w:fldCharType="begin"/>
    </w:r>
    <w:r w:rsidR="00763B85" w:rsidRPr="00932443">
      <w:rPr>
        <w:rStyle w:val="ZpatChar"/>
        <w:szCs w:val="16"/>
      </w:rPr>
      <w:instrText>PAGE   \* MERGEFORMAT</w:instrText>
    </w:r>
    <w:r w:rsidR="00763B85" w:rsidRPr="00932443">
      <w:rPr>
        <w:rStyle w:val="ZpatChar"/>
        <w:szCs w:val="16"/>
      </w:rPr>
      <w:fldChar w:fldCharType="separate"/>
    </w:r>
    <w:r w:rsidR="00C35666">
      <w:rPr>
        <w:rStyle w:val="ZpatChar"/>
        <w:szCs w:val="16"/>
      </w:rPr>
      <w:t>3</w:t>
    </w:r>
    <w:r w:rsidR="00763B85" w:rsidRPr="00932443">
      <w:rPr>
        <w:rStyle w:val="ZpatChar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B4FA7" w14:textId="77777777" w:rsidR="00185291" w:rsidRPr="00BB2F43" w:rsidRDefault="00185291" w:rsidP="00BB2F43">
      <w:pPr>
        <w:pStyle w:val="Zpat"/>
      </w:pPr>
      <w:r>
        <w:separator/>
      </w:r>
    </w:p>
  </w:footnote>
  <w:footnote w:type="continuationSeparator" w:id="0">
    <w:p w14:paraId="542A3BA8" w14:textId="77777777" w:rsidR="00185291" w:rsidRDefault="00185291" w:rsidP="00E71A58">
      <w:r>
        <w:continuationSeparator/>
      </w:r>
    </w:p>
  </w:footnote>
  <w:footnote w:id="1">
    <w:p w14:paraId="301902FD" w14:textId="77777777" w:rsidR="006B1AFC" w:rsidRPr="001F1881" w:rsidRDefault="006B1AFC" w:rsidP="009324EF">
      <w:pPr>
        <w:pStyle w:val="Textpoznpodarou"/>
        <w:rPr>
          <w:rFonts w:cs="Arial"/>
          <w:iCs/>
          <w:sz w:val="16"/>
          <w:szCs w:val="16"/>
        </w:rPr>
      </w:pPr>
      <w:r w:rsidRPr="00B6522D">
        <w:rPr>
          <w:rStyle w:val="Znakapoznpodarou"/>
          <w:rFonts w:cs="Arial"/>
          <w:i/>
          <w:sz w:val="16"/>
          <w:szCs w:val="16"/>
        </w:rPr>
        <w:footnoteRef/>
      </w:r>
      <w:r>
        <w:rPr>
          <w:sz w:val="16"/>
          <w:szCs w:val="16"/>
        </w:rPr>
        <w:t>Není-li uveden</w:t>
      </w:r>
      <w:r w:rsidRPr="00B6522D">
        <w:rPr>
          <w:sz w:val="16"/>
          <w:szCs w:val="16"/>
        </w:rPr>
        <w:t>o jinak, jsou všechny údaje</w:t>
      </w:r>
      <w:r w:rsidRPr="001F1881">
        <w:rPr>
          <w:sz w:val="16"/>
          <w:szCs w:val="16"/>
        </w:rPr>
        <w:t xml:space="preserve"> sezónně neočištěné a v běžných cenách.</w:t>
      </w:r>
    </w:p>
  </w:footnote>
  <w:footnote w:id="2">
    <w:p w14:paraId="4A946699" w14:textId="77777777" w:rsidR="006B1AFC" w:rsidRPr="007B30CA" w:rsidRDefault="006B1AFC" w:rsidP="009324EF">
      <w:pPr>
        <w:pStyle w:val="Textpoznpodarou"/>
        <w:rPr>
          <w:sz w:val="16"/>
          <w:szCs w:val="16"/>
        </w:rPr>
      </w:pPr>
      <w:r w:rsidRPr="00386FF1">
        <w:rPr>
          <w:rStyle w:val="Znakapoznpodarou"/>
          <w:sz w:val="16"/>
          <w:szCs w:val="16"/>
        </w:rPr>
        <w:footnoteRef/>
      </w:r>
      <w:r w:rsidRPr="00386FF1">
        <w:rPr>
          <w:sz w:val="16"/>
          <w:szCs w:val="16"/>
        </w:rPr>
        <w:t xml:space="preserve"> Ceny vývozu zboží za 2. čtvrtletí meziročně vzrostly o 0,7 % poté, co v 1. čtvrtletí meziročně klesly o 3,4 %. Mezičtvrtletně ceny vývozu vzrostly o 2,4 % (v 1. čtvrtletí o 0,8 %).</w:t>
      </w:r>
      <w:r>
        <w:rPr>
          <w:sz w:val="16"/>
          <w:szCs w:val="16"/>
        </w:rPr>
        <w:t xml:space="preserve"> Ve 2. čtvrtletí meziročně </w:t>
      </w:r>
      <w:r w:rsidRPr="006C51D2">
        <w:rPr>
          <w:sz w:val="16"/>
          <w:szCs w:val="16"/>
        </w:rPr>
        <w:t>vzrostly ceny koksu a rafinovaných ropných produktů o 43,2 %, elektřiny o 15,5 % a ceny</w:t>
      </w:r>
      <w:r>
        <w:rPr>
          <w:sz w:val="16"/>
          <w:szCs w:val="16"/>
        </w:rPr>
        <w:t xml:space="preserve"> </w:t>
      </w:r>
      <w:r w:rsidRPr="006C51D2">
        <w:rPr>
          <w:sz w:val="16"/>
          <w:szCs w:val="16"/>
        </w:rPr>
        <w:t>produktů lesnictví a těžby dřeva o 14,0 %</w:t>
      </w:r>
      <w:r>
        <w:rPr>
          <w:sz w:val="16"/>
          <w:szCs w:val="16"/>
        </w:rPr>
        <w:t>.</w:t>
      </w:r>
    </w:p>
  </w:footnote>
  <w:footnote w:id="3">
    <w:p w14:paraId="3A30C862" w14:textId="77777777" w:rsidR="006B1AFC" w:rsidRPr="00A057AB" w:rsidRDefault="006B1AFC" w:rsidP="009324EF">
      <w:pPr>
        <w:pStyle w:val="Textpoznpodarou"/>
        <w:rPr>
          <w:sz w:val="16"/>
          <w:szCs w:val="16"/>
        </w:rPr>
      </w:pPr>
      <w:r w:rsidRPr="00A057AB">
        <w:rPr>
          <w:rStyle w:val="Znakapoznpodarou"/>
          <w:sz w:val="16"/>
          <w:szCs w:val="16"/>
        </w:rPr>
        <w:footnoteRef/>
      </w:r>
      <w:r w:rsidRPr="00A057AB">
        <w:rPr>
          <w:sz w:val="16"/>
          <w:szCs w:val="16"/>
        </w:rPr>
        <w:t xml:space="preserve"> </w:t>
      </w:r>
      <w:r>
        <w:rPr>
          <w:sz w:val="16"/>
          <w:szCs w:val="16"/>
        </w:rPr>
        <w:t>R</w:t>
      </w:r>
      <w:r w:rsidRPr="00A057AB">
        <w:rPr>
          <w:sz w:val="16"/>
          <w:szCs w:val="16"/>
        </w:rPr>
        <w:t xml:space="preserve">ostla </w:t>
      </w:r>
      <w:r>
        <w:rPr>
          <w:sz w:val="16"/>
          <w:szCs w:val="16"/>
        </w:rPr>
        <w:t xml:space="preserve">zejména </w:t>
      </w:r>
      <w:r w:rsidRPr="00A057AB">
        <w:rPr>
          <w:sz w:val="16"/>
          <w:szCs w:val="16"/>
        </w:rPr>
        <w:t>hodnota exportu elektřiny a motorových vozidel.</w:t>
      </w:r>
    </w:p>
  </w:footnote>
  <w:footnote w:id="4">
    <w:p w14:paraId="7C843868" w14:textId="77777777" w:rsidR="006B1AFC" w:rsidRPr="00797C9C" w:rsidRDefault="006B1AFC" w:rsidP="009324EF">
      <w:pPr>
        <w:pStyle w:val="Textpoznpodarou"/>
        <w:rPr>
          <w:sz w:val="16"/>
          <w:szCs w:val="16"/>
        </w:rPr>
      </w:pPr>
      <w:r w:rsidRPr="00797C9C">
        <w:rPr>
          <w:rStyle w:val="Znakapoznpodarou"/>
          <w:sz w:val="16"/>
          <w:szCs w:val="16"/>
        </w:rPr>
        <w:footnoteRef/>
      </w:r>
      <w:r w:rsidRPr="00797C9C">
        <w:rPr>
          <w:sz w:val="16"/>
          <w:szCs w:val="16"/>
        </w:rPr>
        <w:t xml:space="preserve"> </w:t>
      </w:r>
      <w:r>
        <w:rPr>
          <w:sz w:val="16"/>
          <w:szCs w:val="16"/>
        </w:rPr>
        <w:t>Většina z pololetního navýšení připadla na 2. čtvrtletí. Posílil zde hlavně vývoz motorových vozidel, elektrických zařízení nebo strojů a zařízení.</w:t>
      </w:r>
    </w:p>
  </w:footnote>
  <w:footnote w:id="5">
    <w:p w14:paraId="7774E1B1" w14:textId="77777777" w:rsidR="006B1AFC" w:rsidRPr="00146057" w:rsidRDefault="006B1AFC" w:rsidP="009324EF">
      <w:pPr>
        <w:pStyle w:val="Textpoznpodarou"/>
        <w:rPr>
          <w:sz w:val="16"/>
          <w:szCs w:val="16"/>
        </w:rPr>
      </w:pPr>
      <w:r w:rsidRPr="00146057">
        <w:rPr>
          <w:rStyle w:val="Znakapoznpodarou"/>
          <w:sz w:val="16"/>
          <w:szCs w:val="16"/>
        </w:rPr>
        <w:footnoteRef/>
      </w:r>
      <w:r w:rsidRPr="0014605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Většina z poklesu proběhla už v 1. čtvrtletí, kdy plošně klesl vývoz </w:t>
      </w:r>
      <w:r w:rsidRPr="00146057">
        <w:rPr>
          <w:sz w:val="16"/>
          <w:szCs w:val="16"/>
        </w:rPr>
        <w:t xml:space="preserve">napříč celou klasifikací produkce. </w:t>
      </w:r>
      <w:r>
        <w:rPr>
          <w:sz w:val="16"/>
          <w:szCs w:val="16"/>
        </w:rPr>
        <w:t xml:space="preserve">Ve 2. čtvrtletí se udržel největší propad u </w:t>
      </w:r>
      <w:r w:rsidRPr="00146057">
        <w:rPr>
          <w:sz w:val="16"/>
          <w:szCs w:val="16"/>
        </w:rPr>
        <w:t>počítačů, elektronických a optických přístrojů a zařízení</w:t>
      </w:r>
      <w:r>
        <w:rPr>
          <w:sz w:val="16"/>
          <w:szCs w:val="16"/>
        </w:rPr>
        <w:t xml:space="preserve"> a</w:t>
      </w:r>
      <w:r w:rsidRPr="00146057">
        <w:rPr>
          <w:sz w:val="16"/>
          <w:szCs w:val="16"/>
        </w:rPr>
        <w:t xml:space="preserve"> ostatních dopravních prostředků.</w:t>
      </w:r>
    </w:p>
  </w:footnote>
  <w:footnote w:id="6">
    <w:p w14:paraId="5A034380" w14:textId="77777777" w:rsidR="006B1AFC" w:rsidRPr="00E86C64" w:rsidRDefault="006B1AFC" w:rsidP="009324EF">
      <w:pPr>
        <w:pStyle w:val="Textpoznpodarou"/>
        <w:rPr>
          <w:sz w:val="16"/>
          <w:szCs w:val="16"/>
        </w:rPr>
      </w:pPr>
      <w:r w:rsidRPr="00E86C64">
        <w:rPr>
          <w:rStyle w:val="Znakapoznpodarou"/>
          <w:sz w:val="16"/>
          <w:szCs w:val="16"/>
        </w:rPr>
        <w:footnoteRef/>
      </w:r>
      <w:r w:rsidRPr="00E86C64">
        <w:rPr>
          <w:sz w:val="16"/>
          <w:szCs w:val="16"/>
        </w:rPr>
        <w:t xml:space="preserve"> Přestal klesat vývoz elektřiny a elektrických zařízení.</w:t>
      </w:r>
    </w:p>
  </w:footnote>
  <w:footnote w:id="7">
    <w:p w14:paraId="4A417D9C" w14:textId="77777777" w:rsidR="006B1AFC" w:rsidRPr="000A5229" w:rsidRDefault="006B1AFC" w:rsidP="009324EF">
      <w:pPr>
        <w:pStyle w:val="Textpoznpodarou"/>
        <w:rPr>
          <w:sz w:val="16"/>
          <w:szCs w:val="16"/>
        </w:rPr>
      </w:pPr>
      <w:r w:rsidRPr="00880676">
        <w:rPr>
          <w:rStyle w:val="Znakapoznpodarou"/>
          <w:sz w:val="16"/>
          <w:szCs w:val="16"/>
        </w:rPr>
        <w:footnoteRef/>
      </w:r>
      <w:r w:rsidRPr="00880676">
        <w:rPr>
          <w:sz w:val="16"/>
          <w:szCs w:val="16"/>
        </w:rPr>
        <w:t xml:space="preserve"> Ceny dovozu</w:t>
      </w:r>
      <w:r>
        <w:rPr>
          <w:sz w:val="16"/>
          <w:szCs w:val="16"/>
        </w:rPr>
        <w:t xml:space="preserve"> ve 2. čtvrtletí meziročně vzrostly o 2,8 % (v 1. čtvrtletí meziročně klesly o 4,4 %). Mezičtvrtletně byly ceny dovozu ve 2. kvartálu vyšší o 4,7 % (v 1. čtvrtletí rostly o 1,0 %). </w:t>
      </w:r>
      <w:r w:rsidRPr="000A3F70">
        <w:rPr>
          <w:sz w:val="16"/>
          <w:szCs w:val="16"/>
        </w:rPr>
        <w:t xml:space="preserve">Nejvýrazněji se zvýšily ceny koksu a rafinovaných ropných produktů o 59,9 %, </w:t>
      </w:r>
      <w:r>
        <w:rPr>
          <w:sz w:val="16"/>
          <w:szCs w:val="16"/>
        </w:rPr>
        <w:t>e</w:t>
      </w:r>
      <w:r w:rsidRPr="000A3F70">
        <w:rPr>
          <w:sz w:val="16"/>
          <w:szCs w:val="16"/>
        </w:rPr>
        <w:t xml:space="preserve">lektřiny o 27,9 % </w:t>
      </w:r>
      <w:r>
        <w:rPr>
          <w:sz w:val="16"/>
          <w:szCs w:val="16"/>
        </w:rPr>
        <w:t>a</w:t>
      </w:r>
      <w:r w:rsidRPr="000A3F70">
        <w:rPr>
          <w:sz w:val="16"/>
          <w:szCs w:val="16"/>
        </w:rPr>
        <w:t xml:space="preserve"> ceny ropy a zemního plynu o 25,7 %.</w:t>
      </w:r>
    </w:p>
  </w:footnote>
  <w:footnote w:id="8">
    <w:p w14:paraId="4D7CAA07" w14:textId="77777777" w:rsidR="006B1AFC" w:rsidRPr="0001750A" w:rsidRDefault="006B1AFC" w:rsidP="009324EF">
      <w:pPr>
        <w:pStyle w:val="Textpoznpodarou"/>
        <w:rPr>
          <w:sz w:val="16"/>
          <w:szCs w:val="16"/>
        </w:rPr>
      </w:pPr>
      <w:r w:rsidRPr="0001750A">
        <w:rPr>
          <w:rStyle w:val="Znakapoznpodarou"/>
          <w:sz w:val="16"/>
          <w:szCs w:val="16"/>
        </w:rPr>
        <w:footnoteRef/>
      </w:r>
      <w:r w:rsidRPr="0001750A">
        <w:rPr>
          <w:sz w:val="16"/>
          <w:szCs w:val="16"/>
        </w:rPr>
        <w:t xml:space="preserve"> Výrazné oživení dovozu z Německa bylo soustředěno hlavně do 2. kvartálu. Posílil zejména dovoz koksu a rafinovaných ropných produktů, </w:t>
      </w:r>
      <w:r>
        <w:rPr>
          <w:sz w:val="16"/>
          <w:szCs w:val="16"/>
        </w:rPr>
        <w:t xml:space="preserve">kovodělných výrobků, chemických látek a produktů, strojů a zařízení a elektrických zařízení. </w:t>
      </w:r>
    </w:p>
  </w:footnote>
  <w:footnote w:id="9">
    <w:p w14:paraId="4293BF03" w14:textId="77777777" w:rsidR="006B1AFC" w:rsidRPr="0001314F" w:rsidRDefault="006B1AFC" w:rsidP="009324EF">
      <w:pPr>
        <w:pStyle w:val="Textpoznpodarou"/>
        <w:rPr>
          <w:sz w:val="16"/>
          <w:szCs w:val="16"/>
        </w:rPr>
      </w:pPr>
      <w:r w:rsidRPr="0001314F">
        <w:rPr>
          <w:rStyle w:val="Znakapoznpodarou"/>
          <w:sz w:val="16"/>
          <w:szCs w:val="16"/>
        </w:rPr>
        <w:footnoteRef/>
      </w:r>
      <w:r w:rsidRPr="0001314F">
        <w:rPr>
          <w:sz w:val="16"/>
          <w:szCs w:val="16"/>
        </w:rPr>
        <w:t xml:space="preserve"> </w:t>
      </w:r>
      <w:r>
        <w:rPr>
          <w:sz w:val="16"/>
          <w:szCs w:val="16"/>
        </w:rPr>
        <w:t>Navýšil se zde zejména dovoz u položky p</w:t>
      </w:r>
      <w:r w:rsidRPr="0001314F">
        <w:rPr>
          <w:sz w:val="16"/>
          <w:szCs w:val="16"/>
        </w:rPr>
        <w:t>očítače, elektronické a optické přístroje a zařízení.</w:t>
      </w:r>
      <w:r>
        <w:rPr>
          <w:sz w:val="16"/>
          <w:szCs w:val="16"/>
        </w:rPr>
        <w:t xml:space="preserve"> Ze stejného důvodu posílil ve 2. čtvrtletí také dovoz z Malajsie.</w:t>
      </w:r>
    </w:p>
  </w:footnote>
  <w:footnote w:id="10">
    <w:p w14:paraId="3913A238" w14:textId="77777777" w:rsidR="006B1AFC" w:rsidRPr="0052427E" w:rsidRDefault="006B1AFC" w:rsidP="009324EF">
      <w:pPr>
        <w:pStyle w:val="Textpoznpodarou"/>
        <w:rPr>
          <w:sz w:val="16"/>
          <w:szCs w:val="16"/>
        </w:rPr>
      </w:pPr>
      <w:r w:rsidRPr="0052427E">
        <w:rPr>
          <w:rStyle w:val="Znakapoznpodarou"/>
          <w:sz w:val="16"/>
          <w:szCs w:val="16"/>
        </w:rPr>
        <w:footnoteRef/>
      </w:r>
      <w:r w:rsidRPr="0052427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Většina z poklesu za 1. pololetí se odehrála v 1. čtvrtletí. Dovoz z Ruska už během loňského roku klesl na jednotky mld. Kč, když se </w:t>
      </w:r>
      <w:r w:rsidRPr="0052427E">
        <w:rPr>
          <w:sz w:val="16"/>
          <w:szCs w:val="16"/>
        </w:rPr>
        <w:t xml:space="preserve">projevilo </w:t>
      </w:r>
      <w:r>
        <w:rPr>
          <w:sz w:val="16"/>
          <w:szCs w:val="16"/>
        </w:rPr>
        <w:t xml:space="preserve">značné </w:t>
      </w:r>
      <w:r w:rsidRPr="0052427E">
        <w:rPr>
          <w:sz w:val="16"/>
          <w:szCs w:val="16"/>
        </w:rPr>
        <w:t>omezení dovozu ropy prostřednictvím ropovodu Družba.</w:t>
      </w:r>
      <w:r>
        <w:rPr>
          <w:sz w:val="16"/>
          <w:szCs w:val="16"/>
        </w:rPr>
        <w:t xml:space="preserve"> Hodnot nad 1 mld. korun za kvartál dosahuje aktuálně jen dovoz chemických látek a přípravků a základních kovů.</w:t>
      </w:r>
    </w:p>
  </w:footnote>
  <w:footnote w:id="11">
    <w:p w14:paraId="414306CD" w14:textId="77777777" w:rsidR="006B1AFC" w:rsidRPr="001B3719" w:rsidRDefault="006B1AFC" w:rsidP="009324EF">
      <w:pPr>
        <w:pStyle w:val="Textpoznpodarou"/>
        <w:rPr>
          <w:sz w:val="16"/>
          <w:szCs w:val="16"/>
        </w:rPr>
      </w:pPr>
      <w:r w:rsidRPr="001B3719">
        <w:rPr>
          <w:rStyle w:val="Znakapoznpodarou"/>
          <w:sz w:val="16"/>
          <w:szCs w:val="16"/>
        </w:rPr>
        <w:footnoteRef/>
      </w:r>
      <w:r w:rsidRPr="001B3719">
        <w:rPr>
          <w:sz w:val="16"/>
          <w:szCs w:val="16"/>
        </w:rPr>
        <w:t xml:space="preserve"> Na </w:t>
      </w:r>
      <w:r>
        <w:rPr>
          <w:sz w:val="16"/>
          <w:szCs w:val="16"/>
        </w:rPr>
        <w:t>posílení růstu</w:t>
      </w:r>
      <w:r w:rsidRPr="001B3719">
        <w:rPr>
          <w:sz w:val="16"/>
          <w:szCs w:val="16"/>
        </w:rPr>
        <w:t xml:space="preserve"> se projevilo 2mld. navýšení dovozu ropy a zemního plynu</w:t>
      </w:r>
      <w:r>
        <w:rPr>
          <w:sz w:val="16"/>
          <w:szCs w:val="16"/>
        </w:rPr>
        <w:t>, vyšší dovoz počítačů, elektronických a optických přístrojů nebo ostatních dopravních prostředků a zařízení</w:t>
      </w:r>
      <w:r w:rsidRPr="001B3719">
        <w:rPr>
          <w:sz w:val="16"/>
          <w:szCs w:val="16"/>
        </w:rPr>
        <w:t>.</w:t>
      </w:r>
    </w:p>
  </w:footnote>
  <w:footnote w:id="12">
    <w:p w14:paraId="4368B2C0" w14:textId="77777777" w:rsidR="006B1AFC" w:rsidRPr="009E239A" w:rsidRDefault="006B1AFC" w:rsidP="009324EF">
      <w:pPr>
        <w:pStyle w:val="Textpoznpodarou"/>
        <w:rPr>
          <w:sz w:val="16"/>
          <w:szCs w:val="16"/>
        </w:rPr>
      </w:pPr>
      <w:r w:rsidRPr="009E239A">
        <w:rPr>
          <w:rStyle w:val="Znakapoznpodarou"/>
          <w:sz w:val="16"/>
          <w:szCs w:val="16"/>
        </w:rPr>
        <w:footnoteRef/>
      </w:r>
      <w:r w:rsidRPr="009E239A">
        <w:rPr>
          <w:sz w:val="16"/>
          <w:szCs w:val="16"/>
        </w:rPr>
        <w:t xml:space="preserve"> Vyšší byl hlavně dovoz farmaceutických výrobků a přípravků.</w:t>
      </w:r>
    </w:p>
  </w:footnote>
  <w:footnote w:id="13">
    <w:p w14:paraId="229E4625" w14:textId="77777777" w:rsidR="006B1AFC" w:rsidRPr="00D84C29" w:rsidRDefault="006B1AFC" w:rsidP="009324EF">
      <w:pPr>
        <w:pStyle w:val="Textpoznpodarou"/>
        <w:rPr>
          <w:sz w:val="16"/>
          <w:szCs w:val="16"/>
        </w:rPr>
      </w:pPr>
      <w:r w:rsidRPr="00D84C29">
        <w:rPr>
          <w:rStyle w:val="Znakapoznpodarou"/>
          <w:sz w:val="16"/>
          <w:szCs w:val="16"/>
        </w:rPr>
        <w:footnoteRef/>
      </w:r>
      <w:r w:rsidRPr="00D84C29">
        <w:rPr>
          <w:sz w:val="16"/>
          <w:szCs w:val="16"/>
        </w:rPr>
        <w:t xml:space="preserve"> U této položky šlo o největší zaznamenaný přírůstek za první polovinu roku. Výrazné vzedmutí je spojeno</w:t>
      </w:r>
      <w:r>
        <w:rPr>
          <w:sz w:val="16"/>
          <w:szCs w:val="16"/>
        </w:rPr>
        <w:t xml:space="preserve"> s</w:t>
      </w:r>
      <w:r w:rsidRPr="00D84C29">
        <w:rPr>
          <w:sz w:val="16"/>
          <w:szCs w:val="16"/>
        </w:rPr>
        <w:t> importem součástek pro výrobce operující na českém území</w:t>
      </w:r>
      <w:r>
        <w:rPr>
          <w:sz w:val="16"/>
          <w:szCs w:val="16"/>
        </w:rPr>
        <w:t xml:space="preserve"> – produkce počítačů, elektronických a optických přístrojů a zařízení v 1. a 2. čtvrtletí vzrostla postupně meziročně o 3,6 % a 13,1 %. Výrazné zastoupení v nárůstu dovozu mají mimo jiné paměťové jednotky a zařízení pro automatizované zpracování dat.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9EBB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BA682" w14:textId="77777777" w:rsidR="00763B85" w:rsidRPr="006F5416" w:rsidRDefault="00763B85" w:rsidP="00937AE2">
    <w:pPr>
      <w:pStyle w:val="Zhlav"/>
    </w:pPr>
    <w:r w:rsidRPr="006F5416">
      <w:t>Název publikace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FAAF"/>
      </v:shape>
    </w:pict>
  </w:numPicBullet>
  <w:abstractNum w:abstractNumId="0" w15:restartNumberingAfterBreak="0">
    <w:nsid w:val="FFFFFF7C"/>
    <w:multiLevelType w:val="singleLevel"/>
    <w:tmpl w:val="49CEEC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EC69A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7A1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B762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965B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DE27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7AED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8C5B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C8EE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8AD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C5946"/>
    <w:multiLevelType w:val="hybridMultilevel"/>
    <w:tmpl w:val="4C1C2D78"/>
    <w:lvl w:ilvl="0" w:tplc="B01A5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95764B"/>
    <w:multiLevelType w:val="hybridMultilevel"/>
    <w:tmpl w:val="84788BC8"/>
    <w:lvl w:ilvl="0" w:tplc="1B96A2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D55121"/>
    <w:multiLevelType w:val="hybridMultilevel"/>
    <w:tmpl w:val="338E27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D361065"/>
    <w:multiLevelType w:val="hybridMultilevel"/>
    <w:tmpl w:val="991072C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E145AAD"/>
    <w:multiLevelType w:val="hybridMultilevel"/>
    <w:tmpl w:val="963044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35353"/>
    <w:multiLevelType w:val="multilevel"/>
    <w:tmpl w:val="1C0E9EAE"/>
    <w:name w:val="Analyza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1E462C8E"/>
    <w:multiLevelType w:val="hybridMultilevel"/>
    <w:tmpl w:val="84B464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C64F20"/>
    <w:multiLevelType w:val="hybridMultilevel"/>
    <w:tmpl w:val="ADE25A6C"/>
    <w:lvl w:ilvl="0" w:tplc="04050001">
      <w:start w:val="1"/>
      <w:numFmt w:val="bullet"/>
      <w:lvlText w:val=""/>
      <w:lvlJc w:val="left"/>
      <w:pPr>
        <w:ind w:left="363" w:hanging="36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8473A1"/>
    <w:multiLevelType w:val="hybridMultilevel"/>
    <w:tmpl w:val="7984410C"/>
    <w:lvl w:ilvl="0" w:tplc="37120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2333"/>
    <w:multiLevelType w:val="multilevel"/>
    <w:tmpl w:val="D0ACFA4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28DA62F8"/>
    <w:multiLevelType w:val="hybridMultilevel"/>
    <w:tmpl w:val="419C87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5A7A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C2420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2D106EA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11355C0"/>
    <w:multiLevelType w:val="multilevel"/>
    <w:tmpl w:val="697E8B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39914012"/>
    <w:multiLevelType w:val="multilevel"/>
    <w:tmpl w:val="F380FB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C1667"/>
    <w:multiLevelType w:val="hybridMultilevel"/>
    <w:tmpl w:val="735E7570"/>
    <w:lvl w:ilvl="0" w:tplc="5588AF8E">
      <w:start w:val="1"/>
      <w:numFmt w:val="decimal"/>
      <w:lvlText w:val="%1."/>
      <w:lvlJc w:val="left"/>
      <w:pPr>
        <w:ind w:left="4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520" w:hanging="360"/>
      </w:pPr>
    </w:lvl>
    <w:lvl w:ilvl="2" w:tplc="0405001B" w:tentative="1">
      <w:start w:val="1"/>
      <w:numFmt w:val="lowerRoman"/>
      <w:lvlText w:val="%3."/>
      <w:lvlJc w:val="right"/>
      <w:pPr>
        <w:ind w:left="6240" w:hanging="180"/>
      </w:pPr>
    </w:lvl>
    <w:lvl w:ilvl="3" w:tplc="0405000F" w:tentative="1">
      <w:start w:val="1"/>
      <w:numFmt w:val="decimal"/>
      <w:lvlText w:val="%4."/>
      <w:lvlJc w:val="left"/>
      <w:pPr>
        <w:ind w:left="6960" w:hanging="360"/>
      </w:pPr>
    </w:lvl>
    <w:lvl w:ilvl="4" w:tplc="04050019" w:tentative="1">
      <w:start w:val="1"/>
      <w:numFmt w:val="lowerLetter"/>
      <w:lvlText w:val="%5."/>
      <w:lvlJc w:val="left"/>
      <w:pPr>
        <w:ind w:left="7680" w:hanging="360"/>
      </w:pPr>
    </w:lvl>
    <w:lvl w:ilvl="5" w:tplc="0405001B" w:tentative="1">
      <w:start w:val="1"/>
      <w:numFmt w:val="lowerRoman"/>
      <w:lvlText w:val="%6."/>
      <w:lvlJc w:val="right"/>
      <w:pPr>
        <w:ind w:left="8400" w:hanging="180"/>
      </w:pPr>
    </w:lvl>
    <w:lvl w:ilvl="6" w:tplc="0405000F" w:tentative="1">
      <w:start w:val="1"/>
      <w:numFmt w:val="decimal"/>
      <w:lvlText w:val="%7."/>
      <w:lvlJc w:val="left"/>
      <w:pPr>
        <w:ind w:left="9120" w:hanging="360"/>
      </w:pPr>
    </w:lvl>
    <w:lvl w:ilvl="7" w:tplc="04050019" w:tentative="1">
      <w:start w:val="1"/>
      <w:numFmt w:val="lowerLetter"/>
      <w:lvlText w:val="%8."/>
      <w:lvlJc w:val="left"/>
      <w:pPr>
        <w:ind w:left="9840" w:hanging="360"/>
      </w:pPr>
    </w:lvl>
    <w:lvl w:ilvl="8" w:tplc="0405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27" w15:restartNumberingAfterBreak="0">
    <w:nsid w:val="3D4D0562"/>
    <w:multiLevelType w:val="hybridMultilevel"/>
    <w:tmpl w:val="E8A8F2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B1D16"/>
    <w:multiLevelType w:val="hybridMultilevel"/>
    <w:tmpl w:val="CA440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558D6"/>
    <w:multiLevelType w:val="hybridMultilevel"/>
    <w:tmpl w:val="1B90B8E0"/>
    <w:lvl w:ilvl="0" w:tplc="4B66ED1E">
      <w:start w:val="1"/>
      <w:numFmt w:val="decimal"/>
      <w:lvlText w:val="%1."/>
      <w:lvlJc w:val="left"/>
      <w:pPr>
        <w:ind w:left="4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625" w:hanging="360"/>
      </w:pPr>
    </w:lvl>
    <w:lvl w:ilvl="2" w:tplc="0405001B" w:tentative="1">
      <w:start w:val="1"/>
      <w:numFmt w:val="lowerRoman"/>
      <w:lvlText w:val="%3."/>
      <w:lvlJc w:val="right"/>
      <w:pPr>
        <w:ind w:left="6345" w:hanging="180"/>
      </w:pPr>
    </w:lvl>
    <w:lvl w:ilvl="3" w:tplc="0405000F" w:tentative="1">
      <w:start w:val="1"/>
      <w:numFmt w:val="decimal"/>
      <w:lvlText w:val="%4."/>
      <w:lvlJc w:val="left"/>
      <w:pPr>
        <w:ind w:left="7065" w:hanging="360"/>
      </w:pPr>
    </w:lvl>
    <w:lvl w:ilvl="4" w:tplc="04050019" w:tentative="1">
      <w:start w:val="1"/>
      <w:numFmt w:val="lowerLetter"/>
      <w:lvlText w:val="%5."/>
      <w:lvlJc w:val="left"/>
      <w:pPr>
        <w:ind w:left="7785" w:hanging="360"/>
      </w:pPr>
    </w:lvl>
    <w:lvl w:ilvl="5" w:tplc="0405001B" w:tentative="1">
      <w:start w:val="1"/>
      <w:numFmt w:val="lowerRoman"/>
      <w:lvlText w:val="%6."/>
      <w:lvlJc w:val="right"/>
      <w:pPr>
        <w:ind w:left="8505" w:hanging="180"/>
      </w:pPr>
    </w:lvl>
    <w:lvl w:ilvl="6" w:tplc="0405000F" w:tentative="1">
      <w:start w:val="1"/>
      <w:numFmt w:val="decimal"/>
      <w:lvlText w:val="%7."/>
      <w:lvlJc w:val="left"/>
      <w:pPr>
        <w:ind w:left="9225" w:hanging="360"/>
      </w:pPr>
    </w:lvl>
    <w:lvl w:ilvl="7" w:tplc="04050019" w:tentative="1">
      <w:start w:val="1"/>
      <w:numFmt w:val="lowerLetter"/>
      <w:lvlText w:val="%8."/>
      <w:lvlJc w:val="left"/>
      <w:pPr>
        <w:ind w:left="9945" w:hanging="360"/>
      </w:pPr>
    </w:lvl>
    <w:lvl w:ilvl="8" w:tplc="0405001B" w:tentative="1">
      <w:start w:val="1"/>
      <w:numFmt w:val="lowerRoman"/>
      <w:lvlText w:val="%9."/>
      <w:lvlJc w:val="right"/>
      <w:pPr>
        <w:ind w:left="10665" w:hanging="180"/>
      </w:pPr>
    </w:lvl>
  </w:abstractNum>
  <w:abstractNum w:abstractNumId="30" w15:restartNumberingAfterBreak="0">
    <w:nsid w:val="479678F7"/>
    <w:multiLevelType w:val="hybridMultilevel"/>
    <w:tmpl w:val="A4DE7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384A27"/>
    <w:multiLevelType w:val="hybridMultilevel"/>
    <w:tmpl w:val="105050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5051A8"/>
    <w:multiLevelType w:val="hybridMultilevel"/>
    <w:tmpl w:val="DEACE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DA4287"/>
    <w:multiLevelType w:val="multilevel"/>
    <w:tmpl w:val="1C0E9EAE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4C581760"/>
    <w:multiLevelType w:val="hybridMultilevel"/>
    <w:tmpl w:val="CFEE97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90F3B"/>
    <w:multiLevelType w:val="hybridMultilevel"/>
    <w:tmpl w:val="D64CB604"/>
    <w:lvl w:ilvl="0" w:tplc="67AC8A1C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655F88"/>
    <w:multiLevelType w:val="hybridMultilevel"/>
    <w:tmpl w:val="70283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567A6"/>
    <w:multiLevelType w:val="hybridMultilevel"/>
    <w:tmpl w:val="50E0FC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8CB210F"/>
    <w:multiLevelType w:val="multilevel"/>
    <w:tmpl w:val="D64CB604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D405E1"/>
    <w:multiLevelType w:val="multilevel"/>
    <w:tmpl w:val="5FCA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EF3AA7"/>
    <w:multiLevelType w:val="multilevel"/>
    <w:tmpl w:val="9092D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B048D2"/>
    <w:multiLevelType w:val="hybridMultilevel"/>
    <w:tmpl w:val="D2A0FC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235D04"/>
    <w:multiLevelType w:val="hybridMultilevel"/>
    <w:tmpl w:val="26840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7747AF"/>
    <w:multiLevelType w:val="hybridMultilevel"/>
    <w:tmpl w:val="76204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651B2D"/>
    <w:multiLevelType w:val="hybridMultilevel"/>
    <w:tmpl w:val="4C1C2D78"/>
    <w:lvl w:ilvl="0" w:tplc="B01A5632">
      <w:start w:val="1"/>
      <w:numFmt w:val="bullet"/>
      <w:pStyle w:val="Normal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DA7946"/>
    <w:multiLevelType w:val="multilevel"/>
    <w:tmpl w:val="6F3E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8E301A"/>
    <w:multiLevelType w:val="hybridMultilevel"/>
    <w:tmpl w:val="1A92D7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0647203">
    <w:abstractNumId w:val="31"/>
  </w:num>
  <w:num w:numId="2" w16cid:durableId="2108306025">
    <w:abstractNumId w:val="8"/>
  </w:num>
  <w:num w:numId="3" w16cid:durableId="1851791032">
    <w:abstractNumId w:val="3"/>
  </w:num>
  <w:num w:numId="4" w16cid:durableId="1418281433">
    <w:abstractNumId w:val="2"/>
  </w:num>
  <w:num w:numId="5" w16cid:durableId="1057360773">
    <w:abstractNumId w:val="1"/>
  </w:num>
  <w:num w:numId="6" w16cid:durableId="917859753">
    <w:abstractNumId w:val="0"/>
  </w:num>
  <w:num w:numId="7" w16cid:durableId="1884097028">
    <w:abstractNumId w:val="9"/>
  </w:num>
  <w:num w:numId="8" w16cid:durableId="824902319">
    <w:abstractNumId w:val="7"/>
  </w:num>
  <w:num w:numId="9" w16cid:durableId="1803766138">
    <w:abstractNumId w:val="6"/>
  </w:num>
  <w:num w:numId="10" w16cid:durableId="566259340">
    <w:abstractNumId w:val="5"/>
  </w:num>
  <w:num w:numId="11" w16cid:durableId="52774508">
    <w:abstractNumId w:val="4"/>
  </w:num>
  <w:num w:numId="12" w16cid:durableId="1533685237">
    <w:abstractNumId w:val="18"/>
  </w:num>
  <w:num w:numId="13" w16cid:durableId="195428688">
    <w:abstractNumId w:val="34"/>
  </w:num>
  <w:num w:numId="14" w16cid:durableId="1684941278">
    <w:abstractNumId w:val="15"/>
  </w:num>
  <w:num w:numId="15" w16cid:durableId="1238784906">
    <w:abstractNumId w:val="24"/>
  </w:num>
  <w:num w:numId="16" w16cid:durableId="2045134713">
    <w:abstractNumId w:val="19"/>
  </w:num>
  <w:num w:numId="17" w16cid:durableId="1458451516">
    <w:abstractNumId w:val="35"/>
  </w:num>
  <w:num w:numId="18" w16cid:durableId="849877926">
    <w:abstractNumId w:val="25"/>
  </w:num>
  <w:num w:numId="19" w16cid:durableId="1118066606">
    <w:abstractNumId w:val="38"/>
  </w:num>
  <w:num w:numId="20" w16cid:durableId="508564300">
    <w:abstractNumId w:val="44"/>
  </w:num>
  <w:num w:numId="21" w16cid:durableId="316148911">
    <w:abstractNumId w:val="33"/>
  </w:num>
  <w:num w:numId="22" w16cid:durableId="360010707">
    <w:abstractNumId w:val="23"/>
  </w:num>
  <w:num w:numId="23" w16cid:durableId="999309269">
    <w:abstractNumId w:val="21"/>
  </w:num>
  <w:num w:numId="24" w16cid:durableId="1194266313">
    <w:abstractNumId w:val="22"/>
  </w:num>
  <w:num w:numId="25" w16cid:durableId="1815366340">
    <w:abstractNumId w:val="41"/>
  </w:num>
  <w:num w:numId="26" w16cid:durableId="1577863405">
    <w:abstractNumId w:val="43"/>
  </w:num>
  <w:num w:numId="27" w16cid:durableId="1207061094">
    <w:abstractNumId w:val="13"/>
  </w:num>
  <w:num w:numId="28" w16cid:durableId="1693920833">
    <w:abstractNumId w:val="27"/>
  </w:num>
  <w:num w:numId="29" w16cid:durableId="1876775477">
    <w:abstractNumId w:val="26"/>
  </w:num>
  <w:num w:numId="30" w16cid:durableId="179972127">
    <w:abstractNumId w:val="10"/>
  </w:num>
  <w:num w:numId="31" w16cid:durableId="970136012">
    <w:abstractNumId w:val="28"/>
  </w:num>
  <w:num w:numId="32" w16cid:durableId="1617836376">
    <w:abstractNumId w:val="12"/>
  </w:num>
  <w:num w:numId="33" w16cid:durableId="357007340">
    <w:abstractNumId w:val="46"/>
  </w:num>
  <w:num w:numId="34" w16cid:durableId="2131776467">
    <w:abstractNumId w:val="11"/>
  </w:num>
  <w:num w:numId="35" w16cid:durableId="1776095800">
    <w:abstractNumId w:val="37"/>
  </w:num>
  <w:num w:numId="36" w16cid:durableId="862209000">
    <w:abstractNumId w:val="30"/>
  </w:num>
  <w:num w:numId="37" w16cid:durableId="322010878">
    <w:abstractNumId w:val="29"/>
  </w:num>
  <w:num w:numId="38" w16cid:durableId="1458373311">
    <w:abstractNumId w:val="39"/>
  </w:num>
  <w:num w:numId="39" w16cid:durableId="288441997">
    <w:abstractNumId w:val="45"/>
  </w:num>
  <w:num w:numId="40" w16cid:durableId="952595072">
    <w:abstractNumId w:val="40"/>
  </w:num>
  <w:num w:numId="41" w16cid:durableId="1427652868">
    <w:abstractNumId w:val="32"/>
  </w:num>
  <w:num w:numId="42" w16cid:durableId="1024401835">
    <w:abstractNumId w:val="20"/>
  </w:num>
  <w:num w:numId="43" w16cid:durableId="428089243">
    <w:abstractNumId w:val="14"/>
  </w:num>
  <w:num w:numId="44" w16cid:durableId="82647767">
    <w:abstractNumId w:val="36"/>
  </w:num>
  <w:num w:numId="45" w16cid:durableId="215163427">
    <w:abstractNumId w:val="16"/>
  </w:num>
  <w:num w:numId="46" w16cid:durableId="1639922006">
    <w:abstractNumId w:val="44"/>
    <w:lvlOverride w:ilvl="0">
      <w:startOverride w:val="1"/>
    </w:lvlOverride>
  </w:num>
  <w:num w:numId="47" w16cid:durableId="1509101590">
    <w:abstractNumId w:val="17"/>
  </w:num>
  <w:num w:numId="48" w16cid:durableId="14816520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>
      <o:colormru v:ext="edit" colors="#ecf4dd,#eaecee,#fcec0a,#fcecdb,#f1daf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43"/>
    <w:rsid w:val="0000209D"/>
    <w:rsid w:val="00004D5A"/>
    <w:rsid w:val="000056D5"/>
    <w:rsid w:val="00006ABD"/>
    <w:rsid w:val="0000767A"/>
    <w:rsid w:val="00010256"/>
    <w:rsid w:val="00010702"/>
    <w:rsid w:val="00011912"/>
    <w:rsid w:val="00015E7C"/>
    <w:rsid w:val="0002195D"/>
    <w:rsid w:val="000234D6"/>
    <w:rsid w:val="00023D29"/>
    <w:rsid w:val="00026389"/>
    <w:rsid w:val="00031AE0"/>
    <w:rsid w:val="000322EF"/>
    <w:rsid w:val="00033FCD"/>
    <w:rsid w:val="00036F4B"/>
    <w:rsid w:val="00040D10"/>
    <w:rsid w:val="00041CEC"/>
    <w:rsid w:val="0004694F"/>
    <w:rsid w:val="000522E4"/>
    <w:rsid w:val="000610E1"/>
    <w:rsid w:val="00062EC5"/>
    <w:rsid w:val="00062F22"/>
    <w:rsid w:val="000712B3"/>
    <w:rsid w:val="0008263E"/>
    <w:rsid w:val="00082C19"/>
    <w:rsid w:val="00085395"/>
    <w:rsid w:val="00087634"/>
    <w:rsid w:val="00087F2B"/>
    <w:rsid w:val="00092231"/>
    <w:rsid w:val="00095135"/>
    <w:rsid w:val="000974D1"/>
    <w:rsid w:val="0009799E"/>
    <w:rsid w:val="000A1183"/>
    <w:rsid w:val="000A256D"/>
    <w:rsid w:val="000A3A2C"/>
    <w:rsid w:val="000A57D4"/>
    <w:rsid w:val="000B7FD1"/>
    <w:rsid w:val="000C3408"/>
    <w:rsid w:val="000C6AFD"/>
    <w:rsid w:val="000D3ACB"/>
    <w:rsid w:val="000D5637"/>
    <w:rsid w:val="000E6FBD"/>
    <w:rsid w:val="00100F5C"/>
    <w:rsid w:val="00101CDA"/>
    <w:rsid w:val="00104C4C"/>
    <w:rsid w:val="001062D9"/>
    <w:rsid w:val="00117623"/>
    <w:rsid w:val="0012192F"/>
    <w:rsid w:val="00125D69"/>
    <w:rsid w:val="0013332E"/>
    <w:rsid w:val="001405FA"/>
    <w:rsid w:val="001425C3"/>
    <w:rsid w:val="001476BD"/>
    <w:rsid w:val="001612F4"/>
    <w:rsid w:val="0016256B"/>
    <w:rsid w:val="00163793"/>
    <w:rsid w:val="001706D6"/>
    <w:rsid w:val="001714F2"/>
    <w:rsid w:val="00175B9F"/>
    <w:rsid w:val="00181BBC"/>
    <w:rsid w:val="00184B08"/>
    <w:rsid w:val="00185010"/>
    <w:rsid w:val="00185291"/>
    <w:rsid w:val="0019143B"/>
    <w:rsid w:val="00193A24"/>
    <w:rsid w:val="001A0487"/>
    <w:rsid w:val="001A552F"/>
    <w:rsid w:val="001B2CA9"/>
    <w:rsid w:val="001B3110"/>
    <w:rsid w:val="001B4729"/>
    <w:rsid w:val="001B6310"/>
    <w:rsid w:val="001B6C09"/>
    <w:rsid w:val="001C05CD"/>
    <w:rsid w:val="001D48D4"/>
    <w:rsid w:val="001D68B2"/>
    <w:rsid w:val="001E504C"/>
    <w:rsid w:val="001E5803"/>
    <w:rsid w:val="001E6062"/>
    <w:rsid w:val="001F4597"/>
    <w:rsid w:val="00203DA4"/>
    <w:rsid w:val="002118B9"/>
    <w:rsid w:val="00214CF7"/>
    <w:rsid w:val="00217C5B"/>
    <w:rsid w:val="0022139E"/>
    <w:rsid w:val="00222729"/>
    <w:rsid w:val="002252E0"/>
    <w:rsid w:val="002255F6"/>
    <w:rsid w:val="00227850"/>
    <w:rsid w:val="00227A53"/>
    <w:rsid w:val="00230C6E"/>
    <w:rsid w:val="00236443"/>
    <w:rsid w:val="00241B06"/>
    <w:rsid w:val="002436BA"/>
    <w:rsid w:val="00244A15"/>
    <w:rsid w:val="00247319"/>
    <w:rsid w:val="0024799E"/>
    <w:rsid w:val="00253C0F"/>
    <w:rsid w:val="002558C1"/>
    <w:rsid w:val="00271465"/>
    <w:rsid w:val="00285412"/>
    <w:rsid w:val="00291640"/>
    <w:rsid w:val="002A16D4"/>
    <w:rsid w:val="002A230C"/>
    <w:rsid w:val="002A2B09"/>
    <w:rsid w:val="002B2299"/>
    <w:rsid w:val="002B4121"/>
    <w:rsid w:val="002B4845"/>
    <w:rsid w:val="002C43BD"/>
    <w:rsid w:val="002D0E59"/>
    <w:rsid w:val="002E02A1"/>
    <w:rsid w:val="002E42AC"/>
    <w:rsid w:val="002E4E4C"/>
    <w:rsid w:val="00302ADD"/>
    <w:rsid w:val="00304771"/>
    <w:rsid w:val="003052D4"/>
    <w:rsid w:val="00306C5B"/>
    <w:rsid w:val="003166B7"/>
    <w:rsid w:val="003209D6"/>
    <w:rsid w:val="00321924"/>
    <w:rsid w:val="0032656E"/>
    <w:rsid w:val="00332190"/>
    <w:rsid w:val="0034335E"/>
    <w:rsid w:val="00344668"/>
    <w:rsid w:val="003462D9"/>
    <w:rsid w:val="0036073B"/>
    <w:rsid w:val="00360C86"/>
    <w:rsid w:val="00360FBC"/>
    <w:rsid w:val="00362E90"/>
    <w:rsid w:val="00364FA0"/>
    <w:rsid w:val="003657F3"/>
    <w:rsid w:val="00366728"/>
    <w:rsid w:val="003818DC"/>
    <w:rsid w:val="00384327"/>
    <w:rsid w:val="00385D98"/>
    <w:rsid w:val="003A2B4D"/>
    <w:rsid w:val="003A2D12"/>
    <w:rsid w:val="003A478C"/>
    <w:rsid w:val="003A5525"/>
    <w:rsid w:val="003A6B38"/>
    <w:rsid w:val="003B2D3D"/>
    <w:rsid w:val="003B461F"/>
    <w:rsid w:val="003B5A32"/>
    <w:rsid w:val="003C3490"/>
    <w:rsid w:val="003C7E62"/>
    <w:rsid w:val="003D6920"/>
    <w:rsid w:val="003E4C91"/>
    <w:rsid w:val="003F313C"/>
    <w:rsid w:val="003F37FC"/>
    <w:rsid w:val="003F4B2C"/>
    <w:rsid w:val="003F551C"/>
    <w:rsid w:val="003F72ED"/>
    <w:rsid w:val="003F7D23"/>
    <w:rsid w:val="00407C13"/>
    <w:rsid w:val="0041041D"/>
    <w:rsid w:val="00410638"/>
    <w:rsid w:val="0041501E"/>
    <w:rsid w:val="004150B9"/>
    <w:rsid w:val="004159C3"/>
    <w:rsid w:val="00432A58"/>
    <w:rsid w:val="00434617"/>
    <w:rsid w:val="00440900"/>
    <w:rsid w:val="00441BF6"/>
    <w:rsid w:val="004441A0"/>
    <w:rsid w:val="004455BA"/>
    <w:rsid w:val="0045078A"/>
    <w:rsid w:val="0045086D"/>
    <w:rsid w:val="00451504"/>
    <w:rsid w:val="00460FB3"/>
    <w:rsid w:val="00476240"/>
    <w:rsid w:val="00476439"/>
    <w:rsid w:val="0047735C"/>
    <w:rsid w:val="004776BC"/>
    <w:rsid w:val="0048139F"/>
    <w:rsid w:val="00481E40"/>
    <w:rsid w:val="00484ECE"/>
    <w:rsid w:val="004915CB"/>
    <w:rsid w:val="004924DC"/>
    <w:rsid w:val="004A03CF"/>
    <w:rsid w:val="004A14E4"/>
    <w:rsid w:val="004A3212"/>
    <w:rsid w:val="004A4A88"/>
    <w:rsid w:val="004A5494"/>
    <w:rsid w:val="004A61C5"/>
    <w:rsid w:val="004A77DF"/>
    <w:rsid w:val="004B1417"/>
    <w:rsid w:val="004B55B7"/>
    <w:rsid w:val="004B6468"/>
    <w:rsid w:val="004B7125"/>
    <w:rsid w:val="004C384C"/>
    <w:rsid w:val="004C3867"/>
    <w:rsid w:val="004C4CD0"/>
    <w:rsid w:val="004C70DC"/>
    <w:rsid w:val="004D0211"/>
    <w:rsid w:val="004D0794"/>
    <w:rsid w:val="004F06F5"/>
    <w:rsid w:val="004F33A0"/>
    <w:rsid w:val="0050689D"/>
    <w:rsid w:val="005108C0"/>
    <w:rsid w:val="00511873"/>
    <w:rsid w:val="00512A2F"/>
    <w:rsid w:val="00513B7E"/>
    <w:rsid w:val="00515C74"/>
    <w:rsid w:val="0052007E"/>
    <w:rsid w:val="0052337A"/>
    <w:rsid w:val="00525137"/>
    <w:rsid w:val="005251DD"/>
    <w:rsid w:val="00532CE7"/>
    <w:rsid w:val="0053324C"/>
    <w:rsid w:val="00534A28"/>
    <w:rsid w:val="00541508"/>
    <w:rsid w:val="00543498"/>
    <w:rsid w:val="0055599F"/>
    <w:rsid w:val="00556D68"/>
    <w:rsid w:val="00563EB8"/>
    <w:rsid w:val="005647BF"/>
    <w:rsid w:val="00564AF1"/>
    <w:rsid w:val="00572FB1"/>
    <w:rsid w:val="0057364B"/>
    <w:rsid w:val="00574773"/>
    <w:rsid w:val="00583FFD"/>
    <w:rsid w:val="005911BE"/>
    <w:rsid w:val="00593152"/>
    <w:rsid w:val="005A10F2"/>
    <w:rsid w:val="005A21E0"/>
    <w:rsid w:val="005A28FF"/>
    <w:rsid w:val="005A3DF8"/>
    <w:rsid w:val="005A5549"/>
    <w:rsid w:val="005B121D"/>
    <w:rsid w:val="005B6459"/>
    <w:rsid w:val="005C06ED"/>
    <w:rsid w:val="005C2609"/>
    <w:rsid w:val="005D5802"/>
    <w:rsid w:val="005D7119"/>
    <w:rsid w:val="005D7890"/>
    <w:rsid w:val="005E7C78"/>
    <w:rsid w:val="005F18C5"/>
    <w:rsid w:val="005F3EB1"/>
    <w:rsid w:val="005F46D8"/>
    <w:rsid w:val="005F5469"/>
    <w:rsid w:val="00604307"/>
    <w:rsid w:val="0060487F"/>
    <w:rsid w:val="00604EAD"/>
    <w:rsid w:val="006104FB"/>
    <w:rsid w:val="00612A2F"/>
    <w:rsid w:val="00616E05"/>
    <w:rsid w:val="00624093"/>
    <w:rsid w:val="006350D5"/>
    <w:rsid w:val="00635B43"/>
    <w:rsid w:val="006404A7"/>
    <w:rsid w:val="006451E4"/>
    <w:rsid w:val="00645B33"/>
    <w:rsid w:val="00650942"/>
    <w:rsid w:val="006516CB"/>
    <w:rsid w:val="00656FC8"/>
    <w:rsid w:val="00657E87"/>
    <w:rsid w:val="00664803"/>
    <w:rsid w:val="00665BA4"/>
    <w:rsid w:val="00667AF2"/>
    <w:rsid w:val="006710C9"/>
    <w:rsid w:val="006741AC"/>
    <w:rsid w:val="00674D89"/>
    <w:rsid w:val="00675E37"/>
    <w:rsid w:val="0068174E"/>
    <w:rsid w:val="00681DCE"/>
    <w:rsid w:val="0068260E"/>
    <w:rsid w:val="00683398"/>
    <w:rsid w:val="00695BEF"/>
    <w:rsid w:val="006977F6"/>
    <w:rsid w:val="00697A13"/>
    <w:rsid w:val="006A109C"/>
    <w:rsid w:val="006B0F92"/>
    <w:rsid w:val="006B1AFC"/>
    <w:rsid w:val="006B344A"/>
    <w:rsid w:val="006B78D8"/>
    <w:rsid w:val="006C113F"/>
    <w:rsid w:val="006C123E"/>
    <w:rsid w:val="006C1752"/>
    <w:rsid w:val="006C56D4"/>
    <w:rsid w:val="006C6924"/>
    <w:rsid w:val="006C7CA6"/>
    <w:rsid w:val="006D3E8A"/>
    <w:rsid w:val="006D61F6"/>
    <w:rsid w:val="006E279A"/>
    <w:rsid w:val="006E313B"/>
    <w:rsid w:val="006E7227"/>
    <w:rsid w:val="006F438E"/>
    <w:rsid w:val="006F5416"/>
    <w:rsid w:val="00705242"/>
    <w:rsid w:val="00706AD4"/>
    <w:rsid w:val="00707150"/>
    <w:rsid w:val="007140BE"/>
    <w:rsid w:val="007211F5"/>
    <w:rsid w:val="00723946"/>
    <w:rsid w:val="007240E2"/>
    <w:rsid w:val="00725BB5"/>
    <w:rsid w:val="00730AE8"/>
    <w:rsid w:val="00730F1B"/>
    <w:rsid w:val="00741493"/>
    <w:rsid w:val="0075027A"/>
    <w:rsid w:val="00752180"/>
    <w:rsid w:val="00753CAB"/>
    <w:rsid w:val="00755202"/>
    <w:rsid w:val="00755D3A"/>
    <w:rsid w:val="007578D3"/>
    <w:rsid w:val="007609C6"/>
    <w:rsid w:val="00760EA4"/>
    <w:rsid w:val="00761600"/>
    <w:rsid w:val="0076175D"/>
    <w:rsid w:val="00763B85"/>
    <w:rsid w:val="0076521E"/>
    <w:rsid w:val="007661E9"/>
    <w:rsid w:val="00776169"/>
    <w:rsid w:val="00776527"/>
    <w:rsid w:val="00780EF1"/>
    <w:rsid w:val="00790764"/>
    <w:rsid w:val="0079453C"/>
    <w:rsid w:val="00794677"/>
    <w:rsid w:val="00797445"/>
    <w:rsid w:val="007A516D"/>
    <w:rsid w:val="007B6689"/>
    <w:rsid w:val="007C6BBD"/>
    <w:rsid w:val="007C7443"/>
    <w:rsid w:val="007D2975"/>
    <w:rsid w:val="007D40DF"/>
    <w:rsid w:val="007E29B4"/>
    <w:rsid w:val="007E435A"/>
    <w:rsid w:val="007E7E61"/>
    <w:rsid w:val="007F0845"/>
    <w:rsid w:val="007F708D"/>
    <w:rsid w:val="00801E13"/>
    <w:rsid w:val="00807C82"/>
    <w:rsid w:val="00814B15"/>
    <w:rsid w:val="00816905"/>
    <w:rsid w:val="008207EF"/>
    <w:rsid w:val="00821777"/>
    <w:rsid w:val="00821FF6"/>
    <w:rsid w:val="00822574"/>
    <w:rsid w:val="00825C4D"/>
    <w:rsid w:val="0083143E"/>
    <w:rsid w:val="00831CDE"/>
    <w:rsid w:val="00834304"/>
    <w:rsid w:val="00834FAA"/>
    <w:rsid w:val="00836086"/>
    <w:rsid w:val="00846121"/>
    <w:rsid w:val="0084708F"/>
    <w:rsid w:val="008477C8"/>
    <w:rsid w:val="0085114D"/>
    <w:rsid w:val="00852217"/>
    <w:rsid w:val="00855408"/>
    <w:rsid w:val="00856D65"/>
    <w:rsid w:val="00861B41"/>
    <w:rsid w:val="00861BE3"/>
    <w:rsid w:val="00863434"/>
    <w:rsid w:val="00865E4C"/>
    <w:rsid w:val="008701E4"/>
    <w:rsid w:val="00871069"/>
    <w:rsid w:val="00875A32"/>
    <w:rsid w:val="00876086"/>
    <w:rsid w:val="008825B0"/>
    <w:rsid w:val="00884AD6"/>
    <w:rsid w:val="008873D4"/>
    <w:rsid w:val="0089126C"/>
    <w:rsid w:val="0089296D"/>
    <w:rsid w:val="00893E85"/>
    <w:rsid w:val="00894031"/>
    <w:rsid w:val="00895508"/>
    <w:rsid w:val="0089685F"/>
    <w:rsid w:val="008B167B"/>
    <w:rsid w:val="008B7C02"/>
    <w:rsid w:val="008B7D2B"/>
    <w:rsid w:val="008C0049"/>
    <w:rsid w:val="008C0E88"/>
    <w:rsid w:val="008C53CB"/>
    <w:rsid w:val="008D17C7"/>
    <w:rsid w:val="008D1E6A"/>
    <w:rsid w:val="008D2A16"/>
    <w:rsid w:val="008E2C57"/>
    <w:rsid w:val="008E31FF"/>
    <w:rsid w:val="008E6F06"/>
    <w:rsid w:val="008E7FC9"/>
    <w:rsid w:val="008F029B"/>
    <w:rsid w:val="008F3FC9"/>
    <w:rsid w:val="008F585B"/>
    <w:rsid w:val="009003A8"/>
    <w:rsid w:val="00902500"/>
    <w:rsid w:val="00902EFF"/>
    <w:rsid w:val="00906401"/>
    <w:rsid w:val="0091155E"/>
    <w:rsid w:val="00912634"/>
    <w:rsid w:val="00912A92"/>
    <w:rsid w:val="0091728D"/>
    <w:rsid w:val="009203C8"/>
    <w:rsid w:val="0092180B"/>
    <w:rsid w:val="00921F14"/>
    <w:rsid w:val="009231A3"/>
    <w:rsid w:val="00924AC8"/>
    <w:rsid w:val="0092597A"/>
    <w:rsid w:val="00930FB1"/>
    <w:rsid w:val="0093139F"/>
    <w:rsid w:val="00932443"/>
    <w:rsid w:val="009324EF"/>
    <w:rsid w:val="00933121"/>
    <w:rsid w:val="00937AE2"/>
    <w:rsid w:val="0094427A"/>
    <w:rsid w:val="00945245"/>
    <w:rsid w:val="0095759C"/>
    <w:rsid w:val="00966405"/>
    <w:rsid w:val="009721DB"/>
    <w:rsid w:val="00974923"/>
    <w:rsid w:val="00975148"/>
    <w:rsid w:val="00980D3D"/>
    <w:rsid w:val="00987A30"/>
    <w:rsid w:val="00992CF3"/>
    <w:rsid w:val="00994868"/>
    <w:rsid w:val="009968D6"/>
    <w:rsid w:val="009A1CAB"/>
    <w:rsid w:val="009A60D1"/>
    <w:rsid w:val="009B1F0B"/>
    <w:rsid w:val="009B6FD3"/>
    <w:rsid w:val="009C1750"/>
    <w:rsid w:val="009C2E29"/>
    <w:rsid w:val="009C554B"/>
    <w:rsid w:val="009C719E"/>
    <w:rsid w:val="009C7A10"/>
    <w:rsid w:val="009D3ACD"/>
    <w:rsid w:val="009E5273"/>
    <w:rsid w:val="009E5DDB"/>
    <w:rsid w:val="009F4CA7"/>
    <w:rsid w:val="00A0439C"/>
    <w:rsid w:val="00A10D66"/>
    <w:rsid w:val="00A14114"/>
    <w:rsid w:val="00A16413"/>
    <w:rsid w:val="00A16E1D"/>
    <w:rsid w:val="00A171A3"/>
    <w:rsid w:val="00A17D5B"/>
    <w:rsid w:val="00A23E43"/>
    <w:rsid w:val="00A25216"/>
    <w:rsid w:val="00A30F65"/>
    <w:rsid w:val="00A33A89"/>
    <w:rsid w:val="00A40EAC"/>
    <w:rsid w:val="00A418BC"/>
    <w:rsid w:val="00A46DE0"/>
    <w:rsid w:val="00A50D73"/>
    <w:rsid w:val="00A52CAD"/>
    <w:rsid w:val="00A53FC7"/>
    <w:rsid w:val="00A62CE1"/>
    <w:rsid w:val="00A6741E"/>
    <w:rsid w:val="00A75E40"/>
    <w:rsid w:val="00A77D1D"/>
    <w:rsid w:val="00A84A6A"/>
    <w:rsid w:val="00A857C0"/>
    <w:rsid w:val="00A90FED"/>
    <w:rsid w:val="00AA2996"/>
    <w:rsid w:val="00AA52BF"/>
    <w:rsid w:val="00AA559A"/>
    <w:rsid w:val="00AB2AF1"/>
    <w:rsid w:val="00AC224B"/>
    <w:rsid w:val="00AC45BD"/>
    <w:rsid w:val="00AD0D0E"/>
    <w:rsid w:val="00AD1119"/>
    <w:rsid w:val="00AD168E"/>
    <w:rsid w:val="00AD306C"/>
    <w:rsid w:val="00AD68C4"/>
    <w:rsid w:val="00AE09B3"/>
    <w:rsid w:val="00AE1A83"/>
    <w:rsid w:val="00AF6128"/>
    <w:rsid w:val="00B00913"/>
    <w:rsid w:val="00B01593"/>
    <w:rsid w:val="00B023F2"/>
    <w:rsid w:val="00B04705"/>
    <w:rsid w:val="00B10A4D"/>
    <w:rsid w:val="00B14BC1"/>
    <w:rsid w:val="00B17E71"/>
    <w:rsid w:val="00B17FDE"/>
    <w:rsid w:val="00B2379C"/>
    <w:rsid w:val="00B2687D"/>
    <w:rsid w:val="00B32DDB"/>
    <w:rsid w:val="00B34528"/>
    <w:rsid w:val="00B34CC9"/>
    <w:rsid w:val="00B402FC"/>
    <w:rsid w:val="00B439DA"/>
    <w:rsid w:val="00B46604"/>
    <w:rsid w:val="00B530CD"/>
    <w:rsid w:val="00B536DD"/>
    <w:rsid w:val="00B55F5E"/>
    <w:rsid w:val="00B5752E"/>
    <w:rsid w:val="00B63A11"/>
    <w:rsid w:val="00B63B6A"/>
    <w:rsid w:val="00B64C24"/>
    <w:rsid w:val="00B6608F"/>
    <w:rsid w:val="00B679FB"/>
    <w:rsid w:val="00B76D1E"/>
    <w:rsid w:val="00B80EC6"/>
    <w:rsid w:val="00B84CF6"/>
    <w:rsid w:val="00B92D1D"/>
    <w:rsid w:val="00B938C5"/>
    <w:rsid w:val="00B95940"/>
    <w:rsid w:val="00BA6C2B"/>
    <w:rsid w:val="00BB099E"/>
    <w:rsid w:val="00BB2F43"/>
    <w:rsid w:val="00BB46F3"/>
    <w:rsid w:val="00BB4CB1"/>
    <w:rsid w:val="00BB4F98"/>
    <w:rsid w:val="00BC5C12"/>
    <w:rsid w:val="00BC7154"/>
    <w:rsid w:val="00BC731E"/>
    <w:rsid w:val="00BD366B"/>
    <w:rsid w:val="00BD6D50"/>
    <w:rsid w:val="00BE18B9"/>
    <w:rsid w:val="00BE2495"/>
    <w:rsid w:val="00BF1578"/>
    <w:rsid w:val="00C21F94"/>
    <w:rsid w:val="00C27913"/>
    <w:rsid w:val="00C27D07"/>
    <w:rsid w:val="00C33B68"/>
    <w:rsid w:val="00C35666"/>
    <w:rsid w:val="00C36A79"/>
    <w:rsid w:val="00C401D2"/>
    <w:rsid w:val="00C405D4"/>
    <w:rsid w:val="00C446A2"/>
    <w:rsid w:val="00C4513B"/>
    <w:rsid w:val="00C5390B"/>
    <w:rsid w:val="00C54697"/>
    <w:rsid w:val="00C73885"/>
    <w:rsid w:val="00C747B1"/>
    <w:rsid w:val="00C82191"/>
    <w:rsid w:val="00C83134"/>
    <w:rsid w:val="00C85545"/>
    <w:rsid w:val="00C90CF4"/>
    <w:rsid w:val="00C92EB6"/>
    <w:rsid w:val="00C93389"/>
    <w:rsid w:val="00CA0914"/>
    <w:rsid w:val="00CA6AB4"/>
    <w:rsid w:val="00CB4930"/>
    <w:rsid w:val="00CC2E7D"/>
    <w:rsid w:val="00CD10A5"/>
    <w:rsid w:val="00CD2076"/>
    <w:rsid w:val="00CD29B5"/>
    <w:rsid w:val="00CD5BA3"/>
    <w:rsid w:val="00CD6331"/>
    <w:rsid w:val="00CE670B"/>
    <w:rsid w:val="00CF4908"/>
    <w:rsid w:val="00CF51EC"/>
    <w:rsid w:val="00CF73AE"/>
    <w:rsid w:val="00D040DD"/>
    <w:rsid w:val="00D075BE"/>
    <w:rsid w:val="00D13986"/>
    <w:rsid w:val="00D21D83"/>
    <w:rsid w:val="00D235B7"/>
    <w:rsid w:val="00D25F28"/>
    <w:rsid w:val="00D26071"/>
    <w:rsid w:val="00D27973"/>
    <w:rsid w:val="00D35E1A"/>
    <w:rsid w:val="00D50F46"/>
    <w:rsid w:val="00D57677"/>
    <w:rsid w:val="00D66223"/>
    <w:rsid w:val="00D71625"/>
    <w:rsid w:val="00D76A18"/>
    <w:rsid w:val="00D8084C"/>
    <w:rsid w:val="00D915EA"/>
    <w:rsid w:val="00D94D95"/>
    <w:rsid w:val="00DA7C0C"/>
    <w:rsid w:val="00DB08A9"/>
    <w:rsid w:val="00DB2EC8"/>
    <w:rsid w:val="00DC5B3B"/>
    <w:rsid w:val="00DD129F"/>
    <w:rsid w:val="00DD1A46"/>
    <w:rsid w:val="00DE02BD"/>
    <w:rsid w:val="00DE0F3B"/>
    <w:rsid w:val="00DF42FF"/>
    <w:rsid w:val="00E01C0E"/>
    <w:rsid w:val="00E03F9A"/>
    <w:rsid w:val="00E04694"/>
    <w:rsid w:val="00E12B1E"/>
    <w:rsid w:val="00E17262"/>
    <w:rsid w:val="00E253A2"/>
    <w:rsid w:val="00E3309D"/>
    <w:rsid w:val="00E47EBA"/>
    <w:rsid w:val="00E50156"/>
    <w:rsid w:val="00E51643"/>
    <w:rsid w:val="00E53470"/>
    <w:rsid w:val="00E539F6"/>
    <w:rsid w:val="00E6519D"/>
    <w:rsid w:val="00E67696"/>
    <w:rsid w:val="00E71A58"/>
    <w:rsid w:val="00E72A7A"/>
    <w:rsid w:val="00E75C94"/>
    <w:rsid w:val="00E76A3F"/>
    <w:rsid w:val="00E93820"/>
    <w:rsid w:val="00E94A86"/>
    <w:rsid w:val="00E96143"/>
    <w:rsid w:val="00E963D6"/>
    <w:rsid w:val="00EA0987"/>
    <w:rsid w:val="00EA0C68"/>
    <w:rsid w:val="00EA32BC"/>
    <w:rsid w:val="00EB4511"/>
    <w:rsid w:val="00EB4A3B"/>
    <w:rsid w:val="00EC03D7"/>
    <w:rsid w:val="00EC7828"/>
    <w:rsid w:val="00ED62C6"/>
    <w:rsid w:val="00ED64C1"/>
    <w:rsid w:val="00EE3446"/>
    <w:rsid w:val="00EE3E78"/>
    <w:rsid w:val="00EE4B1B"/>
    <w:rsid w:val="00EE7F19"/>
    <w:rsid w:val="00EF150D"/>
    <w:rsid w:val="00EF1F5A"/>
    <w:rsid w:val="00EF47BF"/>
    <w:rsid w:val="00F04811"/>
    <w:rsid w:val="00F0488C"/>
    <w:rsid w:val="00F10F11"/>
    <w:rsid w:val="00F15AAA"/>
    <w:rsid w:val="00F15BEF"/>
    <w:rsid w:val="00F24407"/>
    <w:rsid w:val="00F24931"/>
    <w:rsid w:val="00F24FAA"/>
    <w:rsid w:val="00F3364D"/>
    <w:rsid w:val="00F3443C"/>
    <w:rsid w:val="00F437CC"/>
    <w:rsid w:val="00F44537"/>
    <w:rsid w:val="00F44B6A"/>
    <w:rsid w:val="00F47067"/>
    <w:rsid w:val="00F525EB"/>
    <w:rsid w:val="00F63DDE"/>
    <w:rsid w:val="00F63FB7"/>
    <w:rsid w:val="00F6421B"/>
    <w:rsid w:val="00F649D2"/>
    <w:rsid w:val="00F6602B"/>
    <w:rsid w:val="00F73A0C"/>
    <w:rsid w:val="00F756DB"/>
    <w:rsid w:val="00F84E7D"/>
    <w:rsid w:val="00F85066"/>
    <w:rsid w:val="00F87A4D"/>
    <w:rsid w:val="00F9785E"/>
    <w:rsid w:val="00FA5D4D"/>
    <w:rsid w:val="00FB0EE2"/>
    <w:rsid w:val="00FB542E"/>
    <w:rsid w:val="00FC0E5F"/>
    <w:rsid w:val="00FC1A95"/>
    <w:rsid w:val="00FC56DE"/>
    <w:rsid w:val="00FC684B"/>
    <w:rsid w:val="00FD3265"/>
    <w:rsid w:val="00FE2F78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ecf4dd,#eaecee,#fcec0a,#fcecdb,#f1daf5"/>
    </o:shapedefaults>
    <o:shapelayout v:ext="edit">
      <o:idmap v:ext="edit" data="2"/>
    </o:shapelayout>
  </w:shapeDefaults>
  <w:decimalSymbol w:val=","/>
  <w:listSeparator w:val=";"/>
  <w14:docId w14:val="16D78745"/>
  <w15:docId w15:val="{FC3C9807-8A20-484D-A937-0CB633FC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FA0"/>
    <w:pPr>
      <w:spacing w:after="240" w:line="276" w:lineRule="auto"/>
      <w:jc w:val="both"/>
    </w:pPr>
    <w:rPr>
      <w:rFonts w:ascii="Arial" w:eastAsia="Times New Roman" w:hAnsi="Arial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EA0987"/>
    <w:pPr>
      <w:keepNext/>
      <w:keepLines/>
      <w:spacing w:after="100" w:line="276" w:lineRule="auto"/>
      <w:contextualSpacing/>
      <w:outlineLvl w:val="0"/>
    </w:pPr>
    <w:rPr>
      <w:rFonts w:ascii="Arial" w:eastAsia="MS Gothic" w:hAnsi="Arial"/>
      <w:b/>
      <w:bCs/>
      <w:color w:val="86BF5E"/>
      <w:sz w:val="32"/>
      <w:szCs w:val="28"/>
      <w:lang w:eastAsia="cs-CZ"/>
    </w:rPr>
  </w:style>
  <w:style w:type="paragraph" w:styleId="Nadpis2">
    <w:name w:val="heading 2"/>
    <w:next w:val="Normln"/>
    <w:link w:val="Nadpis2Char"/>
    <w:uiPriority w:val="9"/>
    <w:qFormat/>
    <w:rsid w:val="00EA0987"/>
    <w:pPr>
      <w:keepNext/>
      <w:keepLines/>
      <w:spacing w:line="276" w:lineRule="auto"/>
      <w:outlineLvl w:val="1"/>
    </w:pPr>
    <w:rPr>
      <w:rFonts w:ascii="Arial" w:eastAsia="MS Gothic" w:hAnsi="Arial"/>
      <w:b/>
      <w:bCs/>
      <w:color w:val="86BF5E"/>
      <w:sz w:val="28"/>
      <w:szCs w:val="26"/>
      <w:lang w:eastAsia="cs-CZ"/>
    </w:rPr>
  </w:style>
  <w:style w:type="paragraph" w:styleId="Nadpis3">
    <w:name w:val="heading 3"/>
    <w:next w:val="Normln"/>
    <w:link w:val="Nadpis3Char"/>
    <w:uiPriority w:val="9"/>
    <w:qFormat/>
    <w:rsid w:val="00EA0987"/>
    <w:pPr>
      <w:keepNext/>
      <w:keepLines/>
      <w:spacing w:line="276" w:lineRule="auto"/>
      <w:outlineLvl w:val="2"/>
    </w:pPr>
    <w:rPr>
      <w:rFonts w:ascii="Arial" w:eastAsia="MS Gothic" w:hAnsi="Arial"/>
      <w:b/>
      <w:bCs/>
      <w:color w:val="86BF5E"/>
      <w:sz w:val="24"/>
      <w:szCs w:val="24"/>
      <w:lang w:eastAsia="cs-CZ"/>
    </w:rPr>
  </w:style>
  <w:style w:type="paragraph" w:styleId="Nadpis4">
    <w:name w:val="heading 4"/>
    <w:next w:val="Normln"/>
    <w:link w:val="Nadpis4Char"/>
    <w:uiPriority w:val="9"/>
    <w:qFormat/>
    <w:rsid w:val="0041041D"/>
    <w:pPr>
      <w:keepNext/>
      <w:keepLines/>
      <w:spacing w:line="276" w:lineRule="auto"/>
      <w:outlineLvl w:val="3"/>
    </w:pPr>
    <w:rPr>
      <w:rFonts w:ascii="Arial" w:eastAsia="MS Gothic" w:hAnsi="Arial"/>
      <w:b/>
      <w:bCs/>
      <w:iCs/>
      <w:color w:val="86BF5E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7A516D"/>
    <w:pPr>
      <w:keepNext/>
      <w:keepLines/>
      <w:numPr>
        <w:ilvl w:val="4"/>
        <w:numId w:val="1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516D"/>
    <w:pPr>
      <w:keepNext/>
      <w:keepLines/>
      <w:numPr>
        <w:ilvl w:val="5"/>
        <w:numId w:val="1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516D"/>
    <w:pPr>
      <w:keepNext/>
      <w:keepLines/>
      <w:numPr>
        <w:ilvl w:val="6"/>
        <w:numId w:val="1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A516D"/>
    <w:pPr>
      <w:keepNext/>
      <w:keepLines/>
      <w:numPr>
        <w:ilvl w:val="7"/>
        <w:numId w:val="1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A516D"/>
    <w:pPr>
      <w:numPr>
        <w:ilvl w:val="8"/>
        <w:numId w:val="1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qFormat/>
    <w:rsid w:val="00EA0987"/>
    <w:rPr>
      <w:rFonts w:ascii="Arial" w:eastAsia="MS Gothic" w:hAnsi="Arial"/>
      <w:b/>
      <w:bCs/>
      <w:color w:val="86BF5E"/>
      <w:sz w:val="32"/>
      <w:szCs w:val="28"/>
      <w:lang w:eastAsia="cs-CZ"/>
    </w:rPr>
  </w:style>
  <w:style w:type="character" w:customStyle="1" w:styleId="Nadpis2Char">
    <w:name w:val="Nadpis 2 Char"/>
    <w:link w:val="Nadpis2"/>
    <w:uiPriority w:val="9"/>
    <w:rsid w:val="00EA0987"/>
    <w:rPr>
      <w:rFonts w:ascii="Arial" w:eastAsia="MS Gothic" w:hAnsi="Arial"/>
      <w:b/>
      <w:bCs/>
      <w:color w:val="86BF5E"/>
      <w:sz w:val="28"/>
      <w:szCs w:val="26"/>
      <w:lang w:eastAsia="cs-CZ"/>
    </w:rPr>
  </w:style>
  <w:style w:type="character" w:customStyle="1" w:styleId="Nadpis3Char">
    <w:name w:val="Nadpis 3 Char"/>
    <w:link w:val="Nadpis3"/>
    <w:uiPriority w:val="9"/>
    <w:rsid w:val="00EA0987"/>
    <w:rPr>
      <w:rFonts w:ascii="Arial" w:eastAsia="MS Gothic" w:hAnsi="Arial"/>
      <w:b/>
      <w:bCs/>
      <w:color w:val="86BF5E"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"/>
    <w:rsid w:val="0041041D"/>
    <w:rPr>
      <w:rFonts w:ascii="Arial" w:eastAsia="MS Gothic" w:hAnsi="Arial"/>
      <w:b/>
      <w:bCs/>
      <w:iCs/>
      <w:color w:val="86BF5E"/>
      <w:szCs w:val="24"/>
      <w:lang w:eastAsia="cs-CZ"/>
    </w:rPr>
  </w:style>
  <w:style w:type="character" w:customStyle="1" w:styleId="Nadpis9Char">
    <w:name w:val="Nadpis 9 Char"/>
    <w:link w:val="Nadpis9"/>
    <w:uiPriority w:val="9"/>
    <w:semiHidden/>
    <w:rsid w:val="007A516D"/>
    <w:rPr>
      <w:rFonts w:ascii="Cambria" w:eastAsia="Times New Roman" w:hAnsi="Cambria"/>
      <w:sz w:val="22"/>
      <w:szCs w:val="22"/>
      <w:lang w:eastAsia="cs-CZ"/>
    </w:rPr>
  </w:style>
  <w:style w:type="character" w:styleId="Hypertextovodkaz">
    <w:name w:val="Hyperlink"/>
    <w:uiPriority w:val="99"/>
    <w:rsid w:val="00E71A58"/>
    <w:rPr>
      <w:color w:val="0000FF"/>
      <w:u w:val="single"/>
    </w:rPr>
  </w:style>
  <w:style w:type="paragraph" w:styleId="Zhlav">
    <w:name w:val="header"/>
    <w:link w:val="ZhlavChar"/>
    <w:uiPriority w:val="99"/>
    <w:unhideWhenUsed/>
    <w:qFormat/>
    <w:rsid w:val="00A418BC"/>
    <w:pPr>
      <w:spacing w:line="288" w:lineRule="auto"/>
    </w:pPr>
    <w:rPr>
      <w:rFonts w:ascii="Arial" w:hAnsi="Arial"/>
      <w:sz w:val="16"/>
      <w:szCs w:val="22"/>
    </w:rPr>
  </w:style>
  <w:style w:type="character" w:customStyle="1" w:styleId="ZhlavChar">
    <w:name w:val="Záhlaví Char"/>
    <w:link w:val="Zhlav"/>
    <w:uiPriority w:val="99"/>
    <w:rsid w:val="00A418BC"/>
    <w:rPr>
      <w:rFonts w:ascii="Arial" w:hAnsi="Arial"/>
      <w:sz w:val="16"/>
      <w:szCs w:val="22"/>
      <w:lang w:eastAsia="en-US"/>
    </w:rPr>
  </w:style>
  <w:style w:type="paragraph" w:styleId="Zpat">
    <w:name w:val="footer"/>
    <w:link w:val="ZpatChar"/>
    <w:uiPriority w:val="99"/>
    <w:unhideWhenUsed/>
    <w:qFormat/>
    <w:rsid w:val="00031AE0"/>
    <w:pPr>
      <w:tabs>
        <w:tab w:val="center" w:pos="4820"/>
        <w:tab w:val="right" w:pos="9639"/>
      </w:tabs>
    </w:pPr>
    <w:rPr>
      <w:rFonts w:ascii="Arial" w:hAnsi="Arial" w:cs="Arial"/>
      <w:noProof/>
      <w:sz w:val="16"/>
    </w:rPr>
  </w:style>
  <w:style w:type="character" w:customStyle="1" w:styleId="ZpatChar">
    <w:name w:val="Zápatí Char"/>
    <w:link w:val="Zpat"/>
    <w:uiPriority w:val="99"/>
    <w:rsid w:val="00031AE0"/>
    <w:rPr>
      <w:rFonts w:ascii="Arial" w:hAnsi="Arial" w:cs="Arial"/>
      <w:noProof/>
      <w:sz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1A58"/>
    <w:rPr>
      <w:rFonts w:ascii="Tahoma" w:eastAsia="Calibri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71A58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link w:val="ZkladnodstavecChar"/>
    <w:uiPriority w:val="99"/>
    <w:rsid w:val="0008263E"/>
    <w:pPr>
      <w:autoSpaceDE w:val="0"/>
      <w:autoSpaceDN w:val="0"/>
      <w:adjustRightInd w:val="0"/>
      <w:spacing w:line="276" w:lineRule="auto"/>
      <w:textAlignment w:val="center"/>
    </w:pPr>
    <w:rPr>
      <w:rFonts w:ascii="Arial" w:hAnsi="Arial" w:cs="Minion Pro"/>
      <w:color w:val="000000"/>
      <w:szCs w:val="24"/>
      <w:lang w:eastAsia="cs-CZ"/>
    </w:rPr>
  </w:style>
  <w:style w:type="character" w:customStyle="1" w:styleId="ZkladnodstavecChar">
    <w:name w:val="[Základní odstavec] Char"/>
    <w:link w:val="Zkladnodstavec"/>
    <w:uiPriority w:val="99"/>
    <w:rsid w:val="0008263E"/>
    <w:rPr>
      <w:rFonts w:ascii="Arial" w:hAnsi="Arial" w:cs="Minion Pro"/>
      <w:color w:val="000000"/>
      <w:szCs w:val="24"/>
    </w:rPr>
  </w:style>
  <w:style w:type="paragraph" w:styleId="Obsah1">
    <w:name w:val="toc 1"/>
    <w:basedOn w:val="Obsahpoloky"/>
    <w:next w:val="Obsahpoloky"/>
    <w:autoRedefine/>
    <w:uiPriority w:val="39"/>
    <w:unhideWhenUsed/>
    <w:rsid w:val="00FC1A95"/>
  </w:style>
  <w:style w:type="paragraph" w:customStyle="1" w:styleId="TLIdentifikace-sted">
    <w:name w:val="TL Identifikace - střed"/>
    <w:qFormat/>
    <w:rsid w:val="009A60D1"/>
    <w:pPr>
      <w:spacing w:after="200" w:line="288" w:lineRule="auto"/>
    </w:pPr>
    <w:rPr>
      <w:rFonts w:ascii="Arial" w:eastAsia="Times New Roman" w:hAnsi="Arial"/>
      <w:sz w:val="24"/>
      <w:szCs w:val="24"/>
      <w:lang w:eastAsia="cs-CZ"/>
    </w:rPr>
  </w:style>
  <w:style w:type="paragraph" w:customStyle="1" w:styleId="Obsah">
    <w:name w:val="Obsah"/>
    <w:next w:val="Normln"/>
    <w:qFormat/>
    <w:rsid w:val="000A57D4"/>
    <w:pPr>
      <w:spacing w:after="80" w:line="288" w:lineRule="auto"/>
    </w:pPr>
    <w:rPr>
      <w:rFonts w:ascii="Arial" w:eastAsia="Times New Roman" w:hAnsi="Arial"/>
      <w:b/>
      <w:color w:val="86BF5E"/>
      <w:sz w:val="32"/>
      <w:szCs w:val="24"/>
      <w:lang w:eastAsia="cs-CZ"/>
    </w:rPr>
  </w:style>
  <w:style w:type="paragraph" w:customStyle="1" w:styleId="Obsahpoloky">
    <w:name w:val="Obsah položky"/>
    <w:qFormat/>
    <w:rsid w:val="00616E05"/>
    <w:pPr>
      <w:tabs>
        <w:tab w:val="right" w:leader="dot" w:pos="9639"/>
      </w:tabs>
      <w:spacing w:line="288" w:lineRule="auto"/>
    </w:pPr>
    <w:rPr>
      <w:rFonts w:ascii="Arial" w:eastAsia="Times New Roman" w:hAnsi="Arial"/>
      <w:szCs w:val="24"/>
      <w:lang w:eastAsia="cs-CZ"/>
    </w:rPr>
  </w:style>
  <w:style w:type="paragraph" w:customStyle="1" w:styleId="A-Box1">
    <w:name w:val="A-Box 1"/>
    <w:next w:val="Normln"/>
    <w:qFormat/>
    <w:rsid w:val="00EA0987"/>
    <w:pPr>
      <w:shd w:val="clear" w:color="auto" w:fill="F0F6E9"/>
      <w:spacing w:before="240" w:after="240" w:line="276" w:lineRule="auto"/>
      <w:contextualSpacing/>
      <w:jc w:val="both"/>
    </w:pPr>
    <w:rPr>
      <w:rFonts w:ascii="Arial" w:hAnsi="Arial" w:cs="Arial"/>
      <w:lang w:eastAsia="cs-CZ"/>
    </w:rPr>
  </w:style>
  <w:style w:type="paragraph" w:customStyle="1" w:styleId="A-Box2">
    <w:name w:val="A-Box 2"/>
    <w:next w:val="Normln"/>
    <w:qFormat/>
    <w:rsid w:val="00EA0987"/>
    <w:pPr>
      <w:spacing w:before="240" w:after="240" w:line="276" w:lineRule="auto"/>
      <w:contextualSpacing/>
      <w:jc w:val="both"/>
    </w:pPr>
    <w:rPr>
      <w:rFonts w:ascii="Arial" w:hAnsi="Arial" w:cs="Arial"/>
      <w:color w:val="86BF5E"/>
      <w:lang w:eastAsia="cs-CZ"/>
    </w:rPr>
  </w:style>
  <w:style w:type="paragraph" w:styleId="Seznam">
    <w:name w:val="List"/>
    <w:basedOn w:val="Normln"/>
    <w:uiPriority w:val="99"/>
    <w:unhideWhenUsed/>
    <w:qFormat/>
    <w:rsid w:val="00481E40"/>
    <w:pPr>
      <w:contextualSpacing/>
    </w:pPr>
  </w:style>
  <w:style w:type="character" w:styleId="Siln">
    <w:name w:val="Strong"/>
    <w:aliases w:val="Tučné"/>
    <w:uiPriority w:val="22"/>
    <w:qFormat/>
    <w:rsid w:val="00EC03D7"/>
    <w:rPr>
      <w:rFonts w:ascii="Arial" w:hAnsi="Arial"/>
      <w:b/>
      <w:bCs/>
      <w:sz w:val="20"/>
    </w:rPr>
  </w:style>
  <w:style w:type="paragraph" w:customStyle="1" w:styleId="TLKontaktyerven">
    <w:name w:val="TL Kontakty červené"/>
    <w:basedOn w:val="Normln"/>
    <w:qFormat/>
    <w:rsid w:val="000A57D4"/>
    <w:pPr>
      <w:spacing w:after="40"/>
      <w:contextualSpacing/>
    </w:pPr>
    <w:rPr>
      <w:b/>
      <w:caps/>
      <w:sz w:val="24"/>
    </w:rPr>
  </w:style>
  <w:style w:type="paragraph" w:customStyle="1" w:styleId="TLKontakty">
    <w:name w:val="TL Kontakty"/>
    <w:qFormat/>
    <w:rsid w:val="000A57D4"/>
    <w:pPr>
      <w:spacing w:after="160" w:line="259" w:lineRule="auto"/>
      <w:contextualSpacing/>
    </w:pPr>
    <w:rPr>
      <w:rFonts w:ascii="Arial" w:eastAsia="Times New Roman" w:hAnsi="Arial"/>
      <w:b/>
      <w:color w:val="86BF5E"/>
      <w:lang w:eastAsia="cs-CZ"/>
    </w:rPr>
  </w:style>
  <w:style w:type="paragraph" w:styleId="Nzev">
    <w:name w:val="Title"/>
    <w:link w:val="NzevChar"/>
    <w:uiPriority w:val="10"/>
    <w:qFormat/>
    <w:rsid w:val="001E6062"/>
    <w:pPr>
      <w:spacing w:line="288" w:lineRule="auto"/>
    </w:pPr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character" w:customStyle="1" w:styleId="NzevChar">
    <w:name w:val="Název Char"/>
    <w:link w:val="Nzev"/>
    <w:uiPriority w:val="10"/>
    <w:rsid w:val="001E6062"/>
    <w:rPr>
      <w:rFonts w:ascii="Arial" w:eastAsia="Times New Roman" w:hAnsi="Arial"/>
      <w:b/>
      <w:bCs/>
      <w:caps/>
      <w:color w:val="000000" w:themeColor="text1"/>
      <w:kern w:val="28"/>
      <w:sz w:val="56"/>
      <w:szCs w:val="32"/>
      <w:lang w:eastAsia="cs-CZ"/>
    </w:rPr>
  </w:style>
  <w:style w:type="paragraph" w:styleId="Podnadpis">
    <w:name w:val="Subtitle"/>
    <w:link w:val="PodnadpisChar"/>
    <w:uiPriority w:val="11"/>
    <w:qFormat/>
    <w:rsid w:val="001E6062"/>
    <w:pPr>
      <w:spacing w:line="288" w:lineRule="auto"/>
    </w:pPr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character" w:customStyle="1" w:styleId="PodnadpisChar">
    <w:name w:val="Podnadpis Char"/>
    <w:link w:val="Podnadpis"/>
    <w:uiPriority w:val="11"/>
    <w:rsid w:val="001E6062"/>
    <w:rPr>
      <w:rFonts w:ascii="Arial" w:eastAsia="Times New Roman" w:hAnsi="Arial" w:cs="Arial"/>
      <w:b/>
      <w:color w:val="000000" w:themeColor="text1"/>
      <w:sz w:val="28"/>
      <w:szCs w:val="24"/>
      <w:lang w:eastAsia="cs-CZ"/>
    </w:rPr>
  </w:style>
  <w:style w:type="paragraph" w:styleId="Obsah2">
    <w:name w:val="toc 2"/>
    <w:basedOn w:val="Obsahpoloky"/>
    <w:next w:val="Obsahpoloky"/>
    <w:autoRedefine/>
    <w:uiPriority w:val="39"/>
    <w:unhideWhenUsed/>
    <w:rsid w:val="00FC1A95"/>
    <w:pPr>
      <w:ind w:left="200"/>
    </w:pPr>
  </w:style>
  <w:style w:type="paragraph" w:styleId="Obsah3">
    <w:name w:val="toc 3"/>
    <w:basedOn w:val="Obsahpoloky"/>
    <w:next w:val="Obsahpoloky"/>
    <w:autoRedefine/>
    <w:uiPriority w:val="39"/>
    <w:unhideWhenUsed/>
    <w:rsid w:val="00FC1A95"/>
    <w:pPr>
      <w:ind w:left="400"/>
    </w:pPr>
  </w:style>
  <w:style w:type="paragraph" w:styleId="Obsah4">
    <w:name w:val="toc 4"/>
    <w:basedOn w:val="Obsahpoloky"/>
    <w:next w:val="Obsahpoloky"/>
    <w:autoRedefine/>
    <w:uiPriority w:val="39"/>
    <w:unhideWhenUsed/>
    <w:rsid w:val="00FC1A95"/>
    <w:pPr>
      <w:ind w:left="600"/>
    </w:pPr>
  </w:style>
  <w:style w:type="paragraph" w:styleId="Obsah5">
    <w:name w:val="toc 5"/>
    <w:basedOn w:val="Obsahpoloky"/>
    <w:next w:val="Obsahpoloky"/>
    <w:autoRedefine/>
    <w:uiPriority w:val="39"/>
    <w:semiHidden/>
    <w:unhideWhenUsed/>
    <w:rsid w:val="00FC1A95"/>
    <w:pPr>
      <w:ind w:left="800"/>
    </w:pPr>
  </w:style>
  <w:style w:type="paragraph" w:styleId="Obsah6">
    <w:name w:val="toc 6"/>
    <w:basedOn w:val="Obsahpoloky"/>
    <w:next w:val="Obsahpoloky"/>
    <w:autoRedefine/>
    <w:uiPriority w:val="39"/>
    <w:semiHidden/>
    <w:unhideWhenUsed/>
    <w:rsid w:val="00FC1A95"/>
    <w:pPr>
      <w:ind w:left="1000"/>
    </w:pPr>
  </w:style>
  <w:style w:type="paragraph" w:styleId="Obsah7">
    <w:name w:val="toc 7"/>
    <w:basedOn w:val="Obsahpoloky"/>
    <w:next w:val="Obsahpoloky"/>
    <w:autoRedefine/>
    <w:uiPriority w:val="39"/>
    <w:semiHidden/>
    <w:unhideWhenUsed/>
    <w:rsid w:val="00FC1A95"/>
    <w:pPr>
      <w:ind w:left="1200"/>
    </w:pPr>
  </w:style>
  <w:style w:type="paragraph" w:styleId="Obsah8">
    <w:name w:val="toc 8"/>
    <w:basedOn w:val="Obsahpoloky"/>
    <w:next w:val="Obsahpoloky"/>
    <w:autoRedefine/>
    <w:uiPriority w:val="39"/>
    <w:semiHidden/>
    <w:unhideWhenUsed/>
    <w:rsid w:val="00FC1A95"/>
    <w:pPr>
      <w:ind w:left="1400"/>
    </w:pPr>
  </w:style>
  <w:style w:type="paragraph" w:styleId="Obsah9">
    <w:name w:val="toc 9"/>
    <w:basedOn w:val="Obsahpoloky"/>
    <w:next w:val="Obsahpoloky"/>
    <w:autoRedefine/>
    <w:uiPriority w:val="39"/>
    <w:semiHidden/>
    <w:unhideWhenUsed/>
    <w:rsid w:val="00924AC8"/>
    <w:pPr>
      <w:ind w:left="1600"/>
    </w:pPr>
  </w:style>
  <w:style w:type="character" w:customStyle="1" w:styleId="Nadpis5Char">
    <w:name w:val="Nadpis 5 Char"/>
    <w:basedOn w:val="Standardnpsmoodstavce"/>
    <w:link w:val="Nadpis5"/>
    <w:uiPriority w:val="9"/>
    <w:semiHidden/>
    <w:rsid w:val="007A516D"/>
    <w:rPr>
      <w:rFonts w:asciiTheme="majorHAnsi" w:eastAsiaTheme="majorEastAsia" w:hAnsiTheme="majorHAnsi" w:cstheme="majorBidi"/>
      <w:color w:val="243F60" w:themeColor="accent1" w:themeShade="7F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516D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516D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A516D"/>
    <w:rPr>
      <w:rFonts w:asciiTheme="majorHAnsi" w:eastAsiaTheme="majorEastAsia" w:hAnsiTheme="majorHAnsi" w:cstheme="majorBidi"/>
      <w:color w:val="404040" w:themeColor="text1" w:themeTint="BF"/>
      <w:lang w:eastAsia="cs-CZ"/>
    </w:rPr>
  </w:style>
  <w:style w:type="paragraph" w:styleId="Textpoznpodarou">
    <w:name w:val="footnote text"/>
    <w:aliases w:val="Text pozn. pod čarou_martin_ang"/>
    <w:basedOn w:val="Normln"/>
    <w:link w:val="TextpoznpodarouChar"/>
    <w:qFormat/>
    <w:rsid w:val="008E7FC9"/>
    <w:pPr>
      <w:spacing w:after="0" w:line="240" w:lineRule="auto"/>
      <w:jc w:val="left"/>
    </w:pPr>
    <w:rPr>
      <w:rFonts w:eastAsia="Calibri"/>
      <w:szCs w:val="20"/>
    </w:rPr>
  </w:style>
  <w:style w:type="character" w:customStyle="1" w:styleId="TextpoznpodarouChar">
    <w:name w:val="Text pozn. pod čarou Char"/>
    <w:aliases w:val="Text pozn. pod čarou_martin_ang Char"/>
    <w:basedOn w:val="Standardnpsmoodstavce"/>
    <w:link w:val="Textpoznpodarou"/>
    <w:qFormat/>
    <w:rsid w:val="008E7FC9"/>
    <w:rPr>
      <w:rFonts w:ascii="Arial" w:hAnsi="Arial"/>
      <w:lang w:eastAsia="cs-CZ"/>
    </w:rPr>
  </w:style>
  <w:style w:type="paragraph" w:styleId="Bezmezer">
    <w:name w:val="No Spacing"/>
    <w:uiPriority w:val="1"/>
    <w:qFormat/>
    <w:rsid w:val="00AD68C4"/>
    <w:pPr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Marginlie">
    <w:name w:val="Marginálie"/>
    <w:basedOn w:val="Normln"/>
    <w:qFormat/>
    <w:rsid w:val="0089296D"/>
    <w:pPr>
      <w:spacing w:after="0"/>
      <w:jc w:val="left"/>
    </w:pPr>
    <w:rPr>
      <w:spacing w:val="-2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6B0F92"/>
    <w:pPr>
      <w:ind w:left="720"/>
      <w:contextualSpacing/>
    </w:pPr>
  </w:style>
  <w:style w:type="paragraph" w:customStyle="1" w:styleId="Normalodrka">
    <w:name w:val="Normal odrážka"/>
    <w:qFormat/>
    <w:rsid w:val="006B0F92"/>
    <w:pPr>
      <w:numPr>
        <w:numId w:val="20"/>
      </w:numPr>
      <w:spacing w:after="240" w:line="276" w:lineRule="auto"/>
      <w:ind w:left="357" w:hanging="357"/>
      <w:jc w:val="both"/>
    </w:pPr>
    <w:rPr>
      <w:rFonts w:ascii="Arial" w:eastAsia="Times New Roman" w:hAnsi="Arial"/>
      <w:szCs w:val="24"/>
      <w:lang w:eastAsia="cs-CZ"/>
    </w:rPr>
  </w:style>
  <w:style w:type="paragraph" w:customStyle="1" w:styleId="Box1">
    <w:name w:val="Box 1"/>
    <w:next w:val="Normln"/>
    <w:qFormat/>
    <w:rsid w:val="00EA0987"/>
    <w:pPr>
      <w:shd w:val="clear" w:color="auto" w:fill="F0F6E9"/>
      <w:spacing w:before="240" w:after="240" w:line="276" w:lineRule="auto"/>
      <w:ind w:left="709"/>
      <w:contextualSpacing/>
      <w:jc w:val="both"/>
    </w:pPr>
    <w:rPr>
      <w:rFonts w:ascii="Arial" w:hAnsi="Arial" w:cs="Arial"/>
      <w:lang w:eastAsia="cs-CZ"/>
    </w:rPr>
  </w:style>
  <w:style w:type="paragraph" w:customStyle="1" w:styleId="Box2">
    <w:name w:val="Box 2"/>
    <w:next w:val="Normln"/>
    <w:qFormat/>
    <w:rsid w:val="00EA0987"/>
    <w:pPr>
      <w:spacing w:before="240" w:after="240" w:line="276" w:lineRule="auto"/>
      <w:ind w:left="709"/>
      <w:contextualSpacing/>
      <w:jc w:val="both"/>
    </w:pPr>
    <w:rPr>
      <w:rFonts w:ascii="Arial" w:hAnsi="Arial" w:cs="Arial"/>
      <w:b/>
      <w:color w:val="86BF5E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1E6062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32"/>
    <w:qFormat/>
    <w:rsid w:val="001E6062"/>
    <w:rPr>
      <w:b/>
      <w:bCs/>
      <w:smallCaps/>
      <w:color w:val="000000" w:themeColor="text1"/>
      <w:spacing w:val="5"/>
    </w:rPr>
  </w:style>
  <w:style w:type="character" w:styleId="Znakapoznpodarou">
    <w:name w:val="footnote reference"/>
    <w:basedOn w:val="Standardnpsmoodstavce"/>
    <w:rsid w:val="009324EF"/>
    <w:rPr>
      <w:rFonts w:cs="Times New Roman"/>
      <w:vertAlign w:val="superscript"/>
    </w:rPr>
  </w:style>
  <w:style w:type="paragraph" w:customStyle="1" w:styleId="Nadpis11">
    <w:name w:val="Nadpis 11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paragraph" w:customStyle="1" w:styleId="Textpoznpodarou1">
    <w:name w:val="Text pozn. pod čarou1"/>
    <w:basedOn w:val="Normln"/>
    <w:qFormat/>
    <w:rsid w:val="009324EF"/>
    <w:pPr>
      <w:spacing w:after="0" w:line="240" w:lineRule="auto"/>
      <w:jc w:val="left"/>
    </w:pPr>
    <w:rPr>
      <w:rFonts w:eastAsia="Calibri"/>
      <w:szCs w:val="20"/>
    </w:rPr>
  </w:style>
  <w:style w:type="character" w:styleId="Zdraznn">
    <w:name w:val="Emphasis"/>
    <w:basedOn w:val="Standardnpsmoodstavce"/>
    <w:uiPriority w:val="20"/>
    <w:qFormat/>
    <w:rsid w:val="009324EF"/>
    <w:rPr>
      <w:i/>
      <w:iCs/>
    </w:rPr>
  </w:style>
  <w:style w:type="character" w:customStyle="1" w:styleId="normaltextrun">
    <w:name w:val="normaltextrun"/>
    <w:basedOn w:val="Standardnpsmoodstavce"/>
    <w:rsid w:val="009324EF"/>
  </w:style>
  <w:style w:type="paragraph" w:customStyle="1" w:styleId="paragraph">
    <w:name w:val="paragraph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eop">
    <w:name w:val="eop"/>
    <w:basedOn w:val="Standardnpsmoodstavce"/>
    <w:rsid w:val="009324EF"/>
  </w:style>
  <w:style w:type="table" w:styleId="Mkatabulky">
    <w:name w:val="Table Grid"/>
    <w:basedOn w:val="Normlntabulka"/>
    <w:uiPriority w:val="59"/>
    <w:rsid w:val="009324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dpisobsahu">
    <w:name w:val="TOC Heading"/>
    <w:basedOn w:val="Nadpis1"/>
    <w:next w:val="Normln"/>
    <w:uiPriority w:val="39"/>
    <w:unhideWhenUsed/>
    <w:qFormat/>
    <w:rsid w:val="009324EF"/>
    <w:pPr>
      <w:spacing w:before="240"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9324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324E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324EF"/>
    <w:rPr>
      <w:rFonts w:ascii="Arial" w:eastAsia="Times New Roman" w:hAnsi="Arial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324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324EF"/>
    <w:rPr>
      <w:rFonts w:ascii="Arial" w:eastAsia="Times New Roman" w:hAnsi="Arial"/>
      <w:b/>
      <w:bCs/>
      <w:lang w:eastAsia="cs-CZ"/>
    </w:rPr>
  </w:style>
  <w:style w:type="paragraph" w:styleId="Rozloendokumentu">
    <w:name w:val="Document Map"/>
    <w:basedOn w:val="Normln"/>
    <w:link w:val="RozloendokumentuChar"/>
    <w:uiPriority w:val="99"/>
    <w:semiHidden/>
    <w:rsid w:val="009324EF"/>
    <w:pPr>
      <w:spacing w:after="0" w:line="288" w:lineRule="auto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9324EF"/>
    <w:rPr>
      <w:rFonts w:ascii="Tahoma" w:hAnsi="Tahoma" w:cs="Tahoma"/>
      <w:sz w:val="16"/>
      <w:szCs w:val="16"/>
      <w:lang w:eastAsia="cs-CZ"/>
    </w:rPr>
  </w:style>
  <w:style w:type="paragraph" w:customStyle="1" w:styleId="Nadpis12">
    <w:name w:val="Nadpis 12"/>
    <w:basedOn w:val="Normln"/>
    <w:uiPriority w:val="9"/>
    <w:qFormat/>
    <w:rsid w:val="009324EF"/>
    <w:pPr>
      <w:keepNext/>
      <w:keepLines/>
      <w:spacing w:after="100"/>
      <w:contextualSpacing/>
      <w:jc w:val="left"/>
      <w:outlineLvl w:val="0"/>
    </w:pPr>
    <w:rPr>
      <w:rFonts w:eastAsia="MS Gothic"/>
      <w:b/>
      <w:bCs/>
      <w:color w:val="71818C"/>
      <w:sz w:val="32"/>
      <w:szCs w:val="28"/>
    </w:rPr>
  </w:style>
  <w:style w:type="character" w:customStyle="1" w:styleId="spelle">
    <w:name w:val="spelle"/>
    <w:basedOn w:val="Standardnpsmoodstavce"/>
    <w:rsid w:val="009324EF"/>
  </w:style>
  <w:style w:type="paragraph" w:styleId="Revize">
    <w:name w:val="Revision"/>
    <w:hidden/>
    <w:uiPriority w:val="99"/>
    <w:semiHidden/>
    <w:rsid w:val="009324EF"/>
    <w:rPr>
      <w:rFonts w:ascii="Arial" w:eastAsia="Times New Roman" w:hAnsi="Arial"/>
      <w:szCs w:val="24"/>
      <w:lang w:eastAsia="cs-CZ"/>
    </w:rPr>
  </w:style>
  <w:style w:type="character" w:customStyle="1" w:styleId="odkaz-style-wrapper">
    <w:name w:val="odkaz-style-wrapper"/>
    <w:basedOn w:val="Standardnpsmoodstavce"/>
    <w:rsid w:val="009324EF"/>
  </w:style>
  <w:style w:type="character" w:customStyle="1" w:styleId="tabulka">
    <w:name w:val="tabulka"/>
    <w:basedOn w:val="Standardnpsmoodstavce"/>
    <w:rsid w:val="009324EF"/>
  </w:style>
  <w:style w:type="paragraph" w:customStyle="1" w:styleId="Default">
    <w:name w:val="Default"/>
    <w:rsid w:val="009324E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324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hAnsi="Courier New" w:cs="Courier New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324EF"/>
    <w:rPr>
      <w:rFonts w:ascii="Courier New" w:eastAsia="Times New Roman" w:hAnsi="Courier New" w:cs="Courier New"/>
      <w:lang w:eastAsia="cs-CZ"/>
    </w:rPr>
  </w:style>
  <w:style w:type="paragraph" w:customStyle="1" w:styleId="cay">
    <w:name w:val="c_ay"/>
    <w:basedOn w:val="Normln"/>
    <w:rsid w:val="009324EF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cew">
    <w:name w:val="c_ew"/>
    <w:basedOn w:val="Standardnpsmoodstavce"/>
    <w:rsid w:val="009324EF"/>
  </w:style>
  <w:style w:type="character" w:styleId="Sledovanodkaz">
    <w:name w:val="FollowedHyperlink"/>
    <w:basedOn w:val="Standardnpsmoodstavce"/>
    <w:uiPriority w:val="99"/>
    <w:semiHidden/>
    <w:unhideWhenUsed/>
    <w:rsid w:val="009324EF"/>
    <w:rPr>
      <w:color w:val="800080" w:themeColor="followedHyperlink"/>
      <w:u w:val="single"/>
    </w:rPr>
  </w:style>
  <w:style w:type="character" w:customStyle="1" w:styleId="cfu">
    <w:name w:val="c_fu"/>
    <w:basedOn w:val="Standardnpsmoodstavce"/>
    <w:rsid w:val="009324EF"/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324EF"/>
    <w:rPr>
      <w:rFonts w:ascii="Arial" w:eastAsia="Times New Roman" w:hAnsi="Arial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B2F43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B2F43"/>
    <w:rPr>
      <w:rFonts w:ascii="Arial" w:eastAsia="Times New Roman" w:hAnsi="Arial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BB2F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bojnikova31519.CZSO\Downloads\Form_c444_Publikace_regiony%20a%20zeme%20-%20analyzy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czsocz-my.sharepoint.com/personal/karolina_zabojnikova_czso_cz/Documents/Dokumenty/Anal&#253;za/Q/2026Q2/Makroanal&#253;za%20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324074074074073E-2"/>
          <c:y val="4.0005727376861394E-2"/>
          <c:w val="0.88059911616161612"/>
          <c:h val="0.76044243986254301"/>
        </c:manualLayout>
      </c:layout>
      <c:barChart>
        <c:barDir val="col"/>
        <c:grouping val="clustered"/>
        <c:varyColors val="0"/>
        <c:ser>
          <c:idx val="2"/>
          <c:order val="2"/>
          <c:tx>
            <c:strRef>
              <c:f>'Vnější vztahy'!$E$6</c:f>
              <c:strCache>
                <c:ptCount val="1"/>
                <c:pt idx="0">
                  <c:v>Bilance</c:v>
                </c:pt>
              </c:strCache>
            </c:strRef>
          </c:tx>
          <c:spPr>
            <a:solidFill>
              <a:srgbClr val="85898E"/>
            </a:solidFill>
            <a:ln>
              <a:noFill/>
            </a:ln>
            <a:effectLst/>
          </c:spPr>
          <c:invertIfNegative val="0"/>
          <c:cat>
            <c:multiLvlStrRef>
              <c:f>'Vnější vztahy'!$A$15:$B$36</c:f>
              <c:multiLvlStrCache>
                <c:ptCount val="2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'Vnější vztahy'!$E$15:$E$36</c:f>
              <c:numCache>
                <c:formatCode>0.0</c:formatCode>
                <c:ptCount val="22"/>
                <c:pt idx="0">
                  <c:v>60.916821217999995</c:v>
                </c:pt>
                <c:pt idx="1">
                  <c:v>13.848192235000001</c:v>
                </c:pt>
                <c:pt idx="2">
                  <c:v>-54.700282055000002</c:v>
                </c:pt>
                <c:pt idx="3">
                  <c:v>-29.269374235000001</c:v>
                </c:pt>
                <c:pt idx="4">
                  <c:v>-12.635912592</c:v>
                </c:pt>
                <c:pt idx="5">
                  <c:v>-73.225200095999995</c:v>
                </c:pt>
                <c:pt idx="6">
                  <c:v>-64.314002961</c:v>
                </c:pt>
                <c:pt idx="7">
                  <c:v>-54.639469009000003</c:v>
                </c:pt>
                <c:pt idx="8">
                  <c:v>40.885161205999999</c:v>
                </c:pt>
                <c:pt idx="9">
                  <c:v>36.180839551999995</c:v>
                </c:pt>
                <c:pt idx="10">
                  <c:v>-1.2235418870000001</c:v>
                </c:pt>
                <c:pt idx="11">
                  <c:v>46.660049057999998</c:v>
                </c:pt>
                <c:pt idx="12">
                  <c:v>82.282917839000007</c:v>
                </c:pt>
                <c:pt idx="13">
                  <c:v>70.988541018000006</c:v>
                </c:pt>
                <c:pt idx="14">
                  <c:v>27.293198606000001</c:v>
                </c:pt>
                <c:pt idx="15">
                  <c:v>39.924275514999998</c:v>
                </c:pt>
                <c:pt idx="16">
                  <c:v>75.084966225000002</c:v>
                </c:pt>
                <c:pt idx="17">
                  <c:v>54.708442980000001</c:v>
                </c:pt>
                <c:pt idx="18">
                  <c:v>23.806886026000001</c:v>
                </c:pt>
                <c:pt idx="19">
                  <c:v>46.629236237000001</c:v>
                </c:pt>
                <c:pt idx="20">
                  <c:v>70.187980299999992</c:v>
                </c:pt>
                <c:pt idx="21">
                  <c:v>32.335529342999997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E5-4D90-817E-C01010A321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1842150016"/>
        <c:axId val="1842137120"/>
      </c:barChart>
      <c:lineChart>
        <c:grouping val="standard"/>
        <c:varyColors val="0"/>
        <c:ser>
          <c:idx val="0"/>
          <c:order val="0"/>
          <c:tx>
            <c:strRef>
              <c:f>'Vnější vztahy'!$C$6</c:f>
              <c:strCache>
                <c:ptCount val="1"/>
                <c:pt idx="0">
                  <c:v>Vývoz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dash"/>
            <c:size val="9"/>
            <c:spPr>
              <a:solidFill>
                <a:srgbClr val="174F70"/>
              </a:solidFill>
              <a:ln w="9525">
                <a:noFill/>
              </a:ln>
              <a:effectLst/>
            </c:spPr>
          </c:marker>
          <c:cat>
            <c:multiLvlStrRef>
              <c:f>'Vnější vztahy'!$A$15:$B$36</c:f>
              <c:multiLvlStrCache>
                <c:ptCount val="2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'Vnější vztahy'!$C$15:$C$36</c:f>
              <c:numCache>
                <c:formatCode>#\ ##0.0</c:formatCode>
                <c:ptCount val="22"/>
                <c:pt idx="0">
                  <c:v>10.962313304399999</c:v>
                </c:pt>
                <c:pt idx="1">
                  <c:v>41.981094956100009</c:v>
                </c:pt>
                <c:pt idx="2">
                  <c:v>3.4515742189000065</c:v>
                </c:pt>
                <c:pt idx="3">
                  <c:v>2.749198525500006</c:v>
                </c:pt>
                <c:pt idx="4">
                  <c:v>8.0064988441999958</c:v>
                </c:pt>
                <c:pt idx="5">
                  <c:v>11.287163968300007</c:v>
                </c:pt>
                <c:pt idx="6">
                  <c:v>22.470879917399998</c:v>
                </c:pt>
                <c:pt idx="7">
                  <c:v>13.234980039600003</c:v>
                </c:pt>
                <c:pt idx="8">
                  <c:v>10.691327997000002</c:v>
                </c:pt>
                <c:pt idx="9">
                  <c:v>0.90534101039999371</c:v>
                </c:pt>
                <c:pt idx="10">
                  <c:v>-6.7264620790000009</c:v>
                </c:pt>
                <c:pt idx="11">
                  <c:v>-1.1504207308999952</c:v>
                </c:pt>
                <c:pt idx="12">
                  <c:v>-8.6901433099995984E-2</c:v>
                </c:pt>
                <c:pt idx="13">
                  <c:v>4.7005744015000062</c:v>
                </c:pt>
                <c:pt idx="14">
                  <c:v>10.984825847799996</c:v>
                </c:pt>
                <c:pt idx="15">
                  <c:v>4.9824641242999945</c:v>
                </c:pt>
                <c:pt idx="16">
                  <c:v>6.048075254400004</c:v>
                </c:pt>
                <c:pt idx="17">
                  <c:v>2.7784805529999943</c:v>
                </c:pt>
                <c:pt idx="18">
                  <c:v>0.87044595470000274</c:v>
                </c:pt>
                <c:pt idx="19">
                  <c:v>-0.39807086150000259</c:v>
                </c:pt>
                <c:pt idx="20">
                  <c:v>0.11852384350000023</c:v>
                </c:pt>
                <c:pt idx="21">
                  <c:v>5.1690421896000061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E5-4D90-817E-C01010A321F1}"/>
            </c:ext>
          </c:extLst>
        </c:ser>
        <c:ser>
          <c:idx val="1"/>
          <c:order val="1"/>
          <c:tx>
            <c:strRef>
              <c:f>'Vnější vztahy'!$D$6</c:f>
              <c:strCache>
                <c:ptCount val="1"/>
                <c:pt idx="0">
                  <c:v>Dovoz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dash"/>
            <c:size val="9"/>
            <c:spPr>
              <a:solidFill>
                <a:srgbClr val="BC5B80"/>
              </a:solidFill>
              <a:ln w="9525">
                <a:noFill/>
              </a:ln>
              <a:effectLst/>
            </c:spPr>
          </c:marker>
          <c:cat>
            <c:multiLvlStrRef>
              <c:f>'Vnější vztahy'!$A$15:$B$36</c:f>
              <c:multiLvlStrCache>
                <c:ptCount val="22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1</c:v>
                  </c:pt>
                  <c:pt idx="5">
                    <c:v>2</c:v>
                  </c:pt>
                  <c:pt idx="6">
                    <c:v>3</c:v>
                  </c:pt>
                  <c:pt idx="7">
                    <c:v>4</c:v>
                  </c:pt>
                  <c:pt idx="8">
                    <c:v>1</c:v>
                  </c:pt>
                  <c:pt idx="9">
                    <c:v>2</c:v>
                  </c:pt>
                  <c:pt idx="10">
                    <c:v>3</c:v>
                  </c:pt>
                  <c:pt idx="11">
                    <c:v>4</c:v>
                  </c:pt>
                  <c:pt idx="12">
                    <c:v>1</c:v>
                  </c:pt>
                  <c:pt idx="13">
                    <c:v>2</c:v>
                  </c:pt>
                  <c:pt idx="14">
                    <c:v>3</c:v>
                  </c:pt>
                  <c:pt idx="15">
                    <c:v>4</c:v>
                  </c:pt>
                  <c:pt idx="16">
                    <c:v>1</c:v>
                  </c:pt>
                  <c:pt idx="17">
                    <c:v>2</c:v>
                  </c:pt>
                  <c:pt idx="18">
                    <c:v>3</c:v>
                  </c:pt>
                  <c:pt idx="19">
                    <c:v>4</c:v>
                  </c:pt>
                  <c:pt idx="20">
                    <c:v>1</c:v>
                  </c:pt>
                  <c:pt idx="21">
                    <c:v>2</c:v>
                  </c:pt>
                </c:lvl>
                <c:lvl>
                  <c:pt idx="0">
                    <c:v>2021</c:v>
                  </c:pt>
                  <c:pt idx="4">
                    <c:v>2022</c:v>
                  </c:pt>
                  <c:pt idx="8">
                    <c:v>2023</c:v>
                  </c:pt>
                  <c:pt idx="12">
                    <c:v>2024</c:v>
                  </c:pt>
                  <c:pt idx="16">
                    <c:v>2025</c:v>
                  </c:pt>
                  <c:pt idx="20">
                    <c:v>2026</c:v>
                  </c:pt>
                </c:lvl>
              </c:multiLvlStrCache>
            </c:multiLvlStrRef>
          </c:cat>
          <c:val>
            <c:numRef>
              <c:f>'Vnější vztahy'!$D$15:$D$36</c:f>
              <c:numCache>
                <c:formatCode>#\ ##0.0</c:formatCode>
                <c:ptCount val="22"/>
                <c:pt idx="0">
                  <c:v>8.4767312925000056</c:v>
                </c:pt>
                <c:pt idx="1">
                  <c:v>41.887499316600014</c:v>
                </c:pt>
                <c:pt idx="2">
                  <c:v>17.303793961099998</c:v>
                </c:pt>
                <c:pt idx="3">
                  <c:v>14.923030300799994</c:v>
                </c:pt>
                <c:pt idx="4">
                  <c:v>16.659765110899997</c:v>
                </c:pt>
                <c:pt idx="5">
                  <c:v>20.193090002000005</c:v>
                </c:pt>
                <c:pt idx="6">
                  <c:v>22.188267180799997</c:v>
                </c:pt>
                <c:pt idx="7">
                  <c:v>15.2991180633</c:v>
                </c:pt>
                <c:pt idx="8">
                  <c:v>5.5018043466999984</c:v>
                </c:pt>
                <c:pt idx="9">
                  <c:v>-8.2960208406999953</c:v>
                </c:pt>
                <c:pt idx="10">
                  <c:v>-11.801975368499996</c:v>
                </c:pt>
                <c:pt idx="11">
                  <c:v>-9.5344571271999996</c:v>
                </c:pt>
                <c:pt idx="12">
                  <c:v>-3.8011078601000037</c:v>
                </c:pt>
                <c:pt idx="13">
                  <c:v>1.682577773999995</c:v>
                </c:pt>
                <c:pt idx="14">
                  <c:v>8.1790772874000055</c:v>
                </c:pt>
                <c:pt idx="15">
                  <c:v>5.8165725733999949</c:v>
                </c:pt>
                <c:pt idx="16">
                  <c:v>7.1825560853999946</c:v>
                </c:pt>
                <c:pt idx="17">
                  <c:v>4.4148253775999962</c:v>
                </c:pt>
                <c:pt idx="18">
                  <c:v>1.2075467499000041</c:v>
                </c:pt>
                <c:pt idx="19">
                  <c:v>-0.99521934899999565</c:v>
                </c:pt>
                <c:pt idx="20">
                  <c:v>0.55200773560000016</c:v>
                </c:pt>
                <c:pt idx="21">
                  <c:v>7.3327812705999946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DE5-4D90-817E-C01010A321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21653648"/>
        <c:axId val="1621653232"/>
      </c:lineChart>
      <c:catAx>
        <c:axId val="162165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cs-CZ"/>
          </a:p>
        </c:txPr>
        <c:crossAx val="1621653232"/>
        <c:crosses val="autoZero"/>
        <c:auto val="1"/>
        <c:lblAlgn val="ctr"/>
        <c:lblOffset val="100"/>
        <c:noMultiLvlLbl val="0"/>
      </c:catAx>
      <c:valAx>
        <c:axId val="1621653232"/>
        <c:scaling>
          <c:orientation val="minMax"/>
          <c:min val="-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cs-CZ"/>
          </a:p>
        </c:txPr>
        <c:crossAx val="1621653648"/>
        <c:crosses val="autoZero"/>
        <c:crossBetween val="between"/>
      </c:valAx>
      <c:valAx>
        <c:axId val="1842137120"/>
        <c:scaling>
          <c:orientation val="minMax"/>
          <c:min val="-80"/>
        </c:scaling>
        <c:delete val="0"/>
        <c:axPos val="r"/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cs-CZ"/>
          </a:p>
        </c:txPr>
        <c:crossAx val="1842150016"/>
        <c:crosses val="max"/>
        <c:crossBetween val="between"/>
      </c:valAx>
      <c:catAx>
        <c:axId val="18421500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8421371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7334595959595941E-2"/>
          <c:y val="0.9241869988545246"/>
          <c:w val="0.85464057239057234"/>
          <c:h val="5.39916953035509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storieverze xmlns="8675fb2b-b414-4bad-b4c4-d9349268b5a1" xsi:nil="true"/>
    <Verzeform xmlns="8675fb2b-b414-4bad-b4c4-d9349268b5a1">v1.2</Verzeform>
    <Forma xmlns="8675fb2b-b414-4bad-b4c4-d9349268b5a1">
      <Value>Elektronická</Value>
    </Forma>
    <Vazbanaproces xmlns="8675fb2b-b414-4bad-b4c4-d9349268b5a1">179. Vnější komunikace
</Vazbanaproces>
    <Gestor xmlns="8675fb2b-b414-4bad-b4c4-d9349268b5a1">
      <UserInfo>
        <DisplayName>Novotný Michal</DisplayName>
        <AccountId>24</AccountId>
        <AccountType/>
      </UserInfo>
    </Gestor>
    <Form_c xmlns="8675fb2b-b414-4bad-b4c4-d9349268b5a1">444</Form_c>
    <NazevForm xmlns="8675fb2b-b414-4bad-b4c4-d9349268b5a1">Publikace CZ barevná - regiony a země - analýzy</NazevForm>
    <UcinnostOdForm xmlns="8675fb2b-b414-4bad-b4c4-d9349268b5a1">2026-09-06T22:00:00+00:00</UcinnostOdForm>
    <PredpisForm xmlns="8675fb2b-b414-4bad-b4c4-d9349268b5a1">Manuál značky a jednotného vizuálního stylu Českého statistického úřadu</PredpisForm>
    <UstanoveniForm xmlns="8675fb2b-b414-4bad-b4c4-d9349268b5a1" xsi:nil="true"/>
    <PoznForm xmlns="8675fb2b-b414-4bad-b4c4-d9349268b5a1" xsi:nil="true"/>
    <Oznaceni xmlns="8675fb2b-b414-4bad-b4c4-d9349268b5a1">Form_c444</Oznaceni>
    <UcinnostDoForm xmlns="8675fb2b-b414-4bad-b4c4-d9349268b5a1" xsi:nil="true"/>
    <Platnost xmlns="8675fb2b-b414-4bad-b4c4-d9349268b5a1">true</Platnost>
    <Odkaz xmlns="8675fb2b-b414-4bad-b4c4-d9349268b5a1">
      <Url xsi:nil="true"/>
      <Description xsi:nil="true"/>
    </Odkaz>
    <lcf76f155ced4ddcb4097134ff3c332f xmlns="8675fb2b-b414-4bad-b4c4-d9349268b5a1">
      <Terms xmlns="http://schemas.microsoft.com/office/infopath/2007/PartnerControls"/>
    </lcf76f155ced4ddcb4097134ff3c332f>
    <TaxCatchAll xmlns="406a38fe-c53c-4047-b0f8-c641386931ae" xsi:nil="true"/>
    <ProcDomena xmlns="406a38fe-c53c-4047-b0f8-c641386931ae">
      <Value>P4 Komunikace a propagace</Value>
    </ProcDomena>
    <DomenaForm xmlns="8675fb2b-b414-4bad-b4c4-d9349268b5a1" xsi:nil="true"/>
    <SiteKnihDok xmlns="406a38fe-c53c-4047-b0f8-c641386931ae">Vnitřní předpisy</SiteKnihDok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D76F913C5B1A4797255AD7259AA9ED" ma:contentTypeVersion="40" ma:contentTypeDescription="Vytvoří nový dokument" ma:contentTypeScope="" ma:versionID="110421115ddc15f999b8bb81d2de1ec1">
  <xsd:schema xmlns:xsd="http://www.w3.org/2001/XMLSchema" xmlns:xs="http://www.w3.org/2001/XMLSchema" xmlns:p="http://schemas.microsoft.com/office/2006/metadata/properties" xmlns:ns2="8675fb2b-b414-4bad-b4c4-d9349268b5a1" xmlns:ns3="406a38fe-c53c-4047-b0f8-c641386931ae" targetNamespace="http://schemas.microsoft.com/office/2006/metadata/properties" ma:root="true" ma:fieldsID="68ff216229c3f5ed4e0b6e8627bc5742" ns2:_="" ns3:_="">
    <xsd:import namespace="8675fb2b-b414-4bad-b4c4-d9349268b5a1"/>
    <xsd:import namespace="406a38fe-c53c-4047-b0f8-c641386931ae"/>
    <xsd:element name="properties">
      <xsd:complexType>
        <xsd:sequence>
          <xsd:element name="documentManagement">
            <xsd:complexType>
              <xsd:all>
                <xsd:element ref="ns2:Forma" minOccurs="0"/>
                <xsd:element ref="ns2:Verzeform" minOccurs="0"/>
                <xsd:element ref="ns2:Vazbanaproces" minOccurs="0"/>
                <xsd:element ref="ns2:Gestor" minOccurs="0"/>
                <xsd:element ref="ns2:Historieverze" minOccurs="0"/>
                <xsd:element ref="ns2:MediaServiceMetadata" minOccurs="0"/>
                <xsd:element ref="ns2:MediaServiceFastMetadata" minOccurs="0"/>
                <xsd:element ref="ns2:Form_c" minOccurs="0"/>
                <xsd:element ref="ns2:NazevForm" minOccurs="0"/>
                <xsd:element ref="ns2:UcinnostOdForm" minOccurs="0"/>
                <xsd:element ref="ns2:DomenaForm" minOccurs="0"/>
                <xsd:element ref="ns2:PredpisForm" minOccurs="0"/>
                <xsd:element ref="ns2:UstanoveniForm" minOccurs="0"/>
                <xsd:element ref="ns2:PoznForm" minOccurs="0"/>
                <xsd:element ref="ns2:Oznaceni" minOccurs="0"/>
                <xsd:element ref="ns2:UcinnostDoForm" minOccurs="0"/>
                <xsd:element ref="ns2:MediaServiceObjectDetectorVersions" minOccurs="0"/>
                <xsd:element ref="ns2:Platnost" minOccurs="0"/>
                <xsd:element ref="ns2:Odkaz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iteKnihDok" minOccurs="0"/>
                <xsd:element ref="ns3:ProcDome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5fb2b-b414-4bad-b4c4-d9349268b5a1" elementFormDefault="qualified">
    <xsd:import namespace="http://schemas.microsoft.com/office/2006/documentManagement/types"/>
    <xsd:import namespace="http://schemas.microsoft.com/office/infopath/2007/PartnerControls"/>
    <xsd:element name="Forma" ma:index="8" nillable="true" ma:displayName="Forma" ma:description="Forma formuláře" ma:format="Dropdown" ma:internalName="For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stinná  (analogová)"/>
                    <xsd:enumeration value="Elektronická"/>
                    <xsd:enumeration value="Formulář IS"/>
                  </xsd:restriction>
                </xsd:simpleType>
              </xsd:element>
            </xsd:sequence>
          </xsd:extension>
        </xsd:complexContent>
      </xsd:complexType>
    </xsd:element>
    <xsd:element name="Verzeform" ma:index="9" nillable="true" ma:displayName="Ver." ma:format="Dropdown" ma:internalName="Verzeform">
      <xsd:simpleType>
        <xsd:restriction base="dms:Text">
          <xsd:maxLength value="255"/>
        </xsd:restriction>
      </xsd:simpleType>
    </xsd:element>
    <xsd:element name="Vazbanaproces" ma:index="10" nillable="true" ma:displayName="Vazba na proces" ma:format="Dropdown" ma:internalName="Vazbanaproces">
      <xsd:simpleType>
        <xsd:restriction base="dms:Note">
          <xsd:maxLength value="255"/>
        </xsd:restriction>
      </xsd:simpleType>
    </xsd:element>
    <xsd:element name="Gestor" ma:index="11" nillable="true" ma:displayName="Gestor" ma:format="Dropdown" ma:list="UserInfo" ma:SharePointGroup="0" ma:internalName="Ges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storieverze" ma:index="12" nillable="true" ma:displayName="Historie verze" ma:format="Dropdown" ma:internalName="Historieverz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Form_c" ma:index="15" nillable="true" ma:displayName="Form_c" ma:format="Dropdown" ma:internalName="Form_c" ma:percentage="FALSE">
      <xsd:simpleType>
        <xsd:restriction base="dms:Number"/>
      </xsd:simpleType>
    </xsd:element>
    <xsd:element name="NazevForm" ma:index="16" nillable="true" ma:displayName="Název formuláře" ma:internalName="NazevForm">
      <xsd:simpleType>
        <xsd:restriction base="dms:Text">
          <xsd:maxLength value="255"/>
        </xsd:restriction>
      </xsd:simpleType>
    </xsd:element>
    <xsd:element name="UcinnostOdForm" ma:index="17" nillable="true" ma:displayName="Účinnost od" ma:description="Datum účinnosti formuláře" ma:format="DateOnly" ma:internalName="UcinnostOdForm">
      <xsd:simpleType>
        <xsd:restriction base="dms:DateTime"/>
      </xsd:simpleType>
    </xsd:element>
    <xsd:element name="DomenaForm" ma:index="18" nillable="true" ma:displayName="Doména_old" ma:description="Na formuláře na procesní doménu" ma:format="Dropdown" ma:internalName="DomenaFor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. Koordinace a správa metodiky"/>
                    <xsd:enumeration value="H2. Posouzení požadavků"/>
                    <xsd:enumeration value="H3. Specifikace úlohy"/>
                    <xsd:enumeration value="H4. Příprava zpracování"/>
                    <xsd:enumeration value="H5. Sběr dat"/>
                    <xsd:enumeration value="H6. Statistické zpracování"/>
                    <xsd:enumeration value="H7. Analýza a tvorba výstupů"/>
                    <xsd:enumeration value="H8. Diseminace"/>
                    <xsd:enumeration value="H9. Evaluace"/>
                    <xsd:enumeration value="H10. Zpracování voleb"/>
                  </xsd:restriction>
                </xsd:simpleType>
              </xsd:element>
            </xsd:sequence>
          </xsd:extension>
        </xsd:complexContent>
      </xsd:complexType>
    </xsd:element>
    <xsd:element name="PredpisForm" ma:index="19" nillable="true" ma:displayName="Definiční předpis" ma:description="Definiční předpis formuláře" ma:format="Dropdown" ma:internalName="PredpisForm">
      <xsd:simpleType>
        <xsd:restriction base="dms:Text">
          <xsd:maxLength value="255"/>
        </xsd:restriction>
      </xsd:simpleType>
    </xsd:element>
    <xsd:element name="UstanoveniForm" ma:index="20" nillable="true" ma:displayName="Ustanovení" ma:description="Ustanovení (čl., odst., písm.)" ma:format="Dropdown" ma:internalName="UstanoveniForm">
      <xsd:simpleType>
        <xsd:restriction base="dms:Note">
          <xsd:maxLength value="255"/>
        </xsd:restriction>
      </xsd:simpleType>
    </xsd:element>
    <xsd:element name="PoznForm" ma:index="21" nillable="true" ma:displayName="Poznámka" ma:description="Poznámka k formuláři" ma:format="Dropdown" ma:internalName="PoznForm">
      <xsd:simpleType>
        <xsd:restriction base="dms:Note">
          <xsd:maxLength value="255"/>
        </xsd:restriction>
      </xsd:simpleType>
    </xsd:element>
    <xsd:element name="Oznaceni" ma:index="22" nillable="true" ma:displayName="Označení" ma:description="Označení formuláře" ma:format="Dropdown" ma:internalName="Oznaceni">
      <xsd:simpleType>
        <xsd:restriction base="dms:Text">
          <xsd:maxLength value="12"/>
        </xsd:restriction>
      </xsd:simpleType>
    </xsd:element>
    <xsd:element name="UcinnostDoForm" ma:index="23" nillable="true" ma:displayName="Účinnost do" ma:format="DateOnly" ma:internalName="UcinnostDoForm">
      <xsd:simpleType>
        <xsd:restriction base="dms:DateTim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latnost" ma:index="25" nillable="true" ma:displayName="Platnost" ma:default="1" ma:internalName="Platnost">
      <xsd:simpleType>
        <xsd:restriction base="dms:Boolean"/>
      </xsd:simpleType>
    </xsd:element>
    <xsd:element name="Odkaz" ma:index="26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31" nillable="true" ma:taxonomy="true" ma:internalName="lcf76f155ced4ddcb4097134ff3c332f" ma:taxonomyFieldName="MediaServiceImageTags" ma:displayName="Značky obrázků" ma:readOnly="false" ma:fieldId="{5cf76f15-5ced-4ddc-b409-7134ff3c332f}" ma:taxonomyMulti="true" ma:sspId="ba8a29a4-82ad-4cdb-8b82-dfa74bb481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3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6a38fe-c53c-4047-b0f8-c641386931ae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32" nillable="true" ma:displayName="Taxonomy Catch All Column" ma:hidden="true" ma:list="{d4d15468-1f14-4f0d-947e-4bef9f86f2ae}" ma:internalName="TaxCatchAll" ma:showField="CatchAllData" ma:web="406a38fe-c53c-4047-b0f8-c641386931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iteKnihDok" ma:index="37" nillable="true" ma:displayName="SiteKnihDok" ma:default="Vnitřní předpisy" ma:description="Seznam knihoven v Site Knihovna dokumentů ČSÚ" ma:format="Dropdown" ma:internalName="SiteKnihDok">
      <xsd:simpleType>
        <xsd:restriction base="dms:Choice">
          <xsd:enumeration value="Vnitřní předpisy"/>
          <xsd:enumeration value="Formuláře"/>
          <xsd:enumeration value="Návody a manuály"/>
          <xsd:enumeration value="Zápisy a reporty"/>
        </xsd:restriction>
      </xsd:simpleType>
    </xsd:element>
    <xsd:element name="ProcDomena" ma:index="38" nillable="true" ma:displayName="Procesní doména" ma:default="P1 Bezpečnost" ma:internalName="ProcDomen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1 Bezpečnost"/>
                    <xsd:enumeration value="P2 Účetnictví"/>
                    <xsd:enumeration value="P3 Správa dokumentů"/>
                    <xsd:enumeration value="P4 Komunikace a propagace"/>
                    <xsd:enumeration value="P5 Právní služby"/>
                    <xsd:enumeration value="P6 Personalistika"/>
                    <xsd:enumeration value="P7 Nákup a investice"/>
                    <xsd:enumeration value="P8 Projektové řízení"/>
                    <xsd:enumeration value="P9 IT"/>
                    <xsd:enumeration value="P10 Hospodaření, nakládání s majetkem a jeho správa"/>
                    <xsd:enumeration value="P11 Služební a pracovní tuzemské a zahraniční cesty"/>
                    <xsd:enumeration value="P12 Mezinárodní spolupráce"/>
                    <xsd:enumeration value="P13 Legislativa"/>
                    <xsd:enumeration value="R1 Interní audit"/>
                    <xsd:enumeration value="R2 Řízení a plánování"/>
                    <xsd:enumeration value="R3 Ochrana osobních údajů"/>
                    <xsd:enumeration value="R4 Finanční řízení"/>
                    <xsd:enumeration value="H1 Koordinace a správa metodiky"/>
                    <xsd:enumeration value="H2 Posouzení požadavků"/>
                    <xsd:enumeration value="H3 Specifikace úlohy"/>
                    <xsd:enumeration value="H4 Příprava zpracování"/>
                    <xsd:enumeration value="H5 Sběr dat"/>
                    <xsd:enumeration value="H6 Statistické zpracování"/>
                    <xsd:enumeration value="H7 Analýza a tvorba výstupů"/>
                    <xsd:enumeration value="H8 Diseminace"/>
                    <xsd:enumeration value="H9 Evaluace"/>
                    <xsd:enumeration value="H10 Zpracování voleb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4A6635-18E5-4C5D-A03B-290B098117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7681AD-41B0-431A-9D34-CF6700A12FAC}">
  <ds:schemaRefs>
    <ds:schemaRef ds:uri="http://schemas.microsoft.com/office/2006/metadata/properties"/>
    <ds:schemaRef ds:uri="http://schemas.microsoft.com/office/infopath/2007/PartnerControls"/>
    <ds:schemaRef ds:uri="8675fb2b-b414-4bad-b4c4-d9349268b5a1"/>
    <ds:schemaRef ds:uri="406a38fe-c53c-4047-b0f8-c641386931ae"/>
  </ds:schemaRefs>
</ds:datastoreItem>
</file>

<file path=customXml/itemProps3.xml><?xml version="1.0" encoding="utf-8"?>
<ds:datastoreItem xmlns:ds="http://schemas.openxmlformats.org/officeDocument/2006/customXml" ds:itemID="{4520BFF4-F202-41B8-B99D-38B5B9511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5fb2b-b414-4bad-b4c4-d9349268b5a1"/>
    <ds:schemaRef ds:uri="406a38fe-c53c-4047-b0f8-c64138693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A8A1E1-1E99-4B4F-B9B5-70567730AA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Form_c444_Publikace_regiony a zeme - analyzy.dotx</Template>
  <TotalTime>89</TotalTime>
  <Pages>4</Pages>
  <Words>1678</Words>
  <Characters>9903</Characters>
  <Application>Microsoft Office Word</Application>
  <DocSecurity>0</DocSecurity>
  <Lines>82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10" baseType="lpstr">
      <vt:lpstr/>
      <vt:lpstr/>
      <vt:lpstr>Styl: Nadpis 1</vt:lpstr>
      <vt:lpstr>    Styl: Nadpis 2</vt:lpstr>
      <vt:lpstr>        Styl: Nadpis 3</vt:lpstr>
      <vt:lpstr>        Styl: Nadpis 3</vt:lpstr>
      <vt:lpstr>    Styl: Nadpis 2</vt:lpstr>
      <vt:lpstr>        Styl: Nadpis 3</vt:lpstr>
      <vt:lpstr>    Styl: Nadpis 2</vt:lpstr>
      <vt:lpstr>        Styl: Nadpis 3</vt:lpstr>
    </vt:vector>
  </TitlesOfParts>
  <Company>CSU</Company>
  <LinksUpToDate>false</LinksUpToDate>
  <CharactersWithSpaces>11558</CharactersWithSpaces>
  <SharedDoc>false</SharedDoc>
  <HLinks>
    <vt:vector size="18" baseType="variant">
      <vt:variant>
        <vt:i4>7602181</vt:i4>
      </vt:variant>
      <vt:variant>
        <vt:i4>11092</vt:i4>
      </vt:variant>
      <vt:variant>
        <vt:i4>1025</vt:i4>
      </vt:variant>
      <vt:variant>
        <vt:i4>1</vt:i4>
      </vt:variant>
      <vt:variant>
        <vt:lpwstr>msoFAAF</vt:lpwstr>
      </vt:variant>
      <vt:variant>
        <vt:lpwstr/>
      </vt:variant>
      <vt:variant>
        <vt:i4>7995509</vt:i4>
      </vt:variant>
      <vt:variant>
        <vt:i4>-1</vt:i4>
      </vt:variant>
      <vt:variant>
        <vt:i4>2058</vt:i4>
      </vt:variant>
      <vt:variant>
        <vt:i4>1</vt:i4>
      </vt:variant>
      <vt:variant>
        <vt:lpwstr>CSU RGB CZ logo-02</vt:lpwstr>
      </vt:variant>
      <vt:variant>
        <vt:lpwstr/>
      </vt:variant>
      <vt:variant>
        <vt:i4>7929973</vt:i4>
      </vt:variant>
      <vt:variant>
        <vt:i4>-1</vt:i4>
      </vt:variant>
      <vt:variant>
        <vt:i4>2059</vt:i4>
      </vt:variant>
      <vt:variant>
        <vt:i4>1</vt:i4>
      </vt:variant>
      <vt:variant>
        <vt:lpwstr>CSU RGB CZ logo-01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Publikace CZ barevná - regiony a země - analýzy</dc:title>
  <dc:subject/>
  <dc:creator>Zábojníková Karolína</dc:creator>
  <cp:keywords/>
  <cp:lastModifiedBy>Zábojníková Karolína</cp:lastModifiedBy>
  <cp:revision>46</cp:revision>
  <cp:lastPrinted>2014-07-17T14:07:00Z</cp:lastPrinted>
  <dcterms:created xsi:type="dcterms:W3CDTF">2026-09-14T09:32:00Z</dcterms:created>
  <dcterms:modified xsi:type="dcterms:W3CDTF">2026-09-15T10:24:00Z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0x010100FBD76F913C5B1A4797255AD7259AA9ED</vt:lpwstr>
  </property>
  <property fmtid="{D5CDD505-2E9C-101B-9397-08002B2CF9AE}" pid="3" name="Názevformuláře">
    <vt:lpwstr>Publikace CZ barevné - vícetematické analýzy
</vt:lpwstr>
  </property>
  <property fmtid="{D5CDD505-2E9C-101B-9397-08002B2CF9AE}" pid="4" name="Vazbanaprocesnídoménu">
    <vt:lpwstr>;#4. Komunikace a propagace;#</vt:lpwstr>
  </property>
  <property fmtid="{D5CDD505-2E9C-101B-9397-08002B2CF9AE}" pid="5" name="Vazbanadefiničnípředpis">
    <vt:lpwstr>Manuál ke zveřejňování produktů ČSÚ
</vt:lpwstr>
  </property>
  <property fmtid="{D5CDD505-2E9C-101B-9397-08002B2CF9AE}" pid="6" name="Ustanovení">
    <vt:lpwstr>část první čl. 2, odst. 3b,c; část pátá; příloha 1
</vt:lpwstr>
  </property>
  <property fmtid="{D5CDD505-2E9C-101B-9397-08002B2CF9AE}" pid="7" name="Účinnostod">
    <vt:filetime>2018-04-17T07:00:00Z</vt:filetime>
  </property>
  <property fmtid="{D5CDD505-2E9C-101B-9397-08002B2CF9AE}" pid="8" name="Označení">
    <vt:lpwstr>Form_c444</vt:lpwstr>
  </property>
  <property fmtid="{D5CDD505-2E9C-101B-9397-08002B2CF9AE}" pid="9" name="MediaServiceImageTags">
    <vt:lpwstr/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