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71" w:rsidRPr="000732DB" w:rsidRDefault="00931F71" w:rsidP="00B17614">
      <w:pPr>
        <w:pStyle w:val="Nadpis1"/>
        <w:numPr>
          <w:ilvl w:val="0"/>
          <w:numId w:val="24"/>
        </w:numPr>
        <w:jc w:val="both"/>
      </w:pPr>
      <w:bookmarkStart w:id="0" w:name="_Toc436211326"/>
      <w:r>
        <w:t>Hrubá přidaná hodnota</w:t>
      </w:r>
      <w:bookmarkEnd w:id="0"/>
    </w:p>
    <w:tbl>
      <w:tblPr>
        <w:tblW w:w="5000" w:type="pct"/>
        <w:tblLayout w:type="fixed"/>
        <w:tblLook w:val="00A0"/>
      </w:tblPr>
      <w:tblGrid>
        <w:gridCol w:w="9854"/>
      </w:tblGrid>
      <w:tr w:rsidR="00931F71" w:rsidRPr="004F7A66" w:rsidTr="007C2359">
        <w:tc>
          <w:tcPr>
            <w:tcW w:w="5000" w:type="pct"/>
          </w:tcPr>
          <w:p w:rsidR="00931F71" w:rsidRPr="004F7A66" w:rsidRDefault="0042164D" w:rsidP="000F3D8C">
            <w:pPr>
              <w:pStyle w:val="Textpoznpodarou"/>
              <w:jc w:val="both"/>
              <w:rPr>
                <w:sz w:val="18"/>
                <w:szCs w:val="18"/>
              </w:rPr>
            </w:pPr>
            <w:r w:rsidRPr="004F7A66">
              <w:t xml:space="preserve">HDP </w:t>
            </w:r>
            <w:r w:rsidR="007C2359" w:rsidRPr="004F7A66">
              <w:t>je z hlediska strany nabídky určován hrubou přidanou hodnotou a saldem daní z produktů a dotací na</w:t>
            </w:r>
            <w:r w:rsidR="000F3D8C" w:rsidRPr="004F7A66">
              <w:t> </w:t>
            </w:r>
            <w:r w:rsidR="007C2359" w:rsidRPr="004F7A66">
              <w:t>produkty. Samotná hrubá přidaná hodnota reflektuje souhrnnou výkonnost odvětví</w:t>
            </w:r>
            <w:r w:rsidR="00D71E20">
              <w:t>,</w:t>
            </w:r>
            <w:r w:rsidR="007C2359" w:rsidRPr="004F7A66">
              <w:t xml:space="preserve"> a je tak „čistým“ ukazatelem výkonnosti ekonomiky</w:t>
            </w:r>
            <w:r w:rsidR="001D44C7">
              <w:t>.</w:t>
            </w:r>
          </w:p>
        </w:tc>
      </w:tr>
    </w:tbl>
    <w:p w:rsidR="00931F71" w:rsidRPr="006B2A0F" w:rsidRDefault="00931F71" w:rsidP="00931F71">
      <w:pPr>
        <w:rPr>
          <w:sz w:val="18"/>
          <w:szCs w:val="18"/>
          <w:lang w:eastAsia="ar-SA"/>
        </w:rPr>
      </w:pPr>
    </w:p>
    <w:p w:rsidR="00931F71" w:rsidRPr="00B85FE0" w:rsidRDefault="00931F71" w:rsidP="00B17614">
      <w:pPr>
        <w:pStyle w:val="Nadpis2"/>
        <w:numPr>
          <w:ilvl w:val="1"/>
          <w:numId w:val="24"/>
        </w:numPr>
      </w:pPr>
      <w:bookmarkStart w:id="1" w:name="_Toc436211327"/>
      <w:r>
        <w:t>Dlouhodobý vývoj hrubé přidané hodnoty</w:t>
      </w:r>
      <w:r>
        <w:rPr>
          <w:rStyle w:val="Znakapoznpodarou"/>
        </w:rPr>
        <w:footnoteReference w:id="1"/>
      </w:r>
      <w:bookmarkEnd w:id="1"/>
    </w:p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931F71" w:rsidRPr="004F7A66" w:rsidTr="006201E9">
        <w:tc>
          <w:tcPr>
            <w:tcW w:w="1054" w:type="pct"/>
          </w:tcPr>
          <w:p w:rsidR="00931F71" w:rsidRPr="004F7A66" w:rsidRDefault="003621CE" w:rsidP="00B35B94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N</w:t>
            </w:r>
            <w:r w:rsidR="003C0EA1" w:rsidRPr="004F7A66">
              <w:rPr>
                <w:sz w:val="16"/>
                <w:szCs w:val="16"/>
              </w:rPr>
              <w:t xml:space="preserve">árůst hrubé </w:t>
            </w:r>
            <w:r w:rsidR="00F653D8">
              <w:rPr>
                <w:sz w:val="16"/>
                <w:szCs w:val="16"/>
              </w:rPr>
              <w:t>přidané hodnoty a HDP mezi roky</w:t>
            </w:r>
            <w:r w:rsidR="003C0EA1" w:rsidRPr="004F7A66">
              <w:rPr>
                <w:sz w:val="16"/>
                <w:szCs w:val="16"/>
              </w:rPr>
              <w:t xml:space="preserve"> 1990 a 2014 téměř totožný, …</w:t>
            </w:r>
          </w:p>
        </w:tc>
        <w:tc>
          <w:tcPr>
            <w:tcW w:w="143" w:type="pct"/>
          </w:tcPr>
          <w:p w:rsidR="00931F71" w:rsidRPr="004F7A66" w:rsidRDefault="00931F71" w:rsidP="00B35B94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931F71" w:rsidRPr="00967085" w:rsidRDefault="00B277AF" w:rsidP="006302F7">
            <w:pPr>
              <w:pStyle w:val="Textpoznpodarou"/>
              <w:jc w:val="both"/>
              <w:rPr>
                <w:spacing w:val="-6"/>
              </w:rPr>
            </w:pPr>
            <w:r w:rsidRPr="00967085">
              <w:rPr>
                <w:spacing w:val="-6"/>
              </w:rPr>
              <w:t xml:space="preserve">V dlouhodobém horizontu křivka vývoje hrubé přidané hodnoty </w:t>
            </w:r>
            <w:r w:rsidR="006302F7" w:rsidRPr="00967085">
              <w:rPr>
                <w:spacing w:val="-6"/>
              </w:rPr>
              <w:t>téměř dokonale</w:t>
            </w:r>
            <w:r w:rsidRPr="00967085">
              <w:rPr>
                <w:spacing w:val="-6"/>
              </w:rPr>
              <w:t xml:space="preserve"> kopíruje křivku vývoje HDP</w:t>
            </w:r>
            <w:r w:rsidR="00967085" w:rsidRPr="00967085">
              <w:rPr>
                <w:spacing w:val="-6"/>
              </w:rPr>
              <w:t xml:space="preserve"> (viz G</w:t>
            </w:r>
            <w:r w:rsidR="006201E9" w:rsidRPr="00967085">
              <w:rPr>
                <w:spacing w:val="-6"/>
              </w:rPr>
              <w:t>raf</w:t>
            </w:r>
            <w:r w:rsidR="00967085" w:rsidRPr="00967085">
              <w:rPr>
                <w:spacing w:val="-6"/>
              </w:rPr>
              <w:t xml:space="preserve"> č.</w:t>
            </w:r>
            <w:r w:rsidR="006201E9" w:rsidRPr="00967085">
              <w:rPr>
                <w:spacing w:val="-6"/>
              </w:rPr>
              <w:t xml:space="preserve"> 15)</w:t>
            </w:r>
            <w:r w:rsidRPr="00967085">
              <w:rPr>
                <w:spacing w:val="-6"/>
              </w:rPr>
              <w:t>. Také kumulativní nárůst</w:t>
            </w:r>
            <w:r w:rsidR="006302F7" w:rsidRPr="00967085">
              <w:rPr>
                <w:spacing w:val="-6"/>
              </w:rPr>
              <w:t xml:space="preserve"> výkonu</w:t>
            </w:r>
            <w:r w:rsidRPr="00967085">
              <w:rPr>
                <w:spacing w:val="-6"/>
              </w:rPr>
              <w:t xml:space="preserve"> ekonomiky</w:t>
            </w:r>
            <w:r w:rsidR="00C819A8" w:rsidRPr="00967085">
              <w:rPr>
                <w:spacing w:val="-6"/>
              </w:rPr>
              <w:t xml:space="preserve"> ČR </w:t>
            </w:r>
            <w:r w:rsidR="00AA3232" w:rsidRPr="00967085">
              <w:rPr>
                <w:spacing w:val="-6"/>
              </w:rPr>
              <w:t>za</w:t>
            </w:r>
            <w:r w:rsidR="00967085">
              <w:rPr>
                <w:spacing w:val="-6"/>
              </w:rPr>
              <w:t> </w:t>
            </w:r>
            <w:r w:rsidR="00AA3232" w:rsidRPr="00967085">
              <w:rPr>
                <w:spacing w:val="-6"/>
              </w:rPr>
              <w:t>roky 1991–</w:t>
            </w:r>
            <w:r w:rsidR="00105BDF" w:rsidRPr="00967085">
              <w:rPr>
                <w:spacing w:val="-6"/>
              </w:rPr>
              <w:t xml:space="preserve">2014 </w:t>
            </w:r>
            <w:r w:rsidR="006B2A0F" w:rsidRPr="00967085">
              <w:rPr>
                <w:spacing w:val="-6"/>
              </w:rPr>
              <w:t>(</w:t>
            </w:r>
            <w:r w:rsidRPr="00967085">
              <w:rPr>
                <w:spacing w:val="-6"/>
              </w:rPr>
              <w:t xml:space="preserve">v případě hrubé přidané hodnoty </w:t>
            </w:r>
            <w:r w:rsidR="00E675BF" w:rsidRPr="00967085">
              <w:rPr>
                <w:spacing w:val="-6"/>
              </w:rPr>
              <w:t xml:space="preserve">o </w:t>
            </w:r>
            <w:r w:rsidR="006B2A0F" w:rsidRPr="00967085">
              <w:rPr>
                <w:spacing w:val="-6"/>
              </w:rPr>
              <w:t>50,2 %,</w:t>
            </w:r>
            <w:r w:rsidR="00927C66" w:rsidRPr="00967085">
              <w:rPr>
                <w:spacing w:val="-6"/>
              </w:rPr>
              <w:t> </w:t>
            </w:r>
            <w:r w:rsidR="006A0CEE" w:rsidRPr="00967085">
              <w:rPr>
                <w:spacing w:val="-6"/>
              </w:rPr>
              <w:t>z pohledu</w:t>
            </w:r>
            <w:r w:rsidRPr="00967085">
              <w:rPr>
                <w:spacing w:val="-6"/>
              </w:rPr>
              <w:t xml:space="preserve"> HDP</w:t>
            </w:r>
            <w:r w:rsidR="00927C66" w:rsidRPr="00967085">
              <w:rPr>
                <w:spacing w:val="-6"/>
              </w:rPr>
              <w:t xml:space="preserve"> </w:t>
            </w:r>
            <w:r w:rsidR="00E675BF" w:rsidRPr="00967085">
              <w:rPr>
                <w:spacing w:val="-6"/>
              </w:rPr>
              <w:t>o </w:t>
            </w:r>
            <w:r w:rsidR="00105BDF" w:rsidRPr="00967085">
              <w:rPr>
                <w:spacing w:val="-6"/>
              </w:rPr>
              <w:t>48,4</w:t>
            </w:r>
            <w:r w:rsidR="006B2A0F" w:rsidRPr="00967085">
              <w:rPr>
                <w:spacing w:val="-6"/>
              </w:rPr>
              <w:t> </w:t>
            </w:r>
            <w:r w:rsidR="00105BDF" w:rsidRPr="00967085">
              <w:rPr>
                <w:spacing w:val="-6"/>
              </w:rPr>
              <w:t>%</w:t>
            </w:r>
            <w:r w:rsidR="006B2A0F" w:rsidRPr="00967085">
              <w:rPr>
                <w:spacing w:val="-6"/>
              </w:rPr>
              <w:t>)</w:t>
            </w:r>
            <w:r w:rsidR="006302F7" w:rsidRPr="00967085">
              <w:rPr>
                <w:spacing w:val="-6"/>
              </w:rPr>
              <w:t xml:space="preserve"> dokládá</w:t>
            </w:r>
            <w:r w:rsidRPr="00967085">
              <w:rPr>
                <w:spacing w:val="-6"/>
              </w:rPr>
              <w:t xml:space="preserve">, že rozdíl v dlouhodobém </w:t>
            </w:r>
            <w:r w:rsidR="00E85F30" w:rsidRPr="00967085">
              <w:rPr>
                <w:spacing w:val="-6"/>
              </w:rPr>
              <w:t>vývoji</w:t>
            </w:r>
            <w:r w:rsidRPr="00967085">
              <w:rPr>
                <w:spacing w:val="-6"/>
              </w:rPr>
              <w:t xml:space="preserve"> obou ukazatelů je </w:t>
            </w:r>
            <w:r w:rsidR="00E85F30" w:rsidRPr="00967085">
              <w:rPr>
                <w:spacing w:val="-6"/>
              </w:rPr>
              <w:t>minimální</w:t>
            </w:r>
            <w:r w:rsidR="006302F7" w:rsidRPr="00967085">
              <w:rPr>
                <w:spacing w:val="-6"/>
              </w:rPr>
              <w:t>.</w:t>
            </w:r>
          </w:p>
          <w:p w:rsidR="006302F7" w:rsidRPr="004F7A66" w:rsidRDefault="006302F7" w:rsidP="006302F7">
            <w:pPr>
              <w:pStyle w:val="Textpoznpodarou"/>
              <w:jc w:val="both"/>
              <w:rPr>
                <w:sz w:val="16"/>
                <w:szCs w:val="16"/>
              </w:rPr>
            </w:pPr>
          </w:p>
        </w:tc>
      </w:tr>
      <w:tr w:rsidR="006302F7" w:rsidRPr="004F7A66" w:rsidTr="003C0EA1">
        <w:tc>
          <w:tcPr>
            <w:tcW w:w="1054" w:type="pct"/>
          </w:tcPr>
          <w:p w:rsidR="006302F7" w:rsidRPr="004F7A66" w:rsidRDefault="003C0EA1" w:rsidP="003C0EA1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…nemění se příliš ani podíl hrubé přidané hodnoty na HDP v běžných cenách</w:t>
            </w:r>
          </w:p>
        </w:tc>
        <w:tc>
          <w:tcPr>
            <w:tcW w:w="143" w:type="pct"/>
          </w:tcPr>
          <w:p w:rsidR="006302F7" w:rsidRPr="004F7A66" w:rsidRDefault="006302F7" w:rsidP="00B35B94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6302F7" w:rsidRPr="004F7A66" w:rsidRDefault="006302F7" w:rsidP="006302F7">
            <w:pPr>
              <w:pStyle w:val="Textpoznpodarou"/>
              <w:jc w:val="both"/>
            </w:pPr>
            <w:r w:rsidRPr="004F7A66">
              <w:t xml:space="preserve">Co se týče </w:t>
            </w:r>
            <w:r w:rsidR="00105BDF" w:rsidRPr="004F7A66">
              <w:t>struktury</w:t>
            </w:r>
            <w:r w:rsidRPr="004F7A66">
              <w:t xml:space="preserve"> HDP</w:t>
            </w:r>
            <w:r w:rsidR="00105BDF" w:rsidRPr="004F7A66">
              <w:t xml:space="preserve"> </w:t>
            </w:r>
            <w:r w:rsidR="006201E9" w:rsidRPr="004F7A66">
              <w:t>v</w:t>
            </w:r>
            <w:r w:rsidR="00024B3D" w:rsidRPr="004F7A66">
              <w:t> běžných cenách v</w:t>
            </w:r>
            <w:r w:rsidR="006201E9" w:rsidRPr="004F7A66">
              <w:t xml:space="preserve"> základním </w:t>
            </w:r>
            <w:r w:rsidR="00024B3D" w:rsidRPr="004F7A66">
              <w:t>členě</w:t>
            </w:r>
            <w:r w:rsidR="006201E9" w:rsidRPr="004F7A66">
              <w:t>ní</w:t>
            </w:r>
            <w:r w:rsidR="00024B3D" w:rsidRPr="004F7A66">
              <w:t xml:space="preserve"> </w:t>
            </w:r>
            <w:r w:rsidR="00CD00E1" w:rsidRPr="004F7A66">
              <w:t>na hrubou přidanou hodnotu a saldo daní z produktů a dotací na produkty</w:t>
            </w:r>
            <w:r w:rsidR="00024B3D" w:rsidRPr="004F7A66">
              <w:t>,</w:t>
            </w:r>
            <w:r w:rsidR="00CD00E1" w:rsidRPr="004F7A66">
              <w:t xml:space="preserve"> </w:t>
            </w:r>
            <w:r w:rsidRPr="004F7A66">
              <w:t>je z </w:t>
            </w:r>
            <w:r w:rsidR="00024B3D" w:rsidRPr="004F7A66">
              <w:t>ní</w:t>
            </w:r>
            <w:r w:rsidRPr="004F7A66">
              <w:t xml:space="preserve"> </w:t>
            </w:r>
            <w:r w:rsidR="00CD00E1" w:rsidRPr="004F7A66">
              <w:t>zřejmé</w:t>
            </w:r>
            <w:r w:rsidRPr="004F7A66">
              <w:t xml:space="preserve">, že v průběhu času se příliš nemění. Zatímco hrubá přidaná hodnota se na </w:t>
            </w:r>
            <w:r w:rsidR="006201E9" w:rsidRPr="004F7A66">
              <w:t>HDP</w:t>
            </w:r>
            <w:r w:rsidRPr="004F7A66">
              <w:t xml:space="preserve"> dlouhodobě podílí devíti desetinami, saldo zbývající </w:t>
            </w:r>
            <w:r w:rsidR="0017384F" w:rsidRPr="004F7A66">
              <w:t xml:space="preserve">jednou </w:t>
            </w:r>
            <w:r w:rsidRPr="004F7A66">
              <w:t>desetinou.</w:t>
            </w:r>
          </w:p>
          <w:p w:rsidR="006302F7" w:rsidRPr="004F7A66" w:rsidRDefault="006302F7" w:rsidP="006302F7">
            <w:pPr>
              <w:pStyle w:val="Textpoznpodarou"/>
              <w:jc w:val="both"/>
              <w:rPr>
                <w:sz w:val="16"/>
                <w:szCs w:val="16"/>
              </w:rPr>
            </w:pPr>
          </w:p>
        </w:tc>
      </w:tr>
      <w:tr w:rsidR="006302F7" w:rsidRPr="004F7A66" w:rsidTr="003C0EA1">
        <w:tc>
          <w:tcPr>
            <w:tcW w:w="1054" w:type="pct"/>
          </w:tcPr>
          <w:p w:rsidR="006302F7" w:rsidRPr="004F7A66" w:rsidRDefault="003C0EA1" w:rsidP="00195C75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Rozdíl ve vývoji hrub</w:t>
            </w:r>
            <w:r w:rsidR="00802867" w:rsidRPr="004F7A66">
              <w:rPr>
                <w:sz w:val="16"/>
                <w:szCs w:val="16"/>
              </w:rPr>
              <w:t xml:space="preserve">é přidané hodnoty a HDP je </w:t>
            </w:r>
            <w:r w:rsidRPr="004F7A66">
              <w:rPr>
                <w:sz w:val="16"/>
                <w:szCs w:val="16"/>
              </w:rPr>
              <w:t>patrný v krátkodobém horizontu. Meziroční změna hrubé přidané hodnoty odpovídala me</w:t>
            </w:r>
            <w:r w:rsidR="00995887" w:rsidRPr="004F7A66">
              <w:rPr>
                <w:sz w:val="16"/>
                <w:szCs w:val="16"/>
              </w:rPr>
              <w:t>ziroční změně HDP v letech 1991–</w:t>
            </w:r>
            <w:r w:rsidRPr="004F7A66">
              <w:rPr>
                <w:sz w:val="16"/>
                <w:szCs w:val="16"/>
              </w:rPr>
              <w:t xml:space="preserve">2014 pouze sedmkrát, </w:t>
            </w:r>
            <w:r w:rsidR="00195C75" w:rsidRPr="004F7A66">
              <w:rPr>
                <w:sz w:val="16"/>
                <w:szCs w:val="16"/>
              </w:rPr>
              <w:t>…</w:t>
            </w:r>
          </w:p>
        </w:tc>
        <w:tc>
          <w:tcPr>
            <w:tcW w:w="143" w:type="pct"/>
          </w:tcPr>
          <w:p w:rsidR="006302F7" w:rsidRPr="004F7A66" w:rsidRDefault="006302F7" w:rsidP="00B35B94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927C66" w:rsidRPr="004F7A66" w:rsidRDefault="00296756" w:rsidP="0002715E">
            <w:pPr>
              <w:pStyle w:val="Textpoznpodarou"/>
              <w:jc w:val="both"/>
            </w:pPr>
            <w:r w:rsidRPr="004F7A66">
              <w:t>Vývoj hrubé přidané hodnoty se liší od vývoje HDP především v krátkodobém horizontu</w:t>
            </w:r>
            <w:r w:rsidR="006302F7" w:rsidRPr="004F7A66">
              <w:t xml:space="preserve">. Je to </w:t>
            </w:r>
            <w:r w:rsidR="00CD00E1" w:rsidRPr="004F7A66">
              <w:t>vidět na</w:t>
            </w:r>
            <w:r w:rsidR="003260EF">
              <w:t> G</w:t>
            </w:r>
            <w:r w:rsidR="006302F7" w:rsidRPr="004F7A66">
              <w:t>rafu</w:t>
            </w:r>
            <w:r w:rsidRPr="004F7A66">
              <w:t xml:space="preserve"> </w:t>
            </w:r>
            <w:r w:rsidR="001E0E16">
              <w:t>č.</w:t>
            </w:r>
            <w:r w:rsidR="006302F7" w:rsidRPr="004F7A66">
              <w:t xml:space="preserve"> 16, kde </w:t>
            </w:r>
            <w:r w:rsidR="00E85F30" w:rsidRPr="004F7A66">
              <w:t>jsou zachyceny meziroční změny</w:t>
            </w:r>
            <w:r w:rsidR="006302F7" w:rsidRPr="004F7A66">
              <w:t xml:space="preserve"> obou ukazatelů a také rozdíl</w:t>
            </w:r>
            <w:r w:rsidR="006A0CEE" w:rsidRPr="004F7A66">
              <w:t xml:space="preserve"> v jejich výši</w:t>
            </w:r>
            <w:r w:rsidRPr="004F7A66">
              <w:t>. A ten není</w:t>
            </w:r>
            <w:r w:rsidR="006302F7" w:rsidRPr="004F7A66">
              <w:t xml:space="preserve"> zanedbatelný.</w:t>
            </w:r>
            <w:r w:rsidR="006201E9" w:rsidRPr="004F7A66">
              <w:t xml:space="preserve"> Zatímco jednotlivých</w:t>
            </w:r>
            <w:r w:rsidR="00827E7D">
              <w:t xml:space="preserve"> let, v nichž</w:t>
            </w:r>
            <w:r w:rsidR="006201E9" w:rsidRPr="004F7A66">
              <w:t xml:space="preserve"> byla </w:t>
            </w:r>
            <w:r w:rsidR="006A0CEE" w:rsidRPr="004F7A66">
              <w:t xml:space="preserve">meziroční </w:t>
            </w:r>
            <w:r w:rsidR="006201E9" w:rsidRPr="004F7A66">
              <w:t>dynamika hrubé přidané hodnoty a</w:t>
            </w:r>
            <w:r w:rsidR="00BE117D" w:rsidRPr="004F7A66">
              <w:t> </w:t>
            </w:r>
            <w:r w:rsidR="006201E9" w:rsidRPr="004F7A66">
              <w:t>HDP</w:t>
            </w:r>
            <w:r w:rsidR="00827E7D">
              <w:t xml:space="preserve"> totožná,</w:t>
            </w:r>
            <w:r w:rsidR="006201E9" w:rsidRPr="004F7A66">
              <w:t xml:space="preserve"> bylo v období </w:t>
            </w:r>
            <w:r w:rsidR="00E85F30" w:rsidRPr="004F7A66">
              <w:t xml:space="preserve">1991 až </w:t>
            </w:r>
            <w:r w:rsidR="006201E9" w:rsidRPr="004F7A66">
              <w:t xml:space="preserve">2014 pouze sedm, roků, kdy se meziroční vývoj těchto ukazatelů rozcházel, </w:t>
            </w:r>
            <w:r w:rsidR="0002715E" w:rsidRPr="004F7A66">
              <w:t>lze napočítat</w:t>
            </w:r>
            <w:r w:rsidR="006201E9" w:rsidRPr="004F7A66">
              <w:t xml:space="preserve"> sedmnáct. V sedmi byl</w:t>
            </w:r>
            <w:r w:rsidR="00A127AC">
              <w:t>a meziroční změna</w:t>
            </w:r>
            <w:r w:rsidR="006201E9" w:rsidRPr="004F7A66">
              <w:t xml:space="preserve"> hrubé přidané hodnoty </w:t>
            </w:r>
            <w:r w:rsidR="00A127AC">
              <w:t>slabší</w:t>
            </w:r>
            <w:r w:rsidR="006201E9" w:rsidRPr="004F7A66">
              <w:t xml:space="preserve"> než HDP, v deseti došlo k</w:t>
            </w:r>
            <w:r w:rsidR="006B2A0F" w:rsidRPr="004F7A66">
              <w:t> </w:t>
            </w:r>
            <w:r w:rsidR="006201E9" w:rsidRPr="004F7A66">
              <w:t>opaku</w:t>
            </w:r>
            <w:r w:rsidR="006B2A0F" w:rsidRPr="004F7A66">
              <w:t xml:space="preserve">. V krátkodobém horizontu je tedy třeba brát zřetel </w:t>
            </w:r>
            <w:r w:rsidR="00BE117D" w:rsidRPr="004F7A66">
              <w:t>i</w:t>
            </w:r>
            <w:r w:rsidR="006B2A0F" w:rsidRPr="004F7A66">
              <w:t xml:space="preserve"> </w:t>
            </w:r>
            <w:r w:rsidR="00E675BF" w:rsidRPr="004F7A66">
              <w:t>na meziroční změny</w:t>
            </w:r>
            <w:r w:rsidR="006B2A0F" w:rsidRPr="004F7A66">
              <w:t xml:space="preserve"> hrubé přidané hodnoty, neboť vývoj ekonomiky </w:t>
            </w:r>
            <w:r w:rsidR="00E675BF" w:rsidRPr="004F7A66">
              <w:t>optikou meziročních změn</w:t>
            </w:r>
            <w:r w:rsidR="006B2A0F" w:rsidRPr="004F7A66">
              <w:t xml:space="preserve"> HDP může být nadhodnocen nebo podhodnocen </w:t>
            </w:r>
            <w:r w:rsidR="008E72E7" w:rsidRPr="004F7A66">
              <w:t>o</w:t>
            </w:r>
            <w:r w:rsidR="00E85F30" w:rsidRPr="004F7A66">
              <w:t> </w:t>
            </w:r>
            <w:r w:rsidR="006B2A0F" w:rsidRPr="004F7A66">
              <w:t>efekty</w:t>
            </w:r>
            <w:r w:rsidR="008E72E7" w:rsidRPr="004F7A66">
              <w:t>, které</w:t>
            </w:r>
            <w:r w:rsidR="006B2A0F" w:rsidRPr="004F7A66">
              <w:t xml:space="preserve"> související s</w:t>
            </w:r>
            <w:r w:rsidR="00E85F30" w:rsidRPr="004F7A66">
              <w:t> </w:t>
            </w:r>
            <w:r w:rsidR="00E675BF" w:rsidRPr="004F7A66">
              <w:t>nerovnoměrnou</w:t>
            </w:r>
            <w:r w:rsidR="00E85F30" w:rsidRPr="004F7A66">
              <w:t xml:space="preserve"> </w:t>
            </w:r>
            <w:r w:rsidR="00E675BF" w:rsidRPr="004F7A66">
              <w:t>dynamikou</w:t>
            </w:r>
            <w:r w:rsidR="006B2A0F" w:rsidRPr="004F7A66">
              <w:t xml:space="preserve"> salda daní z produktů a dotací na produkty</w:t>
            </w:r>
            <w:r w:rsidR="0002715E" w:rsidRPr="004F7A66">
              <w:t>.</w:t>
            </w:r>
          </w:p>
          <w:p w:rsidR="003C0EA1" w:rsidRPr="004F7A66" w:rsidRDefault="003C0EA1" w:rsidP="0002715E">
            <w:pPr>
              <w:pStyle w:val="Textpoznpodarou"/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480A01" w:rsidRPr="004F7A66" w:rsidTr="003C0EA1">
        <w:tc>
          <w:tcPr>
            <w:tcW w:w="1054" w:type="pct"/>
          </w:tcPr>
          <w:p w:rsidR="00480A01" w:rsidRPr="004F7A66" w:rsidRDefault="003C0EA1" w:rsidP="00195C75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… v samotném roce 2014</w:t>
            </w:r>
            <w:r w:rsidR="00195C75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 xml:space="preserve">byla vyšší o 0,7 </w:t>
            </w:r>
            <w:proofErr w:type="spellStart"/>
            <w:r w:rsidRPr="004F7A66">
              <w:rPr>
                <w:sz w:val="16"/>
                <w:szCs w:val="16"/>
              </w:rPr>
              <w:t>pb</w:t>
            </w:r>
            <w:proofErr w:type="spellEnd"/>
            <w:r w:rsidRPr="004F7A66">
              <w:rPr>
                <w:sz w:val="16"/>
                <w:szCs w:val="16"/>
              </w:rPr>
              <w:t>.</w:t>
            </w:r>
          </w:p>
        </w:tc>
        <w:tc>
          <w:tcPr>
            <w:tcW w:w="143" w:type="pct"/>
          </w:tcPr>
          <w:p w:rsidR="00480A01" w:rsidRPr="004F7A66" w:rsidRDefault="00480A01" w:rsidP="00B35B94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6B2A0F" w:rsidRPr="004F7A66" w:rsidRDefault="00827E7D" w:rsidP="00802867">
            <w:pPr>
              <w:pStyle w:val="Textpoznpodarou"/>
              <w:jc w:val="both"/>
            </w:pPr>
            <w:r>
              <w:t>Typickým případem,</w:t>
            </w:r>
            <w:r w:rsidR="008E72E7" w:rsidRPr="004F7A66">
              <w:t xml:space="preserve"> kdy byl vývoj české ekonomiky z hlediska meziroční dynamiky</w:t>
            </w:r>
            <w:r w:rsidR="00024B3D" w:rsidRPr="004F7A66">
              <w:t xml:space="preserve"> </w:t>
            </w:r>
            <w:r>
              <w:t>HDP podhodnocen,</w:t>
            </w:r>
            <w:r w:rsidR="008E72E7" w:rsidRPr="004F7A66">
              <w:t xml:space="preserve"> byl rok 2014. Zatímco meziroční změna HDP naznačovala</w:t>
            </w:r>
            <w:r w:rsidR="00024B3D" w:rsidRPr="004F7A66">
              <w:t xml:space="preserve"> </w:t>
            </w:r>
            <w:r w:rsidR="008E72E7" w:rsidRPr="004F7A66">
              <w:t>růst</w:t>
            </w:r>
            <w:r w:rsidR="00024B3D" w:rsidRPr="004F7A66">
              <w:t> </w:t>
            </w:r>
            <w:r w:rsidR="008E72E7" w:rsidRPr="004F7A66">
              <w:t>ekonomiky o 2,0 %, změna hrubé přidané hodnoty ukazovala na</w:t>
            </w:r>
            <w:r w:rsidR="00296756" w:rsidRPr="004F7A66">
              <w:t> </w:t>
            </w:r>
            <w:r w:rsidR="008E72E7" w:rsidRPr="004F7A66">
              <w:t>růs</w:t>
            </w:r>
            <w:r w:rsidR="00024B3D" w:rsidRPr="004F7A66">
              <w:t xml:space="preserve">t </w:t>
            </w:r>
            <w:r w:rsidR="008E72E7" w:rsidRPr="004F7A66">
              <w:t>o</w:t>
            </w:r>
            <w:r w:rsidR="00024B3D" w:rsidRPr="004F7A66">
              <w:t>  </w:t>
            </w:r>
            <w:r w:rsidR="008E72E7" w:rsidRPr="004F7A66">
              <w:t>2,7 %. Příčinou této konkrétní „diskrepance“</w:t>
            </w:r>
            <w:r w:rsidR="00024B3D" w:rsidRPr="004F7A66">
              <w:t xml:space="preserve"> byla</w:t>
            </w:r>
            <w:r w:rsidR="002F3C37" w:rsidRPr="004F7A66">
              <w:t xml:space="preserve"> </w:t>
            </w:r>
            <w:r w:rsidR="00024B3D" w:rsidRPr="004F7A66">
              <w:t>daňová optimalizace obchodníků</w:t>
            </w:r>
            <w:r w:rsidR="006A0CEE" w:rsidRPr="004F7A66">
              <w:t xml:space="preserve"> s tabákovými výrobky</w:t>
            </w:r>
            <w:r w:rsidR="00024B3D" w:rsidRPr="004F7A66">
              <w:t xml:space="preserve"> </w:t>
            </w:r>
            <w:r w:rsidR="00802867" w:rsidRPr="004F7A66">
              <w:t xml:space="preserve">na konci roku 2013, která se promítla </w:t>
            </w:r>
            <w:r w:rsidR="00024B3D" w:rsidRPr="004F7A66">
              <w:t>do</w:t>
            </w:r>
            <w:r w:rsidR="008E72E7" w:rsidRPr="004F7A66">
              <w:t xml:space="preserve"> předzásobení </w:t>
            </w:r>
            <w:r w:rsidR="006A0CEE" w:rsidRPr="004F7A66">
              <w:t>těmito produkty</w:t>
            </w:r>
            <w:r w:rsidR="00802867" w:rsidRPr="004F7A66">
              <w:t>. To</w:t>
            </w:r>
            <w:r w:rsidR="008E72E7" w:rsidRPr="004F7A66">
              <w:t xml:space="preserve"> vedlo k</w:t>
            </w:r>
            <w:r w:rsidR="00024B3D" w:rsidRPr="004F7A66">
              <w:t> </w:t>
            </w:r>
            <w:r w:rsidR="0002715E" w:rsidRPr="004F7A66">
              <w:t>vyššímu výběru spotřebních daní a tedy k</w:t>
            </w:r>
            <w:r w:rsidR="008E72E7" w:rsidRPr="004F7A66">
              <w:t> nárůstu salda daní z produktů a</w:t>
            </w:r>
            <w:r w:rsidR="00024B3D" w:rsidRPr="004F7A66">
              <w:t> </w:t>
            </w:r>
            <w:r w:rsidR="008E72E7" w:rsidRPr="004F7A66">
              <w:t>dot</w:t>
            </w:r>
            <w:r w:rsidR="00E85F30" w:rsidRPr="004F7A66">
              <w:t>ací na</w:t>
            </w:r>
            <w:r w:rsidR="00024B3D" w:rsidRPr="004F7A66">
              <w:t> </w:t>
            </w:r>
            <w:r w:rsidR="00E85F30" w:rsidRPr="004F7A66">
              <w:t xml:space="preserve">produkty </w:t>
            </w:r>
            <w:r w:rsidR="00E675BF" w:rsidRPr="004F7A66">
              <w:t>v tomto období</w:t>
            </w:r>
            <w:r w:rsidR="00E85F30" w:rsidRPr="004F7A66">
              <w:t>. Jelikož v</w:t>
            </w:r>
            <w:r w:rsidR="008E72E7" w:rsidRPr="004F7A66">
              <w:t> </w:t>
            </w:r>
            <w:r w:rsidR="00E85F30" w:rsidRPr="004F7A66">
              <w:t>roce</w:t>
            </w:r>
            <w:r w:rsidR="008E72E7" w:rsidRPr="004F7A66">
              <w:t xml:space="preserve"> 2014</w:t>
            </w:r>
            <w:r w:rsidR="00296756" w:rsidRPr="004F7A66">
              <w:t xml:space="preserve"> obchodníci čerpali z předzásobení a tabákové výrobky nakupovali v menší míře, výběr spotřebních daní se snížil. T</w:t>
            </w:r>
            <w:r w:rsidR="008E72E7" w:rsidRPr="004F7A66">
              <w:t>yto prostředky</w:t>
            </w:r>
            <w:r w:rsidR="00E675BF" w:rsidRPr="004F7A66">
              <w:t xml:space="preserve"> </w:t>
            </w:r>
            <w:r w:rsidR="008E72E7" w:rsidRPr="004F7A66">
              <w:t>v</w:t>
            </w:r>
            <w:r w:rsidR="00024B3D" w:rsidRPr="004F7A66">
              <w:t> </w:t>
            </w:r>
            <w:r w:rsidR="008E72E7" w:rsidRPr="004F7A66">
              <w:t>saldu</w:t>
            </w:r>
            <w:r w:rsidR="00024B3D" w:rsidRPr="004F7A66">
              <w:t> </w:t>
            </w:r>
            <w:r w:rsidR="008E72E7" w:rsidRPr="004F7A66">
              <w:t>chyběly</w:t>
            </w:r>
            <w:r w:rsidR="00296756" w:rsidRPr="004F7A66">
              <w:t xml:space="preserve"> a </w:t>
            </w:r>
            <w:r w:rsidR="00E85F30" w:rsidRPr="004F7A66">
              <w:t xml:space="preserve">přírůstek HDP </w:t>
            </w:r>
            <w:r w:rsidR="00296756" w:rsidRPr="004F7A66">
              <w:t xml:space="preserve">byl </w:t>
            </w:r>
            <w:r w:rsidR="00E85F30" w:rsidRPr="004F7A66">
              <w:t>v porovnání s</w:t>
            </w:r>
            <w:r w:rsidR="00296756" w:rsidRPr="004F7A66">
              <w:t xml:space="preserve"> přírůstkem hrubé přidané hodnoty</w:t>
            </w:r>
            <w:r w:rsidR="00E85F30" w:rsidRPr="004F7A66">
              <w:t xml:space="preserve"> nižší</w:t>
            </w:r>
            <w:r w:rsidR="008E72E7" w:rsidRPr="004F7A66">
              <w:t>.</w:t>
            </w:r>
          </w:p>
        </w:tc>
      </w:tr>
    </w:tbl>
    <w:p w:rsidR="0039044D" w:rsidRPr="007C2359" w:rsidRDefault="0039044D" w:rsidP="004A4C44">
      <w:pPr>
        <w:rPr>
          <w:sz w:val="16"/>
          <w:szCs w:val="16"/>
          <w:lang w:eastAsia="ar-SA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9"/>
        <w:gridCol w:w="3854"/>
        <w:gridCol w:w="999"/>
        <w:gridCol w:w="3932"/>
      </w:tblGrid>
      <w:tr w:rsidR="00B277AF" w:rsidRPr="004F7A66" w:rsidTr="002F3C37">
        <w:tc>
          <w:tcPr>
            <w:tcW w:w="541" w:type="pct"/>
          </w:tcPr>
          <w:p w:rsidR="00B277AF" w:rsidRPr="004F7A66" w:rsidRDefault="00B277AF" w:rsidP="00B277AF">
            <w:pPr>
              <w:pStyle w:val="Textpoznpodarou"/>
            </w:pPr>
            <w:r w:rsidRPr="004F7A66">
              <w:t>Graf č. 15</w:t>
            </w:r>
          </w:p>
        </w:tc>
        <w:tc>
          <w:tcPr>
            <w:tcW w:w="1957" w:type="pct"/>
          </w:tcPr>
          <w:p w:rsidR="00B277AF" w:rsidRPr="004F7A66" w:rsidRDefault="00B277AF" w:rsidP="00B277AF">
            <w:pPr>
              <w:pStyle w:val="Textpoznpodarou"/>
            </w:pPr>
            <w:r w:rsidRPr="004F7A66">
              <w:rPr>
                <w:b/>
              </w:rPr>
              <w:t>HDP a hrubá přidaná hodnota v ČR</w:t>
            </w:r>
            <w:r w:rsidRPr="004F7A66">
              <w:t xml:space="preserve"> (v mld. korun, ceny roku 2010)</w:t>
            </w:r>
          </w:p>
        </w:tc>
        <w:tc>
          <w:tcPr>
            <w:tcW w:w="506" w:type="pct"/>
          </w:tcPr>
          <w:p w:rsidR="00B277AF" w:rsidRPr="004F7A66" w:rsidRDefault="00B277AF" w:rsidP="00B277AF">
            <w:pPr>
              <w:pStyle w:val="Textpoznpodarou"/>
            </w:pPr>
            <w:r w:rsidRPr="004F7A66">
              <w:t>Graf č. 16</w:t>
            </w:r>
          </w:p>
        </w:tc>
        <w:tc>
          <w:tcPr>
            <w:tcW w:w="1996" w:type="pct"/>
          </w:tcPr>
          <w:p w:rsidR="00B277AF" w:rsidRPr="004F7A66" w:rsidRDefault="00B277AF" w:rsidP="00B277AF">
            <w:pPr>
              <w:pStyle w:val="Textpoznpodarou"/>
              <w:rPr>
                <w:spacing w:val="-2"/>
              </w:rPr>
            </w:pPr>
            <w:r w:rsidRPr="004F7A66">
              <w:rPr>
                <w:b/>
              </w:rPr>
              <w:t>HDP a hrubá přidaná hodnota v ČR</w:t>
            </w:r>
            <w:r w:rsidRPr="004F7A66">
              <w:t xml:space="preserve"> (y/y v %, reálně)</w:t>
            </w:r>
          </w:p>
        </w:tc>
      </w:tr>
      <w:tr w:rsidR="00B277AF" w:rsidRPr="004F7A66" w:rsidTr="006B2A0F">
        <w:tc>
          <w:tcPr>
            <w:tcW w:w="2498" w:type="pct"/>
            <w:gridSpan w:val="2"/>
          </w:tcPr>
          <w:p w:rsidR="00B277AF" w:rsidRPr="004F7A66" w:rsidRDefault="0039044D" w:rsidP="00B35B94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6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2" w:type="pct"/>
            <w:gridSpan w:val="2"/>
          </w:tcPr>
          <w:p w:rsidR="00B277AF" w:rsidRPr="004F7A66" w:rsidRDefault="0039044D" w:rsidP="00B35B94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7520" cy="2365375"/>
                  <wp:effectExtent l="19050" t="0" r="0" b="0"/>
                  <wp:docPr id="26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7AF" w:rsidRPr="004F7A66" w:rsidTr="00B277AF">
        <w:tc>
          <w:tcPr>
            <w:tcW w:w="5000" w:type="pct"/>
            <w:gridSpan w:val="4"/>
          </w:tcPr>
          <w:p w:rsidR="00B277AF" w:rsidRPr="004F7A66" w:rsidRDefault="00B277AF" w:rsidP="00B277AF">
            <w:pPr>
              <w:pStyle w:val="Textpoznpodarou"/>
              <w:jc w:val="right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>Zdroj: ČSÚ, vlastní výpočty</w:t>
            </w:r>
          </w:p>
        </w:tc>
      </w:tr>
    </w:tbl>
    <w:p w:rsidR="002F3C37" w:rsidRPr="00B85FE0" w:rsidRDefault="002F3C37" w:rsidP="00B17614">
      <w:pPr>
        <w:pStyle w:val="Nadpis2"/>
        <w:numPr>
          <w:ilvl w:val="1"/>
          <w:numId w:val="24"/>
        </w:numPr>
      </w:pPr>
      <w:bookmarkStart w:id="2" w:name="_Toc436211328"/>
      <w:r>
        <w:lastRenderedPageBreak/>
        <w:t>Struktura dlouhodobého růstu hrubé přidané hodnoty</w:t>
      </w:r>
      <w:r>
        <w:rPr>
          <w:rStyle w:val="Znakapoznpodarou"/>
        </w:rPr>
        <w:footnoteReference w:id="2"/>
      </w:r>
      <w:bookmarkEnd w:id="2"/>
    </w:p>
    <w:tbl>
      <w:tblPr>
        <w:tblW w:w="5000" w:type="pct"/>
        <w:tblLayout w:type="fixed"/>
        <w:tblLook w:val="00A0"/>
      </w:tblPr>
      <w:tblGrid>
        <w:gridCol w:w="2077"/>
        <w:gridCol w:w="282"/>
        <w:gridCol w:w="7495"/>
      </w:tblGrid>
      <w:tr w:rsidR="004E059C" w:rsidRPr="004F7A66" w:rsidTr="006406C5">
        <w:tc>
          <w:tcPr>
            <w:tcW w:w="1054" w:type="pct"/>
          </w:tcPr>
          <w:p w:rsidR="004E059C" w:rsidRPr="004F7A66" w:rsidRDefault="00AD7FE4" w:rsidP="00AD7FE4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Na kumulativním nárůstu hrub</w:t>
            </w:r>
            <w:r w:rsidR="00995887" w:rsidRPr="004F7A66">
              <w:rPr>
                <w:sz w:val="16"/>
                <w:szCs w:val="16"/>
              </w:rPr>
              <w:t>é přidané hodnoty v letech 1991–</w:t>
            </w:r>
            <w:r w:rsidRPr="004F7A66">
              <w:rPr>
                <w:sz w:val="16"/>
                <w:szCs w:val="16"/>
              </w:rPr>
              <w:t xml:space="preserve">2014 se podílelo pozitivně dvanáct odvětví z celkových jednadvaceti </w:t>
            </w:r>
          </w:p>
        </w:tc>
        <w:tc>
          <w:tcPr>
            <w:tcW w:w="143" w:type="pct"/>
          </w:tcPr>
          <w:p w:rsidR="004E059C" w:rsidRPr="004F7A66" w:rsidRDefault="004E059C" w:rsidP="00B35B94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4E059C" w:rsidRPr="004F7A66" w:rsidRDefault="00E7788D" w:rsidP="00486E6D">
            <w:pPr>
              <w:pStyle w:val="Textpoznpodarou"/>
              <w:jc w:val="both"/>
              <w:rPr>
                <w:spacing w:val="-4"/>
              </w:rPr>
            </w:pPr>
            <w:r w:rsidRPr="004F7A66">
              <w:rPr>
                <w:spacing w:val="-2"/>
              </w:rPr>
              <w:t>V</w:t>
            </w:r>
            <w:r w:rsidR="004E059C" w:rsidRPr="004F7A66">
              <w:rPr>
                <w:spacing w:val="-2"/>
              </w:rPr>
              <w:t>ývoj hrubé přidané hodnoty jednotlivých odvětví české ekon</w:t>
            </w:r>
            <w:r w:rsidR="00F51D4C" w:rsidRPr="004F7A66">
              <w:rPr>
                <w:spacing w:val="-2"/>
              </w:rPr>
              <w:t xml:space="preserve">omiky </w:t>
            </w:r>
            <w:r w:rsidR="00AD7FE4" w:rsidRPr="004F7A66">
              <w:rPr>
                <w:spacing w:val="-2"/>
              </w:rPr>
              <w:t xml:space="preserve">mezi rokem 1990 a </w:t>
            </w:r>
            <w:r w:rsidR="00573147" w:rsidRPr="004F7A66">
              <w:rPr>
                <w:spacing w:val="-2"/>
              </w:rPr>
              <w:t xml:space="preserve">2014 </w:t>
            </w:r>
            <w:r w:rsidR="00F51D4C" w:rsidRPr="004F7A66">
              <w:rPr>
                <w:spacing w:val="-2"/>
              </w:rPr>
              <w:t xml:space="preserve">byl diferencovaný </w:t>
            </w:r>
            <w:r w:rsidR="00FA0B29">
              <w:rPr>
                <w:spacing w:val="-2"/>
              </w:rPr>
              <w:t>(G</w:t>
            </w:r>
            <w:r w:rsidR="00BA6F9E" w:rsidRPr="004F7A66">
              <w:rPr>
                <w:spacing w:val="-2"/>
              </w:rPr>
              <w:t xml:space="preserve">raf </w:t>
            </w:r>
            <w:r w:rsidR="00FA0B29">
              <w:rPr>
                <w:spacing w:val="-2"/>
              </w:rPr>
              <w:t xml:space="preserve">č. </w:t>
            </w:r>
            <w:r w:rsidR="00BA6F9E" w:rsidRPr="004F7A66">
              <w:rPr>
                <w:spacing w:val="-2"/>
              </w:rPr>
              <w:t>17)</w:t>
            </w:r>
            <w:r w:rsidR="00486E6D" w:rsidRPr="004F7A66">
              <w:rPr>
                <w:spacing w:val="-2"/>
              </w:rPr>
              <w:t>. Příčin</w:t>
            </w:r>
            <w:r w:rsidR="00BA6F9E" w:rsidRPr="004F7A66">
              <w:rPr>
                <w:spacing w:val="-2"/>
              </w:rPr>
              <w:t xml:space="preserve"> toho, že některá odvětví se rozvíjela a jejich hrubá přidaná hodnota rostla a</w:t>
            </w:r>
            <w:r w:rsidR="00573147" w:rsidRPr="004F7A66">
              <w:rPr>
                <w:spacing w:val="-2"/>
              </w:rPr>
              <w:t xml:space="preserve"> přitom</w:t>
            </w:r>
            <w:r w:rsidR="00BA6F9E" w:rsidRPr="004F7A66">
              <w:rPr>
                <w:spacing w:val="-2"/>
              </w:rPr>
              <w:t xml:space="preserve"> u jiných docházelo k opaku, bylo mnoho. Z</w:t>
            </w:r>
            <w:r w:rsidR="00EE5ED8" w:rsidRPr="004F7A66">
              <w:rPr>
                <w:spacing w:val="-2"/>
              </w:rPr>
              <w:t> </w:t>
            </w:r>
            <w:r w:rsidR="00F51D4C" w:rsidRPr="004F7A66">
              <w:rPr>
                <w:spacing w:val="-2"/>
              </w:rPr>
              <w:t>těch</w:t>
            </w:r>
            <w:r w:rsidR="00EE5ED8" w:rsidRPr="004F7A66">
              <w:rPr>
                <w:spacing w:val="-2"/>
              </w:rPr>
              <w:t> </w:t>
            </w:r>
            <w:r w:rsidR="00486E6D" w:rsidRPr="004F7A66">
              <w:rPr>
                <w:spacing w:val="-2"/>
              </w:rPr>
              <w:t>nejpodstatnějších</w:t>
            </w:r>
            <w:r w:rsidR="00F51D4C" w:rsidRPr="004F7A66">
              <w:rPr>
                <w:spacing w:val="-2"/>
              </w:rPr>
              <w:t xml:space="preserve"> lze zmínit </w:t>
            </w:r>
            <w:r w:rsidR="00BA6F9E" w:rsidRPr="004F7A66">
              <w:rPr>
                <w:spacing w:val="-2"/>
              </w:rPr>
              <w:t>všeobecný rozvoj technologií</w:t>
            </w:r>
            <w:r w:rsidR="004E059C" w:rsidRPr="004F7A66">
              <w:rPr>
                <w:spacing w:val="-2"/>
              </w:rPr>
              <w:t xml:space="preserve"> (</w:t>
            </w:r>
            <w:r w:rsidR="00155A49" w:rsidRPr="004F7A66">
              <w:rPr>
                <w:spacing w:val="-2"/>
              </w:rPr>
              <w:t>který</w:t>
            </w:r>
            <w:r w:rsidR="00F51D4C" w:rsidRPr="004F7A66">
              <w:rPr>
                <w:spacing w:val="-2"/>
              </w:rPr>
              <w:t xml:space="preserve"> </w:t>
            </w:r>
            <w:r w:rsidR="002A06BB" w:rsidRPr="004F7A66">
              <w:rPr>
                <w:spacing w:val="-2"/>
              </w:rPr>
              <w:t>byl jedním z „katalyzátorů“ růstu hrubé přidané hodnoty zpracovatelského průmyslu nebo</w:t>
            </w:r>
            <w:r w:rsidR="00573147" w:rsidRPr="004F7A66">
              <w:rPr>
                <w:spacing w:val="-2"/>
              </w:rPr>
              <w:t xml:space="preserve"> odvětví</w:t>
            </w:r>
            <w:r w:rsidR="002A06BB" w:rsidRPr="004F7A66">
              <w:rPr>
                <w:spacing w:val="-2"/>
              </w:rPr>
              <w:t xml:space="preserve"> </w:t>
            </w:r>
            <w:r w:rsidR="00573147" w:rsidRPr="004F7A66">
              <w:rPr>
                <w:spacing w:val="-2"/>
              </w:rPr>
              <w:t>informačních a komunikačních činností</w:t>
            </w:r>
            <w:r w:rsidR="004E059C" w:rsidRPr="004F7A66">
              <w:rPr>
                <w:spacing w:val="-2"/>
              </w:rPr>
              <w:t>)</w:t>
            </w:r>
            <w:r w:rsidR="00486E6D" w:rsidRPr="004F7A66">
              <w:rPr>
                <w:spacing w:val="-2"/>
              </w:rPr>
              <w:t xml:space="preserve">, </w:t>
            </w:r>
            <w:r w:rsidR="002A06BB" w:rsidRPr="004F7A66">
              <w:rPr>
                <w:spacing w:val="-2"/>
              </w:rPr>
              <w:t>zvyšování</w:t>
            </w:r>
            <w:r w:rsidR="00486E6D" w:rsidRPr="004F7A66">
              <w:rPr>
                <w:spacing w:val="-2"/>
              </w:rPr>
              <w:t xml:space="preserve"> vzdělanosti obyvatelstva (jež</w:t>
            </w:r>
            <w:r w:rsidR="00EE5ED8" w:rsidRPr="004F7A66">
              <w:rPr>
                <w:spacing w:val="-2"/>
              </w:rPr>
              <w:t> </w:t>
            </w:r>
            <w:r w:rsidR="00486E6D" w:rsidRPr="004F7A66">
              <w:rPr>
                <w:spacing w:val="-2"/>
              </w:rPr>
              <w:t>hledalo pracovní uplatnění v odvětvích s vyššími nároky na</w:t>
            </w:r>
            <w:r w:rsidR="00FE0F81" w:rsidRPr="004F7A66">
              <w:rPr>
                <w:spacing w:val="-2"/>
              </w:rPr>
              <w:t> </w:t>
            </w:r>
            <w:r w:rsidR="00486E6D" w:rsidRPr="004F7A66">
              <w:rPr>
                <w:spacing w:val="-2"/>
              </w:rPr>
              <w:t>kvalifikovanou práci a</w:t>
            </w:r>
            <w:r w:rsidR="00EE5ED8" w:rsidRPr="004F7A66">
              <w:rPr>
                <w:spacing w:val="-2"/>
              </w:rPr>
              <w:t> </w:t>
            </w:r>
            <w:r w:rsidR="00292F2E" w:rsidRPr="004F7A66">
              <w:rPr>
                <w:spacing w:val="-2"/>
              </w:rPr>
              <w:t>tedy i</w:t>
            </w:r>
            <w:r w:rsidR="00155A49" w:rsidRPr="004F7A66">
              <w:rPr>
                <w:spacing w:val="-2"/>
              </w:rPr>
              <w:t xml:space="preserve"> s</w:t>
            </w:r>
            <w:r w:rsidR="00486E6D" w:rsidRPr="004F7A66">
              <w:rPr>
                <w:spacing w:val="-2"/>
              </w:rPr>
              <w:t xml:space="preserve"> </w:t>
            </w:r>
            <w:r w:rsidR="00155A49" w:rsidRPr="004F7A66">
              <w:rPr>
                <w:spacing w:val="-2"/>
              </w:rPr>
              <w:t>potenciálně vyššími výdělky</w:t>
            </w:r>
            <w:r w:rsidR="00486E6D" w:rsidRPr="004F7A66">
              <w:rPr>
                <w:spacing w:val="-2"/>
              </w:rPr>
              <w:t>)</w:t>
            </w:r>
            <w:r w:rsidR="00F51D4C" w:rsidRPr="004F7A66">
              <w:rPr>
                <w:spacing w:val="-2"/>
              </w:rPr>
              <w:t xml:space="preserve"> nebo například</w:t>
            </w:r>
            <w:r w:rsidR="004E059C" w:rsidRPr="004F7A66">
              <w:rPr>
                <w:spacing w:val="-2"/>
              </w:rPr>
              <w:t xml:space="preserve"> měnící se</w:t>
            </w:r>
            <w:r w:rsidR="00FE0F81" w:rsidRPr="004F7A66">
              <w:rPr>
                <w:spacing w:val="-2"/>
              </w:rPr>
              <w:t> </w:t>
            </w:r>
            <w:r w:rsidR="004E059C" w:rsidRPr="004F7A66">
              <w:rPr>
                <w:spacing w:val="-2"/>
              </w:rPr>
              <w:t>preference spotřebitelů</w:t>
            </w:r>
            <w:r w:rsidR="00155A49" w:rsidRPr="004F7A66">
              <w:rPr>
                <w:spacing w:val="-2"/>
              </w:rPr>
              <w:t>,</w:t>
            </w:r>
            <w:r w:rsidR="00F51D4C" w:rsidRPr="004F7A66">
              <w:rPr>
                <w:spacing w:val="-2"/>
              </w:rPr>
              <w:t xml:space="preserve"> co se týče </w:t>
            </w:r>
            <w:r w:rsidR="00FE0F81" w:rsidRPr="004F7A66">
              <w:rPr>
                <w:spacing w:val="-2"/>
              </w:rPr>
              <w:t>poptávky po zboží a službách</w:t>
            </w:r>
            <w:r w:rsidR="00F51D4C" w:rsidRPr="004F7A66">
              <w:rPr>
                <w:spacing w:val="-2"/>
              </w:rPr>
              <w:t>. To ale</w:t>
            </w:r>
            <w:r w:rsidR="004E059C" w:rsidRPr="004F7A66">
              <w:rPr>
                <w:spacing w:val="-2"/>
              </w:rPr>
              <w:t xml:space="preserve"> byly faktory působící i</w:t>
            </w:r>
            <w:r w:rsidR="00EE5ED8" w:rsidRPr="004F7A66">
              <w:rPr>
                <w:spacing w:val="-2"/>
              </w:rPr>
              <w:t> </w:t>
            </w:r>
            <w:r w:rsidR="004E059C" w:rsidRPr="004F7A66">
              <w:rPr>
                <w:spacing w:val="-2"/>
              </w:rPr>
              <w:t xml:space="preserve">v jiných </w:t>
            </w:r>
            <w:r w:rsidR="00155A49" w:rsidRPr="004F7A66">
              <w:rPr>
                <w:spacing w:val="-2"/>
              </w:rPr>
              <w:t xml:space="preserve">zemích. </w:t>
            </w:r>
            <w:r w:rsidR="00155A49" w:rsidRPr="004F7A66">
              <w:rPr>
                <w:spacing w:val="-4"/>
              </w:rPr>
              <w:t>Specifikem české ekonomiky byl</w:t>
            </w:r>
            <w:r w:rsidR="00BA6F9E" w:rsidRPr="004F7A66">
              <w:rPr>
                <w:spacing w:val="-4"/>
              </w:rPr>
              <w:t xml:space="preserve"> </w:t>
            </w:r>
            <w:r w:rsidR="00155A49" w:rsidRPr="004F7A66">
              <w:rPr>
                <w:spacing w:val="-4"/>
              </w:rPr>
              <w:t>silný příliv zahraničního kapitálu</w:t>
            </w:r>
            <w:r w:rsidR="00573147" w:rsidRPr="004F7A66">
              <w:rPr>
                <w:spacing w:val="-4"/>
              </w:rPr>
              <w:t xml:space="preserve"> </w:t>
            </w:r>
            <w:r w:rsidR="00EE5ED8" w:rsidRPr="004F7A66">
              <w:rPr>
                <w:spacing w:val="-4"/>
              </w:rPr>
              <w:t>do zpracovatelského</w:t>
            </w:r>
            <w:r w:rsidR="00035903" w:rsidRPr="004F7A66">
              <w:rPr>
                <w:spacing w:val="-4"/>
              </w:rPr>
              <w:t xml:space="preserve"> průmysl</w:t>
            </w:r>
            <w:r w:rsidR="00EE5ED8" w:rsidRPr="004F7A66">
              <w:rPr>
                <w:spacing w:val="-4"/>
              </w:rPr>
              <w:t>u</w:t>
            </w:r>
            <w:r w:rsidR="00FE0F81" w:rsidRPr="004F7A66">
              <w:rPr>
                <w:spacing w:val="-4"/>
              </w:rPr>
              <w:t> </w:t>
            </w:r>
            <w:r w:rsidR="00EE5ED8" w:rsidRPr="004F7A66">
              <w:rPr>
                <w:spacing w:val="-4"/>
              </w:rPr>
              <w:t xml:space="preserve">(významný byl ale i příliv kapitálu do </w:t>
            </w:r>
            <w:r w:rsidR="00035903" w:rsidRPr="004F7A66">
              <w:rPr>
                <w:spacing w:val="-4"/>
              </w:rPr>
              <w:t>peněžnictví a</w:t>
            </w:r>
            <w:r w:rsidR="00EE5ED8" w:rsidRPr="004F7A66">
              <w:rPr>
                <w:spacing w:val="-4"/>
              </w:rPr>
              <w:t> </w:t>
            </w:r>
            <w:r w:rsidR="00035903" w:rsidRPr="004F7A66">
              <w:rPr>
                <w:spacing w:val="-4"/>
              </w:rPr>
              <w:t>pojišťovnictví</w:t>
            </w:r>
            <w:r w:rsidR="00EE5ED8" w:rsidRPr="004F7A66">
              <w:rPr>
                <w:spacing w:val="-4"/>
              </w:rPr>
              <w:t>),</w:t>
            </w:r>
            <w:r w:rsidR="00155A49" w:rsidRPr="004F7A66">
              <w:rPr>
                <w:spacing w:val="-4"/>
              </w:rPr>
              <w:t xml:space="preserve"> </w:t>
            </w:r>
            <w:r w:rsidR="00FE0F81" w:rsidRPr="004F7A66">
              <w:rPr>
                <w:spacing w:val="-4"/>
              </w:rPr>
              <w:t>do jisté míry pak i</w:t>
            </w:r>
            <w:r w:rsidR="00155A49" w:rsidRPr="004F7A66">
              <w:rPr>
                <w:spacing w:val="-4"/>
              </w:rPr>
              <w:t xml:space="preserve"> vstup do EU v roce 2004</w:t>
            </w:r>
            <w:r w:rsidR="00F339AF" w:rsidRPr="004F7A66">
              <w:rPr>
                <w:spacing w:val="-4"/>
              </w:rPr>
              <w:t>.</w:t>
            </w:r>
          </w:p>
          <w:p w:rsidR="00486E6D" w:rsidRPr="004F7A66" w:rsidRDefault="00486E6D" w:rsidP="00486E6D">
            <w:pPr>
              <w:pStyle w:val="Textpoznpodarou"/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2A06BB" w:rsidRPr="004F7A66" w:rsidTr="006406C5">
        <w:tc>
          <w:tcPr>
            <w:tcW w:w="1054" w:type="pct"/>
          </w:tcPr>
          <w:p w:rsidR="002A06BB" w:rsidRPr="004F7A66" w:rsidRDefault="00AD7FE4" w:rsidP="00596106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Rozvoj patrný především u</w:t>
            </w:r>
            <w:r w:rsidR="007849F4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informačních a</w:t>
            </w:r>
            <w:r w:rsidR="00196D3F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komunikačních činností</w:t>
            </w:r>
            <w:r w:rsidR="00596106" w:rsidRPr="004F7A66">
              <w:rPr>
                <w:sz w:val="16"/>
                <w:szCs w:val="16"/>
              </w:rPr>
              <w:t xml:space="preserve">, </w:t>
            </w:r>
            <w:r w:rsidRPr="004F7A66">
              <w:rPr>
                <w:sz w:val="16"/>
                <w:szCs w:val="16"/>
              </w:rPr>
              <w:t>peněžnictví a</w:t>
            </w:r>
            <w:r w:rsidR="00292F2E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pojišťovnictví</w:t>
            </w:r>
          </w:p>
        </w:tc>
        <w:tc>
          <w:tcPr>
            <w:tcW w:w="143" w:type="pct"/>
          </w:tcPr>
          <w:p w:rsidR="002A06BB" w:rsidRPr="004F7A66" w:rsidRDefault="002A06BB" w:rsidP="00B35B94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2A06BB" w:rsidRPr="004F7A66" w:rsidRDefault="006406C5" w:rsidP="00EB4C56">
            <w:pPr>
              <w:pStyle w:val="Textpoznpodarou"/>
              <w:jc w:val="both"/>
              <w:rPr>
                <w:spacing w:val="-2"/>
              </w:rPr>
            </w:pPr>
            <w:r w:rsidRPr="004F7A66">
              <w:rPr>
                <w:spacing w:val="-2"/>
              </w:rPr>
              <w:t>V</w:t>
            </w:r>
            <w:r w:rsidR="00B0525D" w:rsidRPr="004F7A66">
              <w:rPr>
                <w:spacing w:val="-2"/>
              </w:rPr>
              <w:t xml:space="preserve"> tuzemské</w:t>
            </w:r>
            <w:r w:rsidR="00573147" w:rsidRPr="004F7A66">
              <w:rPr>
                <w:spacing w:val="-2"/>
              </w:rPr>
              <w:t> </w:t>
            </w:r>
            <w:r w:rsidR="002A06BB" w:rsidRPr="004F7A66">
              <w:rPr>
                <w:spacing w:val="-2"/>
              </w:rPr>
              <w:t>ekonomice</w:t>
            </w:r>
            <w:r w:rsidR="005B0D8E" w:rsidRPr="004F7A66">
              <w:rPr>
                <w:spacing w:val="-2"/>
              </w:rPr>
              <w:t xml:space="preserve"> se</w:t>
            </w:r>
            <w:r w:rsidRPr="004F7A66">
              <w:rPr>
                <w:spacing w:val="-2"/>
              </w:rPr>
              <w:t xml:space="preserve"> mezi rokem 1990 a 2014</w:t>
            </w:r>
            <w:r w:rsidR="005B0D8E" w:rsidRPr="004F7A66">
              <w:rPr>
                <w:spacing w:val="-2"/>
              </w:rPr>
              <w:t xml:space="preserve"> nejdynamičtěji r</w:t>
            </w:r>
            <w:r w:rsidRPr="004F7A66">
              <w:rPr>
                <w:spacing w:val="-2"/>
              </w:rPr>
              <w:t>o</w:t>
            </w:r>
            <w:r w:rsidR="00B0525D" w:rsidRPr="004F7A66">
              <w:rPr>
                <w:spacing w:val="-2"/>
              </w:rPr>
              <w:t>zvinuly</w:t>
            </w:r>
            <w:r w:rsidR="002A06BB" w:rsidRPr="004F7A66">
              <w:rPr>
                <w:spacing w:val="-2"/>
              </w:rPr>
              <w:t xml:space="preserve"> </w:t>
            </w:r>
            <w:r w:rsidR="00B0525D" w:rsidRPr="004F7A66">
              <w:rPr>
                <w:spacing w:val="-2"/>
              </w:rPr>
              <w:t>informační a komunikační činnost</w:t>
            </w:r>
            <w:r w:rsidR="008841A2" w:rsidRPr="004F7A66">
              <w:rPr>
                <w:spacing w:val="-2"/>
              </w:rPr>
              <w:t>i</w:t>
            </w:r>
            <w:r w:rsidR="00BA35DD" w:rsidRPr="004F7A66">
              <w:rPr>
                <w:spacing w:val="-2"/>
              </w:rPr>
              <w:t xml:space="preserve"> (+873</w:t>
            </w:r>
            <w:r w:rsidR="002A06BB" w:rsidRPr="004F7A66">
              <w:rPr>
                <w:spacing w:val="-2"/>
              </w:rPr>
              <w:t xml:space="preserve"> %) a peněžnict</w:t>
            </w:r>
            <w:r w:rsidR="00BA35DD" w:rsidRPr="004F7A66">
              <w:rPr>
                <w:spacing w:val="-2"/>
              </w:rPr>
              <w:t>ví a pojišťovnictví (+541</w:t>
            </w:r>
            <w:r w:rsidR="00596106" w:rsidRPr="004F7A66">
              <w:rPr>
                <w:spacing w:val="-2"/>
              </w:rPr>
              <w:t> </w:t>
            </w:r>
            <w:r w:rsidR="00B0525D" w:rsidRPr="004F7A66">
              <w:rPr>
                <w:spacing w:val="-2"/>
              </w:rPr>
              <w:t xml:space="preserve">%), tedy </w:t>
            </w:r>
            <w:r w:rsidR="002A06BB" w:rsidRPr="004F7A66">
              <w:rPr>
                <w:spacing w:val="-2"/>
              </w:rPr>
              <w:t xml:space="preserve">odvětví, </w:t>
            </w:r>
            <w:r w:rsidR="00AF0279">
              <w:rPr>
                <w:spacing w:val="-2"/>
              </w:rPr>
              <w:t>jejichž váha byla</w:t>
            </w:r>
            <w:r w:rsidR="002A06BB" w:rsidRPr="004F7A66">
              <w:rPr>
                <w:spacing w:val="-2"/>
              </w:rPr>
              <w:t xml:space="preserve"> </w:t>
            </w:r>
            <w:r w:rsidRPr="004F7A66">
              <w:rPr>
                <w:spacing w:val="-2"/>
              </w:rPr>
              <w:t xml:space="preserve">v ČR </w:t>
            </w:r>
            <w:r w:rsidR="00F339AF" w:rsidRPr="004F7A66">
              <w:rPr>
                <w:spacing w:val="-2"/>
              </w:rPr>
              <w:t>na počátku devadesátých let</w:t>
            </w:r>
            <w:r w:rsidR="00B0525D" w:rsidRPr="004F7A66">
              <w:rPr>
                <w:spacing w:val="-2"/>
              </w:rPr>
              <w:t xml:space="preserve"> </w:t>
            </w:r>
            <w:r w:rsidR="00AF0279">
              <w:rPr>
                <w:spacing w:val="-2"/>
              </w:rPr>
              <w:t>velmi malá</w:t>
            </w:r>
            <w:r w:rsidR="00B0525D" w:rsidRPr="004F7A66">
              <w:rPr>
                <w:spacing w:val="-2"/>
              </w:rPr>
              <w:t>.</w:t>
            </w:r>
            <w:r w:rsidRPr="004F7A66">
              <w:rPr>
                <w:spacing w:val="-2"/>
              </w:rPr>
              <w:t xml:space="preserve"> </w:t>
            </w:r>
            <w:r w:rsidR="00B0525D" w:rsidRPr="004F7A66">
              <w:rPr>
                <w:spacing w:val="-2"/>
              </w:rPr>
              <w:t>Jestliže v roce 1990</w:t>
            </w:r>
            <w:r w:rsidRPr="004F7A66">
              <w:rPr>
                <w:spacing w:val="-2"/>
              </w:rPr>
              <w:t xml:space="preserve"> </w:t>
            </w:r>
            <w:r w:rsidR="002A06BB" w:rsidRPr="004F7A66">
              <w:rPr>
                <w:spacing w:val="-2"/>
              </w:rPr>
              <w:t>podíl</w:t>
            </w:r>
            <w:r w:rsidR="00B0525D" w:rsidRPr="004F7A66">
              <w:rPr>
                <w:spacing w:val="-2"/>
              </w:rPr>
              <w:t xml:space="preserve"> informačních a komunikačních činností</w:t>
            </w:r>
            <w:r w:rsidR="00EB4C56" w:rsidRPr="004F7A66">
              <w:rPr>
                <w:spacing w:val="-2"/>
              </w:rPr>
              <w:t xml:space="preserve"> na</w:t>
            </w:r>
            <w:r w:rsidR="00FE0F81" w:rsidRPr="004F7A66">
              <w:rPr>
                <w:spacing w:val="-2"/>
              </w:rPr>
              <w:t> </w:t>
            </w:r>
            <w:r w:rsidR="00EB4C56" w:rsidRPr="004F7A66">
              <w:rPr>
                <w:spacing w:val="-2"/>
              </w:rPr>
              <w:t>celkové hrubé</w:t>
            </w:r>
            <w:r w:rsidR="00BA35DD" w:rsidRPr="004F7A66">
              <w:rPr>
                <w:spacing w:val="-2"/>
              </w:rPr>
              <w:t> </w:t>
            </w:r>
            <w:r w:rsidR="00EB4C56" w:rsidRPr="004F7A66">
              <w:rPr>
                <w:spacing w:val="-2"/>
              </w:rPr>
              <w:t>přidané hodnotě</w:t>
            </w:r>
            <w:r w:rsidR="005B0D8E" w:rsidRPr="004F7A66">
              <w:rPr>
                <w:spacing w:val="-2"/>
              </w:rPr>
              <w:t xml:space="preserve"> v běžných cenách</w:t>
            </w:r>
            <w:r w:rsidR="00573147" w:rsidRPr="004F7A66">
              <w:rPr>
                <w:spacing w:val="-2"/>
              </w:rPr>
              <w:t xml:space="preserve"> </w:t>
            </w:r>
            <w:r w:rsidR="00B0525D" w:rsidRPr="004F7A66">
              <w:rPr>
                <w:spacing w:val="-2"/>
              </w:rPr>
              <w:t>činil</w:t>
            </w:r>
            <w:r w:rsidR="00EB4C56" w:rsidRPr="004F7A66">
              <w:rPr>
                <w:spacing w:val="-2"/>
              </w:rPr>
              <w:t xml:space="preserve"> 1,</w:t>
            </w:r>
            <w:r w:rsidRPr="004F7A66">
              <w:rPr>
                <w:spacing w:val="-2"/>
              </w:rPr>
              <w:t>1 % a</w:t>
            </w:r>
            <w:r w:rsidR="00B0525D" w:rsidRPr="004F7A66">
              <w:rPr>
                <w:spacing w:val="-2"/>
              </w:rPr>
              <w:t xml:space="preserve"> </w:t>
            </w:r>
            <w:r w:rsidR="00FE0F81" w:rsidRPr="004F7A66">
              <w:rPr>
                <w:spacing w:val="-2"/>
              </w:rPr>
              <w:t>u</w:t>
            </w:r>
            <w:r w:rsidR="00B0525D" w:rsidRPr="004F7A66">
              <w:rPr>
                <w:spacing w:val="-2"/>
              </w:rPr>
              <w:t xml:space="preserve"> peněžnictví a</w:t>
            </w:r>
            <w:r w:rsidR="00FE0F81" w:rsidRPr="004F7A66">
              <w:rPr>
                <w:spacing w:val="-2"/>
              </w:rPr>
              <w:t> </w:t>
            </w:r>
            <w:r w:rsidR="00B0525D" w:rsidRPr="004F7A66">
              <w:rPr>
                <w:spacing w:val="-2"/>
              </w:rPr>
              <w:t>pojišťovnictví</w:t>
            </w:r>
            <w:r w:rsidRPr="004F7A66">
              <w:rPr>
                <w:spacing w:val="-2"/>
              </w:rPr>
              <w:t xml:space="preserve"> 2,0 %, </w:t>
            </w:r>
            <w:r w:rsidR="00EB4C56" w:rsidRPr="004F7A66">
              <w:rPr>
                <w:spacing w:val="-2"/>
              </w:rPr>
              <w:t>v roce</w:t>
            </w:r>
            <w:r w:rsidRPr="004F7A66">
              <w:rPr>
                <w:spacing w:val="-2"/>
              </w:rPr>
              <w:t xml:space="preserve"> 2014 tato odvětví společně utvářela</w:t>
            </w:r>
            <w:r w:rsidR="00EB4C56" w:rsidRPr="004F7A66">
              <w:rPr>
                <w:spacing w:val="-2"/>
              </w:rPr>
              <w:t xml:space="preserve"> </w:t>
            </w:r>
            <w:r w:rsidRPr="004F7A66">
              <w:rPr>
                <w:spacing w:val="-2"/>
              </w:rPr>
              <w:t>již</w:t>
            </w:r>
            <w:r w:rsidR="00F339AF" w:rsidRPr="004F7A66">
              <w:rPr>
                <w:spacing w:val="-2"/>
              </w:rPr>
              <w:t xml:space="preserve"> téměř</w:t>
            </w:r>
            <w:r w:rsidRPr="004F7A66">
              <w:rPr>
                <w:spacing w:val="-2"/>
              </w:rPr>
              <w:t xml:space="preserve"> </w:t>
            </w:r>
            <w:r w:rsidR="00EB4C56" w:rsidRPr="004F7A66">
              <w:rPr>
                <w:spacing w:val="-2"/>
              </w:rPr>
              <w:t xml:space="preserve">desetinu </w:t>
            </w:r>
            <w:r w:rsidR="00F339AF" w:rsidRPr="004F7A66">
              <w:rPr>
                <w:spacing w:val="-2"/>
              </w:rPr>
              <w:t xml:space="preserve">celkového </w:t>
            </w:r>
            <w:r w:rsidRPr="004F7A66">
              <w:rPr>
                <w:spacing w:val="-2"/>
              </w:rPr>
              <w:t>výkonu</w:t>
            </w:r>
            <w:r w:rsidR="00EB4C56" w:rsidRPr="004F7A66">
              <w:rPr>
                <w:spacing w:val="-2"/>
              </w:rPr>
              <w:t xml:space="preserve"> ekonomiky</w:t>
            </w:r>
            <w:r w:rsidRPr="004F7A66">
              <w:rPr>
                <w:spacing w:val="-2"/>
              </w:rPr>
              <w:t xml:space="preserve"> ČR</w:t>
            </w:r>
            <w:r w:rsidR="002A06BB" w:rsidRPr="004F7A66">
              <w:rPr>
                <w:spacing w:val="-2"/>
              </w:rPr>
              <w:t xml:space="preserve">. </w:t>
            </w:r>
            <w:r w:rsidR="00B0525D" w:rsidRPr="004F7A66">
              <w:rPr>
                <w:spacing w:val="-2"/>
              </w:rPr>
              <w:t>Nadmíru se</w:t>
            </w:r>
            <w:r w:rsidR="00CE2E55" w:rsidRPr="004F7A66">
              <w:rPr>
                <w:spacing w:val="-2"/>
              </w:rPr>
              <w:t xml:space="preserve"> ovšem</w:t>
            </w:r>
            <w:r w:rsidR="00B0525D" w:rsidRPr="004F7A66">
              <w:rPr>
                <w:spacing w:val="-2"/>
              </w:rPr>
              <w:t xml:space="preserve"> dařilo i</w:t>
            </w:r>
            <w:r w:rsidR="002A06BB" w:rsidRPr="004F7A66">
              <w:rPr>
                <w:spacing w:val="-2"/>
              </w:rPr>
              <w:t xml:space="preserve"> </w:t>
            </w:r>
            <w:r w:rsidR="00596106" w:rsidRPr="004F7A66">
              <w:rPr>
                <w:spacing w:val="-2"/>
              </w:rPr>
              <w:t xml:space="preserve">profesním, </w:t>
            </w:r>
            <w:r w:rsidR="00EB4C56" w:rsidRPr="004F7A66">
              <w:rPr>
                <w:spacing w:val="-2"/>
              </w:rPr>
              <w:t>vědeckým</w:t>
            </w:r>
            <w:r w:rsidR="00596106" w:rsidRPr="004F7A66">
              <w:rPr>
                <w:spacing w:val="-2"/>
              </w:rPr>
              <w:t xml:space="preserve"> a technickým</w:t>
            </w:r>
            <w:r w:rsidR="00EB4C56" w:rsidRPr="004F7A66">
              <w:rPr>
                <w:spacing w:val="-2"/>
              </w:rPr>
              <w:t xml:space="preserve"> činnostem</w:t>
            </w:r>
            <w:r w:rsidR="002A06BB" w:rsidRPr="004F7A66">
              <w:rPr>
                <w:spacing w:val="-2"/>
              </w:rPr>
              <w:t xml:space="preserve"> </w:t>
            </w:r>
            <w:r w:rsidR="00EB4C56" w:rsidRPr="004F7A66">
              <w:rPr>
                <w:spacing w:val="-2"/>
              </w:rPr>
              <w:t xml:space="preserve">(+130,1 %), o obdobnou proporci </w:t>
            </w:r>
            <w:r w:rsidR="00E7788D" w:rsidRPr="004F7A66">
              <w:rPr>
                <w:spacing w:val="-2"/>
              </w:rPr>
              <w:t>stoupla</w:t>
            </w:r>
            <w:r w:rsidR="00FE0F81" w:rsidRPr="004F7A66">
              <w:rPr>
                <w:spacing w:val="-2"/>
              </w:rPr>
              <w:t xml:space="preserve"> </w:t>
            </w:r>
            <w:r w:rsidR="00292F2E" w:rsidRPr="004F7A66">
              <w:rPr>
                <w:spacing w:val="-2"/>
              </w:rPr>
              <w:t>v uvedeném</w:t>
            </w:r>
            <w:r w:rsidR="00FE0F81" w:rsidRPr="004F7A66">
              <w:rPr>
                <w:spacing w:val="-2"/>
              </w:rPr>
              <w:t xml:space="preserve"> období </w:t>
            </w:r>
            <w:r w:rsidR="00EB4C56" w:rsidRPr="004F7A66">
              <w:rPr>
                <w:spacing w:val="-2"/>
              </w:rPr>
              <w:t>hrubá přidaná hodnota</w:t>
            </w:r>
            <w:r w:rsidR="00FE0F81" w:rsidRPr="004F7A66">
              <w:rPr>
                <w:spacing w:val="-2"/>
              </w:rPr>
              <w:t xml:space="preserve"> i v případě</w:t>
            </w:r>
            <w:r w:rsidR="00EB4C56" w:rsidRPr="004F7A66">
              <w:rPr>
                <w:spacing w:val="-2"/>
              </w:rPr>
              <w:t xml:space="preserve"> zpracovatelského průmyslu (+131,4 %).</w:t>
            </w:r>
          </w:p>
          <w:p w:rsidR="00EB4C56" w:rsidRPr="004F7A66" w:rsidRDefault="00EB4C56" w:rsidP="00EB4C56">
            <w:pPr>
              <w:pStyle w:val="Textpoznpodarou"/>
              <w:jc w:val="both"/>
              <w:rPr>
                <w:spacing w:val="-2"/>
              </w:rPr>
            </w:pPr>
          </w:p>
        </w:tc>
      </w:tr>
      <w:tr w:rsidR="00ED6AD8" w:rsidRPr="004F7A66" w:rsidTr="00035903">
        <w:trPr>
          <w:trHeight w:val="327"/>
        </w:trPr>
        <w:tc>
          <w:tcPr>
            <w:tcW w:w="1054" w:type="pct"/>
          </w:tcPr>
          <w:p w:rsidR="00ED6AD8" w:rsidRPr="004F7A66" w:rsidRDefault="007849F4" w:rsidP="00B35B94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Ze zpracovatelského průmyslu se</w:t>
            </w:r>
            <w:r w:rsidR="00292F2E" w:rsidRPr="004F7A66">
              <w:rPr>
                <w:sz w:val="16"/>
                <w:szCs w:val="16"/>
              </w:rPr>
              <w:t xml:space="preserve"> v dlouhodobém horizontu</w:t>
            </w:r>
            <w:r w:rsidRPr="004F7A66">
              <w:rPr>
                <w:sz w:val="16"/>
                <w:szCs w:val="16"/>
              </w:rPr>
              <w:t xml:space="preserve"> dařilo zejména automobilovému průmyslu</w:t>
            </w:r>
            <w:r w:rsidR="00196D3F" w:rsidRPr="004F7A66">
              <w:rPr>
                <w:sz w:val="16"/>
                <w:szCs w:val="16"/>
              </w:rPr>
              <w:t xml:space="preserve"> a činnostem, které jsou na něj</w:t>
            </w:r>
            <w:r w:rsidRPr="004F7A66">
              <w:rPr>
                <w:sz w:val="16"/>
                <w:szCs w:val="16"/>
              </w:rPr>
              <w:t xml:space="preserve"> navázané, …</w:t>
            </w:r>
          </w:p>
        </w:tc>
        <w:tc>
          <w:tcPr>
            <w:tcW w:w="143" w:type="pct"/>
          </w:tcPr>
          <w:p w:rsidR="00ED6AD8" w:rsidRPr="004F7A66" w:rsidRDefault="00ED6AD8" w:rsidP="00B35B94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ED6AD8" w:rsidRPr="004F7A66" w:rsidRDefault="00ED6AD8" w:rsidP="00035903">
            <w:pPr>
              <w:pStyle w:val="Textpoznpodarou"/>
              <w:jc w:val="both"/>
              <w:rPr>
                <w:spacing w:val="-4"/>
              </w:rPr>
            </w:pPr>
            <w:r w:rsidRPr="004F7A66">
              <w:rPr>
                <w:spacing w:val="-4"/>
              </w:rPr>
              <w:t xml:space="preserve">Není překvapením, že v rámci zpracovatelského průmyslu </w:t>
            </w:r>
            <w:r w:rsidR="00596106" w:rsidRPr="004F7A66">
              <w:rPr>
                <w:spacing w:val="-4"/>
              </w:rPr>
              <w:t>rapidně</w:t>
            </w:r>
            <w:r w:rsidRPr="004F7A66">
              <w:rPr>
                <w:spacing w:val="-4"/>
              </w:rPr>
              <w:t xml:space="preserve"> </w:t>
            </w:r>
            <w:r w:rsidR="00E7788D" w:rsidRPr="004F7A66">
              <w:rPr>
                <w:spacing w:val="-4"/>
              </w:rPr>
              <w:t>narostl</w:t>
            </w:r>
            <w:r w:rsidRPr="004F7A66">
              <w:rPr>
                <w:spacing w:val="-4"/>
              </w:rPr>
              <w:t xml:space="preserve"> </w:t>
            </w:r>
            <w:r w:rsidR="00E7788D" w:rsidRPr="004F7A66">
              <w:rPr>
                <w:spacing w:val="-4"/>
              </w:rPr>
              <w:t>výkon automobilek</w:t>
            </w:r>
            <w:r w:rsidRPr="004F7A66">
              <w:rPr>
                <w:spacing w:val="-4"/>
              </w:rPr>
              <w:t xml:space="preserve"> (CZ-NACE 29). Mezi rokem 1993 a 2014, což je období, za které jsou data v podrobnějším členění dostupná, </w:t>
            </w:r>
            <w:r w:rsidR="00E7788D" w:rsidRPr="004F7A66">
              <w:rPr>
                <w:spacing w:val="-4"/>
              </w:rPr>
              <w:t>se zvýšil</w:t>
            </w:r>
            <w:r w:rsidRPr="004F7A66">
              <w:rPr>
                <w:spacing w:val="-4"/>
              </w:rPr>
              <w:t xml:space="preserve"> bezmála na </w:t>
            </w:r>
            <w:r w:rsidR="00697247" w:rsidRPr="004F7A66">
              <w:rPr>
                <w:spacing w:val="-4"/>
              </w:rPr>
              <w:t>jedenácti</w:t>
            </w:r>
            <w:r w:rsidRPr="004F7A66">
              <w:rPr>
                <w:spacing w:val="-4"/>
              </w:rPr>
              <w:t>násobek. Že</w:t>
            </w:r>
            <w:r w:rsidR="00F6530A" w:rsidRPr="004F7A66">
              <w:rPr>
                <w:spacing w:val="-4"/>
              </w:rPr>
              <w:t> </w:t>
            </w:r>
            <w:r w:rsidR="00292F2E" w:rsidRPr="004F7A66">
              <w:rPr>
                <w:spacing w:val="-4"/>
              </w:rPr>
              <w:t xml:space="preserve">se </w:t>
            </w:r>
            <w:r w:rsidRPr="004F7A66">
              <w:rPr>
                <w:spacing w:val="-4"/>
              </w:rPr>
              <w:t>podobným tempem rozvíjela i výroba</w:t>
            </w:r>
            <w:r w:rsidR="00FE0F81" w:rsidRPr="004F7A66">
              <w:rPr>
                <w:spacing w:val="-4"/>
              </w:rPr>
              <w:t xml:space="preserve"> elektrických zařízení a výroba</w:t>
            </w:r>
            <w:r w:rsidRPr="004F7A66">
              <w:rPr>
                <w:spacing w:val="-4"/>
              </w:rPr>
              <w:t xml:space="preserve"> pryžových a</w:t>
            </w:r>
            <w:r w:rsidR="00035903" w:rsidRPr="004F7A66">
              <w:rPr>
                <w:spacing w:val="-4"/>
              </w:rPr>
              <w:t> </w:t>
            </w:r>
            <w:r w:rsidR="00FE0F81" w:rsidRPr="004F7A66">
              <w:rPr>
                <w:spacing w:val="-4"/>
              </w:rPr>
              <w:t>plastových výrobků, které</w:t>
            </w:r>
            <w:r w:rsidR="007A555B" w:rsidRPr="004F7A66">
              <w:rPr>
                <w:spacing w:val="-4"/>
              </w:rPr>
              <w:t xml:space="preserve"> jsou</w:t>
            </w:r>
            <w:r w:rsidRPr="004F7A66">
              <w:rPr>
                <w:spacing w:val="-4"/>
              </w:rPr>
              <w:t xml:space="preserve"> s auto</w:t>
            </w:r>
            <w:r w:rsidR="00FE0F81" w:rsidRPr="004F7A66">
              <w:rPr>
                <w:spacing w:val="-4"/>
              </w:rPr>
              <w:t>mobilovým průmyslem silně spjaty</w:t>
            </w:r>
            <w:r w:rsidRPr="004F7A66">
              <w:rPr>
                <w:spacing w:val="-4"/>
              </w:rPr>
              <w:t>, také nepřekvapí.</w:t>
            </w:r>
            <w:r w:rsidR="00035903" w:rsidRPr="004F7A66">
              <w:rPr>
                <w:spacing w:val="-4"/>
              </w:rPr>
              <w:t> </w:t>
            </w:r>
            <w:r w:rsidRPr="004F7A66">
              <w:rPr>
                <w:spacing w:val="-6"/>
              </w:rPr>
              <w:t>Totéž by se dalo říct i</w:t>
            </w:r>
            <w:r w:rsidR="00F6530A" w:rsidRPr="004F7A66">
              <w:rPr>
                <w:spacing w:val="-6"/>
              </w:rPr>
              <w:t> </w:t>
            </w:r>
            <w:r w:rsidRPr="004F7A66">
              <w:rPr>
                <w:spacing w:val="-6"/>
              </w:rPr>
              <w:t>o výrobě počítačů, elektronických a</w:t>
            </w:r>
            <w:r w:rsidR="007A555B" w:rsidRPr="004F7A66">
              <w:rPr>
                <w:spacing w:val="-6"/>
              </w:rPr>
              <w:t> </w:t>
            </w:r>
            <w:r w:rsidRPr="004F7A66">
              <w:rPr>
                <w:spacing w:val="-6"/>
              </w:rPr>
              <w:t>optických přístrojů a</w:t>
            </w:r>
            <w:r w:rsidR="00035903" w:rsidRPr="004F7A66">
              <w:rPr>
                <w:spacing w:val="-6"/>
              </w:rPr>
              <w:t> </w:t>
            </w:r>
            <w:r w:rsidRPr="004F7A66">
              <w:rPr>
                <w:spacing w:val="-6"/>
              </w:rPr>
              <w:t>zařízení,</w:t>
            </w:r>
            <w:r w:rsidR="00035903" w:rsidRPr="004F7A66">
              <w:rPr>
                <w:spacing w:val="-6"/>
              </w:rPr>
              <w:t> nebýt nárůstu hrubé přidané hodnoty na více než čtyřicetinásobek.</w:t>
            </w:r>
          </w:p>
          <w:p w:rsidR="00035903" w:rsidRPr="004F7A66" w:rsidRDefault="00035903" w:rsidP="00035903">
            <w:pPr>
              <w:pStyle w:val="Textpoznpodarou"/>
              <w:jc w:val="both"/>
              <w:rPr>
                <w:spacing w:val="-2"/>
              </w:rPr>
            </w:pPr>
          </w:p>
        </w:tc>
      </w:tr>
      <w:tr w:rsidR="00035903" w:rsidRPr="004F7A66" w:rsidTr="00035903">
        <w:trPr>
          <w:trHeight w:val="327"/>
        </w:trPr>
        <w:tc>
          <w:tcPr>
            <w:tcW w:w="1054" w:type="pct"/>
          </w:tcPr>
          <w:p w:rsidR="00035903" w:rsidRPr="004F7A66" w:rsidRDefault="007849F4" w:rsidP="007849F4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… nikoliv však výrobě textilií, oděvů, usní a také hutnímu průmyslu a výrobě tabákových výrobků</w:t>
            </w:r>
          </w:p>
        </w:tc>
        <w:tc>
          <w:tcPr>
            <w:tcW w:w="143" w:type="pct"/>
          </w:tcPr>
          <w:p w:rsidR="00035903" w:rsidRPr="004F7A66" w:rsidRDefault="00035903" w:rsidP="00B35B94">
            <w:pPr>
              <w:pStyle w:val="Textpoznpodarou"/>
              <w:jc w:val="both"/>
            </w:pPr>
          </w:p>
        </w:tc>
        <w:tc>
          <w:tcPr>
            <w:tcW w:w="3803" w:type="pct"/>
          </w:tcPr>
          <w:p w:rsidR="00035903" w:rsidRPr="004F7A66" w:rsidRDefault="00CE4E10" w:rsidP="00967EF9">
            <w:pPr>
              <w:pStyle w:val="Textpoznpodarou"/>
              <w:jc w:val="both"/>
            </w:pPr>
            <w:r w:rsidRPr="004F7A66">
              <w:t>V</w:t>
            </w:r>
            <w:r w:rsidR="00035903" w:rsidRPr="004F7A66">
              <w:t> rámci struktury zpracovatelského průmyslu se</w:t>
            </w:r>
            <w:r w:rsidRPr="004F7A66">
              <w:t xml:space="preserve"> </w:t>
            </w:r>
            <w:r w:rsidR="007A555B" w:rsidRPr="004F7A66">
              <w:t>v porovnání s rokem</w:t>
            </w:r>
            <w:r w:rsidRPr="004F7A66">
              <w:t xml:space="preserve"> 1993</w:t>
            </w:r>
            <w:r w:rsidR="007A555B" w:rsidRPr="004F7A66">
              <w:t xml:space="preserve"> rozvinuly</w:t>
            </w:r>
            <w:r w:rsidR="00035903" w:rsidRPr="004F7A66">
              <w:t xml:space="preserve"> všechny činnosti</w:t>
            </w:r>
            <w:r w:rsidR="008841A2" w:rsidRPr="004F7A66">
              <w:t>. V</w:t>
            </w:r>
            <w:r w:rsidR="00035903" w:rsidRPr="004F7A66">
              <w:t>ýjimkou</w:t>
            </w:r>
            <w:r w:rsidR="00F2116F" w:rsidRPr="004F7A66">
              <w:t xml:space="preserve"> byl</w:t>
            </w:r>
            <w:r w:rsidR="0093172C" w:rsidRPr="004F7A66">
              <w:t>a</w:t>
            </w:r>
            <w:r w:rsidR="008841A2" w:rsidRPr="004F7A66">
              <w:t xml:space="preserve"> jen</w:t>
            </w:r>
            <w:r w:rsidR="00035903" w:rsidRPr="004F7A66">
              <w:t xml:space="preserve"> </w:t>
            </w:r>
            <w:r w:rsidR="008841A2" w:rsidRPr="004F7A66">
              <w:t>výroba</w:t>
            </w:r>
            <w:r w:rsidR="00967EF9">
              <w:t xml:space="preserve"> textilií, </w:t>
            </w:r>
            <w:r w:rsidR="00DD6132" w:rsidRPr="004F7A66">
              <w:t xml:space="preserve">jejíž hrubá přidaná hodnota </w:t>
            </w:r>
            <w:r w:rsidR="00596106" w:rsidRPr="004F7A66">
              <w:t xml:space="preserve">se začala snižovat </w:t>
            </w:r>
            <w:r w:rsidR="00DD6132" w:rsidRPr="004F7A66">
              <w:t xml:space="preserve">po </w:t>
            </w:r>
            <w:r w:rsidR="00596106" w:rsidRPr="004F7A66">
              <w:t xml:space="preserve">roce </w:t>
            </w:r>
            <w:r w:rsidR="00967EF9">
              <w:t>2006</w:t>
            </w:r>
            <w:r w:rsidR="00DD6132" w:rsidRPr="004F7A66">
              <w:t>,</w:t>
            </w:r>
            <w:r w:rsidR="00596106" w:rsidRPr="004F7A66">
              <w:t xml:space="preserve"> dále</w:t>
            </w:r>
            <w:r w:rsidR="00035903" w:rsidRPr="004F7A66">
              <w:t xml:space="preserve"> </w:t>
            </w:r>
            <w:r w:rsidR="008841A2" w:rsidRPr="004F7A66">
              <w:t>výroba</w:t>
            </w:r>
            <w:r w:rsidRPr="004F7A66">
              <w:t xml:space="preserve"> </w:t>
            </w:r>
            <w:r w:rsidR="00F2116F" w:rsidRPr="004F7A66">
              <w:t>oděvů a </w:t>
            </w:r>
            <w:r w:rsidR="008841A2" w:rsidRPr="004F7A66">
              <w:t>výroba</w:t>
            </w:r>
            <w:r w:rsidRPr="004F7A66">
              <w:t xml:space="preserve"> </w:t>
            </w:r>
            <w:r w:rsidR="00035903" w:rsidRPr="004F7A66">
              <w:t>usní a</w:t>
            </w:r>
            <w:r w:rsidR="00967EF9">
              <w:t> </w:t>
            </w:r>
            <w:r w:rsidR="00035903" w:rsidRPr="004F7A66">
              <w:t xml:space="preserve">souvisejících výrobků – jejichž výrobky byly vytlačovány relativně levnějším zbožím z dovozu – a </w:t>
            </w:r>
            <w:r w:rsidR="008841A2" w:rsidRPr="004F7A66">
              <w:t>hutní</w:t>
            </w:r>
            <w:r w:rsidR="00035903" w:rsidRPr="004F7A66">
              <w:t xml:space="preserve"> prů</w:t>
            </w:r>
            <w:r w:rsidR="008841A2" w:rsidRPr="004F7A66">
              <w:t>mysl</w:t>
            </w:r>
            <w:r w:rsidRPr="004F7A66">
              <w:t xml:space="preserve"> či</w:t>
            </w:r>
            <w:r w:rsidR="00035903" w:rsidRPr="004F7A66">
              <w:t xml:space="preserve"> </w:t>
            </w:r>
            <w:r w:rsidR="008841A2" w:rsidRPr="004F7A66">
              <w:t>výrob</w:t>
            </w:r>
            <w:r w:rsidR="00F6530A" w:rsidRPr="004F7A66">
              <w:t>a</w:t>
            </w:r>
            <w:r w:rsidR="00035903" w:rsidRPr="004F7A66">
              <w:t xml:space="preserve"> tabákových výrobků.</w:t>
            </w:r>
          </w:p>
        </w:tc>
      </w:tr>
    </w:tbl>
    <w:p w:rsidR="00232752" w:rsidRDefault="00232752" w:rsidP="006302F7">
      <w:pPr>
        <w:rPr>
          <w:sz w:val="18"/>
          <w:szCs w:val="18"/>
          <w:lang w:eastAsia="ar-SA"/>
        </w:rPr>
      </w:pPr>
    </w:p>
    <w:p w:rsidR="00F63876" w:rsidRPr="004F7A66" w:rsidRDefault="00F63876" w:rsidP="00F63876">
      <w:pPr>
        <w:jc w:val="both"/>
        <w:rPr>
          <w:szCs w:val="20"/>
          <w:lang w:eastAsia="ar-SA"/>
        </w:rPr>
      </w:pPr>
      <w:r w:rsidRPr="004F7A66">
        <w:rPr>
          <w:szCs w:val="20"/>
          <w:lang w:eastAsia="ar-SA"/>
        </w:rPr>
        <w:t xml:space="preserve">Graf č. 17: </w:t>
      </w:r>
      <w:r w:rsidRPr="004F7A66">
        <w:rPr>
          <w:b/>
          <w:szCs w:val="20"/>
          <w:lang w:eastAsia="ar-SA"/>
        </w:rPr>
        <w:t>Kumulativní změna hrubé přidané hodnoty jednotlivých odvětví ekonomiky ČR v letech 1991</w:t>
      </w:r>
      <w:r w:rsidR="00AD3F40" w:rsidRPr="004F7A66">
        <w:rPr>
          <w:b/>
        </w:rPr>
        <w:t>–</w:t>
      </w:r>
      <w:r w:rsidRPr="004F7A66">
        <w:rPr>
          <w:b/>
          <w:szCs w:val="20"/>
          <w:lang w:eastAsia="ar-SA"/>
        </w:rPr>
        <w:t>2014*</w:t>
      </w:r>
      <w:r w:rsidRPr="004F7A66">
        <w:rPr>
          <w:szCs w:val="20"/>
          <w:lang w:eastAsia="ar-SA"/>
        </w:rPr>
        <w:t xml:space="preserve"> (v %, reálně)</w:t>
      </w:r>
    </w:p>
    <w:p w:rsidR="00F63876" w:rsidRDefault="00232752" w:rsidP="00F63876">
      <w:pPr>
        <w:jc w:val="both"/>
        <w:rPr>
          <w:sz w:val="18"/>
          <w:szCs w:val="18"/>
          <w:lang w:eastAsia="ar-SA"/>
        </w:rPr>
      </w:pPr>
      <w:r w:rsidRPr="00232752">
        <w:rPr>
          <w:noProof/>
          <w:sz w:val="18"/>
          <w:szCs w:val="18"/>
        </w:rPr>
        <w:drawing>
          <wp:inline distT="0" distB="0" distL="0" distR="0">
            <wp:extent cx="6071870" cy="2359660"/>
            <wp:effectExtent l="19050" t="0" r="5080" b="0"/>
            <wp:docPr id="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235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5000" w:type="pct"/>
        <w:tblLayout w:type="fixed"/>
        <w:tblLook w:val="00A0"/>
      </w:tblPr>
      <w:tblGrid>
        <w:gridCol w:w="2077"/>
        <w:gridCol w:w="282"/>
        <w:gridCol w:w="5972"/>
        <w:gridCol w:w="1523"/>
      </w:tblGrid>
      <w:tr w:rsidR="00F63876" w:rsidRPr="004F7A66" w:rsidTr="00B35B94">
        <w:tc>
          <w:tcPr>
            <w:tcW w:w="4227" w:type="pct"/>
            <w:gridSpan w:val="3"/>
          </w:tcPr>
          <w:p w:rsidR="00F63876" w:rsidRPr="004F7A66" w:rsidRDefault="00F63876" w:rsidP="00F63876">
            <w:pPr>
              <w:pStyle w:val="Textpoznpodarou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  <w:lang w:eastAsia="ar-SA"/>
              </w:rPr>
              <w:t xml:space="preserve">*Pozn.: Údaj za odvětví Činnosti domácností jako zaměstnavatelů a producentů pro vlastní potřebu není do grafu zahrnut z důvodu </w:t>
            </w:r>
            <w:r w:rsidR="00C05DA1" w:rsidRPr="004F7A66">
              <w:rPr>
                <w:sz w:val="18"/>
                <w:szCs w:val="18"/>
                <w:lang w:eastAsia="ar-SA"/>
              </w:rPr>
              <w:t xml:space="preserve">velmi </w:t>
            </w:r>
            <w:r w:rsidRPr="004F7A66">
              <w:rPr>
                <w:sz w:val="18"/>
                <w:szCs w:val="18"/>
                <w:lang w:eastAsia="ar-SA"/>
              </w:rPr>
              <w:t xml:space="preserve">malého významu tohoto odvětví a vysokého kumulativního </w:t>
            </w:r>
            <w:r w:rsidR="00AD7FE4" w:rsidRPr="004F7A66">
              <w:rPr>
                <w:sz w:val="18"/>
                <w:szCs w:val="18"/>
                <w:lang w:eastAsia="ar-SA"/>
              </w:rPr>
              <w:t>růstu hrubé přidané</w:t>
            </w:r>
            <w:r w:rsidRPr="004F7A66">
              <w:rPr>
                <w:sz w:val="18"/>
                <w:szCs w:val="18"/>
                <w:lang w:eastAsia="ar-SA"/>
              </w:rPr>
              <w:t xml:space="preserve"> hodnoty (o více než 1000 %)</w:t>
            </w:r>
            <w:r w:rsidRPr="004F7A66">
              <w:rPr>
                <w:sz w:val="18"/>
                <w:szCs w:val="18"/>
              </w:rPr>
              <w:t>.</w:t>
            </w:r>
          </w:p>
        </w:tc>
        <w:tc>
          <w:tcPr>
            <w:tcW w:w="773" w:type="pct"/>
          </w:tcPr>
          <w:p w:rsidR="00F63876" w:rsidRPr="004F7A66" w:rsidRDefault="00F63876" w:rsidP="00F63876">
            <w:pPr>
              <w:pStyle w:val="Textpoznpodarou"/>
              <w:jc w:val="right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>Zdroj: ČSÚ, vlastní výpočty</w:t>
            </w:r>
          </w:p>
        </w:tc>
      </w:tr>
      <w:tr w:rsidR="00453552" w:rsidRPr="004F7A66" w:rsidTr="00B3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</w:tcPr>
          <w:p w:rsidR="00453552" w:rsidRPr="004F7A66" w:rsidRDefault="007849F4" w:rsidP="0093172C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lastRenderedPageBreak/>
              <w:t>Česko – nejprůmyslovější země Evropské unie</w:t>
            </w:r>
            <w:r w:rsidR="0061241C" w:rsidRPr="004F7A66">
              <w:rPr>
                <w:sz w:val="16"/>
                <w:szCs w:val="16"/>
              </w:rPr>
              <w:t xml:space="preserve">. </w:t>
            </w:r>
            <w:r w:rsidR="0093172C" w:rsidRPr="004F7A66">
              <w:rPr>
                <w:sz w:val="16"/>
                <w:szCs w:val="16"/>
              </w:rPr>
              <w:t>Zpracovatelský průmysl se</w:t>
            </w:r>
            <w:r w:rsidR="0061241C" w:rsidRPr="004F7A66">
              <w:rPr>
                <w:sz w:val="16"/>
                <w:szCs w:val="16"/>
              </w:rPr>
              <w:t xml:space="preserve"> na hrubé přidané hodnotě ekonomiky v běžných cenách </w:t>
            </w:r>
            <w:r w:rsidR="0093172C" w:rsidRPr="004F7A66">
              <w:rPr>
                <w:sz w:val="16"/>
                <w:szCs w:val="16"/>
              </w:rPr>
              <w:t>podílel</w:t>
            </w:r>
            <w:r w:rsidR="0061241C" w:rsidRPr="004F7A66">
              <w:rPr>
                <w:sz w:val="16"/>
                <w:szCs w:val="16"/>
              </w:rPr>
              <w:t xml:space="preserve"> v roce 2014 </w:t>
            </w:r>
            <w:r w:rsidR="00985CE0" w:rsidRPr="004F7A66">
              <w:rPr>
                <w:sz w:val="16"/>
                <w:szCs w:val="16"/>
              </w:rPr>
              <w:t>více než</w:t>
            </w:r>
            <w:r w:rsidR="0093172C" w:rsidRPr="004F7A66">
              <w:rPr>
                <w:sz w:val="16"/>
                <w:szCs w:val="16"/>
              </w:rPr>
              <w:t> čtvrtinou</w:t>
            </w:r>
            <w:r w:rsidR="00985CE0" w:rsidRPr="004F7A66">
              <w:rPr>
                <w:sz w:val="16"/>
                <w:szCs w:val="16"/>
              </w:rPr>
              <w:t xml:space="preserve"> …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453552" w:rsidRPr="004F7A66" w:rsidRDefault="00453552" w:rsidP="00B35B94">
            <w:pPr>
              <w:pStyle w:val="Textpoznpodarou"/>
              <w:jc w:val="both"/>
            </w:pPr>
          </w:p>
        </w:tc>
        <w:tc>
          <w:tcPr>
            <w:tcW w:w="38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FDD" w:rsidRPr="004F7A66" w:rsidRDefault="007A555B" w:rsidP="00B0525D">
            <w:pPr>
              <w:pStyle w:val="Textpoznpodarou"/>
              <w:jc w:val="both"/>
            </w:pPr>
            <w:r w:rsidRPr="004F7A66">
              <w:t xml:space="preserve">Navzdory poklesu </w:t>
            </w:r>
            <w:r w:rsidR="00124FDD" w:rsidRPr="004F7A66">
              <w:t>významu</w:t>
            </w:r>
            <w:r w:rsidR="00453552" w:rsidRPr="004F7A66">
              <w:t xml:space="preserve"> zpracovatelského průmyslu </w:t>
            </w:r>
            <w:r w:rsidRPr="004F7A66">
              <w:t xml:space="preserve">na počátku devadesátých let, kdy se </w:t>
            </w:r>
            <w:r w:rsidR="00124FDD" w:rsidRPr="004F7A66">
              <w:t>jeho podíl na celkové hrubé přidané hodnotě ekonomiky</w:t>
            </w:r>
            <w:r w:rsidR="00DD6132" w:rsidRPr="004F7A66">
              <w:t xml:space="preserve"> v běžných cenách</w:t>
            </w:r>
            <w:r w:rsidRPr="004F7A66">
              <w:t xml:space="preserve"> snížil ze zhruba tří de</w:t>
            </w:r>
            <w:r w:rsidR="00DD6132" w:rsidRPr="004F7A66">
              <w:t>setin na jednu čtvrtinu, zůstal</w:t>
            </w:r>
            <w:r w:rsidRPr="004F7A66">
              <w:t xml:space="preserve"> zpracovatelský průmysl pro Česko klíčovým </w:t>
            </w:r>
            <w:r w:rsidR="00191421" w:rsidRPr="004F7A66">
              <w:t>odvětvím</w:t>
            </w:r>
            <w:r w:rsidRPr="004F7A66">
              <w:t xml:space="preserve">. V roce 2014 se </w:t>
            </w:r>
            <w:r w:rsidR="00124FDD" w:rsidRPr="004F7A66">
              <w:t xml:space="preserve">na </w:t>
            </w:r>
            <w:r w:rsidRPr="004F7A66">
              <w:t xml:space="preserve">celkovém výkonu </w:t>
            </w:r>
            <w:r w:rsidR="008E6A0C" w:rsidRPr="00C122A8">
              <w:rPr>
                <w:spacing w:val="-2"/>
              </w:rPr>
              <w:t xml:space="preserve">tuzemské </w:t>
            </w:r>
            <w:r w:rsidRPr="00C122A8">
              <w:rPr>
                <w:spacing w:val="-2"/>
              </w:rPr>
              <w:t>ekonomiky podílel</w:t>
            </w:r>
            <w:r w:rsidR="00124FDD" w:rsidRPr="00C122A8">
              <w:rPr>
                <w:spacing w:val="-2"/>
              </w:rPr>
              <w:t xml:space="preserve"> 26,6 %</w:t>
            </w:r>
            <w:r w:rsidR="00C122A8" w:rsidRPr="00C122A8">
              <w:rPr>
                <w:spacing w:val="-2"/>
              </w:rPr>
              <w:t xml:space="preserve"> (G</w:t>
            </w:r>
            <w:r w:rsidR="0093172C" w:rsidRPr="00C122A8">
              <w:rPr>
                <w:spacing w:val="-2"/>
              </w:rPr>
              <w:t xml:space="preserve">raf </w:t>
            </w:r>
            <w:r w:rsidR="00C122A8" w:rsidRPr="00C122A8">
              <w:rPr>
                <w:spacing w:val="-2"/>
              </w:rPr>
              <w:t xml:space="preserve">č. </w:t>
            </w:r>
            <w:r w:rsidR="0093172C" w:rsidRPr="00C122A8">
              <w:rPr>
                <w:spacing w:val="-2"/>
              </w:rPr>
              <w:t>19)</w:t>
            </w:r>
            <w:r w:rsidR="008E6A0C" w:rsidRPr="00C122A8">
              <w:rPr>
                <w:spacing w:val="-2"/>
              </w:rPr>
              <w:t>, vůbec největší proporcí ze</w:t>
            </w:r>
            <w:r w:rsidR="008E6A0C" w:rsidRPr="004F7A66">
              <w:t xml:space="preserve"> všech zemí EU.</w:t>
            </w:r>
            <w:r w:rsidR="00F40448" w:rsidRPr="004F7A66">
              <w:t xml:space="preserve"> </w:t>
            </w:r>
            <w:r w:rsidR="00124FDD" w:rsidRPr="004F7A66">
              <w:t xml:space="preserve">Pro srovnání: na německé hrubé přidané hodnotě zpracovatelský </w:t>
            </w:r>
            <w:r w:rsidR="00124FDD" w:rsidRPr="004F7A66">
              <w:rPr>
                <w:spacing w:val="-2"/>
              </w:rPr>
              <w:t xml:space="preserve">průmysl </w:t>
            </w:r>
            <w:r w:rsidR="007849F4" w:rsidRPr="004F7A66">
              <w:rPr>
                <w:spacing w:val="-2"/>
              </w:rPr>
              <w:t xml:space="preserve">v roce 2014 </w:t>
            </w:r>
            <w:r w:rsidR="00124FDD" w:rsidRPr="004F7A66">
              <w:rPr>
                <w:spacing w:val="-2"/>
              </w:rPr>
              <w:t>participoval 22,6 % a na výkonu</w:t>
            </w:r>
            <w:r w:rsidR="008E6A0C" w:rsidRPr="004F7A66">
              <w:rPr>
                <w:spacing w:val="-2"/>
              </w:rPr>
              <w:t xml:space="preserve"> </w:t>
            </w:r>
            <w:r w:rsidR="00F20E56" w:rsidRPr="004F7A66">
              <w:rPr>
                <w:spacing w:val="-2"/>
              </w:rPr>
              <w:t>Unie jako celku pouze</w:t>
            </w:r>
            <w:r w:rsidR="0051767B" w:rsidRPr="004F7A66">
              <w:rPr>
                <w:spacing w:val="-2"/>
              </w:rPr>
              <w:t xml:space="preserve"> </w:t>
            </w:r>
            <w:r w:rsidR="00F20E56" w:rsidRPr="004F7A66">
              <w:rPr>
                <w:spacing w:val="-2"/>
              </w:rPr>
              <w:t>15</w:t>
            </w:r>
            <w:r w:rsidR="00F20E56" w:rsidRPr="004F7A66">
              <w:t>,3</w:t>
            </w:r>
            <w:r w:rsidR="00124FDD" w:rsidRPr="004F7A66">
              <w:t xml:space="preserve"> %.</w:t>
            </w:r>
          </w:p>
          <w:p w:rsidR="00B0525D" w:rsidRPr="004F7A66" w:rsidRDefault="00B0525D" w:rsidP="00124FDD">
            <w:pPr>
              <w:pStyle w:val="Textpoznpodarou"/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7849F4" w:rsidRPr="004F7A66" w:rsidTr="00F27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</w:tcPr>
          <w:p w:rsidR="007849F4" w:rsidRPr="004F7A66" w:rsidRDefault="00985CE0" w:rsidP="00B35B94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 xml:space="preserve">… </w:t>
            </w:r>
            <w:r w:rsidR="0093172C" w:rsidRPr="004F7A66">
              <w:rPr>
                <w:sz w:val="16"/>
                <w:szCs w:val="16"/>
              </w:rPr>
              <w:t xml:space="preserve">a </w:t>
            </w:r>
            <w:r w:rsidRPr="004F7A66">
              <w:rPr>
                <w:sz w:val="16"/>
                <w:szCs w:val="16"/>
              </w:rPr>
              <w:t>průmysl jako celek téměř třetinou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7849F4" w:rsidRPr="004F7A66" w:rsidRDefault="007849F4" w:rsidP="00B35B94">
            <w:pPr>
              <w:pStyle w:val="Textpoznpodarou"/>
              <w:jc w:val="both"/>
            </w:pPr>
          </w:p>
        </w:tc>
        <w:tc>
          <w:tcPr>
            <w:tcW w:w="38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CE0" w:rsidRPr="004F7A66" w:rsidRDefault="00BB7CAB" w:rsidP="000669D9">
            <w:pPr>
              <w:pStyle w:val="Textpoznpodarou"/>
              <w:jc w:val="both"/>
              <w:rPr>
                <w:spacing w:val="-4"/>
              </w:rPr>
            </w:pPr>
            <w:r w:rsidRPr="004F7A66">
              <w:rPr>
                <w:spacing w:val="-4"/>
              </w:rPr>
              <w:t xml:space="preserve">Pokud se zaměříme na průmysl jako celek, </w:t>
            </w:r>
            <w:r w:rsidR="0093172C" w:rsidRPr="004F7A66">
              <w:rPr>
                <w:spacing w:val="-4"/>
              </w:rPr>
              <w:t>kdy</w:t>
            </w:r>
            <w:r w:rsidR="00191421" w:rsidRPr="004F7A66">
              <w:rPr>
                <w:spacing w:val="-4"/>
              </w:rPr>
              <w:t xml:space="preserve"> ke</w:t>
            </w:r>
            <w:r w:rsidR="0093172C" w:rsidRPr="004F7A66">
              <w:rPr>
                <w:spacing w:val="-4"/>
              </w:rPr>
              <w:t xml:space="preserve"> zpracovatelskému</w:t>
            </w:r>
            <w:r w:rsidRPr="004F7A66">
              <w:rPr>
                <w:spacing w:val="-4"/>
              </w:rPr>
              <w:t xml:space="preserve"> průmyslu</w:t>
            </w:r>
            <w:r w:rsidR="0093172C" w:rsidRPr="004F7A66">
              <w:rPr>
                <w:spacing w:val="-4"/>
              </w:rPr>
              <w:t xml:space="preserve"> přidáme i</w:t>
            </w:r>
            <w:r w:rsidRPr="004F7A66">
              <w:rPr>
                <w:spacing w:val="-4"/>
              </w:rPr>
              <w:t xml:space="preserve"> těžbu a dobývání, energetiku a zásobování vodou</w:t>
            </w:r>
            <w:r w:rsidR="0093172C" w:rsidRPr="004F7A66">
              <w:rPr>
                <w:spacing w:val="-4"/>
              </w:rPr>
              <w:t xml:space="preserve"> </w:t>
            </w:r>
            <w:r w:rsidR="00191421" w:rsidRPr="004F7A66">
              <w:rPr>
                <w:spacing w:val="-4"/>
              </w:rPr>
              <w:t>(vč. činností</w:t>
            </w:r>
            <w:r w:rsidR="0093172C" w:rsidRPr="004F7A66">
              <w:rPr>
                <w:spacing w:val="-4"/>
              </w:rPr>
              <w:t xml:space="preserve"> související</w:t>
            </w:r>
            <w:r w:rsidR="00191421" w:rsidRPr="004F7A66">
              <w:rPr>
                <w:spacing w:val="-4"/>
              </w:rPr>
              <w:t>ch</w:t>
            </w:r>
            <w:r w:rsidR="0093172C" w:rsidRPr="004F7A66">
              <w:rPr>
                <w:spacing w:val="-4"/>
              </w:rPr>
              <w:t xml:space="preserve"> s</w:t>
            </w:r>
            <w:r w:rsidR="00191421" w:rsidRPr="004F7A66">
              <w:rPr>
                <w:spacing w:val="-4"/>
              </w:rPr>
              <w:t> </w:t>
            </w:r>
            <w:r w:rsidR="0093172C" w:rsidRPr="004F7A66">
              <w:rPr>
                <w:spacing w:val="-4"/>
              </w:rPr>
              <w:t>odpady</w:t>
            </w:r>
            <w:r w:rsidR="00191421" w:rsidRPr="004F7A66">
              <w:rPr>
                <w:spacing w:val="-4"/>
              </w:rPr>
              <w:t>)</w:t>
            </w:r>
            <w:r w:rsidRPr="004F7A66">
              <w:rPr>
                <w:spacing w:val="-4"/>
              </w:rPr>
              <w:t>, potom jsou výsledky o významu tohoto segmentu pro ekonomiku ČR</w:t>
            </w:r>
            <w:r w:rsidR="00191421" w:rsidRPr="004F7A66">
              <w:rPr>
                <w:spacing w:val="-4"/>
              </w:rPr>
              <w:t> </w:t>
            </w:r>
            <w:r w:rsidRPr="004F7A66">
              <w:rPr>
                <w:spacing w:val="-4"/>
              </w:rPr>
              <w:t>podobné jako v případě samotného zpracovatelského průmyslu. Podíl průmyslu</w:t>
            </w:r>
            <w:r w:rsidR="00191421" w:rsidRPr="004F7A66">
              <w:rPr>
                <w:spacing w:val="-4"/>
              </w:rPr>
              <w:t> </w:t>
            </w:r>
            <w:r w:rsidRPr="004F7A66">
              <w:rPr>
                <w:spacing w:val="-4"/>
              </w:rPr>
              <w:t>na hrubé přidané hodnotě ekonomiky</w:t>
            </w:r>
            <w:r w:rsidR="0061241C" w:rsidRPr="004F7A66">
              <w:rPr>
                <w:spacing w:val="-4"/>
              </w:rPr>
              <w:t xml:space="preserve"> v běžných cenách</w:t>
            </w:r>
            <w:r w:rsidRPr="004F7A66">
              <w:rPr>
                <w:spacing w:val="-4"/>
              </w:rPr>
              <w:t xml:space="preserve"> se </w:t>
            </w:r>
            <w:r w:rsidR="00FD365A" w:rsidRPr="004F7A66">
              <w:rPr>
                <w:spacing w:val="-4"/>
              </w:rPr>
              <w:t>po</w:t>
            </w:r>
            <w:r w:rsidR="00191421" w:rsidRPr="004F7A66">
              <w:rPr>
                <w:spacing w:val="-4"/>
              </w:rPr>
              <w:t> </w:t>
            </w:r>
            <w:r w:rsidR="00C16ED6">
              <w:rPr>
                <w:spacing w:val="-4"/>
              </w:rPr>
              <w:t>většinu období 1990</w:t>
            </w:r>
            <w:r w:rsidR="00C16ED6" w:rsidRPr="00967085">
              <w:rPr>
                <w:spacing w:val="-6"/>
              </w:rPr>
              <w:t>–</w:t>
            </w:r>
            <w:r w:rsidR="00FD365A" w:rsidRPr="004F7A66">
              <w:rPr>
                <w:spacing w:val="-4"/>
              </w:rPr>
              <w:t>2014 pohyboval nad hranicí 30 %, v samotném roce 2014 činil</w:t>
            </w:r>
            <w:r w:rsidRPr="004F7A66">
              <w:rPr>
                <w:spacing w:val="-4"/>
              </w:rPr>
              <w:t xml:space="preserve"> </w:t>
            </w:r>
            <w:r w:rsidR="00FD365A" w:rsidRPr="004F7A66">
              <w:rPr>
                <w:spacing w:val="-4"/>
              </w:rPr>
              <w:t>32,4 %</w:t>
            </w:r>
            <w:r w:rsidR="008E6A0C" w:rsidRPr="004F7A66">
              <w:rPr>
                <w:spacing w:val="-4"/>
              </w:rPr>
              <w:t>. Ani v tomto ohledu neměla ČR v EU</w:t>
            </w:r>
            <w:r w:rsidRPr="004F7A66">
              <w:rPr>
                <w:spacing w:val="-4"/>
              </w:rPr>
              <w:t xml:space="preserve"> konkurenci</w:t>
            </w:r>
            <w:r w:rsidR="000669D9" w:rsidRPr="004F7A66">
              <w:rPr>
                <w:spacing w:val="-4"/>
              </w:rPr>
              <w:t xml:space="preserve">, a co se týče </w:t>
            </w:r>
            <w:r w:rsidR="00CE2E55" w:rsidRPr="004F7A66">
              <w:rPr>
                <w:spacing w:val="-4"/>
              </w:rPr>
              <w:t>komparace</w:t>
            </w:r>
            <w:r w:rsidR="000669D9" w:rsidRPr="004F7A66">
              <w:rPr>
                <w:spacing w:val="-4"/>
              </w:rPr>
              <w:t xml:space="preserve"> se </w:t>
            </w:r>
            <w:r w:rsidR="000669D9" w:rsidRPr="004F7A66">
              <w:rPr>
                <w:spacing w:val="-6"/>
              </w:rPr>
              <w:t>zeměmi</w:t>
            </w:r>
            <w:r w:rsidR="00022C0F" w:rsidRPr="004F7A66">
              <w:rPr>
                <w:spacing w:val="-6"/>
              </w:rPr>
              <w:t> </w:t>
            </w:r>
            <w:r w:rsidR="000669D9" w:rsidRPr="004F7A66">
              <w:rPr>
                <w:spacing w:val="-6"/>
              </w:rPr>
              <w:t xml:space="preserve">mimo </w:t>
            </w:r>
            <w:r w:rsidR="00FC533E" w:rsidRPr="004F7A66">
              <w:rPr>
                <w:spacing w:val="-6"/>
              </w:rPr>
              <w:t>Unii, srovnatelného významu průmysl dosa</w:t>
            </w:r>
            <w:r w:rsidR="000669D9" w:rsidRPr="004F7A66">
              <w:rPr>
                <w:spacing w:val="-6"/>
              </w:rPr>
              <w:t>h</w:t>
            </w:r>
            <w:r w:rsidR="00FC533E" w:rsidRPr="004F7A66">
              <w:rPr>
                <w:spacing w:val="-6"/>
              </w:rPr>
              <w:t>ova</w:t>
            </w:r>
            <w:r w:rsidR="000669D9" w:rsidRPr="004F7A66">
              <w:rPr>
                <w:spacing w:val="-6"/>
              </w:rPr>
              <w:t>l</w:t>
            </w:r>
            <w:r w:rsidR="008E6A0C" w:rsidRPr="004F7A66">
              <w:rPr>
                <w:spacing w:val="-6"/>
              </w:rPr>
              <w:t xml:space="preserve"> </w:t>
            </w:r>
            <w:r w:rsidR="000669D9" w:rsidRPr="004F7A66">
              <w:rPr>
                <w:spacing w:val="-6"/>
              </w:rPr>
              <w:t>v</w:t>
            </w:r>
            <w:r w:rsidR="00191421" w:rsidRPr="004F7A66">
              <w:rPr>
                <w:spacing w:val="-6"/>
              </w:rPr>
              <w:t> </w:t>
            </w:r>
            <w:r w:rsidR="000669D9" w:rsidRPr="004F7A66">
              <w:rPr>
                <w:spacing w:val="-6"/>
              </w:rPr>
              <w:t>Norsku</w:t>
            </w:r>
            <w:r w:rsidR="00191421" w:rsidRPr="004F7A66">
              <w:rPr>
                <w:spacing w:val="-4"/>
              </w:rPr>
              <w:t>, které</w:t>
            </w:r>
            <w:r w:rsidR="008E6A0C" w:rsidRPr="004F7A66">
              <w:rPr>
                <w:spacing w:val="-4"/>
              </w:rPr>
              <w:t> </w:t>
            </w:r>
            <w:r w:rsidR="00191421" w:rsidRPr="004F7A66">
              <w:rPr>
                <w:spacing w:val="-4"/>
              </w:rPr>
              <w:t>se</w:t>
            </w:r>
            <w:r w:rsidR="00CE2E55" w:rsidRPr="004F7A66">
              <w:rPr>
                <w:spacing w:val="-4"/>
              </w:rPr>
              <w:t> </w:t>
            </w:r>
            <w:r w:rsidR="00191421" w:rsidRPr="004F7A66">
              <w:rPr>
                <w:spacing w:val="-4"/>
              </w:rPr>
              <w:t>díky výjimečné</w:t>
            </w:r>
            <w:r w:rsidR="00022C0F" w:rsidRPr="004F7A66">
              <w:rPr>
                <w:spacing w:val="-4"/>
              </w:rPr>
              <w:t> </w:t>
            </w:r>
            <w:r w:rsidR="00191421" w:rsidRPr="004F7A66">
              <w:rPr>
                <w:spacing w:val="-4"/>
              </w:rPr>
              <w:t xml:space="preserve">surovině základně specializuje </w:t>
            </w:r>
            <w:r w:rsidR="000669D9" w:rsidRPr="004F7A66">
              <w:rPr>
                <w:spacing w:val="-4"/>
              </w:rPr>
              <w:t xml:space="preserve">na těžbu </w:t>
            </w:r>
            <w:r w:rsidR="00F40448" w:rsidRPr="004F7A66">
              <w:rPr>
                <w:spacing w:val="-4"/>
              </w:rPr>
              <w:t>zemního plynu a ropy</w:t>
            </w:r>
            <w:r w:rsidR="000669D9" w:rsidRPr="004F7A66">
              <w:rPr>
                <w:spacing w:val="-4"/>
              </w:rPr>
              <w:t>.</w:t>
            </w:r>
          </w:p>
          <w:p w:rsidR="000669D9" w:rsidRPr="004F7A66" w:rsidRDefault="000669D9" w:rsidP="000669D9">
            <w:pPr>
              <w:pStyle w:val="Textpoznpodarou"/>
              <w:jc w:val="both"/>
            </w:pPr>
          </w:p>
        </w:tc>
      </w:tr>
      <w:tr w:rsidR="0047688F" w:rsidRPr="004F7A66" w:rsidTr="00F27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</w:tcPr>
          <w:p w:rsidR="0047688F" w:rsidRPr="004F7A66" w:rsidRDefault="0036203A" w:rsidP="00F40448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Cenový vývoj v zemědělství, lesnictví</w:t>
            </w:r>
            <w:r w:rsidR="00F40448" w:rsidRPr="004F7A66">
              <w:rPr>
                <w:sz w:val="16"/>
                <w:szCs w:val="16"/>
              </w:rPr>
              <w:t xml:space="preserve"> a rybářství působil </w:t>
            </w:r>
            <w:r w:rsidR="00995887" w:rsidRPr="004F7A66">
              <w:rPr>
                <w:sz w:val="16"/>
                <w:szCs w:val="16"/>
              </w:rPr>
              <w:t>v letech 1991–</w:t>
            </w:r>
            <w:r w:rsidRPr="004F7A66">
              <w:rPr>
                <w:sz w:val="16"/>
                <w:szCs w:val="16"/>
              </w:rPr>
              <w:t>2014</w:t>
            </w:r>
            <w:r w:rsidR="00F40448" w:rsidRPr="004F7A66">
              <w:rPr>
                <w:sz w:val="16"/>
                <w:szCs w:val="16"/>
              </w:rPr>
              <w:t xml:space="preserve"> </w:t>
            </w:r>
            <w:r w:rsidRPr="004F7A66">
              <w:rPr>
                <w:sz w:val="16"/>
                <w:szCs w:val="16"/>
              </w:rPr>
              <w:t xml:space="preserve">ve směru růstu </w:t>
            </w:r>
            <w:r w:rsidR="00F40448" w:rsidRPr="004F7A66">
              <w:rPr>
                <w:sz w:val="16"/>
                <w:szCs w:val="16"/>
              </w:rPr>
              <w:t xml:space="preserve">nominálních </w:t>
            </w:r>
            <w:r w:rsidRPr="004F7A66">
              <w:rPr>
                <w:sz w:val="16"/>
                <w:szCs w:val="16"/>
              </w:rPr>
              <w:t>zisků firem jen mírně a v porovnání s celou ekonomikou podprůměrně. Zisky stavebních firem byly cenovými efekty však favorizovány významně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47688F" w:rsidRPr="004F7A66" w:rsidRDefault="0047688F" w:rsidP="00B35B94">
            <w:pPr>
              <w:pStyle w:val="Textpoznpodarou"/>
              <w:jc w:val="both"/>
            </w:pPr>
          </w:p>
        </w:tc>
        <w:tc>
          <w:tcPr>
            <w:tcW w:w="38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688F" w:rsidRPr="004F7A66" w:rsidRDefault="006E4606" w:rsidP="00985CE0">
            <w:pPr>
              <w:pStyle w:val="Textpoznpodarou"/>
              <w:jc w:val="both"/>
            </w:pPr>
            <w:r w:rsidRPr="004F7A66">
              <w:t>M</w:t>
            </w:r>
            <w:r w:rsidR="0047688F" w:rsidRPr="004F7A66">
              <w:t>írný nárůst hrubé přidané hodnoty zemědělství, lesnictví a rybářství</w:t>
            </w:r>
            <w:r w:rsidRPr="004F7A66">
              <w:t xml:space="preserve"> mezi roky 1990 a 2014</w:t>
            </w:r>
            <w:r w:rsidR="00084B6D" w:rsidRPr="004F7A66">
              <w:t xml:space="preserve"> (+14,3 %)</w:t>
            </w:r>
            <w:r w:rsidR="0047688F" w:rsidRPr="004F7A66">
              <w:t xml:space="preserve"> při poměrně hlubokém </w:t>
            </w:r>
            <w:r w:rsidR="008D3C41" w:rsidRPr="004F7A66">
              <w:t>poklesu</w:t>
            </w:r>
            <w:r w:rsidR="0047688F" w:rsidRPr="004F7A66">
              <w:t xml:space="preserve"> stavebn</w:t>
            </w:r>
            <w:r w:rsidRPr="004F7A66">
              <w:t>ictví</w:t>
            </w:r>
            <w:r w:rsidR="00084B6D" w:rsidRPr="004F7A66">
              <w:t xml:space="preserve"> (-45,1 %</w:t>
            </w:r>
            <w:r w:rsidR="00022C0F" w:rsidRPr="004F7A66">
              <w:t>, k</w:t>
            </w:r>
            <w:r w:rsidR="008D3C41" w:rsidRPr="004F7A66">
              <w:t> propadu hrubé přidané hodnoty</w:t>
            </w:r>
            <w:r w:rsidR="00022C0F" w:rsidRPr="004F7A66">
              <w:t> </w:t>
            </w:r>
            <w:r w:rsidR="008D3C41" w:rsidRPr="004F7A66">
              <w:t>došlo</w:t>
            </w:r>
            <w:r w:rsidR="00022C0F" w:rsidRPr="004F7A66">
              <w:t xml:space="preserve"> v devadesátých letech</w:t>
            </w:r>
            <w:r w:rsidR="00084B6D" w:rsidRPr="004F7A66">
              <w:t>)</w:t>
            </w:r>
            <w:r w:rsidRPr="004F7A66">
              <w:t xml:space="preserve"> </w:t>
            </w:r>
            <w:r w:rsidR="0047688F" w:rsidRPr="004F7A66">
              <w:t>– když podíl zemědělství, lesnictví a rybářství na celkové hrubé přidané hodnotě ekonomiky</w:t>
            </w:r>
            <w:r w:rsidRPr="004F7A66">
              <w:t xml:space="preserve"> v běžných cenách</w:t>
            </w:r>
            <w:r w:rsidR="0047688F" w:rsidRPr="004F7A66">
              <w:t xml:space="preserve"> se mezi těmito roky zmenšil ze 7,9 % na 2,7 %</w:t>
            </w:r>
            <w:r w:rsidR="008E6A0C" w:rsidRPr="004F7A66">
              <w:t xml:space="preserve"> a </w:t>
            </w:r>
            <w:r w:rsidR="0047688F" w:rsidRPr="004F7A66">
              <w:t xml:space="preserve">v případě stavebnictví z 8,1 % </w:t>
            </w:r>
            <w:r w:rsidR="00084B6D" w:rsidRPr="004F7A66">
              <w:t>pouze</w:t>
            </w:r>
            <w:r w:rsidR="004800E0" w:rsidRPr="004F7A66">
              <w:t xml:space="preserve"> </w:t>
            </w:r>
            <w:r w:rsidR="0047688F" w:rsidRPr="004F7A66">
              <w:t>na 5,6 %</w:t>
            </w:r>
            <w:r w:rsidRPr="004F7A66">
              <w:t xml:space="preserve"> –</w:t>
            </w:r>
            <w:r w:rsidR="007B5F49" w:rsidRPr="004F7A66">
              <w:t xml:space="preserve"> ukazuje, že vývoj deflátorů hrubé přidané hodnoty těchto odvětví byl významně odlišný. Jestliže</w:t>
            </w:r>
            <w:r w:rsidRPr="004F7A66">
              <w:t xml:space="preserve"> </w:t>
            </w:r>
            <w:r w:rsidR="004800E0" w:rsidRPr="004F7A66">
              <w:t>cenová hladina v</w:t>
            </w:r>
            <w:r w:rsidR="007D2F37">
              <w:t> </w:t>
            </w:r>
            <w:r w:rsidR="004800E0" w:rsidRPr="004F7A66">
              <w:t>zemědělství, lesnictví a rybářství narostla v kumulaci za</w:t>
            </w:r>
            <w:r w:rsidR="00706142" w:rsidRPr="004F7A66">
              <w:t> </w:t>
            </w:r>
            <w:r w:rsidR="008E6A0C" w:rsidRPr="004F7A66">
              <w:t xml:space="preserve">roky 1991 až </w:t>
            </w:r>
            <w:r w:rsidR="007D2F37">
              <w:t>2014 „pouze“ o 85 %,</w:t>
            </w:r>
            <w:r w:rsidR="004800E0" w:rsidRPr="004F7A66">
              <w:t xml:space="preserve"> tedy </w:t>
            </w:r>
            <w:r w:rsidR="007B5F49" w:rsidRPr="004F7A66">
              <w:t>znatelně</w:t>
            </w:r>
            <w:r w:rsidR="004800E0" w:rsidRPr="004F7A66">
              <w:t xml:space="preserve"> méně než odpovídalo průměru za celou ekonomiku ČR (+312 %), v případě stavebnictví </w:t>
            </w:r>
            <w:r w:rsidR="007D2F37">
              <w:t xml:space="preserve">vzrostla nadprůměrně, konkrétně </w:t>
            </w:r>
            <w:r w:rsidR="004800E0" w:rsidRPr="004F7A66">
              <w:t>o 678 %.</w:t>
            </w:r>
            <w:r w:rsidR="00084B6D" w:rsidRPr="004F7A66">
              <w:t xml:space="preserve"> Na co to poukazuje? Především na skutečnost, že zatímco cenový vývoj v zemědělství, lesnictví a rybářství působil ve směru růstu </w:t>
            </w:r>
            <w:r w:rsidR="00CE2E55" w:rsidRPr="004F7A66">
              <w:t xml:space="preserve">nominálních </w:t>
            </w:r>
            <w:r w:rsidR="00084B6D" w:rsidRPr="004F7A66">
              <w:t>zisků firem jen mírně</w:t>
            </w:r>
            <w:r w:rsidR="00191421" w:rsidRPr="004F7A66">
              <w:t xml:space="preserve"> a v porovnání s celou ekonomikou podprůměrně</w:t>
            </w:r>
            <w:r w:rsidR="00084B6D" w:rsidRPr="004F7A66">
              <w:t xml:space="preserve">, </w:t>
            </w:r>
            <w:r w:rsidR="00B7757A" w:rsidRPr="004F7A66">
              <w:t xml:space="preserve">zisky </w:t>
            </w:r>
            <w:r w:rsidR="00084B6D" w:rsidRPr="004F7A66">
              <w:t>stavebn</w:t>
            </w:r>
            <w:r w:rsidR="00706142" w:rsidRPr="004F7A66">
              <w:t>ích firem</w:t>
            </w:r>
            <w:r w:rsidR="00084B6D" w:rsidRPr="004F7A66">
              <w:t xml:space="preserve"> </w:t>
            </w:r>
            <w:r w:rsidR="00706142" w:rsidRPr="004F7A66">
              <w:t>byly cenovými efekty</w:t>
            </w:r>
            <w:r w:rsidR="0093172C" w:rsidRPr="004F7A66">
              <w:t xml:space="preserve"> </w:t>
            </w:r>
            <w:r w:rsidR="00706142" w:rsidRPr="004F7A66">
              <w:t>favorizovány</w:t>
            </w:r>
            <w:r w:rsidR="0093172C" w:rsidRPr="004F7A66">
              <w:t xml:space="preserve"> významně</w:t>
            </w:r>
            <w:r w:rsidR="00084B6D" w:rsidRPr="004F7A66">
              <w:t>.</w:t>
            </w:r>
          </w:p>
          <w:p w:rsidR="0047688F" w:rsidRPr="004F7A66" w:rsidRDefault="0047688F" w:rsidP="00985CE0">
            <w:pPr>
              <w:pStyle w:val="Textpoznpodarou"/>
              <w:jc w:val="both"/>
            </w:pPr>
          </w:p>
        </w:tc>
      </w:tr>
      <w:tr w:rsidR="00985CE0" w:rsidRPr="004F7A66" w:rsidTr="00F27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</w:tcPr>
          <w:p w:rsidR="00985CE0" w:rsidRPr="004F7A66" w:rsidRDefault="0093252E" w:rsidP="0093252E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Na významu získ</w:t>
            </w:r>
            <w:r w:rsidR="00492EFB" w:rsidRPr="004F7A66">
              <w:rPr>
                <w:sz w:val="16"/>
                <w:szCs w:val="16"/>
              </w:rPr>
              <w:t>a</w:t>
            </w:r>
            <w:r w:rsidRPr="004F7A66">
              <w:rPr>
                <w:sz w:val="16"/>
                <w:szCs w:val="16"/>
              </w:rPr>
              <w:t>ly služby</w:t>
            </w:r>
            <w:r w:rsidR="00492EFB" w:rsidRPr="004F7A66">
              <w:rPr>
                <w:sz w:val="16"/>
                <w:szCs w:val="16"/>
              </w:rPr>
              <w:t>, …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985CE0" w:rsidRPr="004F7A66" w:rsidRDefault="00985CE0" w:rsidP="00B35B94">
            <w:pPr>
              <w:pStyle w:val="Textpoznpodarou"/>
              <w:jc w:val="both"/>
            </w:pPr>
          </w:p>
        </w:tc>
        <w:tc>
          <w:tcPr>
            <w:tcW w:w="38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CE0" w:rsidRPr="004F7A66" w:rsidRDefault="00B35B94" w:rsidP="00596106">
            <w:pPr>
              <w:pStyle w:val="Textpoznpodarou"/>
              <w:jc w:val="both"/>
            </w:pPr>
            <w:r w:rsidRPr="004F7A66">
              <w:t>Rozvoj</w:t>
            </w:r>
            <w:r w:rsidR="0047688F" w:rsidRPr="004F7A66">
              <w:t xml:space="preserve"> české ekonomiky</w:t>
            </w:r>
            <w:r w:rsidR="00CC6DBA" w:rsidRPr="004F7A66">
              <w:t xml:space="preserve"> v </w:t>
            </w:r>
            <w:r w:rsidR="00191421" w:rsidRPr="004F7A66">
              <w:t>letech</w:t>
            </w:r>
            <w:r w:rsidR="00CC6DBA" w:rsidRPr="004F7A66">
              <w:t xml:space="preserve"> 1991</w:t>
            </w:r>
            <w:r w:rsidR="00E16229" w:rsidRPr="004F7A66">
              <w:t>–</w:t>
            </w:r>
            <w:r w:rsidR="00CC6DBA" w:rsidRPr="004F7A66">
              <w:t>2014</w:t>
            </w:r>
            <w:r w:rsidR="0047688F" w:rsidRPr="004F7A66">
              <w:t xml:space="preserve"> byl spojen s významným </w:t>
            </w:r>
            <w:r w:rsidR="00706142" w:rsidRPr="004F7A66">
              <w:t>posilováním</w:t>
            </w:r>
            <w:r w:rsidR="0047688F" w:rsidRPr="004F7A66">
              <w:t xml:space="preserve"> hrubé přidané h</w:t>
            </w:r>
            <w:r w:rsidR="00084B6D" w:rsidRPr="004F7A66">
              <w:t>odnoty rozličných odvětví služeb a nejednalo se pouze o</w:t>
            </w:r>
            <w:r w:rsidRPr="004F7A66">
              <w:t xml:space="preserve"> již zmíněné</w:t>
            </w:r>
            <w:r w:rsidR="00084B6D" w:rsidRPr="004F7A66">
              <w:t xml:space="preserve"> výstřední růsty</w:t>
            </w:r>
            <w:r w:rsidRPr="004F7A66">
              <w:t xml:space="preserve"> </w:t>
            </w:r>
            <w:r w:rsidR="00084B6D" w:rsidRPr="004F7A66">
              <w:t>informačních</w:t>
            </w:r>
            <w:r w:rsidRPr="004F7A66">
              <w:t xml:space="preserve"> a</w:t>
            </w:r>
            <w:r w:rsidR="00084B6D" w:rsidRPr="004F7A66">
              <w:t xml:space="preserve"> komunikačních činností a</w:t>
            </w:r>
            <w:r w:rsidR="007B5F49" w:rsidRPr="004F7A66">
              <w:t> </w:t>
            </w:r>
            <w:r w:rsidR="00084B6D" w:rsidRPr="004F7A66">
              <w:t>peněžnictví a</w:t>
            </w:r>
            <w:r w:rsidR="0036203A" w:rsidRPr="004F7A66">
              <w:t> </w:t>
            </w:r>
            <w:r w:rsidR="00084B6D" w:rsidRPr="004F7A66">
              <w:t>pojiš</w:t>
            </w:r>
            <w:r w:rsidRPr="004F7A66">
              <w:t xml:space="preserve">ťovnictví. Šlo také o poměrně značný </w:t>
            </w:r>
            <w:r w:rsidR="003D61EA" w:rsidRPr="004F7A66">
              <w:t>nárůst</w:t>
            </w:r>
            <w:r w:rsidRPr="004F7A66">
              <w:t xml:space="preserve"> velkoobchodu a</w:t>
            </w:r>
            <w:r w:rsidR="007B5F49" w:rsidRPr="004F7A66">
              <w:t> </w:t>
            </w:r>
            <w:r w:rsidRPr="004F7A66">
              <w:t xml:space="preserve">maloobchodu (+88,9 %), který byl </w:t>
            </w:r>
            <w:r w:rsidR="00596106" w:rsidRPr="004F7A66">
              <w:t>odrazem zvyšující se kupní síly</w:t>
            </w:r>
            <w:r w:rsidR="0093252E" w:rsidRPr="004F7A66">
              <w:t xml:space="preserve"> domácností</w:t>
            </w:r>
            <w:r w:rsidRPr="004F7A66">
              <w:t>, o</w:t>
            </w:r>
            <w:r w:rsidR="0036203A" w:rsidRPr="004F7A66">
              <w:t> </w:t>
            </w:r>
            <w:r w:rsidRPr="004F7A66">
              <w:t xml:space="preserve">významný růst hrubé přidané hodnoty administrativních a podpůrných činností (+77,6 %) – </w:t>
            </w:r>
            <w:r w:rsidR="0093252E" w:rsidRPr="004F7A66">
              <w:t>jenž</w:t>
            </w:r>
            <w:r w:rsidR="0036203A" w:rsidRPr="004F7A66">
              <w:t xml:space="preserve"> byl z velké části iniciován</w:t>
            </w:r>
            <w:r w:rsidR="00CC6DBA" w:rsidRPr="004F7A66">
              <w:t> rozvojem zpracovatelského průmyslu</w:t>
            </w:r>
            <w:r w:rsidRPr="004F7A66">
              <w:t xml:space="preserve"> –</w:t>
            </w:r>
            <w:r w:rsidR="00492EFB" w:rsidRPr="004F7A66">
              <w:t xml:space="preserve"> nebo</w:t>
            </w:r>
            <w:r w:rsidR="0093252E" w:rsidRPr="004F7A66">
              <w:t> </w:t>
            </w:r>
            <w:r w:rsidR="00CC6DBA" w:rsidRPr="004F7A66">
              <w:t>o</w:t>
            </w:r>
            <w:r w:rsidRPr="004F7A66">
              <w:t xml:space="preserve"> střídmější posílení výkonu činností v oblasti nemovitostí (+13,5 %).</w:t>
            </w:r>
          </w:p>
        </w:tc>
      </w:tr>
    </w:tbl>
    <w:p w:rsidR="00F2778F" w:rsidRDefault="00F2778F" w:rsidP="009E3A8F">
      <w:pPr>
        <w:rPr>
          <w:sz w:val="18"/>
          <w:szCs w:val="18"/>
          <w:lang w:eastAsia="ar-SA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0"/>
        <w:gridCol w:w="3857"/>
        <w:gridCol w:w="999"/>
        <w:gridCol w:w="3928"/>
      </w:tblGrid>
      <w:tr w:rsidR="009E3A8F" w:rsidRPr="004F7A66" w:rsidTr="00F2778F">
        <w:tc>
          <w:tcPr>
            <w:tcW w:w="542" w:type="pct"/>
          </w:tcPr>
          <w:p w:rsidR="009E3A8F" w:rsidRPr="004F7A66" w:rsidRDefault="009E3A8F" w:rsidP="00B35B94">
            <w:pPr>
              <w:pStyle w:val="Textpoznpodarou"/>
            </w:pPr>
            <w:r w:rsidRPr="004F7A66">
              <w:t>Graf č. 18</w:t>
            </w:r>
          </w:p>
        </w:tc>
        <w:tc>
          <w:tcPr>
            <w:tcW w:w="1958" w:type="pct"/>
          </w:tcPr>
          <w:p w:rsidR="009E3A8F" w:rsidRPr="004F7A66" w:rsidRDefault="009E3A8F" w:rsidP="00127A56">
            <w:pPr>
              <w:pStyle w:val="Textpoznpodarou"/>
            </w:pPr>
            <w:r w:rsidRPr="004F7A66">
              <w:rPr>
                <w:b/>
              </w:rPr>
              <w:t>Struktura ekonomiky ČR z hlediska hrubé přidané hodnoty v roce 1990</w:t>
            </w:r>
            <w:r w:rsidRPr="004F7A66">
              <w:t xml:space="preserve"> (v %, </w:t>
            </w:r>
            <w:r w:rsidR="004F2487" w:rsidRPr="004F7A66">
              <w:t>z údajů v běžných cenách</w:t>
            </w:r>
            <w:r w:rsidRPr="004F7A66">
              <w:t>)</w:t>
            </w:r>
          </w:p>
        </w:tc>
        <w:tc>
          <w:tcPr>
            <w:tcW w:w="506" w:type="pct"/>
          </w:tcPr>
          <w:p w:rsidR="009E3A8F" w:rsidRPr="004F7A66" w:rsidRDefault="009E3A8F" w:rsidP="00B35B94">
            <w:pPr>
              <w:pStyle w:val="Textpoznpodarou"/>
            </w:pPr>
            <w:r w:rsidRPr="004F7A66">
              <w:t>Graf č. 19</w:t>
            </w:r>
          </w:p>
        </w:tc>
        <w:tc>
          <w:tcPr>
            <w:tcW w:w="1994" w:type="pct"/>
          </w:tcPr>
          <w:p w:rsidR="009E3A8F" w:rsidRPr="004F7A66" w:rsidRDefault="009E3A8F" w:rsidP="00127A56">
            <w:pPr>
              <w:pStyle w:val="Textpoznpodarou"/>
              <w:rPr>
                <w:spacing w:val="-2"/>
              </w:rPr>
            </w:pPr>
            <w:r w:rsidRPr="004F7A66">
              <w:rPr>
                <w:b/>
              </w:rPr>
              <w:t>Struktura ekonomiky ČR z hlediska hrubé přidané hodnoty v roce 2014</w:t>
            </w:r>
            <w:r w:rsidRPr="004F7A66">
              <w:t xml:space="preserve"> (v %, </w:t>
            </w:r>
            <w:r w:rsidR="004F2487" w:rsidRPr="004F7A66">
              <w:t>z údajů v běžných cenách</w:t>
            </w:r>
            <w:r w:rsidRPr="004F7A66">
              <w:t>)</w:t>
            </w:r>
          </w:p>
        </w:tc>
      </w:tr>
      <w:tr w:rsidR="009E3A8F" w:rsidRPr="004F7A66" w:rsidTr="00F2778F">
        <w:tc>
          <w:tcPr>
            <w:tcW w:w="2500" w:type="pct"/>
            <w:gridSpan w:val="2"/>
          </w:tcPr>
          <w:p w:rsidR="009E3A8F" w:rsidRPr="004F7A66" w:rsidRDefault="00F2778F" w:rsidP="00B35B94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46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</w:tcPr>
          <w:p w:rsidR="009E3A8F" w:rsidRPr="004F7A66" w:rsidRDefault="00F2778F" w:rsidP="00B35B94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6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A8F" w:rsidRPr="004F7A66" w:rsidTr="00F2778F">
        <w:tc>
          <w:tcPr>
            <w:tcW w:w="5000" w:type="pct"/>
            <w:gridSpan w:val="4"/>
          </w:tcPr>
          <w:p w:rsidR="009E3A8F" w:rsidRPr="004F7A66" w:rsidRDefault="009E3A8F" w:rsidP="00B35B94">
            <w:pPr>
              <w:pStyle w:val="Textpoznpodarou"/>
              <w:jc w:val="right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>Zdroj: ČSÚ, vlastní výpočty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77"/>
        <w:gridCol w:w="282"/>
        <w:gridCol w:w="7495"/>
      </w:tblGrid>
      <w:tr w:rsidR="00B7757A" w:rsidRPr="004F7A66" w:rsidTr="007B06FA"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</w:tcPr>
          <w:p w:rsidR="00B7757A" w:rsidRPr="004F7A66" w:rsidRDefault="00492EFB" w:rsidP="00CA135C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lastRenderedPageBreak/>
              <w:t xml:space="preserve">… a to i </w:t>
            </w:r>
            <w:r w:rsidR="00CA135C" w:rsidRPr="004F7A66">
              <w:rPr>
                <w:sz w:val="16"/>
                <w:szCs w:val="16"/>
              </w:rPr>
              <w:t>odvětví, ve kterých má převahu veřejný sektor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B7757A" w:rsidRPr="004F7A66" w:rsidRDefault="00B7757A" w:rsidP="003636D9">
            <w:pPr>
              <w:pStyle w:val="Textpoznpodarou"/>
              <w:jc w:val="both"/>
            </w:pPr>
          </w:p>
        </w:tc>
        <w:tc>
          <w:tcPr>
            <w:tcW w:w="3803" w:type="pct"/>
            <w:tcBorders>
              <w:top w:val="nil"/>
              <w:left w:val="nil"/>
              <w:bottom w:val="nil"/>
              <w:right w:val="nil"/>
            </w:tcBorders>
          </w:tcPr>
          <w:p w:rsidR="00B7757A" w:rsidRPr="004F7A66" w:rsidRDefault="00B7757A" w:rsidP="00596106">
            <w:pPr>
              <w:pStyle w:val="Textpoznpodarou"/>
              <w:jc w:val="both"/>
            </w:pPr>
            <w:r w:rsidRPr="004F7A66">
              <w:t>Co se týče dlouhodobého vývoje odvětví služeb</w:t>
            </w:r>
            <w:r w:rsidR="007B28FD" w:rsidRPr="004F7A66">
              <w:t>,</w:t>
            </w:r>
            <w:r w:rsidRPr="004F7A66">
              <w:t xml:space="preserve"> v</w:t>
            </w:r>
            <w:r w:rsidR="007B28FD" w:rsidRPr="004F7A66">
              <w:t>e kterých</w:t>
            </w:r>
            <w:r w:rsidRPr="004F7A66">
              <w:t xml:space="preserve"> má převahu veřejný sektor a vývoj hrubé přidané hodnoty je tak z velké části odrazem vývoje </w:t>
            </w:r>
            <w:r w:rsidR="00BF5330" w:rsidRPr="004F7A66">
              <w:t>náhrad zaměstnancům</w:t>
            </w:r>
            <w:r w:rsidR="007B28FD" w:rsidRPr="004F7A66">
              <w:t>,</w:t>
            </w:r>
            <w:r w:rsidRPr="004F7A66">
              <w:t xml:space="preserve"> lze říci, </w:t>
            </w:r>
            <w:r w:rsidR="00596106" w:rsidRPr="004F7A66">
              <w:t xml:space="preserve">že </w:t>
            </w:r>
            <w:r w:rsidRPr="004F7A66">
              <w:t>tato odvětví působila ve směru růstu české ekonomiky, nikoliv však jednoznačně.</w:t>
            </w:r>
            <w:r w:rsidR="00492EFB" w:rsidRPr="004F7A66">
              <w:t xml:space="preserve"> Zatímco hrubá přidaná hodnota veřejné správy a obrany</w:t>
            </w:r>
            <w:r w:rsidR="00BF5330" w:rsidRPr="004F7A66">
              <w:t xml:space="preserve"> (vč. povinného sociálního</w:t>
            </w:r>
            <w:r w:rsidR="00492EFB" w:rsidRPr="004F7A66">
              <w:t xml:space="preserve"> zabezpečení) se za roky 1991 až 2014 navýšila v kumulaci o 52,4 % a v případě vzdělávání dokonce o 82,1 % (což mohlo ovšem souviset nejen s posilováním </w:t>
            </w:r>
            <w:r w:rsidR="00BF5330" w:rsidRPr="004F7A66">
              <w:t>náhrad zaměstnancům</w:t>
            </w:r>
            <w:r w:rsidR="00492EFB" w:rsidRPr="004F7A66">
              <w:t>, ale také například s ro</w:t>
            </w:r>
            <w:r w:rsidR="007B28FD" w:rsidRPr="004F7A66">
              <w:t>zv</w:t>
            </w:r>
            <w:r w:rsidR="00492EFB" w:rsidRPr="004F7A66">
              <w:t>ojem soukromého školství</w:t>
            </w:r>
            <w:r w:rsidR="00BF5330" w:rsidRPr="004F7A66">
              <w:t xml:space="preserve"> a tedy se „skutečným“ růstem výkonů</w:t>
            </w:r>
            <w:r w:rsidR="00492EFB" w:rsidRPr="004F7A66">
              <w:t xml:space="preserve">), </w:t>
            </w:r>
            <w:r w:rsidR="007B28FD" w:rsidRPr="004F7A66">
              <w:t>hrubá přidaná hodnota zdravotní a sociální péče o 40,5 % klesla.</w:t>
            </w:r>
          </w:p>
          <w:p w:rsidR="002B426E" w:rsidRPr="004F7A66" w:rsidRDefault="002B426E" w:rsidP="00596106">
            <w:pPr>
              <w:pStyle w:val="Textpoznpodarou"/>
              <w:jc w:val="both"/>
            </w:pPr>
          </w:p>
        </w:tc>
      </w:tr>
      <w:tr w:rsidR="00992591" w:rsidRPr="004F7A66" w:rsidTr="007B06FA"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</w:tcPr>
          <w:p w:rsidR="00992591" w:rsidRPr="004F7A66" w:rsidRDefault="00CA135C" w:rsidP="00CA135C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Růst české ekonomiky odlišný od unijního ve dvou ohledech – struktura a volatilita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992591" w:rsidRPr="004F7A66" w:rsidRDefault="00992591" w:rsidP="003636D9">
            <w:pPr>
              <w:pStyle w:val="Textpoznpodarou"/>
              <w:jc w:val="both"/>
            </w:pPr>
          </w:p>
        </w:tc>
        <w:tc>
          <w:tcPr>
            <w:tcW w:w="3803" w:type="pct"/>
            <w:tcBorders>
              <w:top w:val="nil"/>
              <w:left w:val="nil"/>
              <w:bottom w:val="nil"/>
              <w:right w:val="nil"/>
            </w:tcBorders>
          </w:tcPr>
          <w:p w:rsidR="00992591" w:rsidRPr="004F7A66" w:rsidRDefault="007D2F37" w:rsidP="00992591">
            <w:pPr>
              <w:pStyle w:val="Textpoznpodarou"/>
              <w:jc w:val="both"/>
            </w:pPr>
            <w:r>
              <w:t>Jak je patrné z G</w:t>
            </w:r>
            <w:r w:rsidR="00992591" w:rsidRPr="004F7A66">
              <w:t>rafů</w:t>
            </w:r>
            <w:r>
              <w:t xml:space="preserve"> č.</w:t>
            </w:r>
            <w:r w:rsidR="00992591" w:rsidRPr="004F7A66">
              <w:t xml:space="preserve"> 20 a 21, na kterých jsou zachyceny příspěvky odvětví</w:t>
            </w:r>
            <w:r>
              <w:t>,</w:t>
            </w:r>
            <w:r w:rsidR="00992591" w:rsidRPr="004F7A66">
              <w:t xml:space="preserve"> popřípadě shluků odvětví ke změně hrubé přidané hodnoty v ČR a v Evropské unii v letech 2001 až 2014 (což jsou roky, za které jsou data za EU dostupná), český růst byl</w:t>
            </w:r>
            <w:r w:rsidR="007B45D7" w:rsidRPr="004F7A66">
              <w:t xml:space="preserve"> od unijního</w:t>
            </w:r>
            <w:r w:rsidR="00992591" w:rsidRPr="004F7A66">
              <w:t xml:space="preserve"> odlišný</w:t>
            </w:r>
            <w:r w:rsidR="00681F26" w:rsidRPr="004F7A66">
              <w:t xml:space="preserve"> ve dvou aspektech</w:t>
            </w:r>
            <w:r w:rsidR="00992591" w:rsidRPr="004F7A66">
              <w:t>. Lišil se</w:t>
            </w:r>
            <w:r w:rsidR="007B45D7" w:rsidRPr="004F7A66">
              <w:t xml:space="preserve"> ve</w:t>
            </w:r>
            <w:r w:rsidR="00992591" w:rsidRPr="004F7A66">
              <w:t xml:space="preserve"> struktuře, tedy ve velikosti příspěvků, diferencovaný byl vývoj hrubé přidané hodnoty ale také s ohledem na „vyváženost meziročních změn“ v průběhu času.</w:t>
            </w:r>
          </w:p>
          <w:p w:rsidR="00992591" w:rsidRPr="004F7A66" w:rsidRDefault="00992591" w:rsidP="00992591">
            <w:pPr>
              <w:pStyle w:val="Textpoznpodarou"/>
              <w:jc w:val="both"/>
            </w:pPr>
          </w:p>
        </w:tc>
      </w:tr>
      <w:tr w:rsidR="00992591" w:rsidRPr="004F7A66" w:rsidTr="007B06FA"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</w:tcPr>
          <w:p w:rsidR="00992591" w:rsidRPr="004F7A66" w:rsidRDefault="002C2071" w:rsidP="006D21D0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>D</w:t>
            </w:r>
            <w:r w:rsidR="00CA135C" w:rsidRPr="004F7A66">
              <w:rPr>
                <w:sz w:val="16"/>
                <w:szCs w:val="16"/>
              </w:rPr>
              <w:t>louhodobý nárůst hrubé přidané hodnoty v</w:t>
            </w:r>
            <w:r w:rsidR="006D21D0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ČR</w:t>
            </w:r>
            <w:r w:rsidR="006D21D0" w:rsidRPr="004F7A66">
              <w:rPr>
                <w:sz w:val="16"/>
                <w:szCs w:val="16"/>
              </w:rPr>
              <w:t> </w:t>
            </w:r>
            <w:r w:rsidRPr="004F7A66">
              <w:rPr>
                <w:sz w:val="16"/>
                <w:szCs w:val="16"/>
              </w:rPr>
              <w:t>i v </w:t>
            </w:r>
            <w:r w:rsidR="006D21D0" w:rsidRPr="004F7A66">
              <w:rPr>
                <w:sz w:val="16"/>
                <w:szCs w:val="16"/>
              </w:rPr>
              <w:t>EU v letech 2001–</w:t>
            </w:r>
            <w:r w:rsidR="00CA135C" w:rsidRPr="004F7A66">
              <w:rPr>
                <w:sz w:val="16"/>
                <w:szCs w:val="16"/>
              </w:rPr>
              <w:t xml:space="preserve">2014 byl </w:t>
            </w:r>
            <w:r w:rsidRPr="004F7A66">
              <w:rPr>
                <w:sz w:val="16"/>
                <w:szCs w:val="16"/>
              </w:rPr>
              <w:t>dán rozvojem služeb</w:t>
            </w:r>
            <w:r w:rsidR="00CA135C" w:rsidRPr="004F7A66">
              <w:rPr>
                <w:sz w:val="16"/>
                <w:szCs w:val="16"/>
              </w:rPr>
              <w:t>, …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992591" w:rsidRPr="004F7A66" w:rsidRDefault="00992591" w:rsidP="003636D9">
            <w:pPr>
              <w:pStyle w:val="Textpoznpodarou"/>
              <w:jc w:val="both"/>
            </w:pPr>
          </w:p>
        </w:tc>
        <w:tc>
          <w:tcPr>
            <w:tcW w:w="3803" w:type="pct"/>
            <w:tcBorders>
              <w:top w:val="nil"/>
              <w:left w:val="nil"/>
              <w:bottom w:val="nil"/>
              <w:right w:val="nil"/>
            </w:tcBorders>
          </w:tcPr>
          <w:p w:rsidR="00992591" w:rsidRPr="004F7A66" w:rsidRDefault="00F7261B" w:rsidP="00992591">
            <w:pPr>
              <w:pStyle w:val="Textpoznpodarou"/>
              <w:jc w:val="both"/>
            </w:pPr>
            <w:r w:rsidRPr="004F7A66">
              <w:t>Služby jako celek (CZ-NACE G-</w:t>
            </w:r>
            <w:r w:rsidR="00992591" w:rsidRPr="004F7A66">
              <w:t xml:space="preserve">U) se na dlouhodobém nárůstu hrubé přidané hodnoty tuzemské ekonomiky podílely nejen </w:t>
            </w:r>
            <w:r w:rsidR="008A08BF" w:rsidRPr="004F7A66">
              <w:t>kladně</w:t>
            </w:r>
            <w:r w:rsidR="00992591" w:rsidRPr="004F7A66">
              <w:t xml:space="preserve">, ale také </w:t>
            </w:r>
            <w:r w:rsidR="00681F26" w:rsidRPr="004F7A66">
              <w:t>významně, v</w:t>
            </w:r>
            <w:r w:rsidR="000B0081" w:rsidRPr="004F7A66">
              <w:t> </w:t>
            </w:r>
            <w:r w:rsidR="00992591" w:rsidRPr="004F7A66">
              <w:t>Unii</w:t>
            </w:r>
            <w:r w:rsidR="000B0081" w:rsidRPr="004F7A66">
              <w:t xml:space="preserve"> jako celku</w:t>
            </w:r>
            <w:r w:rsidR="00992591" w:rsidRPr="004F7A66">
              <w:t xml:space="preserve"> </w:t>
            </w:r>
            <w:r w:rsidR="00022C0F" w:rsidRPr="004F7A66">
              <w:t xml:space="preserve">tento shluk odvětví k růstu přispíval </w:t>
            </w:r>
            <w:r w:rsidR="00142593">
              <w:t>taktéž</w:t>
            </w:r>
            <w:r w:rsidR="009F276E">
              <w:t xml:space="preserve"> vysoce</w:t>
            </w:r>
            <w:r w:rsidR="00022C0F" w:rsidRPr="004F7A66">
              <w:t xml:space="preserve"> pozitivně</w:t>
            </w:r>
            <w:r w:rsidR="00681F26" w:rsidRPr="004F7A66">
              <w:t>. Odvětví sdružující z</w:t>
            </w:r>
            <w:r w:rsidR="00992591" w:rsidRPr="004F7A66">
              <w:t>emě</w:t>
            </w:r>
            <w:r w:rsidR="00681F26" w:rsidRPr="004F7A66">
              <w:t>dělství, lesnictví a rybářství</w:t>
            </w:r>
            <w:r w:rsidR="000B0081" w:rsidRPr="004F7A66">
              <w:t xml:space="preserve"> na</w:t>
            </w:r>
            <w:r w:rsidR="008A08BF" w:rsidRPr="004F7A66">
              <w:t xml:space="preserve"> </w:t>
            </w:r>
            <w:r w:rsidR="00681F26" w:rsidRPr="004F7A66">
              <w:t>posilování hrubé přidané hodnoty</w:t>
            </w:r>
            <w:r w:rsidR="00992591" w:rsidRPr="004F7A66">
              <w:t xml:space="preserve"> také </w:t>
            </w:r>
            <w:r w:rsidR="008A08BF" w:rsidRPr="004F7A66">
              <w:t>participovalo</w:t>
            </w:r>
            <w:r w:rsidR="00992591" w:rsidRPr="004F7A66">
              <w:t xml:space="preserve"> kladně v ČR i</w:t>
            </w:r>
            <w:r w:rsidR="000B0081" w:rsidRPr="004F7A66">
              <w:t> </w:t>
            </w:r>
            <w:r w:rsidR="00992591" w:rsidRPr="004F7A66">
              <w:t>v</w:t>
            </w:r>
            <w:r w:rsidR="000B0081" w:rsidRPr="004F7A66">
              <w:t> </w:t>
            </w:r>
            <w:r w:rsidR="00D63670" w:rsidRPr="004F7A66">
              <w:t>Unii, jeho</w:t>
            </w:r>
            <w:r w:rsidR="00992591" w:rsidRPr="004F7A66">
              <w:t xml:space="preserve"> příspěvky však byly velmi nízké</w:t>
            </w:r>
            <w:r w:rsidR="00681F26" w:rsidRPr="004F7A66">
              <w:t>. Obdobné</w:t>
            </w:r>
            <w:r w:rsidR="00022C0F" w:rsidRPr="004F7A66">
              <w:t xml:space="preserve"> platilo i pro stavebnictví, avšak jen v</w:t>
            </w:r>
            <w:r w:rsidR="00D63670" w:rsidRPr="004F7A66">
              <w:t> </w:t>
            </w:r>
            <w:r w:rsidR="00022C0F" w:rsidRPr="004F7A66">
              <w:t>případě</w:t>
            </w:r>
            <w:r w:rsidR="00681F26" w:rsidRPr="004F7A66">
              <w:t xml:space="preserve"> </w:t>
            </w:r>
            <w:r w:rsidR="00022C0F" w:rsidRPr="004F7A66">
              <w:t>ČR. Zatímco hrubá přidaná hodnota tuzemského stavebnictví v letech</w:t>
            </w:r>
            <w:r w:rsidR="00191151" w:rsidRPr="004F7A66">
              <w:t xml:space="preserve"> 2001–</w:t>
            </w:r>
            <w:r w:rsidR="00022C0F" w:rsidRPr="004F7A66">
              <w:t>2014 posílila</w:t>
            </w:r>
            <w:r w:rsidR="007D2F37">
              <w:t>,</w:t>
            </w:r>
            <w:r w:rsidR="00022C0F" w:rsidRPr="004F7A66">
              <w:t xml:space="preserve"> a</w:t>
            </w:r>
            <w:r w:rsidR="000B0081" w:rsidRPr="004F7A66">
              <w:t xml:space="preserve"> toto odvětví tak</w:t>
            </w:r>
            <w:r w:rsidR="00022C0F" w:rsidRPr="004F7A66">
              <w:t xml:space="preserve"> působilo</w:t>
            </w:r>
            <w:r w:rsidR="008A08BF" w:rsidRPr="004F7A66">
              <w:t xml:space="preserve"> střídmě</w:t>
            </w:r>
            <w:r w:rsidR="00022C0F" w:rsidRPr="004F7A66">
              <w:t xml:space="preserve"> ve směru</w:t>
            </w:r>
            <w:r w:rsidR="007B06FA" w:rsidRPr="004F7A66">
              <w:t xml:space="preserve"> růstu</w:t>
            </w:r>
            <w:r w:rsidR="00022C0F" w:rsidRPr="004F7A66">
              <w:t xml:space="preserve"> ekonomiky, v</w:t>
            </w:r>
            <w:r w:rsidR="008A08BF" w:rsidRPr="004F7A66">
              <w:t> </w:t>
            </w:r>
            <w:r w:rsidR="00022C0F" w:rsidRPr="004F7A66">
              <w:t>EU</w:t>
            </w:r>
            <w:r w:rsidR="00681F26" w:rsidRPr="004F7A66">
              <w:t xml:space="preserve"> </w:t>
            </w:r>
            <w:r w:rsidR="00022C0F" w:rsidRPr="004F7A66">
              <w:t>se jednalo o odvětví</w:t>
            </w:r>
            <w:r w:rsidR="00681F26" w:rsidRPr="004F7A66">
              <w:t>, které</w:t>
            </w:r>
            <w:r w:rsidR="000B0081" w:rsidRPr="004F7A66">
              <w:t xml:space="preserve"> hospodářský</w:t>
            </w:r>
            <w:r w:rsidR="00681F26" w:rsidRPr="004F7A66">
              <w:t xml:space="preserve"> </w:t>
            </w:r>
            <w:r w:rsidR="00022C0F" w:rsidRPr="004F7A66">
              <w:t>rozvoj</w:t>
            </w:r>
            <w:r w:rsidR="00681F26" w:rsidRPr="004F7A66">
              <w:t xml:space="preserve"> mírně </w:t>
            </w:r>
            <w:r w:rsidR="007D2F37">
              <w:t>zpomalovalo</w:t>
            </w:r>
            <w:r w:rsidR="00681F26" w:rsidRPr="004F7A66">
              <w:t>.</w:t>
            </w:r>
          </w:p>
          <w:p w:rsidR="00992591" w:rsidRPr="004F7A66" w:rsidRDefault="00992591" w:rsidP="00992591">
            <w:pPr>
              <w:pStyle w:val="Textpoznpodarou"/>
              <w:jc w:val="both"/>
            </w:pPr>
          </w:p>
        </w:tc>
      </w:tr>
      <w:tr w:rsidR="00992591" w:rsidRPr="004F7A66" w:rsidTr="007B06FA"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</w:tcPr>
          <w:p w:rsidR="00992591" w:rsidRPr="004F7A66" w:rsidRDefault="00CA135C" w:rsidP="002C2071">
            <w:pPr>
              <w:spacing w:line="240" w:lineRule="auto"/>
              <w:rPr>
                <w:sz w:val="16"/>
                <w:szCs w:val="16"/>
              </w:rPr>
            </w:pPr>
            <w:r w:rsidRPr="004F7A66">
              <w:rPr>
                <w:sz w:val="16"/>
                <w:szCs w:val="16"/>
              </w:rPr>
              <w:t xml:space="preserve">… v případě ČR </w:t>
            </w:r>
            <w:r w:rsidR="002C2071" w:rsidRPr="004F7A66">
              <w:rPr>
                <w:sz w:val="16"/>
                <w:szCs w:val="16"/>
              </w:rPr>
              <w:t>ale i průmyslu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992591" w:rsidRPr="004F7A66" w:rsidRDefault="00992591" w:rsidP="003636D9">
            <w:pPr>
              <w:pStyle w:val="Textpoznpodarou"/>
              <w:jc w:val="both"/>
            </w:pPr>
          </w:p>
        </w:tc>
        <w:tc>
          <w:tcPr>
            <w:tcW w:w="3803" w:type="pct"/>
            <w:tcBorders>
              <w:top w:val="nil"/>
              <w:left w:val="nil"/>
              <w:bottom w:val="nil"/>
              <w:right w:val="nil"/>
            </w:tcBorders>
          </w:tcPr>
          <w:p w:rsidR="00992591" w:rsidRPr="004F7A66" w:rsidRDefault="00992591" w:rsidP="00DC1E0D">
            <w:pPr>
              <w:pStyle w:val="Textpoznpodarou"/>
              <w:jc w:val="both"/>
            </w:pPr>
            <w:r w:rsidRPr="004F7A66">
              <w:rPr>
                <w:spacing w:val="-4"/>
              </w:rPr>
              <w:t>Rozdílovým faktorem</w:t>
            </w:r>
            <w:r w:rsidR="008A08BF" w:rsidRPr="004F7A66">
              <w:rPr>
                <w:spacing w:val="-4"/>
              </w:rPr>
              <w:t>, co se týče</w:t>
            </w:r>
            <w:r w:rsidRPr="004F7A66">
              <w:rPr>
                <w:spacing w:val="-4"/>
              </w:rPr>
              <w:t> </w:t>
            </w:r>
            <w:r w:rsidR="008A08BF" w:rsidRPr="004F7A66">
              <w:rPr>
                <w:spacing w:val="-4"/>
              </w:rPr>
              <w:t>hospodářského rozvoje</w:t>
            </w:r>
            <w:r w:rsidRPr="004F7A66">
              <w:rPr>
                <w:spacing w:val="-4"/>
              </w:rPr>
              <w:t xml:space="preserve"> ČR a Evropské unie</w:t>
            </w:r>
            <w:r w:rsidR="008A08BF" w:rsidRPr="004F7A66">
              <w:rPr>
                <w:spacing w:val="-4"/>
              </w:rPr>
              <w:t xml:space="preserve"> v letech 2001 až </w:t>
            </w:r>
            <w:r w:rsidRPr="004F7A66">
              <w:rPr>
                <w:spacing w:val="-4"/>
              </w:rPr>
              <w:t>2014</w:t>
            </w:r>
            <w:r w:rsidR="008A08BF" w:rsidRPr="004F7A66">
              <w:rPr>
                <w:spacing w:val="-4"/>
              </w:rPr>
              <w:t>,</w:t>
            </w:r>
            <w:r w:rsidRPr="004F7A66">
              <w:rPr>
                <w:spacing w:val="-4"/>
              </w:rPr>
              <w:t xml:space="preserve"> byl průmysl (</w:t>
            </w:r>
            <w:r w:rsidR="00F9054D">
              <w:rPr>
                <w:spacing w:val="-4"/>
              </w:rPr>
              <w:t>konkrétně</w:t>
            </w:r>
            <w:r w:rsidRPr="004F7A66">
              <w:rPr>
                <w:spacing w:val="-4"/>
              </w:rPr>
              <w:t xml:space="preserve"> šlo o zpracovatelský průmysl orientovaný ve</w:t>
            </w:r>
            <w:r w:rsidR="00DC1E0D">
              <w:rPr>
                <w:spacing w:val="-4"/>
              </w:rPr>
              <w:t> </w:t>
            </w:r>
            <w:r w:rsidRPr="004F7A66">
              <w:rPr>
                <w:spacing w:val="-4"/>
              </w:rPr>
              <w:t xml:space="preserve">velké míře </w:t>
            </w:r>
            <w:r w:rsidR="00D63670" w:rsidRPr="004F7A66">
              <w:rPr>
                <w:spacing w:val="-4"/>
              </w:rPr>
              <w:t>na zahraniční poptávku</w:t>
            </w:r>
            <w:r w:rsidRPr="004F7A66">
              <w:rPr>
                <w:spacing w:val="-4"/>
              </w:rPr>
              <w:t>).</w:t>
            </w:r>
            <w:r w:rsidRPr="004F7A66">
              <w:t xml:space="preserve"> </w:t>
            </w:r>
            <w:r w:rsidR="007B06FA" w:rsidRPr="004F7A66">
              <w:t>V</w:t>
            </w:r>
            <w:r w:rsidRPr="004F7A66">
              <w:t xml:space="preserve"> Česku </w:t>
            </w:r>
            <w:r w:rsidR="007B06FA" w:rsidRPr="004F7A66">
              <w:t>se jednalo o odvětví, které bylo</w:t>
            </w:r>
            <w:r w:rsidRPr="004F7A66">
              <w:t xml:space="preserve"> „motorem“ růstu strany nabídky</w:t>
            </w:r>
            <w:r w:rsidR="007B06FA" w:rsidRPr="004F7A66">
              <w:t>,</w:t>
            </w:r>
            <w:r w:rsidRPr="004F7A66">
              <w:t xml:space="preserve"> a zároveň prvkem, který se </w:t>
            </w:r>
            <w:r w:rsidR="00681F26" w:rsidRPr="004F7A66">
              <w:t>podstatnou</w:t>
            </w:r>
            <w:r w:rsidRPr="004F7A66">
              <w:t xml:space="preserve"> měrou podílel na kolísání meziročních změn hrubé přidané hodnoty</w:t>
            </w:r>
            <w:r w:rsidR="008D3C41" w:rsidRPr="004F7A66">
              <w:t xml:space="preserve"> (</w:t>
            </w:r>
            <w:r w:rsidR="000B0081" w:rsidRPr="004F7A66">
              <w:t>především</w:t>
            </w:r>
            <w:r w:rsidR="008D3C41" w:rsidRPr="004F7A66">
              <w:t xml:space="preserve"> vývoj v průmyslu </w:t>
            </w:r>
            <w:r w:rsidR="00D63670" w:rsidRPr="004F7A66">
              <w:t>byl</w:t>
            </w:r>
            <w:r w:rsidR="008D3C41" w:rsidRPr="004F7A66">
              <w:t xml:space="preserve"> příčinou toho, ž</w:t>
            </w:r>
            <w:r w:rsidR="004E66FB">
              <w:t xml:space="preserve">e období 2004 až 2008 nazýváme </w:t>
            </w:r>
            <w:r w:rsidR="008D3C41" w:rsidRPr="004F7A66">
              <w:t>roky</w:t>
            </w:r>
            <w:r w:rsidR="004E66FB">
              <w:t xml:space="preserve"> konjunktury</w:t>
            </w:r>
            <w:r w:rsidR="00D63670" w:rsidRPr="004F7A66">
              <w:t xml:space="preserve"> a rok 20</w:t>
            </w:r>
            <w:r w:rsidR="004E66FB">
              <w:t xml:space="preserve">09 </w:t>
            </w:r>
            <w:r w:rsidR="00D63670" w:rsidRPr="004F7A66">
              <w:t xml:space="preserve">rokem </w:t>
            </w:r>
            <w:r w:rsidR="004E66FB">
              <w:t>hluboké recese</w:t>
            </w:r>
            <w:r w:rsidR="008D3C41" w:rsidRPr="004F7A66">
              <w:t>)</w:t>
            </w:r>
            <w:r w:rsidR="007B06FA" w:rsidRPr="004F7A66">
              <w:t>. Naproti tomu v</w:t>
            </w:r>
            <w:r w:rsidRPr="004F7A66">
              <w:t xml:space="preserve"> případě </w:t>
            </w:r>
            <w:r w:rsidR="002A26C5" w:rsidRPr="004F7A66">
              <w:t xml:space="preserve">evropské </w:t>
            </w:r>
            <w:r w:rsidR="004E66FB">
              <w:t>osmadvacítky</w:t>
            </w:r>
            <w:r w:rsidRPr="004F7A66">
              <w:t xml:space="preserve"> byl příspěvek průmyslu k dlouhodobému růstu relativně nízký</w:t>
            </w:r>
            <w:r w:rsidR="004E66FB">
              <w:t>,</w:t>
            </w:r>
            <w:r w:rsidRPr="004F7A66">
              <w:t xml:space="preserve"> a logicky tak i volatilita </w:t>
            </w:r>
            <w:r w:rsidR="008A08BF" w:rsidRPr="004F7A66">
              <w:t>vlastního ekonomického</w:t>
            </w:r>
            <w:r w:rsidRPr="004F7A66">
              <w:t xml:space="preserve"> vývoje.</w:t>
            </w:r>
          </w:p>
        </w:tc>
      </w:tr>
    </w:tbl>
    <w:p w:rsidR="00295C88" w:rsidRPr="007B06FA" w:rsidRDefault="00295C88" w:rsidP="0017021E">
      <w:pPr>
        <w:rPr>
          <w:szCs w:val="20"/>
          <w:lang w:eastAsia="ar-SA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0"/>
        <w:gridCol w:w="4235"/>
        <w:gridCol w:w="728"/>
        <w:gridCol w:w="130"/>
        <w:gridCol w:w="4071"/>
      </w:tblGrid>
      <w:tr w:rsidR="0017021E" w:rsidRPr="004F7A66" w:rsidTr="00711489">
        <w:tc>
          <w:tcPr>
            <w:tcW w:w="349" w:type="pct"/>
          </w:tcPr>
          <w:p w:rsidR="0017021E" w:rsidRPr="004F7A66" w:rsidRDefault="0017021E" w:rsidP="003636D9">
            <w:pPr>
              <w:pStyle w:val="Textpoznpodarou"/>
            </w:pPr>
            <w:r w:rsidRPr="004F7A66">
              <w:t>Graf č. 20</w:t>
            </w:r>
          </w:p>
        </w:tc>
        <w:tc>
          <w:tcPr>
            <w:tcW w:w="2150" w:type="pct"/>
          </w:tcPr>
          <w:p w:rsidR="0017021E" w:rsidRPr="004F7A66" w:rsidRDefault="0017021E" w:rsidP="003636D9">
            <w:pPr>
              <w:pStyle w:val="Textpoznpodarou"/>
              <w:rPr>
                <w:b/>
              </w:rPr>
            </w:pPr>
            <w:r w:rsidRPr="004F7A66">
              <w:rPr>
                <w:b/>
              </w:rPr>
              <w:t xml:space="preserve">Příspěvky odvětví </w:t>
            </w:r>
            <w:r w:rsidRPr="004F7A66">
              <w:rPr>
                <w:b/>
                <w:spacing w:val="-6"/>
              </w:rPr>
              <w:t>ke změně HPH v ČR v letech 2001</w:t>
            </w:r>
            <w:r w:rsidRPr="004F7A66">
              <w:rPr>
                <w:b/>
              </w:rPr>
              <w:t>–</w:t>
            </w:r>
            <w:r w:rsidRPr="004F7A66">
              <w:rPr>
                <w:b/>
                <w:spacing w:val="-6"/>
              </w:rPr>
              <w:t>2014</w:t>
            </w:r>
          </w:p>
          <w:p w:rsidR="0017021E" w:rsidRPr="004F7A66" w:rsidRDefault="0017021E" w:rsidP="003636D9">
            <w:pPr>
              <w:pStyle w:val="Textpoznpodarou"/>
              <w:rPr>
                <w:b/>
              </w:rPr>
            </w:pPr>
            <w:r w:rsidRPr="004F7A66">
              <w:t>(y/y, reálně, příspěvky v </w:t>
            </w:r>
            <w:proofErr w:type="spellStart"/>
            <w:r w:rsidRPr="004F7A66">
              <w:t>pb</w:t>
            </w:r>
            <w:proofErr w:type="spellEnd"/>
            <w:r w:rsidRPr="004F7A66">
              <w:t>., HPH v %)</w:t>
            </w:r>
          </w:p>
        </w:tc>
        <w:tc>
          <w:tcPr>
            <w:tcW w:w="368" w:type="pct"/>
          </w:tcPr>
          <w:p w:rsidR="0017021E" w:rsidRPr="004F7A66" w:rsidRDefault="0017021E" w:rsidP="003636D9">
            <w:pPr>
              <w:pStyle w:val="Textpoznpodarou"/>
            </w:pPr>
            <w:r w:rsidRPr="004F7A66">
              <w:t>Graf č. 21</w:t>
            </w:r>
          </w:p>
        </w:tc>
        <w:tc>
          <w:tcPr>
            <w:tcW w:w="2133" w:type="pct"/>
            <w:gridSpan w:val="2"/>
          </w:tcPr>
          <w:p w:rsidR="0017021E" w:rsidRPr="004F7A66" w:rsidRDefault="0017021E" w:rsidP="0017021E">
            <w:pPr>
              <w:pStyle w:val="Textpoznpodarou"/>
              <w:rPr>
                <w:b/>
              </w:rPr>
            </w:pPr>
            <w:r w:rsidRPr="004F7A66">
              <w:rPr>
                <w:b/>
              </w:rPr>
              <w:t xml:space="preserve">Příspěvky odvětví </w:t>
            </w:r>
            <w:r w:rsidRPr="004F7A66">
              <w:rPr>
                <w:b/>
                <w:spacing w:val="-6"/>
              </w:rPr>
              <w:t>ke změně HPH v EU v letech 2001</w:t>
            </w:r>
            <w:r w:rsidRPr="004F7A66">
              <w:rPr>
                <w:b/>
              </w:rPr>
              <w:t>–</w:t>
            </w:r>
            <w:r w:rsidRPr="004F7A66">
              <w:rPr>
                <w:b/>
                <w:spacing w:val="-6"/>
              </w:rPr>
              <w:t>2014</w:t>
            </w:r>
          </w:p>
          <w:p w:rsidR="0017021E" w:rsidRPr="004F7A66" w:rsidRDefault="0017021E" w:rsidP="0017021E">
            <w:pPr>
              <w:pStyle w:val="Textpoznpodarou"/>
              <w:rPr>
                <w:spacing w:val="-2"/>
              </w:rPr>
            </w:pPr>
            <w:r w:rsidRPr="004F7A66">
              <w:t>(y/y, reálně, příspěvky v </w:t>
            </w:r>
            <w:proofErr w:type="spellStart"/>
            <w:r w:rsidRPr="004F7A66">
              <w:t>pb</w:t>
            </w:r>
            <w:proofErr w:type="spellEnd"/>
            <w:r w:rsidRPr="004F7A66">
              <w:t>., HPH v %)</w:t>
            </w:r>
          </w:p>
        </w:tc>
      </w:tr>
      <w:tr w:rsidR="0017021E" w:rsidRPr="004F7A66" w:rsidTr="0017021E">
        <w:tc>
          <w:tcPr>
            <w:tcW w:w="2499" w:type="pct"/>
            <w:gridSpan w:val="2"/>
          </w:tcPr>
          <w:p w:rsidR="0017021E" w:rsidRPr="004F7A66" w:rsidRDefault="00295C88" w:rsidP="003636D9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16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gridSpan w:val="3"/>
          </w:tcPr>
          <w:p w:rsidR="0017021E" w:rsidRPr="004F7A66" w:rsidRDefault="00295C88" w:rsidP="003636D9">
            <w:pPr>
              <w:pStyle w:val="Textpoznpodarou"/>
              <w:jc w:val="both"/>
            </w:pPr>
            <w:r w:rsidRPr="004F7A66">
              <w:rPr>
                <w:noProof/>
              </w:rPr>
              <w:drawing>
                <wp:inline distT="0" distB="0" distL="0" distR="0">
                  <wp:extent cx="3011805" cy="2365375"/>
                  <wp:effectExtent l="19050" t="0" r="0" b="0"/>
                  <wp:docPr id="23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05" cy="236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21E" w:rsidRPr="004F7A66" w:rsidTr="00711489">
        <w:tc>
          <w:tcPr>
            <w:tcW w:w="2932" w:type="pct"/>
            <w:gridSpan w:val="4"/>
          </w:tcPr>
          <w:p w:rsidR="0017021E" w:rsidRPr="004F7A66" w:rsidRDefault="0017021E" w:rsidP="003636D9">
            <w:pPr>
              <w:pStyle w:val="Textpoznpodarou"/>
              <w:rPr>
                <w:sz w:val="18"/>
                <w:szCs w:val="18"/>
              </w:rPr>
            </w:pPr>
          </w:p>
        </w:tc>
        <w:tc>
          <w:tcPr>
            <w:tcW w:w="2068" w:type="pct"/>
          </w:tcPr>
          <w:p w:rsidR="0017021E" w:rsidRPr="004F7A66" w:rsidRDefault="0017021E" w:rsidP="003636D9">
            <w:pPr>
              <w:pStyle w:val="Textpoznpodarou"/>
              <w:jc w:val="right"/>
              <w:rPr>
                <w:sz w:val="18"/>
                <w:szCs w:val="18"/>
              </w:rPr>
            </w:pPr>
            <w:r w:rsidRPr="004F7A66">
              <w:rPr>
                <w:sz w:val="18"/>
                <w:szCs w:val="18"/>
              </w:rPr>
              <w:t xml:space="preserve">Zdroj: </w:t>
            </w:r>
            <w:proofErr w:type="spellStart"/>
            <w:r w:rsidRPr="004F7A66">
              <w:rPr>
                <w:sz w:val="18"/>
                <w:szCs w:val="18"/>
              </w:rPr>
              <w:t>Eurostat</w:t>
            </w:r>
            <w:proofErr w:type="spellEnd"/>
            <w:r w:rsidRPr="004F7A66">
              <w:rPr>
                <w:sz w:val="18"/>
                <w:szCs w:val="18"/>
              </w:rPr>
              <w:t>, vlastní výpočty</w:t>
            </w:r>
          </w:p>
        </w:tc>
      </w:tr>
    </w:tbl>
    <w:p w:rsidR="00AD3F40" w:rsidRDefault="00AD3F40" w:rsidP="0017021E">
      <w:pPr>
        <w:rPr>
          <w:sz w:val="18"/>
          <w:szCs w:val="18"/>
          <w:lang w:eastAsia="ar-SA"/>
        </w:rPr>
      </w:pPr>
    </w:p>
    <w:p w:rsidR="00AD3F40" w:rsidRDefault="00AD3F40" w:rsidP="00AD3F40">
      <w:pPr>
        <w:rPr>
          <w:sz w:val="18"/>
          <w:szCs w:val="18"/>
          <w:lang w:eastAsia="ar-SA"/>
        </w:rPr>
      </w:pPr>
    </w:p>
    <w:p w:rsidR="009E3A8F" w:rsidRDefault="009E3A8F" w:rsidP="00AD3F40">
      <w:pPr>
        <w:rPr>
          <w:sz w:val="18"/>
          <w:szCs w:val="18"/>
          <w:lang w:eastAsia="ar-SA"/>
        </w:rPr>
      </w:pPr>
    </w:p>
    <w:sectPr w:rsidR="009E3A8F" w:rsidSect="00B17614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1134" w:right="1134" w:bottom="1418" w:left="1134" w:header="680" w:footer="680" w:gutter="0"/>
      <w:pgNumType w:start="1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E8B" w:rsidRDefault="007E0E8B" w:rsidP="00BA4E17">
      <w:pPr>
        <w:spacing w:line="240" w:lineRule="auto"/>
      </w:pPr>
      <w:r>
        <w:separator/>
      </w:r>
    </w:p>
  </w:endnote>
  <w:endnote w:type="continuationSeparator" w:id="0">
    <w:p w:rsidR="007E0E8B" w:rsidRDefault="007E0E8B" w:rsidP="00BA4E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Default="00F852DD" w:rsidP="00432B88">
    <w:pPr>
      <w:pStyle w:val="Zpat"/>
      <w:tabs>
        <w:tab w:val="clear" w:pos="4536"/>
        <w:tab w:val="clear" w:pos="9072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5660390</wp:posOffset>
          </wp:positionH>
          <wp:positionV relativeFrom="paragraph">
            <wp:posOffset>-52070</wp:posOffset>
          </wp:positionV>
          <wp:extent cx="466725" cy="219075"/>
          <wp:effectExtent l="0" t="0" r="9525" b="9525"/>
          <wp:wrapNone/>
          <wp:docPr id="28" name="obrázek 4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4223B" w:rsidRPr="005A21E0">
      <w:rPr>
        <w:rFonts w:ascii="Arial" w:hAnsi="Arial" w:cs="Arial"/>
        <w:sz w:val="16"/>
        <w:szCs w:val="16"/>
      </w:rPr>
      <w:fldChar w:fldCharType="begin"/>
    </w:r>
    <w:r w:rsidRPr="005A21E0">
      <w:rPr>
        <w:rFonts w:ascii="Arial" w:hAnsi="Arial" w:cs="Arial"/>
        <w:sz w:val="16"/>
        <w:szCs w:val="16"/>
      </w:rPr>
      <w:instrText>PAGE   \* MERGEFORMAT</w:instrText>
    </w:r>
    <w:r w:rsidR="0084223B" w:rsidRPr="005A21E0">
      <w:rPr>
        <w:rFonts w:ascii="Arial" w:hAnsi="Arial" w:cs="Arial"/>
        <w:sz w:val="16"/>
        <w:szCs w:val="16"/>
      </w:rPr>
      <w:fldChar w:fldCharType="separate"/>
    </w:r>
    <w:r w:rsidR="00B17614">
      <w:rPr>
        <w:rFonts w:ascii="Arial" w:hAnsi="Arial" w:cs="Arial"/>
        <w:noProof/>
        <w:sz w:val="16"/>
        <w:szCs w:val="16"/>
      </w:rPr>
      <w:t>16</w:t>
    </w:r>
    <w:r w:rsidR="0084223B" w:rsidRPr="005A21E0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>2015</w:t>
    </w: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Default="00F852DD" w:rsidP="00432B8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90170</wp:posOffset>
          </wp:positionV>
          <wp:extent cx="495300" cy="266700"/>
          <wp:effectExtent l="0" t="0" r="0" b="0"/>
          <wp:wrapNone/>
          <wp:docPr id="29" name="obrázek 142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 w:rsidRPr="00DC5B3B">
      <w:t xml:space="preserve">                              </w:t>
    </w:r>
  </w:p>
  <w:p w:rsidR="00F852DD" w:rsidRPr="00223E00" w:rsidRDefault="00F852DD" w:rsidP="00432B8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left" w:pos="9262"/>
        <w:tab w:val="left" w:pos="9495"/>
        <w:tab w:val="right" w:pos="9639"/>
      </w:tabs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2015</w:t>
    </w:r>
    <w:r>
      <w:rPr>
        <w:rFonts w:ascii="Arial" w:hAnsi="Arial" w:cs="Arial"/>
        <w:sz w:val="16"/>
        <w:szCs w:val="16"/>
      </w:rPr>
      <w:tab/>
    </w:r>
    <w:r w:rsidR="0084223B" w:rsidRPr="00223E00">
      <w:rPr>
        <w:rFonts w:ascii="Arial" w:hAnsi="Arial" w:cs="Arial"/>
        <w:sz w:val="16"/>
        <w:szCs w:val="16"/>
      </w:rPr>
      <w:fldChar w:fldCharType="begin"/>
    </w:r>
    <w:r w:rsidRPr="00223E00">
      <w:rPr>
        <w:rFonts w:ascii="Arial" w:hAnsi="Arial" w:cs="Arial"/>
        <w:sz w:val="16"/>
        <w:szCs w:val="16"/>
      </w:rPr>
      <w:instrText xml:space="preserve"> PAGE   \* MERGEFORMAT </w:instrText>
    </w:r>
    <w:r w:rsidR="0084223B" w:rsidRPr="00223E00">
      <w:rPr>
        <w:rFonts w:ascii="Arial" w:hAnsi="Arial" w:cs="Arial"/>
        <w:sz w:val="16"/>
        <w:szCs w:val="16"/>
      </w:rPr>
      <w:fldChar w:fldCharType="separate"/>
    </w:r>
    <w:r w:rsidR="00B17614">
      <w:rPr>
        <w:rFonts w:ascii="Arial" w:hAnsi="Arial" w:cs="Arial"/>
        <w:noProof/>
        <w:sz w:val="16"/>
        <w:szCs w:val="16"/>
      </w:rPr>
      <w:t>17</w:t>
    </w:r>
    <w:r w:rsidR="0084223B" w:rsidRPr="00223E0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E8B" w:rsidRDefault="007E0E8B" w:rsidP="00BA4E17">
      <w:pPr>
        <w:spacing w:line="240" w:lineRule="auto"/>
      </w:pPr>
      <w:r>
        <w:separator/>
      </w:r>
    </w:p>
  </w:footnote>
  <w:footnote w:type="continuationSeparator" w:id="0">
    <w:p w:rsidR="007E0E8B" w:rsidRDefault="007E0E8B" w:rsidP="00BA4E17">
      <w:pPr>
        <w:spacing w:line="240" w:lineRule="auto"/>
      </w:pPr>
      <w:r>
        <w:continuationSeparator/>
      </w:r>
    </w:p>
  </w:footnote>
  <w:footnote w:id="1">
    <w:p w:rsidR="00F852DD" w:rsidRPr="004F7A66" w:rsidRDefault="00F852DD" w:rsidP="00931F71">
      <w:pPr>
        <w:pStyle w:val="Textpoznpodarou"/>
      </w:pPr>
      <w:r w:rsidRPr="004F7A66">
        <w:rPr>
          <w:rStyle w:val="Znakapoznpodarou"/>
        </w:rPr>
        <w:footnoteRef/>
      </w:r>
      <w:r w:rsidRPr="004F7A66">
        <w:t xml:space="preserve"> </w:t>
      </w:r>
      <w:r w:rsidRPr="004F7A66">
        <w:rPr>
          <w:sz w:val="16"/>
          <w:szCs w:val="16"/>
        </w:rPr>
        <w:t xml:space="preserve">Údaje používané v kapitole </w:t>
      </w:r>
      <w:proofErr w:type="gramStart"/>
      <w:r w:rsidRPr="004F7A66">
        <w:rPr>
          <w:sz w:val="16"/>
          <w:szCs w:val="16"/>
        </w:rPr>
        <w:t>2.1. jsou</w:t>
      </w:r>
      <w:proofErr w:type="gramEnd"/>
      <w:r w:rsidRPr="004F7A66">
        <w:rPr>
          <w:sz w:val="16"/>
          <w:szCs w:val="16"/>
        </w:rPr>
        <w:t xml:space="preserve"> v reálném vyjádření, pokud není uvedeno jinak.</w:t>
      </w:r>
    </w:p>
  </w:footnote>
  <w:footnote w:id="2">
    <w:p w:rsidR="00F852DD" w:rsidRPr="004F7A66" w:rsidRDefault="00F852DD" w:rsidP="002F3C37">
      <w:pPr>
        <w:pStyle w:val="Textpoznpodarou"/>
      </w:pPr>
      <w:r w:rsidRPr="004F7A66">
        <w:rPr>
          <w:rStyle w:val="Znakapoznpodarou"/>
        </w:rPr>
        <w:footnoteRef/>
      </w:r>
      <w:r w:rsidRPr="004F7A66">
        <w:t xml:space="preserve"> </w:t>
      </w:r>
      <w:r w:rsidRPr="004F7A66">
        <w:rPr>
          <w:sz w:val="16"/>
          <w:szCs w:val="16"/>
        </w:rPr>
        <w:t xml:space="preserve">Údaje používané v kapitole </w:t>
      </w:r>
      <w:proofErr w:type="gramStart"/>
      <w:r w:rsidRPr="004F7A66">
        <w:rPr>
          <w:sz w:val="16"/>
          <w:szCs w:val="16"/>
        </w:rPr>
        <w:t>2.2. jsou</w:t>
      </w:r>
      <w:proofErr w:type="gramEnd"/>
      <w:r w:rsidRPr="004F7A66">
        <w:rPr>
          <w:sz w:val="16"/>
          <w:szCs w:val="16"/>
        </w:rPr>
        <w:t xml:space="preserve"> v reálném vyjádření, pokud není uvedeno jinak.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Pr="00D97985" w:rsidRDefault="00F852DD" w:rsidP="00D97985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szCs w:val="16"/>
      </w:rPr>
    </w:pPr>
    <w:r>
      <w:rPr>
        <w:rFonts w:ascii="Arial" w:hAnsi="Arial" w:cs="Arial"/>
        <w:sz w:val="16"/>
        <w:szCs w:val="16"/>
      </w:rPr>
      <w:t>Hodnocení výkonnosti ekonomiky České republiky v širším kontextu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Pr="00DC5B3B" w:rsidRDefault="00F852DD" w:rsidP="00432B88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Hodnocení výkonnosti ekonomiky České republiky v širším kontextu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1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>
    <w:nsid w:val="1D27177B"/>
    <w:multiLevelType w:val="multilevel"/>
    <w:tmpl w:val="DC80A3A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E5E3AA8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>
    <w:nsid w:val="343F041A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>
    <w:nsid w:val="37057DEB"/>
    <w:multiLevelType w:val="hybridMultilevel"/>
    <w:tmpl w:val="622E0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8100B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>
    <w:nsid w:val="465B4E6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>
    <w:nsid w:val="4EB24CFA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>
    <w:nsid w:val="56B51CDB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>
    <w:nsid w:val="56B652AE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>
    <w:nsid w:val="58A458F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>
    <w:nsid w:val="5D4D0FE2"/>
    <w:multiLevelType w:val="hybridMultilevel"/>
    <w:tmpl w:val="03541CA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508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">
    <w:nsid w:val="63306B51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4">
    <w:nsid w:val="696F0669"/>
    <w:multiLevelType w:val="hybridMultilevel"/>
    <w:tmpl w:val="6B98091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C246295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6">
    <w:nsid w:val="729939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7">
    <w:nsid w:val="7338708F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>
    <w:nsid w:val="73945730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9">
    <w:nsid w:val="74995201"/>
    <w:multiLevelType w:val="multilevel"/>
    <w:tmpl w:val="6004F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0">
    <w:nsid w:val="7C550A0F"/>
    <w:multiLevelType w:val="hybridMultilevel"/>
    <w:tmpl w:val="A6E66A4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C925109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2">
    <w:nsid w:val="7F1F0EA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3">
    <w:nsid w:val="7F9E2B83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5"/>
  </w:num>
  <w:num w:numId="5">
    <w:abstractNumId w:val="18"/>
  </w:num>
  <w:num w:numId="6">
    <w:abstractNumId w:val="8"/>
  </w:num>
  <w:num w:numId="7">
    <w:abstractNumId w:val="15"/>
  </w:num>
  <w:num w:numId="8">
    <w:abstractNumId w:val="13"/>
  </w:num>
  <w:num w:numId="9">
    <w:abstractNumId w:val="2"/>
  </w:num>
  <w:num w:numId="10">
    <w:abstractNumId w:val="6"/>
  </w:num>
  <w:num w:numId="11">
    <w:abstractNumId w:val="21"/>
  </w:num>
  <w:num w:numId="12">
    <w:abstractNumId w:val="22"/>
  </w:num>
  <w:num w:numId="13">
    <w:abstractNumId w:val="0"/>
  </w:num>
  <w:num w:numId="14">
    <w:abstractNumId w:val="3"/>
  </w:num>
  <w:num w:numId="15">
    <w:abstractNumId w:val="7"/>
  </w:num>
  <w:num w:numId="16">
    <w:abstractNumId w:val="23"/>
  </w:num>
  <w:num w:numId="17">
    <w:abstractNumId w:val="17"/>
  </w:num>
  <w:num w:numId="18">
    <w:abstractNumId w:val="9"/>
  </w:num>
  <w:num w:numId="19">
    <w:abstractNumId w:val="10"/>
  </w:num>
  <w:num w:numId="20">
    <w:abstractNumId w:val="16"/>
  </w:num>
  <w:num w:numId="21">
    <w:abstractNumId w:val="14"/>
  </w:num>
  <w:num w:numId="22">
    <w:abstractNumId w:val="20"/>
  </w:num>
  <w:num w:numId="23">
    <w:abstractNumId w:val="4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470018"/>
  </w:hdrShapeDefaults>
  <w:footnotePr>
    <w:footnote w:id="-1"/>
    <w:footnote w:id="0"/>
  </w:footnotePr>
  <w:endnotePr>
    <w:endnote w:id="-1"/>
    <w:endnote w:id="0"/>
  </w:endnotePr>
  <w:compat/>
  <w:rsids>
    <w:rsidRoot w:val="00BA4E17"/>
    <w:rsid w:val="000021E3"/>
    <w:rsid w:val="000024FE"/>
    <w:rsid w:val="0000498D"/>
    <w:rsid w:val="00004EA1"/>
    <w:rsid w:val="00006322"/>
    <w:rsid w:val="00006C78"/>
    <w:rsid w:val="0001032E"/>
    <w:rsid w:val="00010F2C"/>
    <w:rsid w:val="000112C3"/>
    <w:rsid w:val="00012A3C"/>
    <w:rsid w:val="00012FE4"/>
    <w:rsid w:val="0001371A"/>
    <w:rsid w:val="00016CE7"/>
    <w:rsid w:val="00017E85"/>
    <w:rsid w:val="00020F01"/>
    <w:rsid w:val="0002195D"/>
    <w:rsid w:val="00022C0F"/>
    <w:rsid w:val="00022F95"/>
    <w:rsid w:val="00023288"/>
    <w:rsid w:val="00024B3D"/>
    <w:rsid w:val="00024C25"/>
    <w:rsid w:val="00025674"/>
    <w:rsid w:val="00026A02"/>
    <w:rsid w:val="00026B7C"/>
    <w:rsid w:val="00026D91"/>
    <w:rsid w:val="0002715E"/>
    <w:rsid w:val="00027746"/>
    <w:rsid w:val="00032F7E"/>
    <w:rsid w:val="000339DC"/>
    <w:rsid w:val="00033C42"/>
    <w:rsid w:val="0003423E"/>
    <w:rsid w:val="00034B95"/>
    <w:rsid w:val="00035903"/>
    <w:rsid w:val="00040B3C"/>
    <w:rsid w:val="000412EE"/>
    <w:rsid w:val="00042DD5"/>
    <w:rsid w:val="00043526"/>
    <w:rsid w:val="00044987"/>
    <w:rsid w:val="000453DC"/>
    <w:rsid w:val="00045E4E"/>
    <w:rsid w:val="00046BBD"/>
    <w:rsid w:val="0005214C"/>
    <w:rsid w:val="000522A2"/>
    <w:rsid w:val="000562AC"/>
    <w:rsid w:val="00060019"/>
    <w:rsid w:val="00061556"/>
    <w:rsid w:val="00062AFB"/>
    <w:rsid w:val="00063714"/>
    <w:rsid w:val="000659B1"/>
    <w:rsid w:val="00065F3C"/>
    <w:rsid w:val="0006614E"/>
    <w:rsid w:val="00066282"/>
    <w:rsid w:val="000664CD"/>
    <w:rsid w:val="000669D9"/>
    <w:rsid w:val="00067940"/>
    <w:rsid w:val="000704A2"/>
    <w:rsid w:val="000704B8"/>
    <w:rsid w:val="00070B44"/>
    <w:rsid w:val="000710E1"/>
    <w:rsid w:val="000713B0"/>
    <w:rsid w:val="0007334E"/>
    <w:rsid w:val="00073C8C"/>
    <w:rsid w:val="00073D8E"/>
    <w:rsid w:val="0007400A"/>
    <w:rsid w:val="00074D20"/>
    <w:rsid w:val="00075615"/>
    <w:rsid w:val="00076DDC"/>
    <w:rsid w:val="0007715A"/>
    <w:rsid w:val="00080EAB"/>
    <w:rsid w:val="00080EC7"/>
    <w:rsid w:val="00081246"/>
    <w:rsid w:val="00081CCC"/>
    <w:rsid w:val="0008276D"/>
    <w:rsid w:val="00083641"/>
    <w:rsid w:val="00083BCA"/>
    <w:rsid w:val="00084B6D"/>
    <w:rsid w:val="00084BD5"/>
    <w:rsid w:val="00085988"/>
    <w:rsid w:val="000860CA"/>
    <w:rsid w:val="000867AA"/>
    <w:rsid w:val="00090C32"/>
    <w:rsid w:val="000910C6"/>
    <w:rsid w:val="00094408"/>
    <w:rsid w:val="000A1AEA"/>
    <w:rsid w:val="000A20DE"/>
    <w:rsid w:val="000A2325"/>
    <w:rsid w:val="000A2512"/>
    <w:rsid w:val="000A288A"/>
    <w:rsid w:val="000A3337"/>
    <w:rsid w:val="000A3D46"/>
    <w:rsid w:val="000A41A6"/>
    <w:rsid w:val="000A43AA"/>
    <w:rsid w:val="000A5514"/>
    <w:rsid w:val="000B0081"/>
    <w:rsid w:val="000B1432"/>
    <w:rsid w:val="000B1886"/>
    <w:rsid w:val="000B1F92"/>
    <w:rsid w:val="000B7853"/>
    <w:rsid w:val="000C1910"/>
    <w:rsid w:val="000C25FD"/>
    <w:rsid w:val="000C2605"/>
    <w:rsid w:val="000C4902"/>
    <w:rsid w:val="000C5185"/>
    <w:rsid w:val="000C7B0A"/>
    <w:rsid w:val="000D05C4"/>
    <w:rsid w:val="000D24DE"/>
    <w:rsid w:val="000D290E"/>
    <w:rsid w:val="000D2D24"/>
    <w:rsid w:val="000D38B0"/>
    <w:rsid w:val="000D3C9D"/>
    <w:rsid w:val="000D4AE7"/>
    <w:rsid w:val="000D4F0E"/>
    <w:rsid w:val="000D4F11"/>
    <w:rsid w:val="000D53B9"/>
    <w:rsid w:val="000D675E"/>
    <w:rsid w:val="000E0B3D"/>
    <w:rsid w:val="000E12D1"/>
    <w:rsid w:val="000E2418"/>
    <w:rsid w:val="000E2E07"/>
    <w:rsid w:val="000E31F9"/>
    <w:rsid w:val="000E3DA2"/>
    <w:rsid w:val="000E5E55"/>
    <w:rsid w:val="000E6B86"/>
    <w:rsid w:val="000E7062"/>
    <w:rsid w:val="000F0219"/>
    <w:rsid w:val="000F0C5F"/>
    <w:rsid w:val="000F0DAE"/>
    <w:rsid w:val="000F3D8C"/>
    <w:rsid w:val="000F5567"/>
    <w:rsid w:val="000F5815"/>
    <w:rsid w:val="000F674A"/>
    <w:rsid w:val="000F6AFA"/>
    <w:rsid w:val="000F6BA9"/>
    <w:rsid w:val="000F6FB5"/>
    <w:rsid w:val="001006DA"/>
    <w:rsid w:val="00101689"/>
    <w:rsid w:val="00101E84"/>
    <w:rsid w:val="0010330B"/>
    <w:rsid w:val="00105BDF"/>
    <w:rsid w:val="00106F67"/>
    <w:rsid w:val="00107ABB"/>
    <w:rsid w:val="0011305E"/>
    <w:rsid w:val="00115188"/>
    <w:rsid w:val="00115B40"/>
    <w:rsid w:val="00115BCF"/>
    <w:rsid w:val="00116AA7"/>
    <w:rsid w:val="0012227B"/>
    <w:rsid w:val="00122952"/>
    <w:rsid w:val="00123F72"/>
    <w:rsid w:val="00124745"/>
    <w:rsid w:val="00124CF6"/>
    <w:rsid w:val="00124FDD"/>
    <w:rsid w:val="00125853"/>
    <w:rsid w:val="0012640B"/>
    <w:rsid w:val="00127A56"/>
    <w:rsid w:val="00127B13"/>
    <w:rsid w:val="0013059C"/>
    <w:rsid w:val="00130FF8"/>
    <w:rsid w:val="00131BEB"/>
    <w:rsid w:val="00132DB4"/>
    <w:rsid w:val="001350B2"/>
    <w:rsid w:val="00135A97"/>
    <w:rsid w:val="00136F0A"/>
    <w:rsid w:val="001378B4"/>
    <w:rsid w:val="001416A8"/>
    <w:rsid w:val="00142593"/>
    <w:rsid w:val="00142D80"/>
    <w:rsid w:val="001433B7"/>
    <w:rsid w:val="00145396"/>
    <w:rsid w:val="001470A5"/>
    <w:rsid w:val="0014747A"/>
    <w:rsid w:val="0014771B"/>
    <w:rsid w:val="00151538"/>
    <w:rsid w:val="00151C8E"/>
    <w:rsid w:val="00151EAF"/>
    <w:rsid w:val="00152290"/>
    <w:rsid w:val="00152569"/>
    <w:rsid w:val="00152724"/>
    <w:rsid w:val="001547AB"/>
    <w:rsid w:val="00154CFC"/>
    <w:rsid w:val="0015537A"/>
    <w:rsid w:val="00155A49"/>
    <w:rsid w:val="00155DE7"/>
    <w:rsid w:val="00160D65"/>
    <w:rsid w:val="001632D1"/>
    <w:rsid w:val="001638B3"/>
    <w:rsid w:val="00163D05"/>
    <w:rsid w:val="00167AA1"/>
    <w:rsid w:val="0017021E"/>
    <w:rsid w:val="00170920"/>
    <w:rsid w:val="00171E67"/>
    <w:rsid w:val="0017308D"/>
    <w:rsid w:val="00173407"/>
    <w:rsid w:val="0017384F"/>
    <w:rsid w:val="001738DE"/>
    <w:rsid w:val="00173C02"/>
    <w:rsid w:val="00173F12"/>
    <w:rsid w:val="0017483A"/>
    <w:rsid w:val="00174D31"/>
    <w:rsid w:val="00174D69"/>
    <w:rsid w:val="00175215"/>
    <w:rsid w:val="001760E5"/>
    <w:rsid w:val="00180851"/>
    <w:rsid w:val="00181E0A"/>
    <w:rsid w:val="0018450B"/>
    <w:rsid w:val="00184831"/>
    <w:rsid w:val="00185638"/>
    <w:rsid w:val="001874ED"/>
    <w:rsid w:val="00187FBD"/>
    <w:rsid w:val="00191151"/>
    <w:rsid w:val="00191421"/>
    <w:rsid w:val="00193FBE"/>
    <w:rsid w:val="00195C75"/>
    <w:rsid w:val="0019607E"/>
    <w:rsid w:val="00196D3F"/>
    <w:rsid w:val="001A1AD8"/>
    <w:rsid w:val="001A1EE0"/>
    <w:rsid w:val="001A208C"/>
    <w:rsid w:val="001A21D3"/>
    <w:rsid w:val="001A4D53"/>
    <w:rsid w:val="001A5656"/>
    <w:rsid w:val="001A6F4F"/>
    <w:rsid w:val="001A7550"/>
    <w:rsid w:val="001B128C"/>
    <w:rsid w:val="001B23F5"/>
    <w:rsid w:val="001B25A3"/>
    <w:rsid w:val="001B33CC"/>
    <w:rsid w:val="001B3F37"/>
    <w:rsid w:val="001B58B7"/>
    <w:rsid w:val="001B636E"/>
    <w:rsid w:val="001B72CE"/>
    <w:rsid w:val="001C0AB2"/>
    <w:rsid w:val="001C1B89"/>
    <w:rsid w:val="001C1F79"/>
    <w:rsid w:val="001C29C9"/>
    <w:rsid w:val="001C715F"/>
    <w:rsid w:val="001D0BF6"/>
    <w:rsid w:val="001D20FC"/>
    <w:rsid w:val="001D301D"/>
    <w:rsid w:val="001D35AD"/>
    <w:rsid w:val="001D44B2"/>
    <w:rsid w:val="001D44C7"/>
    <w:rsid w:val="001D5495"/>
    <w:rsid w:val="001D7B90"/>
    <w:rsid w:val="001E0E16"/>
    <w:rsid w:val="001E13AD"/>
    <w:rsid w:val="001E15CE"/>
    <w:rsid w:val="001E179D"/>
    <w:rsid w:val="001E30F6"/>
    <w:rsid w:val="001E457E"/>
    <w:rsid w:val="001E487B"/>
    <w:rsid w:val="001E64BF"/>
    <w:rsid w:val="001E6A2B"/>
    <w:rsid w:val="001F222C"/>
    <w:rsid w:val="001F25B4"/>
    <w:rsid w:val="001F3E61"/>
    <w:rsid w:val="001F434D"/>
    <w:rsid w:val="001F5129"/>
    <w:rsid w:val="001F53A9"/>
    <w:rsid w:val="001F5422"/>
    <w:rsid w:val="001F687D"/>
    <w:rsid w:val="0020067B"/>
    <w:rsid w:val="00201BEC"/>
    <w:rsid w:val="00203011"/>
    <w:rsid w:val="00203199"/>
    <w:rsid w:val="002057AF"/>
    <w:rsid w:val="00205DB8"/>
    <w:rsid w:val="002068D4"/>
    <w:rsid w:val="00206D91"/>
    <w:rsid w:val="00207826"/>
    <w:rsid w:val="0021155D"/>
    <w:rsid w:val="00211BD9"/>
    <w:rsid w:val="00212018"/>
    <w:rsid w:val="0021214D"/>
    <w:rsid w:val="00214494"/>
    <w:rsid w:val="0021637A"/>
    <w:rsid w:val="00216DF8"/>
    <w:rsid w:val="00216E26"/>
    <w:rsid w:val="0021732A"/>
    <w:rsid w:val="002208A7"/>
    <w:rsid w:val="002229E3"/>
    <w:rsid w:val="00222FAE"/>
    <w:rsid w:val="00225B3B"/>
    <w:rsid w:val="00226681"/>
    <w:rsid w:val="00226DBD"/>
    <w:rsid w:val="00226DD6"/>
    <w:rsid w:val="00226DF2"/>
    <w:rsid w:val="00227773"/>
    <w:rsid w:val="00227EC8"/>
    <w:rsid w:val="002316DD"/>
    <w:rsid w:val="00231764"/>
    <w:rsid w:val="00232752"/>
    <w:rsid w:val="00232EB0"/>
    <w:rsid w:val="0023422D"/>
    <w:rsid w:val="0023485F"/>
    <w:rsid w:val="00235302"/>
    <w:rsid w:val="00237726"/>
    <w:rsid w:val="002401D9"/>
    <w:rsid w:val="00241C92"/>
    <w:rsid w:val="002429B0"/>
    <w:rsid w:val="00243166"/>
    <w:rsid w:val="00244CA7"/>
    <w:rsid w:val="0024515F"/>
    <w:rsid w:val="00245EB3"/>
    <w:rsid w:val="00247AE3"/>
    <w:rsid w:val="00250FA9"/>
    <w:rsid w:val="00251526"/>
    <w:rsid w:val="002546C9"/>
    <w:rsid w:val="002546E3"/>
    <w:rsid w:val="002547E2"/>
    <w:rsid w:val="00255343"/>
    <w:rsid w:val="00255451"/>
    <w:rsid w:val="0026114F"/>
    <w:rsid w:val="00265F03"/>
    <w:rsid w:val="002664BD"/>
    <w:rsid w:val="00266DFE"/>
    <w:rsid w:val="00266FD4"/>
    <w:rsid w:val="002673E1"/>
    <w:rsid w:val="002674CE"/>
    <w:rsid w:val="00267D9A"/>
    <w:rsid w:val="002724B5"/>
    <w:rsid w:val="00272583"/>
    <w:rsid w:val="002726FE"/>
    <w:rsid w:val="002730B4"/>
    <w:rsid w:val="00273359"/>
    <w:rsid w:val="002733CD"/>
    <w:rsid w:val="0027526A"/>
    <w:rsid w:val="002756F9"/>
    <w:rsid w:val="00275DC0"/>
    <w:rsid w:val="00276BF7"/>
    <w:rsid w:val="00277962"/>
    <w:rsid w:val="00277B48"/>
    <w:rsid w:val="00281035"/>
    <w:rsid w:val="00281DA0"/>
    <w:rsid w:val="002822D5"/>
    <w:rsid w:val="002842DB"/>
    <w:rsid w:val="0028442C"/>
    <w:rsid w:val="002847D9"/>
    <w:rsid w:val="0028523A"/>
    <w:rsid w:val="002862C8"/>
    <w:rsid w:val="002873DA"/>
    <w:rsid w:val="00290A38"/>
    <w:rsid w:val="00291024"/>
    <w:rsid w:val="00292F2E"/>
    <w:rsid w:val="00295C88"/>
    <w:rsid w:val="00296756"/>
    <w:rsid w:val="002968C2"/>
    <w:rsid w:val="00296C8D"/>
    <w:rsid w:val="00297461"/>
    <w:rsid w:val="00297EEA"/>
    <w:rsid w:val="002A06BB"/>
    <w:rsid w:val="002A0D0D"/>
    <w:rsid w:val="002A264A"/>
    <w:rsid w:val="002A26C5"/>
    <w:rsid w:val="002A3349"/>
    <w:rsid w:val="002A37B9"/>
    <w:rsid w:val="002A3A36"/>
    <w:rsid w:val="002A3C99"/>
    <w:rsid w:val="002A4142"/>
    <w:rsid w:val="002A437E"/>
    <w:rsid w:val="002A45A8"/>
    <w:rsid w:val="002A47EE"/>
    <w:rsid w:val="002A5DC4"/>
    <w:rsid w:val="002B1612"/>
    <w:rsid w:val="002B176B"/>
    <w:rsid w:val="002B303B"/>
    <w:rsid w:val="002B4269"/>
    <w:rsid w:val="002B426E"/>
    <w:rsid w:val="002B4CDE"/>
    <w:rsid w:val="002B6167"/>
    <w:rsid w:val="002B7735"/>
    <w:rsid w:val="002C0FF5"/>
    <w:rsid w:val="002C1146"/>
    <w:rsid w:val="002C11C3"/>
    <w:rsid w:val="002C1E42"/>
    <w:rsid w:val="002C2071"/>
    <w:rsid w:val="002C2329"/>
    <w:rsid w:val="002C2829"/>
    <w:rsid w:val="002C36BC"/>
    <w:rsid w:val="002C4D82"/>
    <w:rsid w:val="002C64F5"/>
    <w:rsid w:val="002C7ACC"/>
    <w:rsid w:val="002D1A33"/>
    <w:rsid w:val="002D2928"/>
    <w:rsid w:val="002D2A39"/>
    <w:rsid w:val="002D2F4F"/>
    <w:rsid w:val="002D442D"/>
    <w:rsid w:val="002D475A"/>
    <w:rsid w:val="002D4EB5"/>
    <w:rsid w:val="002D7A36"/>
    <w:rsid w:val="002D7D2D"/>
    <w:rsid w:val="002E0794"/>
    <w:rsid w:val="002E0944"/>
    <w:rsid w:val="002E4F0F"/>
    <w:rsid w:val="002E505B"/>
    <w:rsid w:val="002E5876"/>
    <w:rsid w:val="002F0CB6"/>
    <w:rsid w:val="002F3C37"/>
    <w:rsid w:val="002F4462"/>
    <w:rsid w:val="002F4AD6"/>
    <w:rsid w:val="00303204"/>
    <w:rsid w:val="00303214"/>
    <w:rsid w:val="00303324"/>
    <w:rsid w:val="003042C1"/>
    <w:rsid w:val="003047AA"/>
    <w:rsid w:val="003064DE"/>
    <w:rsid w:val="00307641"/>
    <w:rsid w:val="003102EF"/>
    <w:rsid w:val="003107D9"/>
    <w:rsid w:val="00312461"/>
    <w:rsid w:val="00313209"/>
    <w:rsid w:val="003136E7"/>
    <w:rsid w:val="00314B90"/>
    <w:rsid w:val="0031774F"/>
    <w:rsid w:val="0031779B"/>
    <w:rsid w:val="0032051D"/>
    <w:rsid w:val="00320673"/>
    <w:rsid w:val="0032119D"/>
    <w:rsid w:val="0032486E"/>
    <w:rsid w:val="003260EF"/>
    <w:rsid w:val="00326491"/>
    <w:rsid w:val="00330243"/>
    <w:rsid w:val="00331017"/>
    <w:rsid w:val="003335EE"/>
    <w:rsid w:val="00335B23"/>
    <w:rsid w:val="00336297"/>
    <w:rsid w:val="003372EB"/>
    <w:rsid w:val="00340E36"/>
    <w:rsid w:val="003418FA"/>
    <w:rsid w:val="003430E7"/>
    <w:rsid w:val="003433EB"/>
    <w:rsid w:val="00343BEE"/>
    <w:rsid w:val="00344699"/>
    <w:rsid w:val="0034491A"/>
    <w:rsid w:val="00345DAF"/>
    <w:rsid w:val="0034738B"/>
    <w:rsid w:val="0035143A"/>
    <w:rsid w:val="00351AB0"/>
    <w:rsid w:val="00351AC4"/>
    <w:rsid w:val="00352344"/>
    <w:rsid w:val="00355CC4"/>
    <w:rsid w:val="00355E94"/>
    <w:rsid w:val="00356191"/>
    <w:rsid w:val="00356579"/>
    <w:rsid w:val="003602B3"/>
    <w:rsid w:val="0036203A"/>
    <w:rsid w:val="003621CE"/>
    <w:rsid w:val="0036247C"/>
    <w:rsid w:val="003636D9"/>
    <w:rsid w:val="00364932"/>
    <w:rsid w:val="0036568D"/>
    <w:rsid w:val="003709AF"/>
    <w:rsid w:val="00370C01"/>
    <w:rsid w:val="00370C14"/>
    <w:rsid w:val="00371126"/>
    <w:rsid w:val="0037207E"/>
    <w:rsid w:val="003740C4"/>
    <w:rsid w:val="003748E9"/>
    <w:rsid w:val="00375053"/>
    <w:rsid w:val="003756A7"/>
    <w:rsid w:val="00375F6C"/>
    <w:rsid w:val="003777CC"/>
    <w:rsid w:val="00381F6F"/>
    <w:rsid w:val="00382172"/>
    <w:rsid w:val="00382F2D"/>
    <w:rsid w:val="0039044D"/>
    <w:rsid w:val="003909C9"/>
    <w:rsid w:val="00391EC3"/>
    <w:rsid w:val="00395856"/>
    <w:rsid w:val="00395D42"/>
    <w:rsid w:val="003978A5"/>
    <w:rsid w:val="003A028E"/>
    <w:rsid w:val="003A1CE5"/>
    <w:rsid w:val="003A1F3F"/>
    <w:rsid w:val="003A2009"/>
    <w:rsid w:val="003A32B3"/>
    <w:rsid w:val="003A37B4"/>
    <w:rsid w:val="003A48B8"/>
    <w:rsid w:val="003A517E"/>
    <w:rsid w:val="003A5D15"/>
    <w:rsid w:val="003A6BFA"/>
    <w:rsid w:val="003A71DF"/>
    <w:rsid w:val="003B25BE"/>
    <w:rsid w:val="003B284E"/>
    <w:rsid w:val="003B3A3F"/>
    <w:rsid w:val="003B3A90"/>
    <w:rsid w:val="003B4077"/>
    <w:rsid w:val="003B45E4"/>
    <w:rsid w:val="003B5533"/>
    <w:rsid w:val="003B5A06"/>
    <w:rsid w:val="003B742F"/>
    <w:rsid w:val="003C0EA1"/>
    <w:rsid w:val="003C326B"/>
    <w:rsid w:val="003C4A80"/>
    <w:rsid w:val="003C574A"/>
    <w:rsid w:val="003C5E0A"/>
    <w:rsid w:val="003C7CE6"/>
    <w:rsid w:val="003C7EDC"/>
    <w:rsid w:val="003D0B0B"/>
    <w:rsid w:val="003D0E15"/>
    <w:rsid w:val="003D2140"/>
    <w:rsid w:val="003D49F8"/>
    <w:rsid w:val="003D51FD"/>
    <w:rsid w:val="003D53DC"/>
    <w:rsid w:val="003D61EA"/>
    <w:rsid w:val="003D66FE"/>
    <w:rsid w:val="003D69F1"/>
    <w:rsid w:val="003D72C8"/>
    <w:rsid w:val="003E0321"/>
    <w:rsid w:val="003E2CE5"/>
    <w:rsid w:val="003E3617"/>
    <w:rsid w:val="003F02B3"/>
    <w:rsid w:val="003F1EC7"/>
    <w:rsid w:val="003F1FC4"/>
    <w:rsid w:val="003F3326"/>
    <w:rsid w:val="003F3B2F"/>
    <w:rsid w:val="003F4CE1"/>
    <w:rsid w:val="003F5161"/>
    <w:rsid w:val="003F5795"/>
    <w:rsid w:val="003F674E"/>
    <w:rsid w:val="0040170B"/>
    <w:rsid w:val="00401859"/>
    <w:rsid w:val="004025B1"/>
    <w:rsid w:val="00402EA7"/>
    <w:rsid w:val="0040491C"/>
    <w:rsid w:val="004064BC"/>
    <w:rsid w:val="00407FDB"/>
    <w:rsid w:val="004103C7"/>
    <w:rsid w:val="004105F2"/>
    <w:rsid w:val="00412FF3"/>
    <w:rsid w:val="004142CD"/>
    <w:rsid w:val="00414F8B"/>
    <w:rsid w:val="00416AE4"/>
    <w:rsid w:val="00420838"/>
    <w:rsid w:val="00420C4E"/>
    <w:rsid w:val="00420DD6"/>
    <w:rsid w:val="0042164D"/>
    <w:rsid w:val="00421717"/>
    <w:rsid w:val="00421973"/>
    <w:rsid w:val="00424E49"/>
    <w:rsid w:val="00424EB4"/>
    <w:rsid w:val="004268A1"/>
    <w:rsid w:val="00426D4C"/>
    <w:rsid w:val="00426E6A"/>
    <w:rsid w:val="00427143"/>
    <w:rsid w:val="0043219F"/>
    <w:rsid w:val="004327D9"/>
    <w:rsid w:val="00432B88"/>
    <w:rsid w:val="00432C93"/>
    <w:rsid w:val="004336CD"/>
    <w:rsid w:val="004358F9"/>
    <w:rsid w:val="00436BEF"/>
    <w:rsid w:val="00437939"/>
    <w:rsid w:val="00440CA3"/>
    <w:rsid w:val="004434CE"/>
    <w:rsid w:val="00444734"/>
    <w:rsid w:val="00444BA5"/>
    <w:rsid w:val="00444F39"/>
    <w:rsid w:val="004452E5"/>
    <w:rsid w:val="004456C2"/>
    <w:rsid w:val="00446DFD"/>
    <w:rsid w:val="00450978"/>
    <w:rsid w:val="004512DF"/>
    <w:rsid w:val="00451370"/>
    <w:rsid w:val="00451913"/>
    <w:rsid w:val="004524F5"/>
    <w:rsid w:val="00453072"/>
    <w:rsid w:val="00453552"/>
    <w:rsid w:val="00454A2C"/>
    <w:rsid w:val="00460D07"/>
    <w:rsid w:val="00460FB3"/>
    <w:rsid w:val="004616DE"/>
    <w:rsid w:val="00462D58"/>
    <w:rsid w:val="00466542"/>
    <w:rsid w:val="00466B6D"/>
    <w:rsid w:val="00467508"/>
    <w:rsid w:val="00470566"/>
    <w:rsid w:val="00471539"/>
    <w:rsid w:val="00471578"/>
    <w:rsid w:val="00471657"/>
    <w:rsid w:val="00471A8F"/>
    <w:rsid w:val="00472682"/>
    <w:rsid w:val="00472B38"/>
    <w:rsid w:val="0047498F"/>
    <w:rsid w:val="00475519"/>
    <w:rsid w:val="004757D9"/>
    <w:rsid w:val="004760D7"/>
    <w:rsid w:val="0047688F"/>
    <w:rsid w:val="00476D70"/>
    <w:rsid w:val="004772FA"/>
    <w:rsid w:val="00477F84"/>
    <w:rsid w:val="004800E0"/>
    <w:rsid w:val="00480A01"/>
    <w:rsid w:val="004824DB"/>
    <w:rsid w:val="00482A5D"/>
    <w:rsid w:val="00483965"/>
    <w:rsid w:val="00483FA9"/>
    <w:rsid w:val="0048578E"/>
    <w:rsid w:val="00486E6D"/>
    <w:rsid w:val="004875AA"/>
    <w:rsid w:val="00492601"/>
    <w:rsid w:val="00492891"/>
    <w:rsid w:val="00492EFB"/>
    <w:rsid w:val="00494687"/>
    <w:rsid w:val="00495756"/>
    <w:rsid w:val="00496F4B"/>
    <w:rsid w:val="004975B3"/>
    <w:rsid w:val="004A0F23"/>
    <w:rsid w:val="004A2DBE"/>
    <w:rsid w:val="004A3435"/>
    <w:rsid w:val="004A3805"/>
    <w:rsid w:val="004A4C44"/>
    <w:rsid w:val="004A4D50"/>
    <w:rsid w:val="004A71D6"/>
    <w:rsid w:val="004B0413"/>
    <w:rsid w:val="004B16AD"/>
    <w:rsid w:val="004B1AB4"/>
    <w:rsid w:val="004B1DAA"/>
    <w:rsid w:val="004B1DDA"/>
    <w:rsid w:val="004B22DC"/>
    <w:rsid w:val="004B260E"/>
    <w:rsid w:val="004B2EA0"/>
    <w:rsid w:val="004B38C8"/>
    <w:rsid w:val="004B3992"/>
    <w:rsid w:val="004B548A"/>
    <w:rsid w:val="004B6D6A"/>
    <w:rsid w:val="004C1713"/>
    <w:rsid w:val="004C1864"/>
    <w:rsid w:val="004C2919"/>
    <w:rsid w:val="004C2E0D"/>
    <w:rsid w:val="004C5E97"/>
    <w:rsid w:val="004D151F"/>
    <w:rsid w:val="004D194F"/>
    <w:rsid w:val="004D6507"/>
    <w:rsid w:val="004D6936"/>
    <w:rsid w:val="004D73F5"/>
    <w:rsid w:val="004D7F9E"/>
    <w:rsid w:val="004E059C"/>
    <w:rsid w:val="004E2046"/>
    <w:rsid w:val="004E339E"/>
    <w:rsid w:val="004E3720"/>
    <w:rsid w:val="004E550C"/>
    <w:rsid w:val="004E5CE2"/>
    <w:rsid w:val="004E66FB"/>
    <w:rsid w:val="004F05D9"/>
    <w:rsid w:val="004F0E22"/>
    <w:rsid w:val="004F1809"/>
    <w:rsid w:val="004F2060"/>
    <w:rsid w:val="004F2487"/>
    <w:rsid w:val="004F2AD3"/>
    <w:rsid w:val="004F2C30"/>
    <w:rsid w:val="004F326F"/>
    <w:rsid w:val="004F5006"/>
    <w:rsid w:val="004F560C"/>
    <w:rsid w:val="004F5650"/>
    <w:rsid w:val="004F5F41"/>
    <w:rsid w:val="004F70C2"/>
    <w:rsid w:val="004F7A66"/>
    <w:rsid w:val="004F7E60"/>
    <w:rsid w:val="00500D12"/>
    <w:rsid w:val="00501DC4"/>
    <w:rsid w:val="00501E00"/>
    <w:rsid w:val="005021C8"/>
    <w:rsid w:val="00503628"/>
    <w:rsid w:val="005044C9"/>
    <w:rsid w:val="00505037"/>
    <w:rsid w:val="005071E1"/>
    <w:rsid w:val="00510018"/>
    <w:rsid w:val="005117A1"/>
    <w:rsid w:val="0051290A"/>
    <w:rsid w:val="005130D8"/>
    <w:rsid w:val="00513F2F"/>
    <w:rsid w:val="0051434F"/>
    <w:rsid w:val="00516747"/>
    <w:rsid w:val="005168D3"/>
    <w:rsid w:val="0051767B"/>
    <w:rsid w:val="00521A54"/>
    <w:rsid w:val="00522712"/>
    <w:rsid w:val="005229CD"/>
    <w:rsid w:val="00522AE9"/>
    <w:rsid w:val="00524729"/>
    <w:rsid w:val="00524C0C"/>
    <w:rsid w:val="005250AD"/>
    <w:rsid w:val="00527469"/>
    <w:rsid w:val="00533986"/>
    <w:rsid w:val="00533B26"/>
    <w:rsid w:val="00533E63"/>
    <w:rsid w:val="00534A8E"/>
    <w:rsid w:val="00536004"/>
    <w:rsid w:val="00537011"/>
    <w:rsid w:val="005405B5"/>
    <w:rsid w:val="00540B4E"/>
    <w:rsid w:val="005419EB"/>
    <w:rsid w:val="00541CB1"/>
    <w:rsid w:val="00542566"/>
    <w:rsid w:val="00543260"/>
    <w:rsid w:val="00546C02"/>
    <w:rsid w:val="00550725"/>
    <w:rsid w:val="00551646"/>
    <w:rsid w:val="005521C5"/>
    <w:rsid w:val="00553F7F"/>
    <w:rsid w:val="00553FFC"/>
    <w:rsid w:val="00554C90"/>
    <w:rsid w:val="00557D90"/>
    <w:rsid w:val="00557F0D"/>
    <w:rsid w:val="005609D3"/>
    <w:rsid w:val="00562377"/>
    <w:rsid w:val="00563842"/>
    <w:rsid w:val="00565C81"/>
    <w:rsid w:val="00570428"/>
    <w:rsid w:val="00573147"/>
    <w:rsid w:val="00573F97"/>
    <w:rsid w:val="00574B8F"/>
    <w:rsid w:val="00577F63"/>
    <w:rsid w:val="005828C5"/>
    <w:rsid w:val="00586620"/>
    <w:rsid w:val="00586692"/>
    <w:rsid w:val="00590010"/>
    <w:rsid w:val="00591351"/>
    <w:rsid w:val="005915BE"/>
    <w:rsid w:val="00591D0C"/>
    <w:rsid w:val="00592376"/>
    <w:rsid w:val="00592B64"/>
    <w:rsid w:val="005946EC"/>
    <w:rsid w:val="00594929"/>
    <w:rsid w:val="005952E8"/>
    <w:rsid w:val="0059597C"/>
    <w:rsid w:val="00595D57"/>
    <w:rsid w:val="00596106"/>
    <w:rsid w:val="00597B9F"/>
    <w:rsid w:val="00597C59"/>
    <w:rsid w:val="00597D21"/>
    <w:rsid w:val="005A0522"/>
    <w:rsid w:val="005A0A2A"/>
    <w:rsid w:val="005A1D5E"/>
    <w:rsid w:val="005A2DB9"/>
    <w:rsid w:val="005A31B6"/>
    <w:rsid w:val="005A3E13"/>
    <w:rsid w:val="005A4F0A"/>
    <w:rsid w:val="005A539D"/>
    <w:rsid w:val="005A740B"/>
    <w:rsid w:val="005B0BD0"/>
    <w:rsid w:val="005B0D8E"/>
    <w:rsid w:val="005B162B"/>
    <w:rsid w:val="005B16B6"/>
    <w:rsid w:val="005B4702"/>
    <w:rsid w:val="005B5AA3"/>
    <w:rsid w:val="005B6E3F"/>
    <w:rsid w:val="005B766D"/>
    <w:rsid w:val="005C2C30"/>
    <w:rsid w:val="005C49FC"/>
    <w:rsid w:val="005C4EAB"/>
    <w:rsid w:val="005C5887"/>
    <w:rsid w:val="005C6047"/>
    <w:rsid w:val="005D0116"/>
    <w:rsid w:val="005D0D4B"/>
    <w:rsid w:val="005D1291"/>
    <w:rsid w:val="005D406B"/>
    <w:rsid w:val="005D5135"/>
    <w:rsid w:val="005D52B1"/>
    <w:rsid w:val="005D7048"/>
    <w:rsid w:val="005D75A7"/>
    <w:rsid w:val="005E115A"/>
    <w:rsid w:val="005E206B"/>
    <w:rsid w:val="005E24C3"/>
    <w:rsid w:val="005E59CD"/>
    <w:rsid w:val="005E5BE9"/>
    <w:rsid w:val="005E65FD"/>
    <w:rsid w:val="005E7E98"/>
    <w:rsid w:val="005F20C3"/>
    <w:rsid w:val="005F61BD"/>
    <w:rsid w:val="005F66CB"/>
    <w:rsid w:val="00600E57"/>
    <w:rsid w:val="006058E7"/>
    <w:rsid w:val="006063C2"/>
    <w:rsid w:val="0061241C"/>
    <w:rsid w:val="00613101"/>
    <w:rsid w:val="00615CEC"/>
    <w:rsid w:val="00617EE7"/>
    <w:rsid w:val="006201E9"/>
    <w:rsid w:val="00622224"/>
    <w:rsid w:val="006253DC"/>
    <w:rsid w:val="00625CD7"/>
    <w:rsid w:val="00626209"/>
    <w:rsid w:val="006269C1"/>
    <w:rsid w:val="00626DE9"/>
    <w:rsid w:val="006302F7"/>
    <w:rsid w:val="00631CB9"/>
    <w:rsid w:val="00631E22"/>
    <w:rsid w:val="00631EF9"/>
    <w:rsid w:val="006332E0"/>
    <w:rsid w:val="00634E53"/>
    <w:rsid w:val="006363C5"/>
    <w:rsid w:val="006369E2"/>
    <w:rsid w:val="006406C5"/>
    <w:rsid w:val="00640999"/>
    <w:rsid w:val="00644418"/>
    <w:rsid w:val="00645E6C"/>
    <w:rsid w:val="00646137"/>
    <w:rsid w:val="00646BE2"/>
    <w:rsid w:val="00647F73"/>
    <w:rsid w:val="00651AB0"/>
    <w:rsid w:val="00652D99"/>
    <w:rsid w:val="00652E4F"/>
    <w:rsid w:val="006536DB"/>
    <w:rsid w:val="00654D86"/>
    <w:rsid w:val="00656082"/>
    <w:rsid w:val="0065616A"/>
    <w:rsid w:val="00657B2B"/>
    <w:rsid w:val="00660130"/>
    <w:rsid w:val="0066190A"/>
    <w:rsid w:val="00662166"/>
    <w:rsid w:val="006628E9"/>
    <w:rsid w:val="00663C92"/>
    <w:rsid w:val="00663E0C"/>
    <w:rsid w:val="00666136"/>
    <w:rsid w:val="006712DF"/>
    <w:rsid w:val="00674164"/>
    <w:rsid w:val="0067495D"/>
    <w:rsid w:val="00674D4B"/>
    <w:rsid w:val="006753DF"/>
    <w:rsid w:val="00677269"/>
    <w:rsid w:val="00680419"/>
    <w:rsid w:val="00681F26"/>
    <w:rsid w:val="0068203C"/>
    <w:rsid w:val="00682E1C"/>
    <w:rsid w:val="00683628"/>
    <w:rsid w:val="006839B1"/>
    <w:rsid w:val="00684282"/>
    <w:rsid w:val="00684D9C"/>
    <w:rsid w:val="006875BF"/>
    <w:rsid w:val="006901D9"/>
    <w:rsid w:val="00690420"/>
    <w:rsid w:val="00690E73"/>
    <w:rsid w:val="00692D2A"/>
    <w:rsid w:val="00694263"/>
    <w:rsid w:val="0069456E"/>
    <w:rsid w:val="006952EB"/>
    <w:rsid w:val="00697247"/>
    <w:rsid w:val="00697ED8"/>
    <w:rsid w:val="006A0589"/>
    <w:rsid w:val="006A0CEE"/>
    <w:rsid w:val="006A1271"/>
    <w:rsid w:val="006A141D"/>
    <w:rsid w:val="006A236A"/>
    <w:rsid w:val="006A2BFE"/>
    <w:rsid w:val="006A5B08"/>
    <w:rsid w:val="006B18F7"/>
    <w:rsid w:val="006B1AD8"/>
    <w:rsid w:val="006B1AEB"/>
    <w:rsid w:val="006B1FF3"/>
    <w:rsid w:val="006B20E0"/>
    <w:rsid w:val="006B2A0F"/>
    <w:rsid w:val="006B2C72"/>
    <w:rsid w:val="006B4C20"/>
    <w:rsid w:val="006B52BD"/>
    <w:rsid w:val="006B55DC"/>
    <w:rsid w:val="006B641D"/>
    <w:rsid w:val="006B680B"/>
    <w:rsid w:val="006B6F23"/>
    <w:rsid w:val="006B771A"/>
    <w:rsid w:val="006B7EB4"/>
    <w:rsid w:val="006C00CB"/>
    <w:rsid w:val="006C0701"/>
    <w:rsid w:val="006C0797"/>
    <w:rsid w:val="006C0819"/>
    <w:rsid w:val="006C0D8A"/>
    <w:rsid w:val="006C32C5"/>
    <w:rsid w:val="006C3D2F"/>
    <w:rsid w:val="006C4706"/>
    <w:rsid w:val="006C62C2"/>
    <w:rsid w:val="006C7BB0"/>
    <w:rsid w:val="006D00DB"/>
    <w:rsid w:val="006D21D0"/>
    <w:rsid w:val="006D29A9"/>
    <w:rsid w:val="006D4B79"/>
    <w:rsid w:val="006D5F64"/>
    <w:rsid w:val="006D7096"/>
    <w:rsid w:val="006D775E"/>
    <w:rsid w:val="006E42F1"/>
    <w:rsid w:val="006E4606"/>
    <w:rsid w:val="006E74F4"/>
    <w:rsid w:val="006E793C"/>
    <w:rsid w:val="006F12E2"/>
    <w:rsid w:val="006F2B57"/>
    <w:rsid w:val="006F44AA"/>
    <w:rsid w:val="006F4FE4"/>
    <w:rsid w:val="006F54F6"/>
    <w:rsid w:val="006F67B9"/>
    <w:rsid w:val="00700105"/>
    <w:rsid w:val="00701587"/>
    <w:rsid w:val="00701740"/>
    <w:rsid w:val="00701DFB"/>
    <w:rsid w:val="00702FB6"/>
    <w:rsid w:val="007039DB"/>
    <w:rsid w:val="00704887"/>
    <w:rsid w:val="00705C0A"/>
    <w:rsid w:val="00706142"/>
    <w:rsid w:val="007078AB"/>
    <w:rsid w:val="00707CB0"/>
    <w:rsid w:val="00711489"/>
    <w:rsid w:val="0071662B"/>
    <w:rsid w:val="00716789"/>
    <w:rsid w:val="00720508"/>
    <w:rsid w:val="00720A4E"/>
    <w:rsid w:val="00721180"/>
    <w:rsid w:val="0072157B"/>
    <w:rsid w:val="00721784"/>
    <w:rsid w:val="00722077"/>
    <w:rsid w:val="0072218D"/>
    <w:rsid w:val="0072668C"/>
    <w:rsid w:val="007271DA"/>
    <w:rsid w:val="00727D07"/>
    <w:rsid w:val="007304F9"/>
    <w:rsid w:val="00730BAB"/>
    <w:rsid w:val="00731EBB"/>
    <w:rsid w:val="007327A5"/>
    <w:rsid w:val="007333CD"/>
    <w:rsid w:val="0073385C"/>
    <w:rsid w:val="00733BE7"/>
    <w:rsid w:val="007343A2"/>
    <w:rsid w:val="007348AB"/>
    <w:rsid w:val="0073621E"/>
    <w:rsid w:val="00737A41"/>
    <w:rsid w:val="007405F0"/>
    <w:rsid w:val="00742CA5"/>
    <w:rsid w:val="00742F09"/>
    <w:rsid w:val="00743B2A"/>
    <w:rsid w:val="0074419A"/>
    <w:rsid w:val="0074465D"/>
    <w:rsid w:val="00746238"/>
    <w:rsid w:val="00747628"/>
    <w:rsid w:val="00747A16"/>
    <w:rsid w:val="0075100B"/>
    <w:rsid w:val="00754082"/>
    <w:rsid w:val="00755093"/>
    <w:rsid w:val="00755898"/>
    <w:rsid w:val="00756693"/>
    <w:rsid w:val="007566D3"/>
    <w:rsid w:val="007569E2"/>
    <w:rsid w:val="00761C9B"/>
    <w:rsid w:val="00762119"/>
    <w:rsid w:val="00762CC3"/>
    <w:rsid w:val="00763789"/>
    <w:rsid w:val="00765211"/>
    <w:rsid w:val="007654F0"/>
    <w:rsid w:val="007657A2"/>
    <w:rsid w:val="0076588C"/>
    <w:rsid w:val="007668F0"/>
    <w:rsid w:val="00766B86"/>
    <w:rsid w:val="0077494C"/>
    <w:rsid w:val="0077517B"/>
    <w:rsid w:val="007775AE"/>
    <w:rsid w:val="0077771F"/>
    <w:rsid w:val="00780C92"/>
    <w:rsid w:val="00781344"/>
    <w:rsid w:val="007814FC"/>
    <w:rsid w:val="0078264F"/>
    <w:rsid w:val="00782ACB"/>
    <w:rsid w:val="00782D67"/>
    <w:rsid w:val="00784466"/>
    <w:rsid w:val="0078478C"/>
    <w:rsid w:val="007849F4"/>
    <w:rsid w:val="007869FE"/>
    <w:rsid w:val="00790389"/>
    <w:rsid w:val="007934B1"/>
    <w:rsid w:val="007939BE"/>
    <w:rsid w:val="00794106"/>
    <w:rsid w:val="0079482E"/>
    <w:rsid w:val="00795B9D"/>
    <w:rsid w:val="007963AC"/>
    <w:rsid w:val="007967DF"/>
    <w:rsid w:val="00796D43"/>
    <w:rsid w:val="007971FE"/>
    <w:rsid w:val="007A11DF"/>
    <w:rsid w:val="007A4293"/>
    <w:rsid w:val="007A4F41"/>
    <w:rsid w:val="007A5031"/>
    <w:rsid w:val="007A555B"/>
    <w:rsid w:val="007A75E3"/>
    <w:rsid w:val="007B06FA"/>
    <w:rsid w:val="007B16F7"/>
    <w:rsid w:val="007B224F"/>
    <w:rsid w:val="007B28FD"/>
    <w:rsid w:val="007B305D"/>
    <w:rsid w:val="007B34A7"/>
    <w:rsid w:val="007B37A7"/>
    <w:rsid w:val="007B3F7A"/>
    <w:rsid w:val="007B45D7"/>
    <w:rsid w:val="007B5F49"/>
    <w:rsid w:val="007C0B65"/>
    <w:rsid w:val="007C1F8E"/>
    <w:rsid w:val="007C2359"/>
    <w:rsid w:val="007C286F"/>
    <w:rsid w:val="007C64A9"/>
    <w:rsid w:val="007C6541"/>
    <w:rsid w:val="007C7F73"/>
    <w:rsid w:val="007D0BA4"/>
    <w:rsid w:val="007D2D3C"/>
    <w:rsid w:val="007D2F37"/>
    <w:rsid w:val="007D4A71"/>
    <w:rsid w:val="007D4C44"/>
    <w:rsid w:val="007D4E41"/>
    <w:rsid w:val="007D5D34"/>
    <w:rsid w:val="007D60F2"/>
    <w:rsid w:val="007D7F60"/>
    <w:rsid w:val="007E0094"/>
    <w:rsid w:val="007E0E8B"/>
    <w:rsid w:val="007E41DF"/>
    <w:rsid w:val="007E475B"/>
    <w:rsid w:val="007E4E37"/>
    <w:rsid w:val="007E589E"/>
    <w:rsid w:val="007E634E"/>
    <w:rsid w:val="007E70F6"/>
    <w:rsid w:val="007F1C75"/>
    <w:rsid w:val="007F2835"/>
    <w:rsid w:val="007F37B5"/>
    <w:rsid w:val="007F46A5"/>
    <w:rsid w:val="007F4BBB"/>
    <w:rsid w:val="007F5DAE"/>
    <w:rsid w:val="007F7331"/>
    <w:rsid w:val="007F7B78"/>
    <w:rsid w:val="008015A0"/>
    <w:rsid w:val="00801F6C"/>
    <w:rsid w:val="0080246F"/>
    <w:rsid w:val="008024B4"/>
    <w:rsid w:val="00802867"/>
    <w:rsid w:val="00805AF9"/>
    <w:rsid w:val="008111BB"/>
    <w:rsid w:val="00811653"/>
    <w:rsid w:val="008136A2"/>
    <w:rsid w:val="00813E6F"/>
    <w:rsid w:val="00814813"/>
    <w:rsid w:val="00816486"/>
    <w:rsid w:val="0081783C"/>
    <w:rsid w:val="00817D6B"/>
    <w:rsid w:val="00821B64"/>
    <w:rsid w:val="00822934"/>
    <w:rsid w:val="00824BAF"/>
    <w:rsid w:val="00824E6E"/>
    <w:rsid w:val="00824FE2"/>
    <w:rsid w:val="00826100"/>
    <w:rsid w:val="00827233"/>
    <w:rsid w:val="008276E1"/>
    <w:rsid w:val="00827752"/>
    <w:rsid w:val="00827E7D"/>
    <w:rsid w:val="00827F9F"/>
    <w:rsid w:val="00833686"/>
    <w:rsid w:val="008353A6"/>
    <w:rsid w:val="008357C8"/>
    <w:rsid w:val="00837E21"/>
    <w:rsid w:val="00840EFA"/>
    <w:rsid w:val="0084178C"/>
    <w:rsid w:val="00841F8C"/>
    <w:rsid w:val="0084219D"/>
    <w:rsid w:val="0084223B"/>
    <w:rsid w:val="00843038"/>
    <w:rsid w:val="00844A65"/>
    <w:rsid w:val="008457AF"/>
    <w:rsid w:val="00846C5B"/>
    <w:rsid w:val="00852F2A"/>
    <w:rsid w:val="00853DF1"/>
    <w:rsid w:val="00853EE1"/>
    <w:rsid w:val="00855456"/>
    <w:rsid w:val="00855483"/>
    <w:rsid w:val="00856640"/>
    <w:rsid w:val="00856F6F"/>
    <w:rsid w:val="008573A4"/>
    <w:rsid w:val="00862748"/>
    <w:rsid w:val="00862FF4"/>
    <w:rsid w:val="00866806"/>
    <w:rsid w:val="00866CA3"/>
    <w:rsid w:val="008674A4"/>
    <w:rsid w:val="0086756E"/>
    <w:rsid w:val="008702E6"/>
    <w:rsid w:val="00870575"/>
    <w:rsid w:val="0087125E"/>
    <w:rsid w:val="00871262"/>
    <w:rsid w:val="00873A45"/>
    <w:rsid w:val="0087401F"/>
    <w:rsid w:val="008754AC"/>
    <w:rsid w:val="00880224"/>
    <w:rsid w:val="00881581"/>
    <w:rsid w:val="00883DEC"/>
    <w:rsid w:val="008841A2"/>
    <w:rsid w:val="0088485F"/>
    <w:rsid w:val="0088496E"/>
    <w:rsid w:val="00887715"/>
    <w:rsid w:val="00887AD8"/>
    <w:rsid w:val="00890284"/>
    <w:rsid w:val="008906E4"/>
    <w:rsid w:val="00892BB1"/>
    <w:rsid w:val="0089385F"/>
    <w:rsid w:val="00894554"/>
    <w:rsid w:val="0089581D"/>
    <w:rsid w:val="00895E6F"/>
    <w:rsid w:val="00897166"/>
    <w:rsid w:val="00897DD6"/>
    <w:rsid w:val="008A0552"/>
    <w:rsid w:val="008A08BF"/>
    <w:rsid w:val="008A213A"/>
    <w:rsid w:val="008A241A"/>
    <w:rsid w:val="008A2B9E"/>
    <w:rsid w:val="008A35D6"/>
    <w:rsid w:val="008A4E15"/>
    <w:rsid w:val="008A5B68"/>
    <w:rsid w:val="008B510F"/>
    <w:rsid w:val="008B54B3"/>
    <w:rsid w:val="008C0525"/>
    <w:rsid w:val="008C079E"/>
    <w:rsid w:val="008C13BF"/>
    <w:rsid w:val="008C29DD"/>
    <w:rsid w:val="008C4BFD"/>
    <w:rsid w:val="008C5972"/>
    <w:rsid w:val="008C5EFB"/>
    <w:rsid w:val="008C77BC"/>
    <w:rsid w:val="008D0829"/>
    <w:rsid w:val="008D1884"/>
    <w:rsid w:val="008D2BED"/>
    <w:rsid w:val="008D3C41"/>
    <w:rsid w:val="008D4620"/>
    <w:rsid w:val="008D4C76"/>
    <w:rsid w:val="008D4D7E"/>
    <w:rsid w:val="008D5837"/>
    <w:rsid w:val="008D5C17"/>
    <w:rsid w:val="008D65A0"/>
    <w:rsid w:val="008D76CF"/>
    <w:rsid w:val="008D7ABA"/>
    <w:rsid w:val="008E0248"/>
    <w:rsid w:val="008E17D7"/>
    <w:rsid w:val="008E2263"/>
    <w:rsid w:val="008E2611"/>
    <w:rsid w:val="008E591D"/>
    <w:rsid w:val="008E63AF"/>
    <w:rsid w:val="008E6A0C"/>
    <w:rsid w:val="008E72E7"/>
    <w:rsid w:val="008F0EB9"/>
    <w:rsid w:val="008F1EFC"/>
    <w:rsid w:val="008F28E5"/>
    <w:rsid w:val="008F3FF9"/>
    <w:rsid w:val="008F5C40"/>
    <w:rsid w:val="008F5E9E"/>
    <w:rsid w:val="008F6038"/>
    <w:rsid w:val="008F6B36"/>
    <w:rsid w:val="008F75A0"/>
    <w:rsid w:val="00900F83"/>
    <w:rsid w:val="0090163C"/>
    <w:rsid w:val="009019A0"/>
    <w:rsid w:val="009025F5"/>
    <w:rsid w:val="009028D2"/>
    <w:rsid w:val="00903D4A"/>
    <w:rsid w:val="009107F3"/>
    <w:rsid w:val="0091169C"/>
    <w:rsid w:val="00911777"/>
    <w:rsid w:val="00912106"/>
    <w:rsid w:val="009133D9"/>
    <w:rsid w:val="00913503"/>
    <w:rsid w:val="0091602A"/>
    <w:rsid w:val="00916637"/>
    <w:rsid w:val="009166B7"/>
    <w:rsid w:val="0092270A"/>
    <w:rsid w:val="00922889"/>
    <w:rsid w:val="00923B73"/>
    <w:rsid w:val="00925FE2"/>
    <w:rsid w:val="00926F5A"/>
    <w:rsid w:val="00927C66"/>
    <w:rsid w:val="00930746"/>
    <w:rsid w:val="00930C1E"/>
    <w:rsid w:val="0093134F"/>
    <w:rsid w:val="0093172C"/>
    <w:rsid w:val="00931F71"/>
    <w:rsid w:val="00932162"/>
    <w:rsid w:val="0093252E"/>
    <w:rsid w:val="00937AC1"/>
    <w:rsid w:val="0094088C"/>
    <w:rsid w:val="00940EA9"/>
    <w:rsid w:val="0094185A"/>
    <w:rsid w:val="00942C32"/>
    <w:rsid w:val="00943904"/>
    <w:rsid w:val="009447B0"/>
    <w:rsid w:val="009457E9"/>
    <w:rsid w:val="00946F0E"/>
    <w:rsid w:val="00947751"/>
    <w:rsid w:val="0094780A"/>
    <w:rsid w:val="00951A24"/>
    <w:rsid w:val="0095324D"/>
    <w:rsid w:val="00956B94"/>
    <w:rsid w:val="00957AA1"/>
    <w:rsid w:val="00961BDF"/>
    <w:rsid w:val="00962029"/>
    <w:rsid w:val="00962419"/>
    <w:rsid w:val="009626EA"/>
    <w:rsid w:val="0096293C"/>
    <w:rsid w:val="00963B30"/>
    <w:rsid w:val="00963B87"/>
    <w:rsid w:val="00964459"/>
    <w:rsid w:val="009661FF"/>
    <w:rsid w:val="00967085"/>
    <w:rsid w:val="00967B9A"/>
    <w:rsid w:val="00967EF9"/>
    <w:rsid w:val="00972272"/>
    <w:rsid w:val="009722A9"/>
    <w:rsid w:val="00974BED"/>
    <w:rsid w:val="00974F98"/>
    <w:rsid w:val="0098047A"/>
    <w:rsid w:val="009808C7"/>
    <w:rsid w:val="00982EC6"/>
    <w:rsid w:val="00984A78"/>
    <w:rsid w:val="00985CE0"/>
    <w:rsid w:val="00987384"/>
    <w:rsid w:val="009900F2"/>
    <w:rsid w:val="009912C9"/>
    <w:rsid w:val="00992591"/>
    <w:rsid w:val="00992ACA"/>
    <w:rsid w:val="00992F63"/>
    <w:rsid w:val="00993DAD"/>
    <w:rsid w:val="0099481D"/>
    <w:rsid w:val="00995887"/>
    <w:rsid w:val="00995A20"/>
    <w:rsid w:val="00995C04"/>
    <w:rsid w:val="009964E0"/>
    <w:rsid w:val="0099746E"/>
    <w:rsid w:val="00997718"/>
    <w:rsid w:val="009A135D"/>
    <w:rsid w:val="009A1C1B"/>
    <w:rsid w:val="009A1CC5"/>
    <w:rsid w:val="009A2545"/>
    <w:rsid w:val="009A3ADE"/>
    <w:rsid w:val="009A455E"/>
    <w:rsid w:val="009A59F1"/>
    <w:rsid w:val="009A5CBF"/>
    <w:rsid w:val="009A6B25"/>
    <w:rsid w:val="009B053F"/>
    <w:rsid w:val="009B0596"/>
    <w:rsid w:val="009B20F2"/>
    <w:rsid w:val="009B4A4F"/>
    <w:rsid w:val="009C10A6"/>
    <w:rsid w:val="009C122A"/>
    <w:rsid w:val="009C1336"/>
    <w:rsid w:val="009C1960"/>
    <w:rsid w:val="009C6313"/>
    <w:rsid w:val="009C675E"/>
    <w:rsid w:val="009D01A9"/>
    <w:rsid w:val="009D22D9"/>
    <w:rsid w:val="009D49EC"/>
    <w:rsid w:val="009D4FC3"/>
    <w:rsid w:val="009D7ABC"/>
    <w:rsid w:val="009E1CC0"/>
    <w:rsid w:val="009E3335"/>
    <w:rsid w:val="009E3A8F"/>
    <w:rsid w:val="009E520D"/>
    <w:rsid w:val="009E5761"/>
    <w:rsid w:val="009E72D8"/>
    <w:rsid w:val="009F04A4"/>
    <w:rsid w:val="009F1595"/>
    <w:rsid w:val="009F1E4F"/>
    <w:rsid w:val="009F276E"/>
    <w:rsid w:val="009F2C69"/>
    <w:rsid w:val="009F71C2"/>
    <w:rsid w:val="009F7DE5"/>
    <w:rsid w:val="00A00981"/>
    <w:rsid w:val="00A01FFC"/>
    <w:rsid w:val="00A024DC"/>
    <w:rsid w:val="00A02CBA"/>
    <w:rsid w:val="00A039E5"/>
    <w:rsid w:val="00A042DE"/>
    <w:rsid w:val="00A046C1"/>
    <w:rsid w:val="00A04ACE"/>
    <w:rsid w:val="00A06B31"/>
    <w:rsid w:val="00A1108A"/>
    <w:rsid w:val="00A118EC"/>
    <w:rsid w:val="00A1202F"/>
    <w:rsid w:val="00A127AC"/>
    <w:rsid w:val="00A12C0F"/>
    <w:rsid w:val="00A13396"/>
    <w:rsid w:val="00A1474C"/>
    <w:rsid w:val="00A150B9"/>
    <w:rsid w:val="00A16DAE"/>
    <w:rsid w:val="00A16FA6"/>
    <w:rsid w:val="00A177D4"/>
    <w:rsid w:val="00A17BF4"/>
    <w:rsid w:val="00A200EE"/>
    <w:rsid w:val="00A21518"/>
    <w:rsid w:val="00A216A1"/>
    <w:rsid w:val="00A2314D"/>
    <w:rsid w:val="00A231BD"/>
    <w:rsid w:val="00A237A0"/>
    <w:rsid w:val="00A24A58"/>
    <w:rsid w:val="00A24AB6"/>
    <w:rsid w:val="00A24C3C"/>
    <w:rsid w:val="00A25CA8"/>
    <w:rsid w:val="00A25DFC"/>
    <w:rsid w:val="00A27B58"/>
    <w:rsid w:val="00A33AF8"/>
    <w:rsid w:val="00A3725C"/>
    <w:rsid w:val="00A409F3"/>
    <w:rsid w:val="00A43D41"/>
    <w:rsid w:val="00A4474D"/>
    <w:rsid w:val="00A44B24"/>
    <w:rsid w:val="00A5012C"/>
    <w:rsid w:val="00A509C1"/>
    <w:rsid w:val="00A51A8C"/>
    <w:rsid w:val="00A51C48"/>
    <w:rsid w:val="00A564BD"/>
    <w:rsid w:val="00A56616"/>
    <w:rsid w:val="00A6013A"/>
    <w:rsid w:val="00A6037E"/>
    <w:rsid w:val="00A60653"/>
    <w:rsid w:val="00A60902"/>
    <w:rsid w:val="00A61061"/>
    <w:rsid w:val="00A62C1D"/>
    <w:rsid w:val="00A640D5"/>
    <w:rsid w:val="00A64780"/>
    <w:rsid w:val="00A65161"/>
    <w:rsid w:val="00A6519D"/>
    <w:rsid w:val="00A67AD1"/>
    <w:rsid w:val="00A67EC5"/>
    <w:rsid w:val="00A70BE8"/>
    <w:rsid w:val="00A71154"/>
    <w:rsid w:val="00A75C5A"/>
    <w:rsid w:val="00A76054"/>
    <w:rsid w:val="00A760F1"/>
    <w:rsid w:val="00A766C4"/>
    <w:rsid w:val="00A76930"/>
    <w:rsid w:val="00A77778"/>
    <w:rsid w:val="00A77B03"/>
    <w:rsid w:val="00A77C8C"/>
    <w:rsid w:val="00A8113C"/>
    <w:rsid w:val="00A82D4A"/>
    <w:rsid w:val="00A82E85"/>
    <w:rsid w:val="00A856BF"/>
    <w:rsid w:val="00A85BA4"/>
    <w:rsid w:val="00A85E77"/>
    <w:rsid w:val="00A873FD"/>
    <w:rsid w:val="00A87635"/>
    <w:rsid w:val="00A8764F"/>
    <w:rsid w:val="00A91C76"/>
    <w:rsid w:val="00A92C90"/>
    <w:rsid w:val="00A936FB"/>
    <w:rsid w:val="00A93B77"/>
    <w:rsid w:val="00A96B92"/>
    <w:rsid w:val="00A96EDA"/>
    <w:rsid w:val="00AA2AFC"/>
    <w:rsid w:val="00AA3232"/>
    <w:rsid w:val="00AA44E3"/>
    <w:rsid w:val="00AA46D2"/>
    <w:rsid w:val="00AA47D2"/>
    <w:rsid w:val="00AA67F4"/>
    <w:rsid w:val="00AA6E39"/>
    <w:rsid w:val="00AA7C62"/>
    <w:rsid w:val="00AB0F36"/>
    <w:rsid w:val="00AB346D"/>
    <w:rsid w:val="00AB35C8"/>
    <w:rsid w:val="00AB688D"/>
    <w:rsid w:val="00AB6AD2"/>
    <w:rsid w:val="00AB73E7"/>
    <w:rsid w:val="00AB75FE"/>
    <w:rsid w:val="00AC012D"/>
    <w:rsid w:val="00AC082E"/>
    <w:rsid w:val="00AC0F7A"/>
    <w:rsid w:val="00AC3A8B"/>
    <w:rsid w:val="00AC3F74"/>
    <w:rsid w:val="00AC406E"/>
    <w:rsid w:val="00AC4A08"/>
    <w:rsid w:val="00AC4B93"/>
    <w:rsid w:val="00AC6131"/>
    <w:rsid w:val="00AC7837"/>
    <w:rsid w:val="00AD1159"/>
    <w:rsid w:val="00AD2681"/>
    <w:rsid w:val="00AD3B24"/>
    <w:rsid w:val="00AD3F40"/>
    <w:rsid w:val="00AD4435"/>
    <w:rsid w:val="00AD7884"/>
    <w:rsid w:val="00AD7FE4"/>
    <w:rsid w:val="00AE0BD4"/>
    <w:rsid w:val="00AE4100"/>
    <w:rsid w:val="00AE53BD"/>
    <w:rsid w:val="00AF0279"/>
    <w:rsid w:val="00AF0950"/>
    <w:rsid w:val="00AF1F5F"/>
    <w:rsid w:val="00AF4042"/>
    <w:rsid w:val="00AF4D29"/>
    <w:rsid w:val="00AF51DD"/>
    <w:rsid w:val="00AF56C5"/>
    <w:rsid w:val="00AF6DAE"/>
    <w:rsid w:val="00AF722C"/>
    <w:rsid w:val="00AF7FD9"/>
    <w:rsid w:val="00B00128"/>
    <w:rsid w:val="00B00310"/>
    <w:rsid w:val="00B003A4"/>
    <w:rsid w:val="00B0207E"/>
    <w:rsid w:val="00B0297F"/>
    <w:rsid w:val="00B03BF6"/>
    <w:rsid w:val="00B0410B"/>
    <w:rsid w:val="00B04844"/>
    <w:rsid w:val="00B04B26"/>
    <w:rsid w:val="00B0525D"/>
    <w:rsid w:val="00B059D5"/>
    <w:rsid w:val="00B05A93"/>
    <w:rsid w:val="00B05AAF"/>
    <w:rsid w:val="00B05B3F"/>
    <w:rsid w:val="00B0767B"/>
    <w:rsid w:val="00B07837"/>
    <w:rsid w:val="00B114E9"/>
    <w:rsid w:val="00B125E6"/>
    <w:rsid w:val="00B12812"/>
    <w:rsid w:val="00B12B89"/>
    <w:rsid w:val="00B14456"/>
    <w:rsid w:val="00B15F8F"/>
    <w:rsid w:val="00B17614"/>
    <w:rsid w:val="00B20590"/>
    <w:rsid w:val="00B2446D"/>
    <w:rsid w:val="00B25B47"/>
    <w:rsid w:val="00B277AF"/>
    <w:rsid w:val="00B311E2"/>
    <w:rsid w:val="00B32537"/>
    <w:rsid w:val="00B333AC"/>
    <w:rsid w:val="00B35B94"/>
    <w:rsid w:val="00B35E8D"/>
    <w:rsid w:val="00B36ED0"/>
    <w:rsid w:val="00B42A94"/>
    <w:rsid w:val="00B44B6A"/>
    <w:rsid w:val="00B44EBA"/>
    <w:rsid w:val="00B5023E"/>
    <w:rsid w:val="00B5064D"/>
    <w:rsid w:val="00B50DE4"/>
    <w:rsid w:val="00B50E46"/>
    <w:rsid w:val="00B51FEE"/>
    <w:rsid w:val="00B55569"/>
    <w:rsid w:val="00B566E9"/>
    <w:rsid w:val="00B56D8E"/>
    <w:rsid w:val="00B57487"/>
    <w:rsid w:val="00B57C9C"/>
    <w:rsid w:val="00B6296B"/>
    <w:rsid w:val="00B62A00"/>
    <w:rsid w:val="00B632AE"/>
    <w:rsid w:val="00B63E6D"/>
    <w:rsid w:val="00B653DA"/>
    <w:rsid w:val="00B67C3E"/>
    <w:rsid w:val="00B7016D"/>
    <w:rsid w:val="00B72108"/>
    <w:rsid w:val="00B72503"/>
    <w:rsid w:val="00B72974"/>
    <w:rsid w:val="00B72E34"/>
    <w:rsid w:val="00B73530"/>
    <w:rsid w:val="00B760CF"/>
    <w:rsid w:val="00B762D4"/>
    <w:rsid w:val="00B7757A"/>
    <w:rsid w:val="00B80CBD"/>
    <w:rsid w:val="00B811AC"/>
    <w:rsid w:val="00B83BDC"/>
    <w:rsid w:val="00B85FE0"/>
    <w:rsid w:val="00B867D8"/>
    <w:rsid w:val="00B86EAD"/>
    <w:rsid w:val="00B87BA1"/>
    <w:rsid w:val="00B94E3A"/>
    <w:rsid w:val="00B960BF"/>
    <w:rsid w:val="00B9754A"/>
    <w:rsid w:val="00BA0042"/>
    <w:rsid w:val="00BA0D58"/>
    <w:rsid w:val="00BA2B0E"/>
    <w:rsid w:val="00BA35DD"/>
    <w:rsid w:val="00BA438D"/>
    <w:rsid w:val="00BA4E17"/>
    <w:rsid w:val="00BA6EF8"/>
    <w:rsid w:val="00BA6F9E"/>
    <w:rsid w:val="00BA7D71"/>
    <w:rsid w:val="00BA7E01"/>
    <w:rsid w:val="00BB005D"/>
    <w:rsid w:val="00BB07DD"/>
    <w:rsid w:val="00BB0A66"/>
    <w:rsid w:val="00BB2720"/>
    <w:rsid w:val="00BB2F15"/>
    <w:rsid w:val="00BB312C"/>
    <w:rsid w:val="00BB48F6"/>
    <w:rsid w:val="00BB4AE1"/>
    <w:rsid w:val="00BB5C0D"/>
    <w:rsid w:val="00BB5F1E"/>
    <w:rsid w:val="00BB7CAB"/>
    <w:rsid w:val="00BC29F8"/>
    <w:rsid w:val="00BC4FEF"/>
    <w:rsid w:val="00BC5517"/>
    <w:rsid w:val="00BC6A43"/>
    <w:rsid w:val="00BC6CBD"/>
    <w:rsid w:val="00BD1698"/>
    <w:rsid w:val="00BD44A0"/>
    <w:rsid w:val="00BE092F"/>
    <w:rsid w:val="00BE114D"/>
    <w:rsid w:val="00BE117D"/>
    <w:rsid w:val="00BE1685"/>
    <w:rsid w:val="00BE2C2A"/>
    <w:rsid w:val="00BE33DD"/>
    <w:rsid w:val="00BE3AEF"/>
    <w:rsid w:val="00BE4448"/>
    <w:rsid w:val="00BE4A7B"/>
    <w:rsid w:val="00BF2477"/>
    <w:rsid w:val="00BF2C50"/>
    <w:rsid w:val="00BF2DAA"/>
    <w:rsid w:val="00BF3053"/>
    <w:rsid w:val="00BF4005"/>
    <w:rsid w:val="00BF5330"/>
    <w:rsid w:val="00BF7F4D"/>
    <w:rsid w:val="00C002B0"/>
    <w:rsid w:val="00C0333C"/>
    <w:rsid w:val="00C03527"/>
    <w:rsid w:val="00C03CB8"/>
    <w:rsid w:val="00C04787"/>
    <w:rsid w:val="00C05DA1"/>
    <w:rsid w:val="00C0654E"/>
    <w:rsid w:val="00C07E6C"/>
    <w:rsid w:val="00C07FBC"/>
    <w:rsid w:val="00C10FEB"/>
    <w:rsid w:val="00C1135C"/>
    <w:rsid w:val="00C113E2"/>
    <w:rsid w:val="00C122A8"/>
    <w:rsid w:val="00C13B08"/>
    <w:rsid w:val="00C1419E"/>
    <w:rsid w:val="00C1591F"/>
    <w:rsid w:val="00C16426"/>
    <w:rsid w:val="00C16ED6"/>
    <w:rsid w:val="00C226C9"/>
    <w:rsid w:val="00C312AE"/>
    <w:rsid w:val="00C404A3"/>
    <w:rsid w:val="00C413E8"/>
    <w:rsid w:val="00C414B9"/>
    <w:rsid w:val="00C41E54"/>
    <w:rsid w:val="00C42BEB"/>
    <w:rsid w:val="00C449DC"/>
    <w:rsid w:val="00C47AF4"/>
    <w:rsid w:val="00C503A5"/>
    <w:rsid w:val="00C5063B"/>
    <w:rsid w:val="00C51B8F"/>
    <w:rsid w:val="00C53E1B"/>
    <w:rsid w:val="00C5484F"/>
    <w:rsid w:val="00C551F9"/>
    <w:rsid w:val="00C5564D"/>
    <w:rsid w:val="00C6107A"/>
    <w:rsid w:val="00C62D1F"/>
    <w:rsid w:val="00C632CD"/>
    <w:rsid w:val="00C63720"/>
    <w:rsid w:val="00C63CE7"/>
    <w:rsid w:val="00C654F9"/>
    <w:rsid w:val="00C65934"/>
    <w:rsid w:val="00C66735"/>
    <w:rsid w:val="00C67DFD"/>
    <w:rsid w:val="00C721C3"/>
    <w:rsid w:val="00C721F8"/>
    <w:rsid w:val="00C72256"/>
    <w:rsid w:val="00C72615"/>
    <w:rsid w:val="00C73052"/>
    <w:rsid w:val="00C817CF"/>
    <w:rsid w:val="00C819A8"/>
    <w:rsid w:val="00C81D9D"/>
    <w:rsid w:val="00C84134"/>
    <w:rsid w:val="00C84B5E"/>
    <w:rsid w:val="00C85E4A"/>
    <w:rsid w:val="00C909E2"/>
    <w:rsid w:val="00C93274"/>
    <w:rsid w:val="00C93DAD"/>
    <w:rsid w:val="00C94229"/>
    <w:rsid w:val="00C94BE6"/>
    <w:rsid w:val="00C94DAC"/>
    <w:rsid w:val="00C9612D"/>
    <w:rsid w:val="00C97AD6"/>
    <w:rsid w:val="00CA0E56"/>
    <w:rsid w:val="00CA135C"/>
    <w:rsid w:val="00CA2A85"/>
    <w:rsid w:val="00CA4658"/>
    <w:rsid w:val="00CA4BAD"/>
    <w:rsid w:val="00CA522E"/>
    <w:rsid w:val="00CA594F"/>
    <w:rsid w:val="00CA688F"/>
    <w:rsid w:val="00CA7257"/>
    <w:rsid w:val="00CB0951"/>
    <w:rsid w:val="00CB0BE0"/>
    <w:rsid w:val="00CB1152"/>
    <w:rsid w:val="00CB2766"/>
    <w:rsid w:val="00CB3257"/>
    <w:rsid w:val="00CB3C65"/>
    <w:rsid w:val="00CB51C7"/>
    <w:rsid w:val="00CB54AB"/>
    <w:rsid w:val="00CB778D"/>
    <w:rsid w:val="00CB7E37"/>
    <w:rsid w:val="00CC0B98"/>
    <w:rsid w:val="00CC26A2"/>
    <w:rsid w:val="00CC33CB"/>
    <w:rsid w:val="00CC3504"/>
    <w:rsid w:val="00CC4BEB"/>
    <w:rsid w:val="00CC5573"/>
    <w:rsid w:val="00CC5D74"/>
    <w:rsid w:val="00CC6DBA"/>
    <w:rsid w:val="00CD00E1"/>
    <w:rsid w:val="00CD0C51"/>
    <w:rsid w:val="00CD0EA3"/>
    <w:rsid w:val="00CD1083"/>
    <w:rsid w:val="00CD2745"/>
    <w:rsid w:val="00CD38F7"/>
    <w:rsid w:val="00CD3C05"/>
    <w:rsid w:val="00CD4750"/>
    <w:rsid w:val="00CD5DCC"/>
    <w:rsid w:val="00CD7F18"/>
    <w:rsid w:val="00CE2E55"/>
    <w:rsid w:val="00CE35B7"/>
    <w:rsid w:val="00CE49AD"/>
    <w:rsid w:val="00CE4B22"/>
    <w:rsid w:val="00CE4E10"/>
    <w:rsid w:val="00CE578F"/>
    <w:rsid w:val="00CE5B19"/>
    <w:rsid w:val="00CE68B8"/>
    <w:rsid w:val="00CE7014"/>
    <w:rsid w:val="00CE79EE"/>
    <w:rsid w:val="00CE7F94"/>
    <w:rsid w:val="00CF1564"/>
    <w:rsid w:val="00CF21D5"/>
    <w:rsid w:val="00CF35FE"/>
    <w:rsid w:val="00CF626B"/>
    <w:rsid w:val="00CF62EE"/>
    <w:rsid w:val="00CF765E"/>
    <w:rsid w:val="00CF7D0A"/>
    <w:rsid w:val="00D0032D"/>
    <w:rsid w:val="00D0080A"/>
    <w:rsid w:val="00D02638"/>
    <w:rsid w:val="00D029B9"/>
    <w:rsid w:val="00D03369"/>
    <w:rsid w:val="00D0393D"/>
    <w:rsid w:val="00D04B6B"/>
    <w:rsid w:val="00D04C0F"/>
    <w:rsid w:val="00D0598D"/>
    <w:rsid w:val="00D05AF5"/>
    <w:rsid w:val="00D0688D"/>
    <w:rsid w:val="00D068F8"/>
    <w:rsid w:val="00D07712"/>
    <w:rsid w:val="00D10983"/>
    <w:rsid w:val="00D10FD8"/>
    <w:rsid w:val="00D14FDB"/>
    <w:rsid w:val="00D16060"/>
    <w:rsid w:val="00D17512"/>
    <w:rsid w:val="00D21E1E"/>
    <w:rsid w:val="00D21FF5"/>
    <w:rsid w:val="00D23FA1"/>
    <w:rsid w:val="00D267B5"/>
    <w:rsid w:val="00D267F5"/>
    <w:rsid w:val="00D30FDD"/>
    <w:rsid w:val="00D3401A"/>
    <w:rsid w:val="00D34D97"/>
    <w:rsid w:val="00D3650F"/>
    <w:rsid w:val="00D37891"/>
    <w:rsid w:val="00D40E6D"/>
    <w:rsid w:val="00D42793"/>
    <w:rsid w:val="00D44C8E"/>
    <w:rsid w:val="00D45089"/>
    <w:rsid w:val="00D4701E"/>
    <w:rsid w:val="00D471C1"/>
    <w:rsid w:val="00D508C1"/>
    <w:rsid w:val="00D50A07"/>
    <w:rsid w:val="00D52A23"/>
    <w:rsid w:val="00D54569"/>
    <w:rsid w:val="00D546A8"/>
    <w:rsid w:val="00D56C2C"/>
    <w:rsid w:val="00D57C05"/>
    <w:rsid w:val="00D63670"/>
    <w:rsid w:val="00D6384D"/>
    <w:rsid w:val="00D645F3"/>
    <w:rsid w:val="00D64750"/>
    <w:rsid w:val="00D64CA0"/>
    <w:rsid w:val="00D67481"/>
    <w:rsid w:val="00D678A5"/>
    <w:rsid w:val="00D705AB"/>
    <w:rsid w:val="00D71A60"/>
    <w:rsid w:val="00D71BDC"/>
    <w:rsid w:val="00D71E20"/>
    <w:rsid w:val="00D724A1"/>
    <w:rsid w:val="00D73CB5"/>
    <w:rsid w:val="00D80370"/>
    <w:rsid w:val="00D81431"/>
    <w:rsid w:val="00D81990"/>
    <w:rsid w:val="00D821B5"/>
    <w:rsid w:val="00D848DD"/>
    <w:rsid w:val="00D90092"/>
    <w:rsid w:val="00D90CBB"/>
    <w:rsid w:val="00D912CD"/>
    <w:rsid w:val="00D926E2"/>
    <w:rsid w:val="00D93CBF"/>
    <w:rsid w:val="00D940C1"/>
    <w:rsid w:val="00D97985"/>
    <w:rsid w:val="00DA0368"/>
    <w:rsid w:val="00DA1606"/>
    <w:rsid w:val="00DA1937"/>
    <w:rsid w:val="00DA1E77"/>
    <w:rsid w:val="00DA200F"/>
    <w:rsid w:val="00DA28D1"/>
    <w:rsid w:val="00DA70C9"/>
    <w:rsid w:val="00DB049A"/>
    <w:rsid w:val="00DB4B12"/>
    <w:rsid w:val="00DB5B71"/>
    <w:rsid w:val="00DB6572"/>
    <w:rsid w:val="00DB773F"/>
    <w:rsid w:val="00DB7E91"/>
    <w:rsid w:val="00DC123A"/>
    <w:rsid w:val="00DC1E0D"/>
    <w:rsid w:val="00DC3167"/>
    <w:rsid w:val="00DC4072"/>
    <w:rsid w:val="00DD0AEF"/>
    <w:rsid w:val="00DD0DFB"/>
    <w:rsid w:val="00DD36C1"/>
    <w:rsid w:val="00DD41B2"/>
    <w:rsid w:val="00DD5D07"/>
    <w:rsid w:val="00DD6132"/>
    <w:rsid w:val="00DD6E5F"/>
    <w:rsid w:val="00DD7D74"/>
    <w:rsid w:val="00DE1DE4"/>
    <w:rsid w:val="00DE229C"/>
    <w:rsid w:val="00DE2732"/>
    <w:rsid w:val="00DE35B8"/>
    <w:rsid w:val="00DE3F53"/>
    <w:rsid w:val="00DE5DEC"/>
    <w:rsid w:val="00DE716C"/>
    <w:rsid w:val="00DF0708"/>
    <w:rsid w:val="00DF1155"/>
    <w:rsid w:val="00DF28C3"/>
    <w:rsid w:val="00DF2B9F"/>
    <w:rsid w:val="00DF48FF"/>
    <w:rsid w:val="00DF52B5"/>
    <w:rsid w:val="00DF74CC"/>
    <w:rsid w:val="00E0108B"/>
    <w:rsid w:val="00E01F01"/>
    <w:rsid w:val="00E022B7"/>
    <w:rsid w:val="00E0553F"/>
    <w:rsid w:val="00E061C3"/>
    <w:rsid w:val="00E07586"/>
    <w:rsid w:val="00E075F9"/>
    <w:rsid w:val="00E07654"/>
    <w:rsid w:val="00E0779F"/>
    <w:rsid w:val="00E10072"/>
    <w:rsid w:val="00E1067F"/>
    <w:rsid w:val="00E109CD"/>
    <w:rsid w:val="00E112B6"/>
    <w:rsid w:val="00E13500"/>
    <w:rsid w:val="00E137D5"/>
    <w:rsid w:val="00E154CF"/>
    <w:rsid w:val="00E15AB3"/>
    <w:rsid w:val="00E15D6E"/>
    <w:rsid w:val="00E16229"/>
    <w:rsid w:val="00E2194C"/>
    <w:rsid w:val="00E23693"/>
    <w:rsid w:val="00E2541A"/>
    <w:rsid w:val="00E254E6"/>
    <w:rsid w:val="00E26555"/>
    <w:rsid w:val="00E2670E"/>
    <w:rsid w:val="00E2741D"/>
    <w:rsid w:val="00E275E4"/>
    <w:rsid w:val="00E27CD1"/>
    <w:rsid w:val="00E308C0"/>
    <w:rsid w:val="00E309EA"/>
    <w:rsid w:val="00E320B5"/>
    <w:rsid w:val="00E32509"/>
    <w:rsid w:val="00E32822"/>
    <w:rsid w:val="00E33268"/>
    <w:rsid w:val="00E37132"/>
    <w:rsid w:val="00E371B3"/>
    <w:rsid w:val="00E408A8"/>
    <w:rsid w:val="00E41317"/>
    <w:rsid w:val="00E42DB3"/>
    <w:rsid w:val="00E43B9F"/>
    <w:rsid w:val="00E44EDB"/>
    <w:rsid w:val="00E44F01"/>
    <w:rsid w:val="00E52393"/>
    <w:rsid w:val="00E54321"/>
    <w:rsid w:val="00E54751"/>
    <w:rsid w:val="00E550E7"/>
    <w:rsid w:val="00E55ED0"/>
    <w:rsid w:val="00E56743"/>
    <w:rsid w:val="00E575AE"/>
    <w:rsid w:val="00E60457"/>
    <w:rsid w:val="00E62208"/>
    <w:rsid w:val="00E6248A"/>
    <w:rsid w:val="00E63021"/>
    <w:rsid w:val="00E63831"/>
    <w:rsid w:val="00E675BF"/>
    <w:rsid w:val="00E678F6"/>
    <w:rsid w:val="00E72395"/>
    <w:rsid w:val="00E735E1"/>
    <w:rsid w:val="00E742BD"/>
    <w:rsid w:val="00E744BE"/>
    <w:rsid w:val="00E7484C"/>
    <w:rsid w:val="00E758CC"/>
    <w:rsid w:val="00E76033"/>
    <w:rsid w:val="00E7788D"/>
    <w:rsid w:val="00E81209"/>
    <w:rsid w:val="00E816E9"/>
    <w:rsid w:val="00E81B18"/>
    <w:rsid w:val="00E82290"/>
    <w:rsid w:val="00E82D5F"/>
    <w:rsid w:val="00E852E1"/>
    <w:rsid w:val="00E85F30"/>
    <w:rsid w:val="00E87BF7"/>
    <w:rsid w:val="00E90829"/>
    <w:rsid w:val="00E91889"/>
    <w:rsid w:val="00E921F7"/>
    <w:rsid w:val="00E95D44"/>
    <w:rsid w:val="00E9656F"/>
    <w:rsid w:val="00E96640"/>
    <w:rsid w:val="00E9669D"/>
    <w:rsid w:val="00E976D8"/>
    <w:rsid w:val="00EA0880"/>
    <w:rsid w:val="00EA1870"/>
    <w:rsid w:val="00EA1899"/>
    <w:rsid w:val="00EA2C95"/>
    <w:rsid w:val="00EA3AB4"/>
    <w:rsid w:val="00EA42A3"/>
    <w:rsid w:val="00EA72B7"/>
    <w:rsid w:val="00EA7830"/>
    <w:rsid w:val="00EB0E20"/>
    <w:rsid w:val="00EB187F"/>
    <w:rsid w:val="00EB3654"/>
    <w:rsid w:val="00EB418E"/>
    <w:rsid w:val="00EB4C56"/>
    <w:rsid w:val="00EB4D33"/>
    <w:rsid w:val="00EB645A"/>
    <w:rsid w:val="00EC09F9"/>
    <w:rsid w:val="00EC0A28"/>
    <w:rsid w:val="00EC0DCA"/>
    <w:rsid w:val="00EC13E4"/>
    <w:rsid w:val="00EC2AD3"/>
    <w:rsid w:val="00EC2CBA"/>
    <w:rsid w:val="00EC2CCB"/>
    <w:rsid w:val="00EC3E43"/>
    <w:rsid w:val="00EC71E0"/>
    <w:rsid w:val="00ED1066"/>
    <w:rsid w:val="00ED1819"/>
    <w:rsid w:val="00ED1FE8"/>
    <w:rsid w:val="00ED2680"/>
    <w:rsid w:val="00ED364C"/>
    <w:rsid w:val="00ED51FC"/>
    <w:rsid w:val="00ED5D37"/>
    <w:rsid w:val="00ED6AD8"/>
    <w:rsid w:val="00EE02F4"/>
    <w:rsid w:val="00EE1400"/>
    <w:rsid w:val="00EE18A7"/>
    <w:rsid w:val="00EE1E27"/>
    <w:rsid w:val="00EE31CB"/>
    <w:rsid w:val="00EE53B9"/>
    <w:rsid w:val="00EE5ED8"/>
    <w:rsid w:val="00EE63A7"/>
    <w:rsid w:val="00EE7690"/>
    <w:rsid w:val="00EF0322"/>
    <w:rsid w:val="00EF0DE5"/>
    <w:rsid w:val="00EF1FAC"/>
    <w:rsid w:val="00EF21EF"/>
    <w:rsid w:val="00EF2613"/>
    <w:rsid w:val="00EF4215"/>
    <w:rsid w:val="00EF4C57"/>
    <w:rsid w:val="00EF5551"/>
    <w:rsid w:val="00EF6D08"/>
    <w:rsid w:val="00EF71BB"/>
    <w:rsid w:val="00F02E8B"/>
    <w:rsid w:val="00F051F0"/>
    <w:rsid w:val="00F0533E"/>
    <w:rsid w:val="00F056FD"/>
    <w:rsid w:val="00F06BA0"/>
    <w:rsid w:val="00F07157"/>
    <w:rsid w:val="00F07202"/>
    <w:rsid w:val="00F07232"/>
    <w:rsid w:val="00F10192"/>
    <w:rsid w:val="00F1037B"/>
    <w:rsid w:val="00F127EA"/>
    <w:rsid w:val="00F12B21"/>
    <w:rsid w:val="00F13DA0"/>
    <w:rsid w:val="00F15EAF"/>
    <w:rsid w:val="00F15FD9"/>
    <w:rsid w:val="00F169BF"/>
    <w:rsid w:val="00F203C8"/>
    <w:rsid w:val="00F20E56"/>
    <w:rsid w:val="00F2116F"/>
    <w:rsid w:val="00F21F6E"/>
    <w:rsid w:val="00F24FCD"/>
    <w:rsid w:val="00F2778F"/>
    <w:rsid w:val="00F27FB4"/>
    <w:rsid w:val="00F30470"/>
    <w:rsid w:val="00F307CB"/>
    <w:rsid w:val="00F31F2E"/>
    <w:rsid w:val="00F32AF6"/>
    <w:rsid w:val="00F32D61"/>
    <w:rsid w:val="00F339AF"/>
    <w:rsid w:val="00F343F7"/>
    <w:rsid w:val="00F34EEC"/>
    <w:rsid w:val="00F35645"/>
    <w:rsid w:val="00F361AF"/>
    <w:rsid w:val="00F375B2"/>
    <w:rsid w:val="00F403B6"/>
    <w:rsid w:val="00F40448"/>
    <w:rsid w:val="00F4173B"/>
    <w:rsid w:val="00F42574"/>
    <w:rsid w:val="00F42C0F"/>
    <w:rsid w:val="00F439B2"/>
    <w:rsid w:val="00F44D57"/>
    <w:rsid w:val="00F4593F"/>
    <w:rsid w:val="00F464B8"/>
    <w:rsid w:val="00F505AD"/>
    <w:rsid w:val="00F51D4C"/>
    <w:rsid w:val="00F51DDF"/>
    <w:rsid w:val="00F51E82"/>
    <w:rsid w:val="00F52697"/>
    <w:rsid w:val="00F529CE"/>
    <w:rsid w:val="00F52B32"/>
    <w:rsid w:val="00F52C3B"/>
    <w:rsid w:val="00F5459F"/>
    <w:rsid w:val="00F55CF2"/>
    <w:rsid w:val="00F57541"/>
    <w:rsid w:val="00F57667"/>
    <w:rsid w:val="00F60B70"/>
    <w:rsid w:val="00F60F7A"/>
    <w:rsid w:val="00F63873"/>
    <w:rsid w:val="00F63876"/>
    <w:rsid w:val="00F63F96"/>
    <w:rsid w:val="00F64067"/>
    <w:rsid w:val="00F64DEF"/>
    <w:rsid w:val="00F6530A"/>
    <w:rsid w:val="00F653D8"/>
    <w:rsid w:val="00F655FC"/>
    <w:rsid w:val="00F65758"/>
    <w:rsid w:val="00F66B58"/>
    <w:rsid w:val="00F70F53"/>
    <w:rsid w:val="00F71213"/>
    <w:rsid w:val="00F7261B"/>
    <w:rsid w:val="00F737CD"/>
    <w:rsid w:val="00F740B0"/>
    <w:rsid w:val="00F75660"/>
    <w:rsid w:val="00F75C5D"/>
    <w:rsid w:val="00F760E0"/>
    <w:rsid w:val="00F76A3E"/>
    <w:rsid w:val="00F770C3"/>
    <w:rsid w:val="00F77980"/>
    <w:rsid w:val="00F81BC3"/>
    <w:rsid w:val="00F82FC3"/>
    <w:rsid w:val="00F83CB6"/>
    <w:rsid w:val="00F84317"/>
    <w:rsid w:val="00F852DD"/>
    <w:rsid w:val="00F861B5"/>
    <w:rsid w:val="00F87A39"/>
    <w:rsid w:val="00F9054D"/>
    <w:rsid w:val="00F91518"/>
    <w:rsid w:val="00F937CE"/>
    <w:rsid w:val="00F93CF4"/>
    <w:rsid w:val="00F975D8"/>
    <w:rsid w:val="00F977A0"/>
    <w:rsid w:val="00F97826"/>
    <w:rsid w:val="00FA004C"/>
    <w:rsid w:val="00FA0295"/>
    <w:rsid w:val="00FA04F9"/>
    <w:rsid w:val="00FA0B29"/>
    <w:rsid w:val="00FA27C2"/>
    <w:rsid w:val="00FA315E"/>
    <w:rsid w:val="00FA3A6E"/>
    <w:rsid w:val="00FA464A"/>
    <w:rsid w:val="00FA55A0"/>
    <w:rsid w:val="00FA5B67"/>
    <w:rsid w:val="00FA630A"/>
    <w:rsid w:val="00FA6946"/>
    <w:rsid w:val="00FA6AD3"/>
    <w:rsid w:val="00FB0B10"/>
    <w:rsid w:val="00FB1D1D"/>
    <w:rsid w:val="00FB2856"/>
    <w:rsid w:val="00FB29F8"/>
    <w:rsid w:val="00FB3352"/>
    <w:rsid w:val="00FB3B34"/>
    <w:rsid w:val="00FB3B77"/>
    <w:rsid w:val="00FB7DBA"/>
    <w:rsid w:val="00FB7F51"/>
    <w:rsid w:val="00FC0D01"/>
    <w:rsid w:val="00FC2519"/>
    <w:rsid w:val="00FC446C"/>
    <w:rsid w:val="00FC49B9"/>
    <w:rsid w:val="00FC533E"/>
    <w:rsid w:val="00FC6E09"/>
    <w:rsid w:val="00FD0893"/>
    <w:rsid w:val="00FD1723"/>
    <w:rsid w:val="00FD3381"/>
    <w:rsid w:val="00FD365A"/>
    <w:rsid w:val="00FD7BD7"/>
    <w:rsid w:val="00FE0F54"/>
    <w:rsid w:val="00FE0F81"/>
    <w:rsid w:val="00FE29C8"/>
    <w:rsid w:val="00FE355D"/>
    <w:rsid w:val="00FE3996"/>
    <w:rsid w:val="00FE3F2F"/>
    <w:rsid w:val="00FE4808"/>
    <w:rsid w:val="00FE7944"/>
    <w:rsid w:val="00FF033A"/>
    <w:rsid w:val="00FF052A"/>
    <w:rsid w:val="00FF3284"/>
    <w:rsid w:val="00FF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0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E17"/>
    <w:pPr>
      <w:spacing w:after="0" w:line="288" w:lineRule="auto"/>
    </w:pPr>
    <w:rPr>
      <w:rFonts w:ascii="Arial" w:eastAsia="Calibri" w:hAnsi="Arial" w:cs="Times New Roman"/>
      <w:sz w:val="20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A4E17"/>
    <w:pPr>
      <w:keepNext/>
      <w:keepLines/>
      <w:spacing w:line="288" w:lineRule="auto"/>
      <w:outlineLvl w:val="0"/>
    </w:pPr>
    <w:rPr>
      <w:rFonts w:ascii="Arial" w:eastAsia="MS Gothic" w:hAnsi="Arial" w:cs="Times New Roman"/>
      <w:b/>
      <w:bCs/>
      <w:color w:val="71818C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85FE0"/>
    <w:pPr>
      <w:keepNext/>
      <w:keepLines/>
      <w:spacing w:after="0" w:line="288" w:lineRule="auto"/>
      <w:outlineLvl w:val="1"/>
    </w:pPr>
    <w:rPr>
      <w:rFonts w:ascii="Arial" w:eastAsia="MS Gothic" w:hAnsi="Arial" w:cs="Times New Roman"/>
      <w:b/>
      <w:bCs/>
      <w:color w:val="71818C"/>
      <w:sz w:val="28"/>
      <w:szCs w:val="26"/>
      <w:lang w:eastAsia="cs-CZ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003A4"/>
    <w:pPr>
      <w:numPr>
        <w:ilvl w:val="2"/>
        <w:numId w:val="2"/>
      </w:numPr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E17"/>
    <w:rPr>
      <w:rFonts w:ascii="Arial" w:eastAsia="MS Gothic" w:hAnsi="Arial" w:cs="Times New Roman"/>
      <w:b/>
      <w:bCs/>
      <w:color w:val="71818C"/>
      <w:sz w:val="32"/>
      <w:szCs w:val="28"/>
      <w:lang w:eastAsia="cs-CZ"/>
    </w:rPr>
  </w:style>
  <w:style w:type="paragraph" w:styleId="Zhlav">
    <w:name w:val="header"/>
    <w:basedOn w:val="Normln"/>
    <w:link w:val="ZhlavChar"/>
    <w:unhideWhenUsed/>
    <w:rsid w:val="00BA4E17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BA4E1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A4E17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4E17"/>
    <w:rPr>
      <w:rFonts w:ascii="Calibri" w:eastAsia="Calibri" w:hAnsi="Calibri" w:cs="Times New Roman"/>
    </w:rPr>
  </w:style>
  <w:style w:type="paragraph" w:styleId="Textpoznpodarou">
    <w:name w:val="footnote text"/>
    <w:aliases w:val="Text pozn. pod čarou_martin_ang"/>
    <w:basedOn w:val="Normln"/>
    <w:link w:val="TextpoznpodarouChar"/>
    <w:rsid w:val="00BA4E17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rsid w:val="00BA4E17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rsid w:val="00BA4E17"/>
    <w:rPr>
      <w:vertAlign w:val="superscript"/>
    </w:rPr>
  </w:style>
  <w:style w:type="table" w:styleId="Mkatabulky">
    <w:name w:val="Table Grid"/>
    <w:basedOn w:val="Normlntabulka"/>
    <w:uiPriority w:val="59"/>
    <w:rsid w:val="00BA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BA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4E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E17"/>
    <w:rPr>
      <w:rFonts w:ascii="Tahoma" w:eastAsia="Calibri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85FE0"/>
    <w:rPr>
      <w:rFonts w:ascii="Arial" w:eastAsia="MS Gothic" w:hAnsi="Arial" w:cs="Times New Roman"/>
      <w:b/>
      <w:bCs/>
      <w:color w:val="71818C"/>
      <w:sz w:val="28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605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43BEE"/>
    <w:rPr>
      <w:color w:val="800080" w:themeColor="followedHyperlink"/>
      <w:u w:val="single"/>
    </w:rPr>
  </w:style>
  <w:style w:type="paragraph" w:customStyle="1" w:styleId="Styl1">
    <w:name w:val="Styl1"/>
    <w:rsid w:val="0028442C"/>
    <w:pPr>
      <w:suppressAutoHyphens/>
      <w:autoSpaceDE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Zkladnodstavec">
    <w:name w:val="[Základní odstavec]"/>
    <w:basedOn w:val="Normln"/>
    <w:link w:val="ZkladnodstavecChar"/>
    <w:uiPriority w:val="99"/>
    <w:rsid w:val="0028442C"/>
    <w:pPr>
      <w:autoSpaceDE w:val="0"/>
      <w:autoSpaceDN w:val="0"/>
      <w:adjustRightInd w:val="0"/>
      <w:textAlignment w:val="center"/>
    </w:pPr>
    <w:rPr>
      <w:rFonts w:ascii="Minion Pro" w:hAnsi="Minion Pro"/>
      <w:color w:val="000000"/>
      <w:sz w:val="24"/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28442C"/>
    <w:pPr>
      <w:numPr>
        <w:ilvl w:val="1"/>
      </w:numPr>
    </w:pPr>
    <w:rPr>
      <w:rFonts w:eastAsia="MS Gothic"/>
      <w:b/>
      <w:iCs/>
      <w:color w:val="71818C"/>
      <w:sz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8442C"/>
    <w:rPr>
      <w:rFonts w:ascii="Arial" w:eastAsia="MS Gothic" w:hAnsi="Arial" w:cs="Times New Roman"/>
      <w:b/>
      <w:iCs/>
      <w:color w:val="71818C"/>
      <w:sz w:val="28"/>
      <w:szCs w:val="24"/>
      <w:lang w:eastAsia="cs-CZ"/>
    </w:rPr>
  </w:style>
  <w:style w:type="paragraph" w:customStyle="1" w:styleId="TL-Kontakty">
    <w:name w:val="TL - Kontakty"/>
    <w:next w:val="Normln"/>
    <w:link w:val="TL-KontaktyChar"/>
    <w:qFormat/>
    <w:rsid w:val="0028442C"/>
    <w:pPr>
      <w:spacing w:after="80" w:line="240" w:lineRule="auto"/>
    </w:pPr>
    <w:rPr>
      <w:rFonts w:ascii="Arial" w:eastAsia="Calibri" w:hAnsi="Arial" w:cs="Times New Roman"/>
      <w:b/>
      <w:caps/>
      <w:color w:val="BD1B21"/>
      <w:lang w:eastAsia="cs-CZ"/>
    </w:rPr>
  </w:style>
  <w:style w:type="character" w:customStyle="1" w:styleId="ZkladnodstavecChar">
    <w:name w:val="[Základní odstavec] Char"/>
    <w:link w:val="Zkladnodstavec"/>
    <w:uiPriority w:val="99"/>
    <w:locked/>
    <w:rsid w:val="0028442C"/>
    <w:rPr>
      <w:rFonts w:ascii="Minion Pro" w:eastAsia="Calibri" w:hAnsi="Minion Pro" w:cs="Times New Roman"/>
      <w:color w:val="000000"/>
      <w:sz w:val="24"/>
      <w:szCs w:val="20"/>
      <w:lang w:eastAsia="cs-CZ"/>
    </w:rPr>
  </w:style>
  <w:style w:type="character" w:customStyle="1" w:styleId="TL-KontaktyChar">
    <w:name w:val="TL - Kontakty Char"/>
    <w:link w:val="TL-Kontakty"/>
    <w:locked/>
    <w:rsid w:val="0028442C"/>
    <w:rPr>
      <w:rFonts w:ascii="Arial" w:eastAsia="Calibri" w:hAnsi="Arial" w:cs="Times New Roman"/>
      <w:b/>
      <w:caps/>
      <w:color w:val="BD1B21"/>
      <w:lang w:eastAsia="cs-CZ"/>
    </w:rPr>
  </w:style>
  <w:style w:type="paragraph" w:customStyle="1" w:styleId="TL-identifikace-sted">
    <w:name w:val="TL - identifikace - střed"/>
    <w:basedOn w:val="Normln"/>
    <w:link w:val="TL-identifikace-stedChar"/>
    <w:qFormat/>
    <w:rsid w:val="0028442C"/>
    <w:pPr>
      <w:spacing w:after="200"/>
    </w:pPr>
    <w:rPr>
      <w:sz w:val="24"/>
      <w:szCs w:val="20"/>
    </w:rPr>
  </w:style>
  <w:style w:type="paragraph" w:customStyle="1" w:styleId="TL-Identifikace-dole">
    <w:name w:val="TL - Identifikace - dole"/>
    <w:basedOn w:val="Normln"/>
    <w:link w:val="TL-Identifikace-doleChar"/>
    <w:qFormat/>
    <w:rsid w:val="0028442C"/>
    <w:pPr>
      <w:spacing w:after="200"/>
    </w:pPr>
    <w:rPr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locked/>
    <w:rsid w:val="0028442C"/>
    <w:rPr>
      <w:rFonts w:ascii="Arial" w:eastAsia="Calibri" w:hAnsi="Arial" w:cs="Times New Roman"/>
      <w:sz w:val="24"/>
      <w:szCs w:val="20"/>
      <w:lang w:eastAsia="cs-CZ"/>
    </w:rPr>
  </w:style>
  <w:style w:type="character" w:customStyle="1" w:styleId="TL-Identifikace-doleChar">
    <w:name w:val="TL - Identifikace - dole Char"/>
    <w:link w:val="TL-Identifikace-dole"/>
    <w:locked/>
    <w:rsid w:val="0028442C"/>
    <w:rPr>
      <w:rFonts w:ascii="Arial" w:eastAsia="Calibri" w:hAnsi="Arial" w:cs="Times New Roman"/>
      <w:sz w:val="20"/>
      <w:szCs w:val="20"/>
      <w:lang w:eastAsia="ar-SA"/>
    </w:rPr>
  </w:style>
  <w:style w:type="paragraph" w:styleId="Obsah1">
    <w:name w:val="toc 1"/>
    <w:basedOn w:val="Normln"/>
    <w:next w:val="Normln"/>
    <w:autoRedefine/>
    <w:uiPriority w:val="39"/>
    <w:qFormat/>
    <w:rsid w:val="0028442C"/>
    <w:pPr>
      <w:tabs>
        <w:tab w:val="left" w:pos="660"/>
        <w:tab w:val="right" w:leader="dot" w:pos="9628"/>
      </w:tabs>
      <w:spacing w:after="100" w:line="360" w:lineRule="auto"/>
      <w:jc w:val="both"/>
    </w:pPr>
    <w:rPr>
      <w:rFonts w:cs="Arial"/>
      <w:b/>
      <w:noProof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28442C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28442C"/>
    <w:pPr>
      <w:ind w:left="400"/>
    </w:pPr>
  </w:style>
  <w:style w:type="paragraph" w:styleId="Odstavecseseznamem">
    <w:name w:val="List Paragraph"/>
    <w:basedOn w:val="Normln"/>
    <w:uiPriority w:val="34"/>
    <w:qFormat/>
    <w:rsid w:val="0028442C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B003A4"/>
    <w:rPr>
      <w:rFonts w:ascii="Arial" w:eastAsia="MS Gothic" w:hAnsi="Arial" w:cs="Times New Roman"/>
      <w:b/>
      <w:bCs/>
      <w:color w:val="71818C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B19C3-8699-4AA3-AEE8-C88E0419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1903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kucera4376</dc:creator>
  <cp:lastModifiedBy>kucera4376</cp:lastModifiedBy>
  <cp:revision>98</cp:revision>
  <dcterms:created xsi:type="dcterms:W3CDTF">2015-11-24T09:38:00Z</dcterms:created>
  <dcterms:modified xsi:type="dcterms:W3CDTF">2015-11-26T11:16:00Z</dcterms:modified>
</cp:coreProperties>
</file>