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5E0476" w:rsidRDefault="007A4019" w:rsidP="003D60AB">
      <w:pPr>
        <w:pStyle w:val="Nadpis1"/>
        <w:numPr>
          <w:ilvl w:val="0"/>
          <w:numId w:val="6"/>
        </w:numPr>
        <w:jc w:val="both"/>
        <w:rPr>
          <w:lang w:val="en-GB"/>
        </w:rPr>
      </w:pPr>
      <w:bookmarkStart w:id="0" w:name="_Toc433292811"/>
      <w:r w:rsidRPr="005E0476">
        <w:rPr>
          <w:lang w:val="en-GB"/>
        </w:rPr>
        <w:t>External Economic Relations</w:t>
      </w:r>
      <w:bookmarkEnd w:id="0"/>
    </w:p>
    <w:tbl>
      <w:tblPr>
        <w:tblW w:w="5043" w:type="pct"/>
        <w:tblInd w:w="-42" w:type="dxa"/>
        <w:tblCellMar>
          <w:left w:w="28" w:type="dxa"/>
          <w:right w:w="28" w:type="dxa"/>
        </w:tblCellMar>
        <w:tblLook w:val="00A0"/>
      </w:tblPr>
      <w:tblGrid>
        <w:gridCol w:w="2037"/>
        <w:gridCol w:w="272"/>
        <w:gridCol w:w="7468"/>
      </w:tblGrid>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 xml:space="preserve">Further improvement of external balance by both the record surplus on the current account of the balance of payments and mutual inclusion of surpluses and deficits in their further components  </w:t>
            </w:r>
          </w:p>
        </w:tc>
        <w:tc>
          <w:tcPr>
            <w:tcW w:w="139" w:type="pct"/>
          </w:tcPr>
          <w:p w:rsidR="0065277F" w:rsidRPr="005E0476" w:rsidRDefault="0065277F" w:rsidP="00C15E41">
            <w:pPr>
              <w:pStyle w:val="Textpoznpodarou"/>
              <w:jc w:val="both"/>
              <w:rPr>
                <w:lang w:val="en-GB"/>
              </w:rPr>
            </w:pPr>
          </w:p>
        </w:tc>
        <w:tc>
          <w:tcPr>
            <w:tcW w:w="3819" w:type="pct"/>
          </w:tcPr>
          <w:p w:rsidR="0065277F" w:rsidRPr="00086DE6" w:rsidRDefault="0065277F" w:rsidP="00C15E41">
            <w:pPr>
              <w:pStyle w:val="Textpoznpodarou"/>
              <w:jc w:val="both"/>
              <w:rPr>
                <w:color w:val="000000"/>
                <w:lang w:val="en-GB"/>
              </w:rPr>
            </w:pPr>
            <w:r w:rsidRPr="00086DE6">
              <w:rPr>
                <w:color w:val="000000"/>
                <w:lang w:val="en-GB"/>
              </w:rPr>
              <w:t>Strong growth of the Czech economy was accompanied by further improvement in its external balance in the first two quarters of 2015. Therefore, half yearly result of</w:t>
            </w:r>
            <w:r w:rsidR="003D60AB">
              <w:rPr>
                <w:color w:val="000000"/>
                <w:lang w:val="en-GB"/>
              </w:rPr>
              <w:t> </w:t>
            </w:r>
            <w:r w:rsidRPr="00086DE6">
              <w:rPr>
                <w:color w:val="000000"/>
                <w:lang w:val="en-GB"/>
              </w:rPr>
              <w:t xml:space="preserve">external economic relations was marked by record surplus on the current account of the balance of payments in the amount of 95.8 </w:t>
            </w:r>
            <w:proofErr w:type="spellStart"/>
            <w:r w:rsidRPr="00086DE6">
              <w:rPr>
                <w:color w:val="000000"/>
                <w:lang w:val="en-GB"/>
              </w:rPr>
              <w:t>bn</w:t>
            </w:r>
            <w:proofErr w:type="spellEnd"/>
            <w:r w:rsidRPr="00086DE6">
              <w:rPr>
                <w:color w:val="000000"/>
                <w:lang w:val="en-GB"/>
              </w:rPr>
              <w:t xml:space="preserve"> crowns, which represented 4.4</w:t>
            </w:r>
            <w:r w:rsidR="00086DE6">
              <w:rPr>
                <w:color w:val="000000"/>
                <w:lang w:val="en-GB"/>
              </w:rPr>
              <w:t> </w:t>
            </w:r>
            <w:r w:rsidRPr="00086DE6">
              <w:rPr>
                <w:color w:val="000000"/>
                <w:lang w:val="en-GB"/>
              </w:rPr>
              <w:t>% of the nominal GDP and 1.5 % in the annualised formulation. The deep deficit on the financial account caused especially by the growth of foreign exchange reserves thus could be „financed</w:t>
            </w:r>
            <w:proofErr w:type="gramStart"/>
            <w:r w:rsidRPr="00086DE6">
              <w:rPr>
                <w:color w:val="000000"/>
                <w:lang w:val="en-GB"/>
              </w:rPr>
              <w:t>“ together</w:t>
            </w:r>
            <w:proofErr w:type="gramEnd"/>
            <w:r w:rsidRPr="00086DE6">
              <w:rPr>
                <w:color w:val="000000"/>
                <w:lang w:val="en-GB"/>
              </w:rPr>
              <w:t xml:space="preserve"> with the surplus on the capital account.  </w:t>
            </w:r>
          </w:p>
          <w:p w:rsidR="0065277F" w:rsidRPr="003D60AB"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Q2  itself historically for the first time with a surplus of the current account due to lower outflow of the primary incomes</w:t>
            </w:r>
            <w:r>
              <w:rPr>
                <w:color w:val="000000"/>
                <w:sz w:val="16"/>
                <w:szCs w:val="16"/>
                <w:lang w:val="en-GB"/>
              </w:rPr>
              <w:t xml:space="preserve">, </w:t>
            </w:r>
            <w:r w:rsidRPr="005E0476">
              <w:rPr>
                <w:color w:val="000000"/>
                <w:sz w:val="16"/>
                <w:szCs w:val="16"/>
                <w:lang w:val="en-GB"/>
              </w:rPr>
              <w:t xml:space="preserve">… </w:t>
            </w:r>
          </w:p>
        </w:tc>
        <w:tc>
          <w:tcPr>
            <w:tcW w:w="139" w:type="pct"/>
          </w:tcPr>
          <w:p w:rsidR="0065277F" w:rsidRPr="005E0476" w:rsidRDefault="0065277F" w:rsidP="00C15E41">
            <w:pPr>
              <w:pStyle w:val="Textpoznpodarou"/>
              <w:jc w:val="both"/>
              <w:rPr>
                <w:lang w:val="en-GB"/>
              </w:rPr>
            </w:pPr>
          </w:p>
        </w:tc>
        <w:tc>
          <w:tcPr>
            <w:tcW w:w="3819" w:type="pct"/>
          </w:tcPr>
          <w:p w:rsidR="0065277F" w:rsidRPr="003D60AB" w:rsidRDefault="0065277F" w:rsidP="00C15E41">
            <w:pPr>
              <w:pStyle w:val="Textpoznpodarou"/>
              <w:jc w:val="both"/>
              <w:rPr>
                <w:color w:val="000000"/>
                <w:lang w:val="en-GB"/>
              </w:rPr>
            </w:pPr>
            <w:r w:rsidRPr="003D60AB">
              <w:rPr>
                <w:color w:val="000000"/>
                <w:lang w:val="en-GB"/>
              </w:rPr>
              <w:t xml:space="preserve">The half-yearly incomes of the current account exceeded its outlays already for the fourth year in a row, however the surplus was recorded for the first time in Q2 itself (3.1 </w:t>
            </w:r>
            <w:proofErr w:type="spellStart"/>
            <w:r w:rsidRPr="003D60AB">
              <w:rPr>
                <w:color w:val="000000"/>
                <w:lang w:val="en-GB"/>
              </w:rPr>
              <w:t>bn</w:t>
            </w:r>
            <w:proofErr w:type="spellEnd"/>
            <w:r w:rsidRPr="003D60AB">
              <w:rPr>
                <w:color w:val="000000"/>
                <w:lang w:val="en-GB"/>
              </w:rPr>
              <w:t xml:space="preserve"> crowns). This is usually deficit mainly due to the outflow of the primary incomes (mainly dividends) apparent especially in the second quarters (following the decisions of the shareholders meetings of companies under foreign control). This however occurred to a considerably lesser extent based on the data towards the end of June 2015, when the net outflow of the primary income (-96.7 </w:t>
            </w:r>
            <w:proofErr w:type="spellStart"/>
            <w:r w:rsidRPr="003D60AB">
              <w:rPr>
                <w:color w:val="000000"/>
                <w:lang w:val="en-GB"/>
              </w:rPr>
              <w:t>bn</w:t>
            </w:r>
            <w:proofErr w:type="spellEnd"/>
            <w:r w:rsidRPr="003D60AB">
              <w:rPr>
                <w:color w:val="000000"/>
                <w:lang w:val="en-GB"/>
              </w:rPr>
              <w:t xml:space="preserve"> crowns) was only on the roughly three quarters of the comparable level of 2014. In addition, given the actual preservation of the surplus in trade with goods and services in the year-on-year comparison (182 </w:t>
            </w:r>
            <w:proofErr w:type="spellStart"/>
            <w:r w:rsidRPr="003D60AB">
              <w:rPr>
                <w:color w:val="000000"/>
                <w:lang w:val="en-GB"/>
              </w:rPr>
              <w:t>bn</w:t>
            </w:r>
            <w:proofErr w:type="spellEnd"/>
            <w:r w:rsidRPr="003D60AB">
              <w:rPr>
                <w:color w:val="000000"/>
                <w:lang w:val="en-GB"/>
              </w:rPr>
              <w:t xml:space="preserve"> crowns, when the services balance of 39.8 </w:t>
            </w:r>
            <w:proofErr w:type="spellStart"/>
            <w:r w:rsidRPr="003D60AB">
              <w:rPr>
                <w:color w:val="000000"/>
                <w:lang w:val="en-GB"/>
              </w:rPr>
              <w:t>bn</w:t>
            </w:r>
            <w:proofErr w:type="spellEnd"/>
            <w:r w:rsidRPr="003D60AB">
              <w:rPr>
                <w:color w:val="000000"/>
                <w:lang w:val="en-GB"/>
              </w:rPr>
              <w:t xml:space="preserve"> remained in reality at the level of the average half-yearly surplus of the previous five years) and significant improvement of the balance of the secondary income (mostly thanks to the development in Q1, the half-yearly surplus arrived at 10.6 </w:t>
            </w:r>
            <w:proofErr w:type="spellStart"/>
            <w:r w:rsidRPr="003D60AB">
              <w:rPr>
                <w:color w:val="000000"/>
                <w:lang w:val="en-GB"/>
              </w:rPr>
              <w:t>bn</w:t>
            </w:r>
            <w:proofErr w:type="spellEnd"/>
            <w:r w:rsidRPr="003D60AB">
              <w:rPr>
                <w:color w:val="000000"/>
                <w:lang w:val="en-GB"/>
              </w:rPr>
              <w:t xml:space="preserve"> against -2.8 </w:t>
            </w:r>
            <w:proofErr w:type="spellStart"/>
            <w:r w:rsidRPr="003D60AB">
              <w:rPr>
                <w:color w:val="000000"/>
                <w:lang w:val="en-GB"/>
              </w:rPr>
              <w:t>bn</w:t>
            </w:r>
            <w:proofErr w:type="spellEnd"/>
            <w:r w:rsidRPr="003D60AB">
              <w:rPr>
                <w:color w:val="000000"/>
                <w:lang w:val="en-GB"/>
              </w:rPr>
              <w:t xml:space="preserve"> crowns of the comparable period of 2014), the excess of revenues of the current account of the balance of payments over its outlays reached in total the historically best half-yearly result.  </w:t>
            </w:r>
          </w:p>
          <w:p w:rsidR="0065277F" w:rsidRPr="003D60AB"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 when it flew out in dividends from the CR less than in the same period of 2014, reinvest</w:t>
            </w:r>
            <w:r>
              <w:rPr>
                <w:color w:val="000000"/>
                <w:sz w:val="16"/>
                <w:szCs w:val="16"/>
                <w:lang w:val="en-GB"/>
              </w:rPr>
              <w:t xml:space="preserve">ment of earnings </w:t>
            </w:r>
            <w:r w:rsidRPr="005E0476">
              <w:rPr>
                <w:color w:val="000000"/>
                <w:sz w:val="16"/>
                <w:szCs w:val="16"/>
                <w:lang w:val="en-GB"/>
              </w:rPr>
              <w:t xml:space="preserve"> were however also slightly lower </w:t>
            </w:r>
          </w:p>
        </w:tc>
        <w:tc>
          <w:tcPr>
            <w:tcW w:w="139" w:type="pct"/>
          </w:tcPr>
          <w:p w:rsidR="0065277F" w:rsidRPr="005E0476" w:rsidRDefault="0065277F" w:rsidP="00C15E41">
            <w:pPr>
              <w:pStyle w:val="Textpoznpodarou"/>
              <w:jc w:val="both"/>
              <w:rPr>
                <w:lang w:val="en-GB"/>
              </w:rPr>
            </w:pPr>
          </w:p>
        </w:tc>
        <w:tc>
          <w:tcPr>
            <w:tcW w:w="3819" w:type="pct"/>
          </w:tcPr>
          <w:p w:rsidR="0065277F" w:rsidRPr="00086DE6" w:rsidRDefault="0065277F" w:rsidP="00C15E41">
            <w:pPr>
              <w:pStyle w:val="Textpoznpodarou"/>
              <w:jc w:val="both"/>
              <w:rPr>
                <w:color w:val="000000"/>
                <w:lang w:val="en-GB"/>
              </w:rPr>
            </w:pPr>
            <w:r w:rsidRPr="00086DE6">
              <w:rPr>
                <w:color w:val="000000"/>
                <w:lang w:val="en-GB"/>
              </w:rPr>
              <w:t xml:space="preserve">Outflow of primary income in net expression in total balances of interests, dividends and reinvestment of earnings amounted to 140.1 </w:t>
            </w:r>
            <w:proofErr w:type="spellStart"/>
            <w:r w:rsidRPr="00086DE6">
              <w:rPr>
                <w:color w:val="000000"/>
                <w:lang w:val="en-GB"/>
              </w:rPr>
              <w:t>bn</w:t>
            </w:r>
            <w:proofErr w:type="spellEnd"/>
            <w:r w:rsidRPr="00086DE6">
              <w:rPr>
                <w:color w:val="000000"/>
                <w:lang w:val="en-GB"/>
              </w:rPr>
              <w:t xml:space="preserve"> crowns for H1, which was slightly better result compared to the same period of 2014 (155.9 </w:t>
            </w:r>
            <w:proofErr w:type="spellStart"/>
            <w:r w:rsidRPr="00086DE6">
              <w:rPr>
                <w:color w:val="000000"/>
                <w:lang w:val="en-GB"/>
              </w:rPr>
              <w:t>bn</w:t>
            </w:r>
            <w:proofErr w:type="spellEnd"/>
            <w:r w:rsidRPr="00086DE6">
              <w:rPr>
                <w:color w:val="000000"/>
                <w:lang w:val="en-GB"/>
              </w:rPr>
              <w:t xml:space="preserve"> crowns), but worse compared to the yearly average of the preceding five years (128.7 </w:t>
            </w:r>
            <w:proofErr w:type="spellStart"/>
            <w:r w:rsidRPr="00086DE6">
              <w:rPr>
                <w:color w:val="000000"/>
                <w:lang w:val="en-GB"/>
              </w:rPr>
              <w:t>bn</w:t>
            </w:r>
            <w:proofErr w:type="spellEnd"/>
            <w:r w:rsidRPr="00086DE6">
              <w:rPr>
                <w:color w:val="000000"/>
                <w:lang w:val="en-GB"/>
              </w:rPr>
              <w:t xml:space="preserve"> crowns). The lower outflow of dividends into the parent countries of the foreign investors stood behind this positive year-on-year change, however they also left here fewer reinvestment of earnings year-on-year (50 </w:t>
            </w:r>
            <w:proofErr w:type="spellStart"/>
            <w:r w:rsidRPr="00086DE6">
              <w:rPr>
                <w:color w:val="000000"/>
                <w:lang w:val="en-GB"/>
              </w:rPr>
              <w:t>bn</w:t>
            </w:r>
            <w:proofErr w:type="spellEnd"/>
            <w:r w:rsidRPr="00086DE6">
              <w:rPr>
                <w:color w:val="000000"/>
                <w:lang w:val="en-GB"/>
              </w:rPr>
              <w:t xml:space="preserve"> crowns). </w:t>
            </w:r>
          </w:p>
          <w:p w:rsidR="0065277F" w:rsidRPr="003D60AB"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 xml:space="preserve">Notable deficit of the financial account ….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 xml:space="preserve">Strong inflow of funds from the European Union budget strengthened the positive balance on the capital account of the balance of payments to record 83.3 </w:t>
            </w:r>
            <w:proofErr w:type="spellStart"/>
            <w:r w:rsidRPr="00620D38">
              <w:rPr>
                <w:color w:val="000000"/>
                <w:lang w:val="en-GB"/>
              </w:rPr>
              <w:t>bn</w:t>
            </w:r>
            <w:proofErr w:type="spellEnd"/>
            <w:r w:rsidRPr="00620D38">
              <w:rPr>
                <w:color w:val="000000"/>
                <w:lang w:val="en-GB"/>
              </w:rPr>
              <w:t xml:space="preserve"> crowns, so the surplus amounted to 179.2 </w:t>
            </w:r>
            <w:proofErr w:type="spellStart"/>
            <w:r w:rsidRPr="00620D38">
              <w:rPr>
                <w:color w:val="000000"/>
                <w:lang w:val="en-GB"/>
              </w:rPr>
              <w:t>bn</w:t>
            </w:r>
            <w:proofErr w:type="spellEnd"/>
            <w:r w:rsidRPr="00620D38">
              <w:rPr>
                <w:color w:val="000000"/>
                <w:lang w:val="en-GB"/>
              </w:rPr>
              <w:t xml:space="preserve"> crowns together with the result of the current account. This level overtook the significant outflow of funds, recorded on the financial account of the balance of payments (-174.6 </w:t>
            </w:r>
            <w:proofErr w:type="spellStart"/>
            <w:r w:rsidRPr="00620D38">
              <w:rPr>
                <w:color w:val="000000"/>
                <w:lang w:val="en-GB"/>
              </w:rPr>
              <w:t>bn</w:t>
            </w:r>
            <w:proofErr w:type="spellEnd"/>
            <w:r w:rsidRPr="00620D38">
              <w:rPr>
                <w:color w:val="000000"/>
                <w:lang w:val="en-GB"/>
              </w:rPr>
              <w:t xml:space="preserve">) only very mildly.   </w:t>
            </w:r>
          </w:p>
          <w:p w:rsidR="0065277F" w:rsidRPr="003D60AB"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w:t>
            </w:r>
            <w:r>
              <w:rPr>
                <w:color w:val="000000"/>
                <w:sz w:val="16"/>
                <w:szCs w:val="16"/>
                <w:lang w:val="en-GB"/>
              </w:rPr>
              <w:t xml:space="preserve"> was </w:t>
            </w:r>
            <w:r w:rsidRPr="005E0476">
              <w:rPr>
                <w:color w:val="000000"/>
                <w:sz w:val="16"/>
                <w:szCs w:val="16"/>
                <w:lang w:val="en-GB"/>
              </w:rPr>
              <w:t xml:space="preserve">influenced not only by net outflow of funds from the CR both for direct, portfolio as well as other investment, but mostly by marked strengthening of the foreign exchange reserves </w:t>
            </w:r>
          </w:p>
          <w:p w:rsidR="0065277F" w:rsidRPr="005E0476" w:rsidRDefault="0065277F" w:rsidP="00C15E41">
            <w:pPr>
              <w:spacing w:line="240" w:lineRule="auto"/>
              <w:rPr>
                <w:color w:val="000000"/>
                <w:sz w:val="16"/>
                <w:szCs w:val="16"/>
                <w:lang w:val="en-GB"/>
              </w:rPr>
            </w:pPr>
          </w:p>
          <w:p w:rsidR="0065277F" w:rsidRPr="005E0476" w:rsidRDefault="0065277F" w:rsidP="00C15E41">
            <w:pPr>
              <w:spacing w:line="240" w:lineRule="auto"/>
              <w:rPr>
                <w:color w:val="000000"/>
                <w:sz w:val="16"/>
                <w:szCs w:val="16"/>
                <w:lang w:val="en-GB"/>
              </w:rPr>
            </w:pPr>
          </w:p>
        </w:tc>
        <w:tc>
          <w:tcPr>
            <w:tcW w:w="139" w:type="pct"/>
          </w:tcPr>
          <w:p w:rsidR="0065277F" w:rsidRPr="005E0476" w:rsidRDefault="0065277F" w:rsidP="00C15E41">
            <w:pPr>
              <w:pStyle w:val="Textpoznpodarou"/>
              <w:jc w:val="both"/>
              <w:rPr>
                <w:lang w:val="en-GB"/>
              </w:rPr>
            </w:pPr>
          </w:p>
        </w:tc>
        <w:tc>
          <w:tcPr>
            <w:tcW w:w="3819" w:type="pct"/>
          </w:tcPr>
          <w:p w:rsidR="0065277F" w:rsidRPr="003D60AB" w:rsidRDefault="0065277F" w:rsidP="00C15E41">
            <w:pPr>
              <w:pStyle w:val="Textpoznpodarou"/>
              <w:jc w:val="both"/>
              <w:rPr>
                <w:color w:val="000000"/>
                <w:lang w:val="en-GB"/>
              </w:rPr>
            </w:pPr>
            <w:r w:rsidRPr="003D60AB">
              <w:rPr>
                <w:color w:val="000000"/>
                <w:lang w:val="en-GB"/>
              </w:rPr>
              <w:t xml:space="preserve">Adverse development in Q2 – both foreign investors in the CR and domestic entities abroad „withdrew“ their direct investment – led into the net outflow of direct investment from the CR for the half-year (1.7 </w:t>
            </w:r>
            <w:proofErr w:type="spellStart"/>
            <w:r w:rsidRPr="003D60AB">
              <w:rPr>
                <w:color w:val="000000"/>
                <w:lang w:val="en-GB"/>
              </w:rPr>
              <w:t>bn</w:t>
            </w:r>
            <w:proofErr w:type="spellEnd"/>
            <w:r w:rsidRPr="003D60AB">
              <w:rPr>
                <w:color w:val="000000"/>
                <w:lang w:val="en-GB"/>
              </w:rPr>
              <w:t xml:space="preserve"> crowns). The entire financial account registered markedly higher deficit result in the noted amount of -174.6 </w:t>
            </w:r>
            <w:proofErr w:type="spellStart"/>
            <w:r w:rsidRPr="003D60AB">
              <w:rPr>
                <w:color w:val="000000"/>
                <w:lang w:val="en-GB"/>
              </w:rPr>
              <w:t>bn</w:t>
            </w:r>
            <w:proofErr w:type="spellEnd"/>
            <w:r w:rsidRPr="003D60AB">
              <w:rPr>
                <w:color w:val="000000"/>
                <w:lang w:val="en-GB"/>
              </w:rPr>
              <w:t xml:space="preserve"> crowns together with the net outflow of the portfolio investment (48.6 </w:t>
            </w:r>
            <w:proofErr w:type="spellStart"/>
            <w:r w:rsidRPr="003D60AB">
              <w:rPr>
                <w:color w:val="000000"/>
                <w:lang w:val="en-GB"/>
              </w:rPr>
              <w:t>bn</w:t>
            </w:r>
            <w:proofErr w:type="spellEnd"/>
            <w:r w:rsidRPr="003D60AB">
              <w:rPr>
                <w:color w:val="000000"/>
                <w:lang w:val="en-GB"/>
              </w:rPr>
              <w:t xml:space="preserve">) and also other investment (1.3 </w:t>
            </w:r>
            <w:proofErr w:type="spellStart"/>
            <w:r w:rsidRPr="003D60AB">
              <w:rPr>
                <w:color w:val="000000"/>
                <w:lang w:val="en-GB"/>
              </w:rPr>
              <w:t>bn</w:t>
            </w:r>
            <w:proofErr w:type="spellEnd"/>
            <w:r w:rsidRPr="003D60AB">
              <w:rPr>
                <w:color w:val="000000"/>
                <w:lang w:val="en-GB"/>
              </w:rPr>
              <w:t xml:space="preserve">), however especially due to a considerable growth of the foreign exchange reserves (119.3 </w:t>
            </w:r>
            <w:proofErr w:type="spellStart"/>
            <w:r w:rsidRPr="003D60AB">
              <w:rPr>
                <w:color w:val="000000"/>
                <w:lang w:val="en-GB"/>
              </w:rPr>
              <w:t>bn</w:t>
            </w:r>
            <w:proofErr w:type="spellEnd"/>
            <w:r w:rsidRPr="003D60AB">
              <w:rPr>
                <w:color w:val="000000"/>
                <w:lang w:val="en-GB"/>
              </w:rPr>
              <w:t xml:space="preserve"> crowns). (Foreign exchange reserves are incorporated into the financial account newly based on the 6</w:t>
            </w:r>
            <w:r w:rsidRPr="003D60AB">
              <w:rPr>
                <w:color w:val="000000"/>
                <w:vertAlign w:val="superscript"/>
                <w:lang w:val="en-GB"/>
              </w:rPr>
              <w:t>th</w:t>
            </w:r>
            <w:r w:rsidRPr="003D60AB">
              <w:rPr>
                <w:color w:val="000000"/>
                <w:lang w:val="en-GB"/>
              </w:rPr>
              <w:t xml:space="preserve"> Edition of the Balance of Payments and International Investment Position Manual, BPM6, they were accounted for separately in the preceding version). </w:t>
            </w:r>
          </w:p>
          <w:p w:rsidR="0065277F" w:rsidRPr="003D60AB"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The growth pace of both imports and exports slowed down also due to the effect of the comparative basis; the share of the four strongest product items</w:t>
            </w:r>
            <w:r>
              <w:rPr>
                <w:color w:val="000000"/>
                <w:sz w:val="16"/>
                <w:szCs w:val="16"/>
                <w:lang w:val="en-GB"/>
              </w:rPr>
              <w:t xml:space="preserve"> (</w:t>
            </w:r>
            <w:r w:rsidRPr="005E0476">
              <w:rPr>
                <w:color w:val="000000"/>
                <w:sz w:val="16"/>
                <w:szCs w:val="16"/>
                <w:lang w:val="en-GB"/>
              </w:rPr>
              <w:t xml:space="preserve">i.e. cars and </w:t>
            </w:r>
            <w:r>
              <w:rPr>
                <w:color w:val="000000"/>
                <w:sz w:val="16"/>
                <w:szCs w:val="16"/>
                <w:lang w:val="en-GB"/>
              </w:rPr>
              <w:t xml:space="preserve">their </w:t>
            </w:r>
            <w:r w:rsidRPr="005E0476">
              <w:rPr>
                <w:color w:val="000000"/>
                <w:sz w:val="16"/>
                <w:szCs w:val="16"/>
                <w:lang w:val="en-GB"/>
              </w:rPr>
              <w:t>parts, PCs and electronics, electrical appliances and other machinery and equipment</w:t>
            </w:r>
            <w:r>
              <w:rPr>
                <w:color w:val="000000"/>
                <w:sz w:val="16"/>
                <w:szCs w:val="16"/>
                <w:lang w:val="en-GB"/>
              </w:rPr>
              <w:t>)</w:t>
            </w:r>
            <w:r w:rsidRPr="005E0476">
              <w:rPr>
                <w:color w:val="000000"/>
                <w:sz w:val="16"/>
                <w:szCs w:val="16"/>
                <w:lang w:val="en-GB"/>
              </w:rPr>
              <w:t xml:space="preserve"> on total exports from the </w:t>
            </w:r>
            <w:r w:rsidRPr="005E0476">
              <w:rPr>
                <w:color w:val="000000"/>
                <w:sz w:val="16"/>
                <w:szCs w:val="16"/>
                <w:lang w:val="en-GB"/>
              </w:rPr>
              <w:lastRenderedPageBreak/>
              <w:t>CR further rose to 52.2 %…</w:t>
            </w:r>
          </w:p>
          <w:p w:rsidR="0065277F" w:rsidRPr="005E0476" w:rsidRDefault="0065277F" w:rsidP="00C15E41">
            <w:pPr>
              <w:spacing w:line="240" w:lineRule="auto"/>
              <w:rPr>
                <w:color w:val="000000"/>
                <w:sz w:val="16"/>
                <w:szCs w:val="16"/>
                <w:lang w:val="en-GB"/>
              </w:rPr>
            </w:pPr>
            <w:r w:rsidRPr="005E0476">
              <w:rPr>
                <w:color w:val="000000"/>
                <w:sz w:val="16"/>
                <w:szCs w:val="16"/>
                <w:lang w:val="en-GB"/>
              </w:rPr>
              <w:t xml:space="preserve">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 xml:space="preserve">The rate of growth of exports from the CR slowed down to +7.4 % </w:t>
            </w:r>
            <w:proofErr w:type="gramStart"/>
            <w:r w:rsidRPr="00620D38">
              <w:rPr>
                <w:color w:val="000000"/>
                <w:lang w:val="en-GB"/>
              </w:rPr>
              <w:t>year-on-year</w:t>
            </w:r>
            <w:proofErr w:type="gramEnd"/>
            <w:r w:rsidRPr="00620D38">
              <w:rPr>
                <w:color w:val="000000"/>
                <w:lang w:val="en-GB"/>
              </w:rPr>
              <w:t xml:space="preserve"> based on data on foreign trade with goods in the national conception. It was more than double with +15.4 % in the same period of 2014, but it was also affected by a weak comparative basis (its effect but in the opposite direction also worked in H1 2015). The export of vehicles and their parts participated in two fifths on the addition to exports by 115.6 </w:t>
            </w:r>
            <w:proofErr w:type="spellStart"/>
            <w:r w:rsidRPr="00620D38">
              <w:rPr>
                <w:color w:val="000000"/>
                <w:lang w:val="en-GB"/>
              </w:rPr>
              <w:t>bn</w:t>
            </w:r>
            <w:proofErr w:type="spellEnd"/>
            <w:r w:rsidRPr="00620D38">
              <w:rPr>
                <w:color w:val="000000"/>
                <w:lang w:val="en-GB"/>
              </w:rPr>
              <w:t xml:space="preserve"> crowns. It also enhanced its proportion in the structure of the total exports from the CR to nearly one quarter (24.2 % against 23</w:t>
            </w:r>
            <w:r w:rsidR="003D60AB">
              <w:rPr>
                <w:color w:val="000000"/>
                <w:lang w:val="en-GB"/>
              </w:rPr>
              <w:t> </w:t>
            </w:r>
            <w:r w:rsidRPr="00620D38">
              <w:rPr>
                <w:color w:val="000000"/>
                <w:lang w:val="en-GB"/>
              </w:rPr>
              <w:t>% in the same period 2014).</w:t>
            </w:r>
            <w:r w:rsidRPr="00620D38">
              <w:t xml:space="preserve"> </w:t>
            </w:r>
            <w:r w:rsidRPr="00620D38">
              <w:rPr>
                <w:color w:val="000000"/>
                <w:lang w:val="en-GB"/>
              </w:rPr>
              <w:t xml:space="preserve">It was caused by strong pace of export of vehicles and their parts in H1 2015 (+12.9 %) even though growth was notably lower than in the </w:t>
            </w:r>
            <w:r w:rsidRPr="00620D38">
              <w:rPr>
                <w:color w:val="000000"/>
                <w:lang w:val="en-GB"/>
              </w:rPr>
              <w:lastRenderedPageBreak/>
              <w:t>comparable period of the previous year (+27.6 %). Nevertheless, this export dynamics of vehicles was the strongest of the four main product groups which represent more than one half of the Czech exports.</w:t>
            </w:r>
          </w:p>
          <w:p w:rsidR="0065277F" w:rsidRPr="00620D38" w:rsidRDefault="0065277F" w:rsidP="00C15E41">
            <w:pPr>
              <w:pStyle w:val="Textpoznpodarou"/>
              <w:jc w:val="both"/>
              <w:rPr>
                <w:color w:val="000000"/>
                <w:lang w:val="en-GB"/>
              </w:rPr>
            </w:pPr>
          </w:p>
          <w:p w:rsidR="0065277F" w:rsidRPr="00620D38" w:rsidRDefault="0065277F" w:rsidP="00C15E41">
            <w:pPr>
              <w:pStyle w:val="Textpoznpodarou"/>
              <w:jc w:val="both"/>
              <w:rPr>
                <w:color w:val="000000"/>
                <w:lang w:val="en-GB"/>
              </w:rPr>
            </w:pPr>
            <w:r w:rsidRPr="00620D38">
              <w:rPr>
                <w:color w:val="000000"/>
                <w:lang w:val="en-GB"/>
              </w:rPr>
              <w:t xml:space="preserve">Exports of other strongest export products grew by a pace lower than average – exports of computer and electronics grew by 7.2 % to 154 bn., electrical appliances by 6.4 % to 138 </w:t>
            </w:r>
            <w:proofErr w:type="spellStart"/>
            <w:r w:rsidRPr="00620D38">
              <w:rPr>
                <w:color w:val="000000"/>
                <w:lang w:val="en-GB"/>
              </w:rPr>
              <w:t>bn</w:t>
            </w:r>
            <w:proofErr w:type="spellEnd"/>
            <w:r w:rsidRPr="00620D38">
              <w:rPr>
                <w:color w:val="000000"/>
                <w:lang w:val="en-GB"/>
              </w:rPr>
              <w:t xml:space="preserve"> and other machinery and equipment by 3.5 % to 179 </w:t>
            </w:r>
            <w:proofErr w:type="spellStart"/>
            <w:r w:rsidRPr="00620D38">
              <w:rPr>
                <w:color w:val="000000"/>
                <w:lang w:val="en-GB"/>
              </w:rPr>
              <w:t>bn</w:t>
            </w:r>
            <w:proofErr w:type="spellEnd"/>
            <w:r w:rsidRPr="00620D38">
              <w:rPr>
                <w:color w:val="000000"/>
                <w:lang w:val="en-GB"/>
              </w:rPr>
              <w:t xml:space="preserve"> crowns. These four product items together with the exports of vehicles and their parts in the amount of 408 </w:t>
            </w:r>
            <w:proofErr w:type="spellStart"/>
            <w:r w:rsidRPr="00620D38">
              <w:rPr>
                <w:color w:val="000000"/>
                <w:lang w:val="en-GB"/>
              </w:rPr>
              <w:t>bn</w:t>
            </w:r>
            <w:proofErr w:type="spellEnd"/>
            <w:r w:rsidRPr="00620D38">
              <w:rPr>
                <w:color w:val="000000"/>
                <w:lang w:val="en-GB"/>
              </w:rPr>
              <w:t xml:space="preserve"> crowns thus expanded their share on the total exports from the CR to 52.2 % from 51.5 % recorded in half of 2014.   </w:t>
            </w:r>
          </w:p>
          <w:p w:rsidR="0065277F" w:rsidRPr="00620D38" w:rsidRDefault="0065277F" w:rsidP="00C15E41">
            <w:pPr>
              <w:pStyle w:val="Textpoznpodarou"/>
              <w:jc w:val="both"/>
              <w:rPr>
                <w:color w:val="000000"/>
                <w:lang w:val="en-GB"/>
              </w:rPr>
            </w:pPr>
          </w:p>
          <w:p w:rsidR="0065277F" w:rsidRPr="00620D38" w:rsidRDefault="0065277F" w:rsidP="00C15E41">
            <w:pPr>
              <w:pStyle w:val="Textpoznpodarou"/>
              <w:jc w:val="both"/>
              <w:rPr>
                <w:color w:val="000000"/>
                <w:lang w:val="en-GB"/>
              </w:rPr>
            </w:pPr>
            <w:r w:rsidRPr="00620D38">
              <w:rPr>
                <w:color w:val="000000"/>
                <w:lang w:val="en-GB"/>
              </w:rPr>
              <w:t xml:space="preserve">„The rest“ of the Czech exports thus weakened with respect to its share, even though the exports of 12 out of 40 product items increased by the rate of growth higher than average (more significantly e.g. paper products, other transportation vehicles and products of other manufacturing industry). On the contrary, the exports of value significant chemical products (-2.1 %), but also medicine (-0.8 %) or textiles (-1.5 %) were lower year-on-year.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lastRenderedPageBreak/>
              <w:t>The imports of oil and gas lowered the dynamics of imports due to the fall of their prices o</w:t>
            </w:r>
            <w:r>
              <w:rPr>
                <w:color w:val="000000"/>
                <w:sz w:val="16"/>
                <w:szCs w:val="16"/>
                <w:lang w:val="en-GB"/>
              </w:rPr>
              <w:t>n the world markets, similarly in case of</w:t>
            </w:r>
            <w:r w:rsidRPr="005E0476">
              <w:rPr>
                <w:color w:val="000000"/>
                <w:sz w:val="16"/>
                <w:szCs w:val="16"/>
                <w:lang w:val="en-GB"/>
              </w:rPr>
              <w:t xml:space="preserve"> some other commodities…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The somewhat faster rate of growth of imports (+7.6 %) compared to exports (+7.4</w:t>
            </w:r>
            <w:r w:rsidR="00943AF9" w:rsidRPr="00620D38">
              <w:rPr>
                <w:color w:val="000000"/>
                <w:lang w:val="en-GB"/>
              </w:rPr>
              <w:t> </w:t>
            </w:r>
            <w:r w:rsidRPr="00620D38">
              <w:rPr>
                <w:color w:val="000000"/>
                <w:lang w:val="en-GB"/>
              </w:rPr>
              <w:t xml:space="preserve">%) completes the picture of the relative strong domestic demand. Due to the impact of the year-on-year fall of prices of oil on the world commodity markets, the value of its imports together with the imports of the natural gas fell by nearly one fifth (-19.8 % i.e. by 18 </w:t>
            </w:r>
            <w:proofErr w:type="spellStart"/>
            <w:r w:rsidRPr="00620D38">
              <w:rPr>
                <w:color w:val="000000"/>
                <w:lang w:val="en-GB"/>
              </w:rPr>
              <w:t>bn</w:t>
            </w:r>
            <w:proofErr w:type="spellEnd"/>
            <w:r w:rsidRPr="00620D38">
              <w:rPr>
                <w:color w:val="000000"/>
                <w:lang w:val="en-GB"/>
              </w:rPr>
              <w:t xml:space="preserve"> crowns). The same reason also contributed to the weakening of the value of imports of other commodities (ore -32 %, coal -3 % or wood -9 %, whose import is however, with respect to the import value, less significant).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 xml:space="preserve">… however imports of the largest product items grew  above </w:t>
            </w:r>
            <w:r>
              <w:rPr>
                <w:color w:val="000000"/>
                <w:sz w:val="16"/>
                <w:szCs w:val="16"/>
                <w:lang w:val="en-GB"/>
              </w:rPr>
              <w:t xml:space="preserve">the </w:t>
            </w:r>
            <w:r w:rsidRPr="005E0476">
              <w:rPr>
                <w:color w:val="000000"/>
                <w:sz w:val="16"/>
                <w:szCs w:val="16"/>
                <w:lang w:val="en-GB"/>
              </w:rPr>
              <w:t xml:space="preserve">average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 xml:space="preserve">Main import items are similar concerning the weight to the main export items due to the effect of the import-export oriented nature of the Czech economy. Their imports into the CR grew by the above average pace year-on-year, which was valid especially for vehicles and their parts (+14 %). These four product items, i.e. cars and their parts, PCs and electronics, electrical appliances and other machinery have represented together 42.4 % of the total imports into the CR in H1 2015, while 39.7 % in the same period of the preceding year. Increase in this share also proves the current boom phase of the business cycle in the Czech Republic. </w:t>
            </w:r>
          </w:p>
          <w:p w:rsidR="00620D38" w:rsidRPr="00620D38" w:rsidRDefault="00620D38"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 xml:space="preserve">Nominal surplus of the trade balance above the hundred billion mark, its improvement however the lowest in the previous five years </w:t>
            </w:r>
          </w:p>
        </w:tc>
        <w:tc>
          <w:tcPr>
            <w:tcW w:w="139" w:type="pct"/>
          </w:tcPr>
          <w:p w:rsidR="0065277F" w:rsidRPr="005E0476" w:rsidRDefault="0065277F" w:rsidP="00C15E41">
            <w:pPr>
              <w:pStyle w:val="Textpoznpodarou"/>
              <w:jc w:val="both"/>
              <w:rPr>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 xml:space="preserve">Excess of exports over imports overtook the hundred billion </w:t>
            </w:r>
            <w:proofErr w:type="gramStart"/>
            <w:r w:rsidRPr="00620D38">
              <w:rPr>
                <w:color w:val="000000"/>
                <w:lang w:val="en-GB"/>
              </w:rPr>
              <w:t>threshold</w:t>
            </w:r>
            <w:proofErr w:type="gramEnd"/>
            <w:r w:rsidRPr="00620D38">
              <w:rPr>
                <w:color w:val="000000"/>
                <w:lang w:val="en-GB"/>
              </w:rPr>
              <w:t xml:space="preserve"> in the national conception</w:t>
            </w:r>
            <w:r w:rsidRPr="00620D38">
              <w:rPr>
                <w:rStyle w:val="Znakapoznpodarou"/>
                <w:color w:val="000000"/>
                <w:lang w:val="en-GB"/>
              </w:rPr>
              <w:footnoteReference w:id="1"/>
            </w:r>
            <w:r w:rsidRPr="00620D38">
              <w:rPr>
                <w:color w:val="000000"/>
                <w:lang w:val="en-GB"/>
              </w:rPr>
              <w:t xml:space="preserve"> for the first time in H1 2015 (102.6 </w:t>
            </w:r>
            <w:proofErr w:type="spellStart"/>
            <w:r w:rsidRPr="00620D38">
              <w:rPr>
                <w:color w:val="000000"/>
                <w:lang w:val="en-GB"/>
              </w:rPr>
              <w:t>bn</w:t>
            </w:r>
            <w:proofErr w:type="spellEnd"/>
            <w:r w:rsidRPr="00620D38">
              <w:rPr>
                <w:color w:val="000000"/>
                <w:lang w:val="en-GB"/>
              </w:rPr>
              <w:t xml:space="preserve"> crowns). Nevertheless, the improvement of the trade balance (+4.3 </w:t>
            </w:r>
            <w:proofErr w:type="spellStart"/>
            <w:r w:rsidRPr="00620D38">
              <w:rPr>
                <w:color w:val="000000"/>
                <w:lang w:val="en-GB"/>
              </w:rPr>
              <w:t>bn</w:t>
            </w:r>
            <w:proofErr w:type="spellEnd"/>
            <w:r w:rsidRPr="00620D38">
              <w:rPr>
                <w:color w:val="000000"/>
                <w:lang w:val="en-GB"/>
              </w:rPr>
              <w:t xml:space="preserve"> crowns year-on-year) was the weakest H1 result in the previous five years (the trade balance had been growing during mentioned periods on average by 16.6 </w:t>
            </w:r>
            <w:proofErr w:type="spellStart"/>
            <w:r w:rsidRPr="00620D38">
              <w:rPr>
                <w:color w:val="000000"/>
                <w:lang w:val="en-GB"/>
              </w:rPr>
              <w:t>bn</w:t>
            </w:r>
            <w:proofErr w:type="spellEnd"/>
            <w:r w:rsidRPr="00620D38">
              <w:rPr>
                <w:color w:val="000000"/>
                <w:lang w:val="en-GB"/>
              </w:rPr>
              <w:t xml:space="preserve"> crowns yearly since 2011). This is also the reason, why the income balance contributed to the current account of the balance of payments surplus only negligibly in H1 2015. </w:t>
            </w:r>
          </w:p>
          <w:p w:rsidR="0065277F" w:rsidRPr="00620D38" w:rsidRDefault="0065277F" w:rsidP="00C15E41">
            <w:pPr>
              <w:pStyle w:val="Textpoznpodarou"/>
              <w:jc w:val="both"/>
              <w:rPr>
                <w:color w:val="000000"/>
                <w:lang w:val="en-GB"/>
              </w:rPr>
            </w:pPr>
          </w:p>
        </w:tc>
      </w:tr>
      <w:tr w:rsidR="0065277F" w:rsidRPr="005E0476" w:rsidTr="0065277F">
        <w:tc>
          <w:tcPr>
            <w:tcW w:w="1042" w:type="pct"/>
          </w:tcPr>
          <w:p w:rsidR="0065277F" w:rsidRPr="005E0476" w:rsidRDefault="0065277F" w:rsidP="00C15E41">
            <w:pPr>
              <w:spacing w:line="240" w:lineRule="auto"/>
              <w:rPr>
                <w:color w:val="000000"/>
                <w:sz w:val="16"/>
                <w:szCs w:val="16"/>
                <w:lang w:val="en-GB"/>
              </w:rPr>
            </w:pPr>
            <w:r w:rsidRPr="005E0476">
              <w:rPr>
                <w:color w:val="000000"/>
                <w:sz w:val="16"/>
                <w:szCs w:val="16"/>
                <w:lang w:val="en-GB"/>
              </w:rPr>
              <w:t>Exports info the EU and euro area led to the strengthening of these territories with respect to the share in total exports, non-European markets were „losing“</w:t>
            </w:r>
          </w:p>
        </w:tc>
        <w:tc>
          <w:tcPr>
            <w:tcW w:w="139" w:type="pct"/>
          </w:tcPr>
          <w:p w:rsidR="0065277F" w:rsidRPr="005E0476" w:rsidRDefault="0065277F" w:rsidP="00C15E41">
            <w:pPr>
              <w:pStyle w:val="Textpoznpodarou"/>
              <w:jc w:val="both"/>
              <w:rPr>
                <w:i/>
                <w:lang w:val="en-GB"/>
              </w:rPr>
            </w:pPr>
          </w:p>
        </w:tc>
        <w:tc>
          <w:tcPr>
            <w:tcW w:w="3819" w:type="pct"/>
          </w:tcPr>
          <w:p w:rsidR="0065277F" w:rsidRPr="00620D38" w:rsidRDefault="0065277F" w:rsidP="00C15E41">
            <w:pPr>
              <w:pStyle w:val="Textpoznpodarou"/>
              <w:jc w:val="both"/>
              <w:rPr>
                <w:color w:val="000000"/>
                <w:lang w:val="en-GB"/>
              </w:rPr>
            </w:pPr>
            <w:r w:rsidRPr="00620D38">
              <w:rPr>
                <w:color w:val="000000"/>
                <w:lang w:val="en-GB"/>
              </w:rPr>
              <w:t>Exports increased by 8.4 % into the main target destinations from the CR year-on-year in H1, i.e. identically in the case of the EU 28, to the euro area, Germany and Poland. This development further increas</w:t>
            </w:r>
            <w:r w:rsidR="00943AF9" w:rsidRPr="00620D38">
              <w:rPr>
                <w:color w:val="000000"/>
                <w:lang w:val="en-GB"/>
              </w:rPr>
              <w:t>ed the Czech exports proportion</w:t>
            </w:r>
            <w:r w:rsidRPr="00620D38">
              <w:rPr>
                <w:color w:val="000000"/>
                <w:lang w:val="en-GB"/>
              </w:rPr>
              <w:t xml:space="preserve"> to the EU market by 0.7 p. p. to 83.9 % and to the euro area market by 0.6 p. p. to 65.1 % compared to the same period of 2014. </w:t>
            </w:r>
          </w:p>
          <w:p w:rsidR="0065277F" w:rsidRPr="00620D38" w:rsidRDefault="0065277F" w:rsidP="00C15E41">
            <w:pPr>
              <w:pStyle w:val="Textpoznpodarou"/>
              <w:jc w:val="both"/>
              <w:rPr>
                <w:color w:val="000000"/>
                <w:lang w:val="en-GB"/>
              </w:rPr>
            </w:pPr>
          </w:p>
          <w:p w:rsidR="0065277F" w:rsidRPr="00620D38" w:rsidRDefault="0065277F" w:rsidP="00C15E41">
            <w:pPr>
              <w:pStyle w:val="Textpoznpodarou"/>
              <w:jc w:val="both"/>
              <w:rPr>
                <w:color w:val="000000"/>
                <w:lang w:val="en-GB"/>
              </w:rPr>
            </w:pPr>
            <w:r w:rsidRPr="00620D38">
              <w:rPr>
                <w:color w:val="000000"/>
                <w:lang w:val="en-GB"/>
              </w:rPr>
              <w:t xml:space="preserve">Destinations of the Czech exports which standing outside the EU, participated by 16 % on total exports against 16.8 % in the H1 2014. The main reason was that exports to Russian Federation fell significantly by 32.6 %, i.e. by nearly 17 </w:t>
            </w:r>
            <w:proofErr w:type="spellStart"/>
            <w:r w:rsidRPr="00620D38">
              <w:rPr>
                <w:color w:val="000000"/>
                <w:lang w:val="en-GB"/>
              </w:rPr>
              <w:t>bn</w:t>
            </w:r>
            <w:proofErr w:type="spellEnd"/>
            <w:r w:rsidRPr="00620D38">
              <w:rPr>
                <w:color w:val="000000"/>
                <w:lang w:val="en-GB"/>
              </w:rPr>
              <w:t xml:space="preserve"> crowns due to effect of sanctions imposed by EU countries and also due to shr</w:t>
            </w:r>
            <w:r w:rsidR="00086DE6" w:rsidRPr="00620D38">
              <w:rPr>
                <w:color w:val="000000"/>
                <w:lang w:val="en-GB"/>
              </w:rPr>
              <w:t>inking of the Russian economy.</w:t>
            </w:r>
          </w:p>
          <w:p w:rsidR="0065277F" w:rsidRPr="00620D38" w:rsidRDefault="0065277F" w:rsidP="00C15E41">
            <w:pPr>
              <w:pStyle w:val="Textpoznpodarou"/>
              <w:jc w:val="both"/>
              <w:rPr>
                <w:color w:val="000000"/>
                <w:lang w:val="en-GB"/>
              </w:rPr>
            </w:pPr>
          </w:p>
          <w:p w:rsidR="0065277F" w:rsidRPr="00620D38" w:rsidRDefault="0065277F" w:rsidP="0065277F">
            <w:pPr>
              <w:pStyle w:val="Textpoznpodarou"/>
              <w:jc w:val="both"/>
              <w:rPr>
                <w:color w:val="000000"/>
                <w:sz w:val="10"/>
                <w:szCs w:val="10"/>
                <w:lang w:val="en-GB"/>
              </w:rPr>
            </w:pPr>
            <w:r w:rsidRPr="00620D38">
              <w:rPr>
                <w:color w:val="000000"/>
                <w:lang w:val="en-GB"/>
              </w:rPr>
              <w:t xml:space="preserve">Alike, the exports from the CR into Austria has fell (-2.7 %). The slowdown of the Chinese economy did not reflect in the dynamics of the exports from the CR as yet </w:t>
            </w:r>
            <w:r w:rsidRPr="00620D38">
              <w:rPr>
                <w:color w:val="000000"/>
                <w:lang w:val="en-GB"/>
              </w:rPr>
              <w:lastRenderedPageBreak/>
              <w:t xml:space="preserve">(+15.3 %) given the still low volumes of trades. In H1 2015, their amount 18.2 </w:t>
            </w:r>
            <w:proofErr w:type="spellStart"/>
            <w:r w:rsidRPr="00620D38">
              <w:rPr>
                <w:color w:val="000000"/>
                <w:lang w:val="en-GB"/>
              </w:rPr>
              <w:t>bn</w:t>
            </w:r>
            <w:proofErr w:type="spellEnd"/>
            <w:r w:rsidRPr="00620D38">
              <w:rPr>
                <w:color w:val="000000"/>
                <w:lang w:val="en-GB"/>
              </w:rPr>
              <w:t xml:space="preserve"> crowns represented only 1.1 % of total exports from the CR. Wider diversification of the Czech exports especially in the direction of the eastern markets thus does not eventuate for now. One of the significant reasons is that the changes in the pace of growth can be seen on global </w:t>
            </w:r>
            <w:proofErr w:type="gramStart"/>
            <w:r w:rsidRPr="00620D38">
              <w:rPr>
                <w:color w:val="000000"/>
                <w:lang w:val="en-GB"/>
              </w:rPr>
              <w:t>level,</w:t>
            </w:r>
            <w:proofErr w:type="gramEnd"/>
            <w:r w:rsidRPr="00620D38">
              <w:rPr>
                <w:color w:val="000000"/>
                <w:lang w:val="en-GB"/>
              </w:rPr>
              <w:t xml:space="preserve"> especially that economic growth in the developed countries accelerates compared to its weakening in big emerging markets.</w:t>
            </w:r>
          </w:p>
        </w:tc>
      </w:tr>
    </w:tbl>
    <w:p w:rsidR="00873C15" w:rsidRDefault="00873C15" w:rsidP="002E0DB9">
      <w:pPr>
        <w:rPr>
          <w:lang w:val="en-GB"/>
        </w:rPr>
      </w:pPr>
    </w:p>
    <w:tbl>
      <w:tblPr>
        <w:tblW w:w="5087" w:type="pct"/>
        <w:tblInd w:w="-84" w:type="dxa"/>
        <w:tblCellMar>
          <w:left w:w="70" w:type="dxa"/>
          <w:right w:w="70" w:type="dxa"/>
        </w:tblCellMar>
        <w:tblLook w:val="0000"/>
      </w:tblPr>
      <w:tblGrid>
        <w:gridCol w:w="986"/>
        <w:gridCol w:w="3860"/>
        <w:gridCol w:w="1025"/>
        <w:gridCol w:w="4077"/>
      </w:tblGrid>
      <w:tr w:rsidR="0065277F" w:rsidRPr="005E0476" w:rsidTr="0065277F">
        <w:tc>
          <w:tcPr>
            <w:tcW w:w="496" w:type="pct"/>
          </w:tcPr>
          <w:p w:rsidR="0065277F" w:rsidRPr="005E0476" w:rsidRDefault="0065277F" w:rsidP="00C15E41">
            <w:pPr>
              <w:spacing w:line="240" w:lineRule="auto"/>
              <w:rPr>
                <w:color w:val="000000"/>
                <w:sz w:val="19"/>
                <w:szCs w:val="19"/>
                <w:lang w:val="en-GB"/>
              </w:rPr>
            </w:pPr>
            <w:r w:rsidRPr="005E0476">
              <w:rPr>
                <w:color w:val="000000"/>
                <w:sz w:val="19"/>
                <w:szCs w:val="19"/>
                <w:lang w:val="en-GB"/>
              </w:rPr>
              <w:t>Chart 9</w:t>
            </w:r>
          </w:p>
        </w:tc>
        <w:tc>
          <w:tcPr>
            <w:tcW w:w="1940" w:type="pct"/>
          </w:tcPr>
          <w:p w:rsidR="0065277F" w:rsidRPr="005E0476" w:rsidRDefault="0065277F" w:rsidP="00C15E41">
            <w:pPr>
              <w:spacing w:line="240" w:lineRule="auto"/>
              <w:rPr>
                <w:b/>
                <w:bCs/>
                <w:lang w:val="en-GB"/>
              </w:rPr>
            </w:pPr>
            <w:r w:rsidRPr="005E0476">
              <w:rPr>
                <w:b/>
                <w:bCs/>
                <w:lang w:val="en-GB"/>
              </w:rPr>
              <w:t>Total export</w:t>
            </w:r>
            <w:r>
              <w:rPr>
                <w:b/>
                <w:bCs/>
                <w:lang w:val="en-GB"/>
              </w:rPr>
              <w:t>s</w:t>
            </w:r>
            <w:r w:rsidRPr="005E0476">
              <w:rPr>
                <w:b/>
                <w:bCs/>
                <w:lang w:val="en-GB"/>
              </w:rPr>
              <w:t xml:space="preserve"> and import</w:t>
            </w:r>
            <w:r>
              <w:rPr>
                <w:b/>
                <w:bCs/>
                <w:lang w:val="en-GB"/>
              </w:rPr>
              <w:t>s</w:t>
            </w:r>
            <w:r w:rsidRPr="005E0476">
              <w:rPr>
                <w:b/>
                <w:bCs/>
                <w:lang w:val="en-GB"/>
              </w:rPr>
              <w:t xml:space="preserve"> of goods </w:t>
            </w:r>
            <w:r w:rsidRPr="005E0476">
              <w:rPr>
                <w:bCs/>
                <w:lang w:val="en-GB"/>
              </w:rPr>
              <w:t xml:space="preserve">(y/y in %, </w:t>
            </w:r>
            <w:r>
              <w:rPr>
                <w:bCs/>
                <w:sz w:val="19"/>
                <w:szCs w:val="19"/>
                <w:lang w:val="en-GB"/>
              </w:rPr>
              <w:t>6M moving averages;</w:t>
            </w:r>
            <w:r w:rsidRPr="005E0476">
              <w:rPr>
                <w:bCs/>
                <w:sz w:val="19"/>
                <w:szCs w:val="19"/>
                <w:lang w:val="en-GB"/>
              </w:rPr>
              <w:t xml:space="preserve"> national conception; </w:t>
            </w:r>
            <w:r>
              <w:rPr>
                <w:bCs/>
                <w:sz w:val="19"/>
                <w:szCs w:val="19"/>
                <w:lang w:val="en-GB"/>
              </w:rPr>
              <w:t>current prices</w:t>
            </w:r>
            <w:r w:rsidRPr="005E0476">
              <w:rPr>
                <w:bCs/>
                <w:sz w:val="19"/>
                <w:szCs w:val="19"/>
                <w:lang w:val="en-GB"/>
              </w:rPr>
              <w:t xml:space="preserve"> FOB/ CIF</w:t>
            </w:r>
            <w:r w:rsidRPr="005E0476">
              <w:rPr>
                <w:bCs/>
                <w:sz w:val="18"/>
                <w:szCs w:val="18"/>
                <w:lang w:val="en-GB"/>
              </w:rPr>
              <w:t>)</w:t>
            </w:r>
            <w:r w:rsidRPr="005E0476">
              <w:rPr>
                <w:b/>
                <w:bCs/>
                <w:lang w:val="en-GB"/>
              </w:rPr>
              <w:t xml:space="preserve"> </w:t>
            </w:r>
          </w:p>
        </w:tc>
        <w:tc>
          <w:tcPr>
            <w:tcW w:w="515" w:type="pct"/>
          </w:tcPr>
          <w:p w:rsidR="0065277F" w:rsidRPr="005E0476" w:rsidRDefault="0065277F" w:rsidP="00C15E41">
            <w:pPr>
              <w:spacing w:line="240" w:lineRule="auto"/>
              <w:rPr>
                <w:color w:val="000000"/>
                <w:sz w:val="19"/>
                <w:szCs w:val="19"/>
                <w:lang w:val="en-GB"/>
              </w:rPr>
            </w:pPr>
            <w:r w:rsidRPr="005E0476">
              <w:rPr>
                <w:color w:val="000000"/>
                <w:sz w:val="19"/>
                <w:szCs w:val="19"/>
                <w:lang w:val="en-GB"/>
              </w:rPr>
              <w:t>Chart 10</w:t>
            </w:r>
          </w:p>
        </w:tc>
        <w:tc>
          <w:tcPr>
            <w:tcW w:w="2049" w:type="pct"/>
          </w:tcPr>
          <w:p w:rsidR="0065277F" w:rsidRPr="005E0476" w:rsidRDefault="0065277F" w:rsidP="00C15E41">
            <w:pPr>
              <w:spacing w:line="240" w:lineRule="auto"/>
              <w:rPr>
                <w:bCs/>
                <w:lang w:val="en-GB"/>
              </w:rPr>
            </w:pPr>
            <w:r>
              <w:rPr>
                <w:b/>
                <w:bCs/>
                <w:lang w:val="en-GB"/>
              </w:rPr>
              <w:t xml:space="preserve">Year-on-year change in the value of exports into selected countries </w:t>
            </w:r>
            <w:r w:rsidRPr="005E0476">
              <w:rPr>
                <w:bCs/>
                <w:sz w:val="19"/>
                <w:szCs w:val="19"/>
                <w:lang w:val="en-GB"/>
              </w:rPr>
              <w:t>(</w:t>
            </w:r>
            <w:r>
              <w:rPr>
                <w:bCs/>
                <w:sz w:val="19"/>
                <w:szCs w:val="19"/>
                <w:lang w:val="en-GB"/>
              </w:rPr>
              <w:t>half</w:t>
            </w:r>
            <w:r w:rsidRPr="005E0476">
              <w:rPr>
                <w:bCs/>
                <w:sz w:val="19"/>
                <w:szCs w:val="19"/>
                <w:lang w:val="en-GB"/>
              </w:rPr>
              <w:t xml:space="preserve"> 2015, in %,  national conception)</w:t>
            </w:r>
            <w:r w:rsidRPr="005E0476">
              <w:rPr>
                <w:b/>
                <w:bCs/>
                <w:lang w:val="en-GB"/>
              </w:rPr>
              <w:t xml:space="preserve"> </w:t>
            </w:r>
          </w:p>
        </w:tc>
      </w:tr>
      <w:tr w:rsidR="0065277F" w:rsidRPr="00B06A38" w:rsidTr="0065277F">
        <w:trPr>
          <w:trHeight w:val="3256"/>
        </w:trPr>
        <w:tc>
          <w:tcPr>
            <w:tcW w:w="2436" w:type="pct"/>
            <w:gridSpan w:val="2"/>
          </w:tcPr>
          <w:p w:rsidR="0065277F" w:rsidRPr="005E0476" w:rsidRDefault="0065277F" w:rsidP="00C15E41">
            <w:pPr>
              <w:pStyle w:val="Zhlav"/>
              <w:tabs>
                <w:tab w:val="clear" w:pos="4536"/>
                <w:tab w:val="clear" w:pos="9072"/>
              </w:tabs>
              <w:ind w:right="-275"/>
              <w:rPr>
                <w:rFonts w:ascii="Arial" w:hAnsi="Arial" w:cs="Arial"/>
                <w:sz w:val="20"/>
                <w:lang w:val="en-GB"/>
              </w:rPr>
            </w:pPr>
            <w:r w:rsidRPr="0065277F">
              <w:rPr>
                <w:rFonts w:ascii="Arial" w:hAnsi="Arial" w:cs="Arial"/>
                <w:noProof/>
                <w:sz w:val="20"/>
                <w:lang w:eastAsia="cs-CZ"/>
              </w:rPr>
              <w:drawing>
                <wp:inline distT="0" distB="0" distL="0" distR="0">
                  <wp:extent cx="2962910" cy="2573020"/>
                  <wp:effectExtent l="19050" t="0" r="8890" b="0"/>
                  <wp:docPr id="20"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2962910" cy="2573020"/>
                          </a:xfrm>
                          <a:prstGeom prst="rect">
                            <a:avLst/>
                          </a:prstGeom>
                          <a:noFill/>
                        </pic:spPr>
                      </pic:pic>
                    </a:graphicData>
                  </a:graphic>
                </wp:inline>
              </w:drawing>
            </w:r>
          </w:p>
        </w:tc>
        <w:tc>
          <w:tcPr>
            <w:tcW w:w="2564" w:type="pct"/>
            <w:gridSpan w:val="2"/>
          </w:tcPr>
          <w:p w:rsidR="0065277F" w:rsidRPr="00B06A38" w:rsidRDefault="0065277F" w:rsidP="0065277F">
            <w:pPr>
              <w:pStyle w:val="Zhlav"/>
              <w:tabs>
                <w:tab w:val="clear" w:pos="4536"/>
                <w:tab w:val="clear" w:pos="9072"/>
              </w:tabs>
              <w:spacing w:line="235" w:lineRule="auto"/>
              <w:jc w:val="right"/>
              <w:rPr>
                <w:rFonts w:ascii="Arial" w:hAnsi="Arial" w:cs="Arial"/>
                <w:noProof/>
                <w:sz w:val="20"/>
                <w:lang w:val="en-GB" w:eastAsia="cs-CZ"/>
              </w:rPr>
            </w:pPr>
            <w:r w:rsidRPr="0065277F">
              <w:rPr>
                <w:rFonts w:ascii="Arial" w:hAnsi="Arial" w:cs="Arial"/>
                <w:noProof/>
                <w:sz w:val="20"/>
                <w:lang w:eastAsia="cs-CZ"/>
              </w:rPr>
              <w:drawing>
                <wp:inline distT="0" distB="0" distL="0" distR="0">
                  <wp:extent cx="3103646" cy="2571750"/>
                  <wp:effectExtent l="19050" t="0" r="1504" b="0"/>
                  <wp:docPr id="25"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105179" cy="2573020"/>
                          </a:xfrm>
                          <a:prstGeom prst="rect">
                            <a:avLst/>
                          </a:prstGeom>
                          <a:noFill/>
                        </pic:spPr>
                      </pic:pic>
                    </a:graphicData>
                  </a:graphic>
                </wp:inline>
              </w:drawing>
            </w:r>
          </w:p>
        </w:tc>
      </w:tr>
    </w:tbl>
    <w:p w:rsidR="0065277F" w:rsidRDefault="0065277F" w:rsidP="0065277F">
      <w:pPr>
        <w:pStyle w:val="Zhlav"/>
        <w:tabs>
          <w:tab w:val="clear" w:pos="4536"/>
          <w:tab w:val="clear" w:pos="9072"/>
        </w:tabs>
        <w:spacing w:line="235" w:lineRule="auto"/>
        <w:jc w:val="right"/>
        <w:rPr>
          <w:rFonts w:ascii="Arial" w:hAnsi="Arial" w:cs="Arial"/>
          <w:noProof/>
          <w:sz w:val="18"/>
          <w:szCs w:val="18"/>
          <w:lang w:val="en-GB" w:eastAsia="cs-CZ"/>
        </w:rPr>
      </w:pPr>
      <w:r w:rsidRPr="005E0476">
        <w:rPr>
          <w:rFonts w:ascii="Arial" w:hAnsi="Arial" w:cs="Arial"/>
          <w:noProof/>
          <w:sz w:val="18"/>
          <w:szCs w:val="18"/>
          <w:lang w:val="en-GB" w:eastAsia="cs-CZ"/>
        </w:rPr>
        <w:t>Source: CZSO, own calculations</w:t>
      </w:r>
    </w:p>
    <w:p w:rsidR="0065277F" w:rsidRDefault="0065277F" w:rsidP="0065277F"/>
    <w:p w:rsidR="00873C15" w:rsidRDefault="00873C15" w:rsidP="002E0DB9">
      <w:pPr>
        <w:rPr>
          <w:lang w:val="en-GB"/>
        </w:rPr>
      </w:pPr>
    </w:p>
    <w:sectPr w:rsidR="00873C15" w:rsidSect="003D60AB">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4F7" w:rsidRDefault="003D34F7" w:rsidP="00E71A58">
      <w:r>
        <w:separator/>
      </w:r>
    </w:p>
  </w:endnote>
  <w:endnote w:type="continuationSeparator" w:id="0">
    <w:p w:rsidR="003D34F7" w:rsidRDefault="003D34F7"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970CAA" w:rsidRPr="005A21E0">
      <w:rPr>
        <w:rFonts w:ascii="Arial" w:hAnsi="Arial" w:cs="Arial"/>
        <w:sz w:val="16"/>
        <w:szCs w:val="16"/>
      </w:rPr>
      <w:fldChar w:fldCharType="begin"/>
    </w:r>
    <w:r w:rsidRPr="005A21E0">
      <w:rPr>
        <w:rFonts w:ascii="Arial" w:hAnsi="Arial" w:cs="Arial"/>
        <w:sz w:val="16"/>
        <w:szCs w:val="16"/>
      </w:rPr>
      <w:instrText>PAGE   \* MERGEFORMAT</w:instrText>
    </w:r>
    <w:r w:rsidR="00970CAA" w:rsidRPr="005A21E0">
      <w:rPr>
        <w:rFonts w:ascii="Arial" w:hAnsi="Arial" w:cs="Arial"/>
        <w:sz w:val="16"/>
        <w:szCs w:val="16"/>
      </w:rPr>
      <w:fldChar w:fldCharType="separate"/>
    </w:r>
    <w:r w:rsidR="003D60AB">
      <w:rPr>
        <w:rFonts w:ascii="Arial" w:hAnsi="Arial" w:cs="Arial"/>
        <w:noProof/>
        <w:sz w:val="16"/>
        <w:szCs w:val="16"/>
      </w:rPr>
      <w:t>14</w:t>
    </w:r>
    <w:r w:rsidR="00970CAA" w:rsidRPr="005A21E0">
      <w:rPr>
        <w:rFonts w:ascii="Arial" w:hAnsi="Arial" w:cs="Arial"/>
        <w:sz w:val="16"/>
        <w:szCs w:val="16"/>
      </w:rPr>
      <w:fldChar w:fldCharType="end"/>
    </w:r>
    <w:r>
      <w:rPr>
        <w:rFonts w:ascii="Arial" w:hAnsi="Arial" w:cs="Arial"/>
        <w:sz w:val="16"/>
        <w:szCs w:val="16"/>
      </w:rPr>
      <w:tab/>
      <w:t>2015</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Default="00C2201D"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C2201D" w:rsidRPr="00223E00" w:rsidRDefault="00C2201D"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Pr>
        <w:rFonts w:ascii="Arial" w:hAnsi="Arial" w:cs="Arial"/>
        <w:sz w:val="16"/>
        <w:szCs w:val="16"/>
      </w:rPr>
      <w:tab/>
    </w:r>
    <w:r w:rsidR="00970CAA"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970CAA" w:rsidRPr="00223E00">
      <w:rPr>
        <w:rFonts w:ascii="Arial" w:hAnsi="Arial" w:cs="Arial"/>
        <w:sz w:val="16"/>
        <w:szCs w:val="16"/>
      </w:rPr>
      <w:fldChar w:fldCharType="separate"/>
    </w:r>
    <w:r w:rsidR="003D60AB">
      <w:rPr>
        <w:rFonts w:ascii="Arial" w:hAnsi="Arial" w:cs="Arial"/>
        <w:noProof/>
        <w:sz w:val="16"/>
        <w:szCs w:val="16"/>
      </w:rPr>
      <w:t>15</w:t>
    </w:r>
    <w:r w:rsidR="00970CAA"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4F7" w:rsidRDefault="003D34F7" w:rsidP="00E71A58">
      <w:r>
        <w:separator/>
      </w:r>
    </w:p>
  </w:footnote>
  <w:footnote w:type="continuationSeparator" w:id="0">
    <w:p w:rsidR="003D34F7" w:rsidRDefault="003D34F7" w:rsidP="00E71A58">
      <w:r>
        <w:continuationSeparator/>
      </w:r>
    </w:p>
  </w:footnote>
  <w:footnote w:id="1">
    <w:p w:rsidR="0065277F" w:rsidRPr="00A07E68" w:rsidRDefault="0065277F" w:rsidP="0065277F">
      <w:pPr>
        <w:pStyle w:val="Textpoznpodarou"/>
        <w:jc w:val="both"/>
        <w:rPr>
          <w:lang w:val="en-GB"/>
        </w:rPr>
      </w:pPr>
      <w:r>
        <w:rPr>
          <w:rStyle w:val="Znakapoznpodarou"/>
        </w:rPr>
        <w:footnoteRef/>
      </w:r>
      <w:r>
        <w:t xml:space="preserve"> </w:t>
      </w:r>
      <w:r w:rsidRPr="00A07E68">
        <w:rPr>
          <w:sz w:val="16"/>
          <w:szCs w:val="16"/>
          <w:lang w:val="en-GB"/>
        </w:rPr>
        <w:t>Balance of goods according to the CZ-CPA (Classification of Product</w:t>
      </w:r>
      <w:r>
        <w:rPr>
          <w:sz w:val="16"/>
          <w:szCs w:val="16"/>
          <w:lang w:val="en-GB"/>
        </w:rPr>
        <w:t xml:space="preserve">s) in the national conception. </w:t>
      </w:r>
      <w:proofErr w:type="gramStart"/>
      <w:r>
        <w:rPr>
          <w:sz w:val="16"/>
          <w:szCs w:val="16"/>
          <w:lang w:val="en-GB"/>
        </w:rPr>
        <w:t>Exports in FOB prices, imports in CIF prices.</w:t>
      </w:r>
      <w:proofErr w:type="gramEnd"/>
      <w:r>
        <w:rPr>
          <w:sz w:val="16"/>
          <w:szCs w:val="16"/>
          <w:lang w:val="en-GB"/>
        </w:rPr>
        <w:t xml:space="preserve"> </w:t>
      </w:r>
    </w:p>
    <w:p w:rsidR="0065277F" w:rsidRPr="00A07E68" w:rsidRDefault="0065277F" w:rsidP="0065277F">
      <w:pPr>
        <w:pStyle w:val="Textpoznpodarou"/>
        <w:jc w:val="both"/>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1D" w:rsidRPr="00D766EF" w:rsidRDefault="00C2201D"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sidR="008E789F">
      <w:rPr>
        <w:rFonts w:ascii="Arial" w:hAnsi="Arial" w:cs="Arial"/>
        <w:sz w:val="16"/>
        <w:szCs w:val="16"/>
      </w:rPr>
      <w:t>Development</w:t>
    </w:r>
    <w:proofErr w:type="spellEnd"/>
    <w:r w:rsidR="008E789F">
      <w:rPr>
        <w:rFonts w:ascii="Arial" w:hAnsi="Arial" w:cs="Arial"/>
        <w:sz w:val="16"/>
        <w:szCs w:val="16"/>
      </w:rPr>
      <w:t xml:space="preserve"> in </w:t>
    </w:r>
    <w:proofErr w:type="spellStart"/>
    <w:r w:rsidR="008E789F">
      <w:rPr>
        <w:rFonts w:ascii="Arial" w:hAnsi="Arial" w:cs="Arial"/>
        <w:sz w:val="16"/>
        <w:szCs w:val="16"/>
      </w:rPr>
      <w:t>the</w:t>
    </w:r>
    <w:proofErr w:type="spellEnd"/>
    <w:r w:rsidR="008E789F">
      <w:rPr>
        <w:rFonts w:ascii="Arial" w:hAnsi="Arial" w:cs="Arial"/>
        <w:sz w:val="16"/>
        <w:szCs w:val="16"/>
      </w:rPr>
      <w:t xml:space="preserve"> </w:t>
    </w:r>
    <w:proofErr w:type="spellStart"/>
    <w:r w:rsidR="008E789F">
      <w:rPr>
        <w:rFonts w:ascii="Arial" w:hAnsi="Arial" w:cs="Arial"/>
        <w:sz w:val="16"/>
        <w:szCs w:val="16"/>
      </w:rPr>
      <w:t>First</w:t>
    </w:r>
    <w:proofErr w:type="spellEnd"/>
    <w:r w:rsidR="008E789F">
      <w:rPr>
        <w:rFonts w:ascii="Arial" w:hAnsi="Arial" w:cs="Arial"/>
        <w:sz w:val="16"/>
        <w:szCs w:val="16"/>
      </w:rPr>
      <w:t xml:space="preserve"> H</w:t>
    </w:r>
    <w:r>
      <w:rPr>
        <w:rFonts w:ascii="Arial" w:hAnsi="Arial" w:cs="Arial"/>
        <w:sz w:val="16"/>
        <w:szCs w:val="16"/>
      </w:rPr>
      <w:t xml:space="preserve">alf </w:t>
    </w:r>
    <w:proofErr w:type="spellStart"/>
    <w:r>
      <w:rPr>
        <w:rFonts w:ascii="Arial" w:hAnsi="Arial" w:cs="Arial"/>
        <w:sz w:val="16"/>
        <w:szCs w:val="16"/>
      </w:rPr>
      <w:t>of</w:t>
    </w:r>
    <w:proofErr w:type="spellEnd"/>
    <w:r>
      <w:rPr>
        <w:rFonts w:ascii="Arial" w:hAnsi="Arial" w:cs="Arial"/>
        <w:sz w:val="16"/>
        <w:szCs w:val="16"/>
      </w:rPr>
      <w:t xml:space="preserve">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7B" w:rsidRDefault="007F337B" w:rsidP="007F337B">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w:t>
    </w:r>
    <w:r w:rsidR="008E789F">
      <w:rPr>
        <w:rFonts w:ascii="Arial" w:hAnsi="Arial" w:cs="Arial"/>
        <w:sz w:val="16"/>
        <w:szCs w:val="16"/>
      </w:rPr>
      <w:t>ech</w:t>
    </w:r>
    <w:proofErr w:type="spellEnd"/>
    <w:r w:rsidR="008E789F">
      <w:rPr>
        <w:rFonts w:ascii="Arial" w:hAnsi="Arial" w:cs="Arial"/>
        <w:sz w:val="16"/>
        <w:szCs w:val="16"/>
      </w:rPr>
      <w:t xml:space="preserve"> </w:t>
    </w:r>
    <w:proofErr w:type="spellStart"/>
    <w:r w:rsidR="008E789F">
      <w:rPr>
        <w:rFonts w:ascii="Arial" w:hAnsi="Arial" w:cs="Arial"/>
        <w:sz w:val="16"/>
        <w:szCs w:val="16"/>
      </w:rPr>
      <w:t>Economy</w:t>
    </w:r>
    <w:proofErr w:type="spellEnd"/>
    <w:r w:rsidR="008E789F">
      <w:rPr>
        <w:rFonts w:ascii="Arial" w:hAnsi="Arial" w:cs="Arial"/>
        <w:sz w:val="16"/>
        <w:szCs w:val="16"/>
      </w:rPr>
      <w:t xml:space="preserve"> </w:t>
    </w:r>
    <w:proofErr w:type="spellStart"/>
    <w:r w:rsidR="008E789F">
      <w:rPr>
        <w:rFonts w:ascii="Arial" w:hAnsi="Arial" w:cs="Arial"/>
        <w:sz w:val="16"/>
        <w:szCs w:val="16"/>
      </w:rPr>
      <w:t>Development</w:t>
    </w:r>
    <w:proofErr w:type="spellEnd"/>
    <w:r w:rsidR="008E789F">
      <w:rPr>
        <w:rFonts w:ascii="Arial" w:hAnsi="Arial" w:cs="Arial"/>
        <w:sz w:val="16"/>
        <w:szCs w:val="16"/>
      </w:rPr>
      <w:t xml:space="preserve"> in </w:t>
    </w:r>
    <w:proofErr w:type="spellStart"/>
    <w:r w:rsidR="008E789F">
      <w:rPr>
        <w:rFonts w:ascii="Arial" w:hAnsi="Arial" w:cs="Arial"/>
        <w:sz w:val="16"/>
        <w:szCs w:val="16"/>
      </w:rPr>
      <w:t>the</w:t>
    </w:r>
    <w:proofErr w:type="spellEnd"/>
    <w:r w:rsidR="008E789F">
      <w:rPr>
        <w:rFonts w:ascii="Arial" w:hAnsi="Arial" w:cs="Arial"/>
        <w:sz w:val="16"/>
        <w:szCs w:val="16"/>
      </w:rPr>
      <w:t xml:space="preserve"> </w:t>
    </w:r>
    <w:proofErr w:type="spellStart"/>
    <w:r w:rsidR="008E789F">
      <w:rPr>
        <w:rFonts w:ascii="Arial" w:hAnsi="Arial" w:cs="Arial"/>
        <w:sz w:val="16"/>
        <w:szCs w:val="16"/>
      </w:rPr>
      <w:t>First</w:t>
    </w:r>
    <w:proofErr w:type="spellEnd"/>
    <w:r w:rsidR="008E789F">
      <w:rPr>
        <w:rFonts w:ascii="Arial" w:hAnsi="Arial" w:cs="Arial"/>
        <w:sz w:val="16"/>
        <w:szCs w:val="16"/>
      </w:rPr>
      <w:t xml:space="preserve"> H</w:t>
    </w:r>
    <w:r>
      <w:rPr>
        <w:rFonts w:ascii="Arial" w:hAnsi="Arial" w:cs="Arial"/>
        <w:sz w:val="16"/>
        <w:szCs w:val="16"/>
      </w:rPr>
      <w:t xml:space="preserve">alf </w:t>
    </w:r>
    <w:proofErr w:type="spellStart"/>
    <w:r>
      <w:rPr>
        <w:rFonts w:ascii="Arial" w:hAnsi="Arial" w:cs="Arial"/>
        <w:sz w:val="16"/>
        <w:szCs w:val="16"/>
      </w:rPr>
      <w:t>of</w:t>
    </w:r>
    <w:proofErr w:type="spellEnd"/>
    <w:r>
      <w:rPr>
        <w:rFonts w:ascii="Arial" w:hAnsi="Arial" w:cs="Arial"/>
        <w:sz w:val="16"/>
        <w:szCs w:val="16"/>
      </w:rPr>
      <w:t xml:space="preserve"> 2015</w:t>
    </w:r>
  </w:p>
  <w:p w:rsidR="00C2201D" w:rsidRPr="007F337B" w:rsidRDefault="00C2201D" w:rsidP="007F337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70CB2"/>
    <w:multiLevelType w:val="hybridMultilevel"/>
    <w:tmpl w:val="8C84368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9B70BD"/>
    <w:rsid w:val="00000FA7"/>
    <w:rsid w:val="00003687"/>
    <w:rsid w:val="00003C43"/>
    <w:rsid w:val="00007498"/>
    <w:rsid w:val="0000767A"/>
    <w:rsid w:val="000101F5"/>
    <w:rsid w:val="000104B9"/>
    <w:rsid w:val="00010702"/>
    <w:rsid w:val="00011191"/>
    <w:rsid w:val="0001159B"/>
    <w:rsid w:val="00012986"/>
    <w:rsid w:val="00014D3A"/>
    <w:rsid w:val="0001573E"/>
    <w:rsid w:val="00017F05"/>
    <w:rsid w:val="000202C6"/>
    <w:rsid w:val="00020946"/>
    <w:rsid w:val="00024887"/>
    <w:rsid w:val="00024CBA"/>
    <w:rsid w:val="00025501"/>
    <w:rsid w:val="00026998"/>
    <w:rsid w:val="0003066A"/>
    <w:rsid w:val="000309BD"/>
    <w:rsid w:val="00032838"/>
    <w:rsid w:val="00032C12"/>
    <w:rsid w:val="0003409E"/>
    <w:rsid w:val="00035FC6"/>
    <w:rsid w:val="00037667"/>
    <w:rsid w:val="000411E1"/>
    <w:rsid w:val="00041E1C"/>
    <w:rsid w:val="00043E05"/>
    <w:rsid w:val="0004694F"/>
    <w:rsid w:val="000500DC"/>
    <w:rsid w:val="00052172"/>
    <w:rsid w:val="000541DA"/>
    <w:rsid w:val="00055059"/>
    <w:rsid w:val="000553E4"/>
    <w:rsid w:val="000626FB"/>
    <w:rsid w:val="00062EC5"/>
    <w:rsid w:val="00064256"/>
    <w:rsid w:val="000706A4"/>
    <w:rsid w:val="00072118"/>
    <w:rsid w:val="00073173"/>
    <w:rsid w:val="000779AC"/>
    <w:rsid w:val="00083803"/>
    <w:rsid w:val="00086DE6"/>
    <w:rsid w:val="0008716A"/>
    <w:rsid w:val="00087634"/>
    <w:rsid w:val="00091237"/>
    <w:rsid w:val="0009191B"/>
    <w:rsid w:val="000920EC"/>
    <w:rsid w:val="00092208"/>
    <w:rsid w:val="00092505"/>
    <w:rsid w:val="00097D02"/>
    <w:rsid w:val="000A1183"/>
    <w:rsid w:val="000A2121"/>
    <w:rsid w:val="000A2484"/>
    <w:rsid w:val="000A66F6"/>
    <w:rsid w:val="000B0638"/>
    <w:rsid w:val="000B1CFE"/>
    <w:rsid w:val="000B210A"/>
    <w:rsid w:val="000B249B"/>
    <w:rsid w:val="000B3DB9"/>
    <w:rsid w:val="000B3F02"/>
    <w:rsid w:val="000B48E7"/>
    <w:rsid w:val="000B5963"/>
    <w:rsid w:val="000B6A0A"/>
    <w:rsid w:val="000B7663"/>
    <w:rsid w:val="000C1072"/>
    <w:rsid w:val="000C11D3"/>
    <w:rsid w:val="000C12F5"/>
    <w:rsid w:val="000C3408"/>
    <w:rsid w:val="000C42C6"/>
    <w:rsid w:val="000D0D51"/>
    <w:rsid w:val="000D14B3"/>
    <w:rsid w:val="000D208B"/>
    <w:rsid w:val="000D2B8D"/>
    <w:rsid w:val="000D2E41"/>
    <w:rsid w:val="000D4273"/>
    <w:rsid w:val="000D5E7A"/>
    <w:rsid w:val="000D5FAA"/>
    <w:rsid w:val="000D65A4"/>
    <w:rsid w:val="000D6AEF"/>
    <w:rsid w:val="000E025B"/>
    <w:rsid w:val="000E153A"/>
    <w:rsid w:val="000E19A8"/>
    <w:rsid w:val="000E4A42"/>
    <w:rsid w:val="000E6476"/>
    <w:rsid w:val="000E65FB"/>
    <w:rsid w:val="000E78D2"/>
    <w:rsid w:val="000F3332"/>
    <w:rsid w:val="000F33EE"/>
    <w:rsid w:val="000F3E5F"/>
    <w:rsid w:val="000F401E"/>
    <w:rsid w:val="000F5445"/>
    <w:rsid w:val="000F67B2"/>
    <w:rsid w:val="000F790F"/>
    <w:rsid w:val="000F7D03"/>
    <w:rsid w:val="000F7E1B"/>
    <w:rsid w:val="00100014"/>
    <w:rsid w:val="0010039A"/>
    <w:rsid w:val="00101FB2"/>
    <w:rsid w:val="00102F02"/>
    <w:rsid w:val="001041B6"/>
    <w:rsid w:val="001070EA"/>
    <w:rsid w:val="0011002A"/>
    <w:rsid w:val="0011110A"/>
    <w:rsid w:val="001118AF"/>
    <w:rsid w:val="0011256E"/>
    <w:rsid w:val="00112A7C"/>
    <w:rsid w:val="0011352E"/>
    <w:rsid w:val="001158D1"/>
    <w:rsid w:val="00116DB9"/>
    <w:rsid w:val="00116F28"/>
    <w:rsid w:val="00117A7E"/>
    <w:rsid w:val="00121C39"/>
    <w:rsid w:val="00123255"/>
    <w:rsid w:val="00124D2D"/>
    <w:rsid w:val="001307BE"/>
    <w:rsid w:val="00130C8F"/>
    <w:rsid w:val="001314F2"/>
    <w:rsid w:val="001317DA"/>
    <w:rsid w:val="001323BA"/>
    <w:rsid w:val="0013254D"/>
    <w:rsid w:val="00133251"/>
    <w:rsid w:val="00133AAC"/>
    <w:rsid w:val="00136561"/>
    <w:rsid w:val="001400E1"/>
    <w:rsid w:val="001405FA"/>
    <w:rsid w:val="001413B3"/>
    <w:rsid w:val="001425C3"/>
    <w:rsid w:val="00142F16"/>
    <w:rsid w:val="00143E03"/>
    <w:rsid w:val="00143E93"/>
    <w:rsid w:val="00145877"/>
    <w:rsid w:val="00147262"/>
    <w:rsid w:val="00151AC0"/>
    <w:rsid w:val="00152046"/>
    <w:rsid w:val="00154147"/>
    <w:rsid w:val="00156318"/>
    <w:rsid w:val="0015639A"/>
    <w:rsid w:val="0016081D"/>
    <w:rsid w:val="00160CF3"/>
    <w:rsid w:val="001620FA"/>
    <w:rsid w:val="00162853"/>
    <w:rsid w:val="00163793"/>
    <w:rsid w:val="0016699E"/>
    <w:rsid w:val="001707DE"/>
    <w:rsid w:val="00170B04"/>
    <w:rsid w:val="00170F47"/>
    <w:rsid w:val="001714F2"/>
    <w:rsid w:val="00173642"/>
    <w:rsid w:val="00174CE8"/>
    <w:rsid w:val="00176050"/>
    <w:rsid w:val="001764D8"/>
    <w:rsid w:val="00176A8F"/>
    <w:rsid w:val="00180D58"/>
    <w:rsid w:val="00182981"/>
    <w:rsid w:val="001835E7"/>
    <w:rsid w:val="00184CF9"/>
    <w:rsid w:val="00185010"/>
    <w:rsid w:val="001852EC"/>
    <w:rsid w:val="001874CF"/>
    <w:rsid w:val="00190D9B"/>
    <w:rsid w:val="00191BAE"/>
    <w:rsid w:val="00193432"/>
    <w:rsid w:val="00193BA1"/>
    <w:rsid w:val="00195444"/>
    <w:rsid w:val="001A2BDB"/>
    <w:rsid w:val="001A30F4"/>
    <w:rsid w:val="001A552F"/>
    <w:rsid w:val="001A56F3"/>
    <w:rsid w:val="001A750C"/>
    <w:rsid w:val="001B1D89"/>
    <w:rsid w:val="001B3110"/>
    <w:rsid w:val="001B417A"/>
    <w:rsid w:val="001B44BC"/>
    <w:rsid w:val="001B6545"/>
    <w:rsid w:val="001B681B"/>
    <w:rsid w:val="001B694C"/>
    <w:rsid w:val="001B6A49"/>
    <w:rsid w:val="001B74FB"/>
    <w:rsid w:val="001B77A1"/>
    <w:rsid w:val="001C0422"/>
    <w:rsid w:val="001C0E0E"/>
    <w:rsid w:val="001C1219"/>
    <w:rsid w:val="001C357A"/>
    <w:rsid w:val="001C3A37"/>
    <w:rsid w:val="001C4384"/>
    <w:rsid w:val="001C5240"/>
    <w:rsid w:val="001C65FF"/>
    <w:rsid w:val="001D47E5"/>
    <w:rsid w:val="001D584C"/>
    <w:rsid w:val="001D66C1"/>
    <w:rsid w:val="001E0C65"/>
    <w:rsid w:val="001E23E3"/>
    <w:rsid w:val="001E387A"/>
    <w:rsid w:val="001E3DA4"/>
    <w:rsid w:val="001E5830"/>
    <w:rsid w:val="001E684C"/>
    <w:rsid w:val="001E701C"/>
    <w:rsid w:val="001E7C03"/>
    <w:rsid w:val="001F02AF"/>
    <w:rsid w:val="001F28F4"/>
    <w:rsid w:val="001F3C79"/>
    <w:rsid w:val="001F3E68"/>
    <w:rsid w:val="001F4597"/>
    <w:rsid w:val="00200D15"/>
    <w:rsid w:val="00203074"/>
    <w:rsid w:val="00203B46"/>
    <w:rsid w:val="002048E1"/>
    <w:rsid w:val="00210278"/>
    <w:rsid w:val="00210CC2"/>
    <w:rsid w:val="00210F5B"/>
    <w:rsid w:val="00211262"/>
    <w:rsid w:val="00211AC9"/>
    <w:rsid w:val="0021355B"/>
    <w:rsid w:val="00216098"/>
    <w:rsid w:val="002205F2"/>
    <w:rsid w:val="0022080E"/>
    <w:rsid w:val="0022139E"/>
    <w:rsid w:val="0022272B"/>
    <w:rsid w:val="00222A99"/>
    <w:rsid w:val="00223678"/>
    <w:rsid w:val="00223E00"/>
    <w:rsid w:val="002252E0"/>
    <w:rsid w:val="002255F6"/>
    <w:rsid w:val="00226466"/>
    <w:rsid w:val="002266D0"/>
    <w:rsid w:val="002303A6"/>
    <w:rsid w:val="00230DAD"/>
    <w:rsid w:val="0023229C"/>
    <w:rsid w:val="00234280"/>
    <w:rsid w:val="00235000"/>
    <w:rsid w:val="002350E3"/>
    <w:rsid w:val="00235938"/>
    <w:rsid w:val="00236443"/>
    <w:rsid w:val="00236E20"/>
    <w:rsid w:val="00240A5B"/>
    <w:rsid w:val="002436BA"/>
    <w:rsid w:val="002444ED"/>
    <w:rsid w:val="00244A15"/>
    <w:rsid w:val="00244D40"/>
    <w:rsid w:val="00246AE9"/>
    <w:rsid w:val="0024799E"/>
    <w:rsid w:val="00250C59"/>
    <w:rsid w:val="00251D59"/>
    <w:rsid w:val="002522CD"/>
    <w:rsid w:val="002524C4"/>
    <w:rsid w:val="00252602"/>
    <w:rsid w:val="00252E1B"/>
    <w:rsid w:val="00252FDC"/>
    <w:rsid w:val="00261E5B"/>
    <w:rsid w:val="00263470"/>
    <w:rsid w:val="00263733"/>
    <w:rsid w:val="00264676"/>
    <w:rsid w:val="00264772"/>
    <w:rsid w:val="00265536"/>
    <w:rsid w:val="00265E54"/>
    <w:rsid w:val="00266520"/>
    <w:rsid w:val="00266F3E"/>
    <w:rsid w:val="0026788B"/>
    <w:rsid w:val="00272464"/>
    <w:rsid w:val="00273DCD"/>
    <w:rsid w:val="00273E1C"/>
    <w:rsid w:val="00274291"/>
    <w:rsid w:val="00274E3B"/>
    <w:rsid w:val="00276CFE"/>
    <w:rsid w:val="00277071"/>
    <w:rsid w:val="0027786C"/>
    <w:rsid w:val="00277BF7"/>
    <w:rsid w:val="00281416"/>
    <w:rsid w:val="00281B77"/>
    <w:rsid w:val="00285CD3"/>
    <w:rsid w:val="0028686A"/>
    <w:rsid w:val="00286E66"/>
    <w:rsid w:val="002919B5"/>
    <w:rsid w:val="00293441"/>
    <w:rsid w:val="0029493E"/>
    <w:rsid w:val="00296C2E"/>
    <w:rsid w:val="002A1B05"/>
    <w:rsid w:val="002A3354"/>
    <w:rsid w:val="002A35EA"/>
    <w:rsid w:val="002A37B6"/>
    <w:rsid w:val="002A3BD5"/>
    <w:rsid w:val="002A43A2"/>
    <w:rsid w:val="002A4612"/>
    <w:rsid w:val="002A5263"/>
    <w:rsid w:val="002A6821"/>
    <w:rsid w:val="002A74D2"/>
    <w:rsid w:val="002B1494"/>
    <w:rsid w:val="002B1544"/>
    <w:rsid w:val="002B36C8"/>
    <w:rsid w:val="002B4689"/>
    <w:rsid w:val="002B7240"/>
    <w:rsid w:val="002C01D2"/>
    <w:rsid w:val="002C2668"/>
    <w:rsid w:val="002C4036"/>
    <w:rsid w:val="002C43BD"/>
    <w:rsid w:val="002C446F"/>
    <w:rsid w:val="002C5261"/>
    <w:rsid w:val="002C5F84"/>
    <w:rsid w:val="002C6091"/>
    <w:rsid w:val="002D0562"/>
    <w:rsid w:val="002D1B31"/>
    <w:rsid w:val="002D1B5A"/>
    <w:rsid w:val="002D2BF3"/>
    <w:rsid w:val="002D3F00"/>
    <w:rsid w:val="002D4D59"/>
    <w:rsid w:val="002D54BF"/>
    <w:rsid w:val="002D5E94"/>
    <w:rsid w:val="002D632D"/>
    <w:rsid w:val="002E02A1"/>
    <w:rsid w:val="002E0982"/>
    <w:rsid w:val="002E0DB9"/>
    <w:rsid w:val="002E2CE4"/>
    <w:rsid w:val="002F33FB"/>
    <w:rsid w:val="002F69FF"/>
    <w:rsid w:val="002F7594"/>
    <w:rsid w:val="00301357"/>
    <w:rsid w:val="00301620"/>
    <w:rsid w:val="00301D04"/>
    <w:rsid w:val="00304771"/>
    <w:rsid w:val="00305736"/>
    <w:rsid w:val="00306C5B"/>
    <w:rsid w:val="00306E3B"/>
    <w:rsid w:val="00312C3D"/>
    <w:rsid w:val="00314331"/>
    <w:rsid w:val="003168E9"/>
    <w:rsid w:val="00317E31"/>
    <w:rsid w:val="00320214"/>
    <w:rsid w:val="003209D6"/>
    <w:rsid w:val="0032109A"/>
    <w:rsid w:val="00321A11"/>
    <w:rsid w:val="0032214F"/>
    <w:rsid w:val="00322164"/>
    <w:rsid w:val="0032513D"/>
    <w:rsid w:val="00326251"/>
    <w:rsid w:val="00327DEE"/>
    <w:rsid w:val="003304AD"/>
    <w:rsid w:val="003329F3"/>
    <w:rsid w:val="0033352E"/>
    <w:rsid w:val="00333690"/>
    <w:rsid w:val="00333D20"/>
    <w:rsid w:val="003340EF"/>
    <w:rsid w:val="00334A49"/>
    <w:rsid w:val="00335BB0"/>
    <w:rsid w:val="0033627B"/>
    <w:rsid w:val="003406BD"/>
    <w:rsid w:val="00341131"/>
    <w:rsid w:val="00343F84"/>
    <w:rsid w:val="00344135"/>
    <w:rsid w:val="00347C83"/>
    <w:rsid w:val="00351B63"/>
    <w:rsid w:val="00352E57"/>
    <w:rsid w:val="003541B0"/>
    <w:rsid w:val="00355885"/>
    <w:rsid w:val="0035605E"/>
    <w:rsid w:val="00357449"/>
    <w:rsid w:val="0036238B"/>
    <w:rsid w:val="003629E4"/>
    <w:rsid w:val="00365680"/>
    <w:rsid w:val="003657F3"/>
    <w:rsid w:val="00367038"/>
    <w:rsid w:val="003709DE"/>
    <w:rsid w:val="0037144E"/>
    <w:rsid w:val="003736B5"/>
    <w:rsid w:val="00374F1E"/>
    <w:rsid w:val="00376DEC"/>
    <w:rsid w:val="00380E04"/>
    <w:rsid w:val="00383227"/>
    <w:rsid w:val="00384D8F"/>
    <w:rsid w:val="00385D98"/>
    <w:rsid w:val="00385EC5"/>
    <w:rsid w:val="003870B8"/>
    <w:rsid w:val="0039066E"/>
    <w:rsid w:val="00391C95"/>
    <w:rsid w:val="00393BCA"/>
    <w:rsid w:val="00396DAC"/>
    <w:rsid w:val="003A0214"/>
    <w:rsid w:val="003A027D"/>
    <w:rsid w:val="003A1D74"/>
    <w:rsid w:val="003A2B4D"/>
    <w:rsid w:val="003A2D2B"/>
    <w:rsid w:val="003A2DD4"/>
    <w:rsid w:val="003A3B1C"/>
    <w:rsid w:val="003A478C"/>
    <w:rsid w:val="003A4F82"/>
    <w:rsid w:val="003A5525"/>
    <w:rsid w:val="003A6B38"/>
    <w:rsid w:val="003B2E63"/>
    <w:rsid w:val="003B3189"/>
    <w:rsid w:val="003B3A9D"/>
    <w:rsid w:val="003B5031"/>
    <w:rsid w:val="003B5A32"/>
    <w:rsid w:val="003B6105"/>
    <w:rsid w:val="003C04C4"/>
    <w:rsid w:val="003C26F4"/>
    <w:rsid w:val="003C40DE"/>
    <w:rsid w:val="003C4852"/>
    <w:rsid w:val="003C5BAB"/>
    <w:rsid w:val="003C601E"/>
    <w:rsid w:val="003D34F7"/>
    <w:rsid w:val="003D3600"/>
    <w:rsid w:val="003D3825"/>
    <w:rsid w:val="003D3EC4"/>
    <w:rsid w:val="003D4760"/>
    <w:rsid w:val="003D49DC"/>
    <w:rsid w:val="003D60AB"/>
    <w:rsid w:val="003E0663"/>
    <w:rsid w:val="003E133F"/>
    <w:rsid w:val="003E699C"/>
    <w:rsid w:val="003E69F3"/>
    <w:rsid w:val="003E782E"/>
    <w:rsid w:val="003E7A0B"/>
    <w:rsid w:val="003E7B2B"/>
    <w:rsid w:val="003F1A48"/>
    <w:rsid w:val="003F2B0A"/>
    <w:rsid w:val="003F313C"/>
    <w:rsid w:val="003F37FC"/>
    <w:rsid w:val="003F49A6"/>
    <w:rsid w:val="003F5098"/>
    <w:rsid w:val="003F5568"/>
    <w:rsid w:val="003F5A95"/>
    <w:rsid w:val="003F6D19"/>
    <w:rsid w:val="004000D5"/>
    <w:rsid w:val="00401716"/>
    <w:rsid w:val="0040273A"/>
    <w:rsid w:val="00402C25"/>
    <w:rsid w:val="004050D7"/>
    <w:rsid w:val="004078BD"/>
    <w:rsid w:val="00410132"/>
    <w:rsid w:val="00410BCD"/>
    <w:rsid w:val="0041175D"/>
    <w:rsid w:val="004123BE"/>
    <w:rsid w:val="004127EA"/>
    <w:rsid w:val="0041369F"/>
    <w:rsid w:val="00414CE5"/>
    <w:rsid w:val="00416673"/>
    <w:rsid w:val="0042160D"/>
    <w:rsid w:val="0042681B"/>
    <w:rsid w:val="0043068A"/>
    <w:rsid w:val="004306E0"/>
    <w:rsid w:val="004329BE"/>
    <w:rsid w:val="00432C38"/>
    <w:rsid w:val="00437C76"/>
    <w:rsid w:val="004441A0"/>
    <w:rsid w:val="00444268"/>
    <w:rsid w:val="004443BF"/>
    <w:rsid w:val="00444C19"/>
    <w:rsid w:val="00445413"/>
    <w:rsid w:val="00446892"/>
    <w:rsid w:val="00450C30"/>
    <w:rsid w:val="004543AE"/>
    <w:rsid w:val="00455ECA"/>
    <w:rsid w:val="00460164"/>
    <w:rsid w:val="0046039A"/>
    <w:rsid w:val="00460A6B"/>
    <w:rsid w:val="00461977"/>
    <w:rsid w:val="004629FD"/>
    <w:rsid w:val="00463F4D"/>
    <w:rsid w:val="0046471F"/>
    <w:rsid w:val="00464BE8"/>
    <w:rsid w:val="00465019"/>
    <w:rsid w:val="0046613F"/>
    <w:rsid w:val="0046655D"/>
    <w:rsid w:val="0046765E"/>
    <w:rsid w:val="004676E2"/>
    <w:rsid w:val="00471EDD"/>
    <w:rsid w:val="004731AA"/>
    <w:rsid w:val="00473E94"/>
    <w:rsid w:val="0047400C"/>
    <w:rsid w:val="004745D9"/>
    <w:rsid w:val="004762D8"/>
    <w:rsid w:val="004765B3"/>
    <w:rsid w:val="00476D29"/>
    <w:rsid w:val="00477241"/>
    <w:rsid w:val="00477EAF"/>
    <w:rsid w:val="00477EE0"/>
    <w:rsid w:val="0048139F"/>
    <w:rsid w:val="00482DE0"/>
    <w:rsid w:val="00483053"/>
    <w:rsid w:val="00485CCE"/>
    <w:rsid w:val="00486B6F"/>
    <w:rsid w:val="004879E9"/>
    <w:rsid w:val="0049104F"/>
    <w:rsid w:val="00491218"/>
    <w:rsid w:val="00493362"/>
    <w:rsid w:val="00496C2F"/>
    <w:rsid w:val="0049740D"/>
    <w:rsid w:val="004978D3"/>
    <w:rsid w:val="004A11F8"/>
    <w:rsid w:val="004A22FA"/>
    <w:rsid w:val="004A269A"/>
    <w:rsid w:val="004A30FB"/>
    <w:rsid w:val="004A35DD"/>
    <w:rsid w:val="004A37D3"/>
    <w:rsid w:val="004A3AD6"/>
    <w:rsid w:val="004A41CD"/>
    <w:rsid w:val="004A5865"/>
    <w:rsid w:val="004A77DF"/>
    <w:rsid w:val="004B0295"/>
    <w:rsid w:val="004B10A8"/>
    <w:rsid w:val="004B22DA"/>
    <w:rsid w:val="004B3CB7"/>
    <w:rsid w:val="004B3D55"/>
    <w:rsid w:val="004B55B7"/>
    <w:rsid w:val="004C00A6"/>
    <w:rsid w:val="004C0BBB"/>
    <w:rsid w:val="004C1B86"/>
    <w:rsid w:val="004C3382"/>
    <w:rsid w:val="004C3867"/>
    <w:rsid w:val="004C4AB7"/>
    <w:rsid w:val="004C4CD0"/>
    <w:rsid w:val="004C51F2"/>
    <w:rsid w:val="004C57B5"/>
    <w:rsid w:val="004C5C25"/>
    <w:rsid w:val="004C6717"/>
    <w:rsid w:val="004C6CFF"/>
    <w:rsid w:val="004C70DC"/>
    <w:rsid w:val="004C7268"/>
    <w:rsid w:val="004D0211"/>
    <w:rsid w:val="004D1C9C"/>
    <w:rsid w:val="004D504B"/>
    <w:rsid w:val="004D536E"/>
    <w:rsid w:val="004E0CD2"/>
    <w:rsid w:val="004E1839"/>
    <w:rsid w:val="004E4A75"/>
    <w:rsid w:val="004E541A"/>
    <w:rsid w:val="004E5A5C"/>
    <w:rsid w:val="004E76D6"/>
    <w:rsid w:val="004F06F5"/>
    <w:rsid w:val="004F191F"/>
    <w:rsid w:val="004F2A73"/>
    <w:rsid w:val="004F33A0"/>
    <w:rsid w:val="004F4353"/>
    <w:rsid w:val="004F447D"/>
    <w:rsid w:val="004F4C28"/>
    <w:rsid w:val="004F5CC5"/>
    <w:rsid w:val="004F6261"/>
    <w:rsid w:val="00505ADA"/>
    <w:rsid w:val="00507040"/>
    <w:rsid w:val="005079F8"/>
    <w:rsid w:val="00510189"/>
    <w:rsid w:val="0051024D"/>
    <w:rsid w:val="005108C0"/>
    <w:rsid w:val="00511873"/>
    <w:rsid w:val="00513B7E"/>
    <w:rsid w:val="00514474"/>
    <w:rsid w:val="00514EBE"/>
    <w:rsid w:val="005215EF"/>
    <w:rsid w:val="00524637"/>
    <w:rsid w:val="00525137"/>
    <w:rsid w:val="005251DD"/>
    <w:rsid w:val="00527913"/>
    <w:rsid w:val="0053017A"/>
    <w:rsid w:val="00530492"/>
    <w:rsid w:val="00532854"/>
    <w:rsid w:val="00532BE8"/>
    <w:rsid w:val="005350F2"/>
    <w:rsid w:val="00535152"/>
    <w:rsid w:val="005351B6"/>
    <w:rsid w:val="00535359"/>
    <w:rsid w:val="005356C8"/>
    <w:rsid w:val="005357A2"/>
    <w:rsid w:val="00535D87"/>
    <w:rsid w:val="00535EF0"/>
    <w:rsid w:val="0053734B"/>
    <w:rsid w:val="00537AFD"/>
    <w:rsid w:val="00537CB4"/>
    <w:rsid w:val="00540895"/>
    <w:rsid w:val="00541B19"/>
    <w:rsid w:val="0054516B"/>
    <w:rsid w:val="0054559E"/>
    <w:rsid w:val="005513D5"/>
    <w:rsid w:val="005523B9"/>
    <w:rsid w:val="005545E0"/>
    <w:rsid w:val="00554865"/>
    <w:rsid w:val="00554E57"/>
    <w:rsid w:val="00562749"/>
    <w:rsid w:val="00562DE9"/>
    <w:rsid w:val="00563674"/>
    <w:rsid w:val="005638A5"/>
    <w:rsid w:val="00566381"/>
    <w:rsid w:val="00566A03"/>
    <w:rsid w:val="00571932"/>
    <w:rsid w:val="00573C97"/>
    <w:rsid w:val="00574240"/>
    <w:rsid w:val="00575CDC"/>
    <w:rsid w:val="005765D5"/>
    <w:rsid w:val="00576A3E"/>
    <w:rsid w:val="0058031B"/>
    <w:rsid w:val="00583D5B"/>
    <w:rsid w:val="00583FFD"/>
    <w:rsid w:val="00587CCD"/>
    <w:rsid w:val="005908AE"/>
    <w:rsid w:val="0059176E"/>
    <w:rsid w:val="00593152"/>
    <w:rsid w:val="00593CA3"/>
    <w:rsid w:val="00594161"/>
    <w:rsid w:val="00594969"/>
    <w:rsid w:val="00596C5E"/>
    <w:rsid w:val="005A2194"/>
    <w:rsid w:val="005A21E0"/>
    <w:rsid w:val="005A33A1"/>
    <w:rsid w:val="005A54EE"/>
    <w:rsid w:val="005A5F6C"/>
    <w:rsid w:val="005A7500"/>
    <w:rsid w:val="005B1BDB"/>
    <w:rsid w:val="005B2BAA"/>
    <w:rsid w:val="005B2D53"/>
    <w:rsid w:val="005B3060"/>
    <w:rsid w:val="005B3247"/>
    <w:rsid w:val="005B3409"/>
    <w:rsid w:val="005B7B12"/>
    <w:rsid w:val="005C0AC0"/>
    <w:rsid w:val="005C16CB"/>
    <w:rsid w:val="005C3F9F"/>
    <w:rsid w:val="005C4A23"/>
    <w:rsid w:val="005C6400"/>
    <w:rsid w:val="005C7F1E"/>
    <w:rsid w:val="005D374F"/>
    <w:rsid w:val="005D5802"/>
    <w:rsid w:val="005D6CFC"/>
    <w:rsid w:val="005D73E2"/>
    <w:rsid w:val="005E0476"/>
    <w:rsid w:val="005E1884"/>
    <w:rsid w:val="005E1E4B"/>
    <w:rsid w:val="005E362D"/>
    <w:rsid w:val="005E492C"/>
    <w:rsid w:val="005E4BAA"/>
    <w:rsid w:val="005E52EF"/>
    <w:rsid w:val="005E5B56"/>
    <w:rsid w:val="005E6088"/>
    <w:rsid w:val="005E61DF"/>
    <w:rsid w:val="005E6B78"/>
    <w:rsid w:val="005F4057"/>
    <w:rsid w:val="005F4088"/>
    <w:rsid w:val="005F6119"/>
    <w:rsid w:val="006004C6"/>
    <w:rsid w:val="0060107A"/>
    <w:rsid w:val="00601AFF"/>
    <w:rsid w:val="00602D1D"/>
    <w:rsid w:val="00604307"/>
    <w:rsid w:val="0060487F"/>
    <w:rsid w:val="00605814"/>
    <w:rsid w:val="00606B93"/>
    <w:rsid w:val="00607727"/>
    <w:rsid w:val="006118AA"/>
    <w:rsid w:val="006139C7"/>
    <w:rsid w:val="006153E3"/>
    <w:rsid w:val="00617D2D"/>
    <w:rsid w:val="00617D83"/>
    <w:rsid w:val="00620AC5"/>
    <w:rsid w:val="00620D38"/>
    <w:rsid w:val="00621575"/>
    <w:rsid w:val="006215FC"/>
    <w:rsid w:val="00624093"/>
    <w:rsid w:val="00630F66"/>
    <w:rsid w:val="00631FC2"/>
    <w:rsid w:val="00632171"/>
    <w:rsid w:val="0063284E"/>
    <w:rsid w:val="0063332A"/>
    <w:rsid w:val="006347F9"/>
    <w:rsid w:val="00634C90"/>
    <w:rsid w:val="00635E79"/>
    <w:rsid w:val="00636E5E"/>
    <w:rsid w:val="006404A7"/>
    <w:rsid w:val="006407F3"/>
    <w:rsid w:val="00644DFC"/>
    <w:rsid w:val="006451E4"/>
    <w:rsid w:val="006460B8"/>
    <w:rsid w:val="006520C7"/>
    <w:rsid w:val="0065277F"/>
    <w:rsid w:val="006530B8"/>
    <w:rsid w:val="006535D6"/>
    <w:rsid w:val="0065559D"/>
    <w:rsid w:val="006572ED"/>
    <w:rsid w:val="00657E87"/>
    <w:rsid w:val="00660457"/>
    <w:rsid w:val="00660E1E"/>
    <w:rsid w:val="006637B1"/>
    <w:rsid w:val="00665D67"/>
    <w:rsid w:val="00665D77"/>
    <w:rsid w:val="006660CD"/>
    <w:rsid w:val="006662B5"/>
    <w:rsid w:val="00666F4B"/>
    <w:rsid w:val="006676D0"/>
    <w:rsid w:val="00670FAC"/>
    <w:rsid w:val="006710C9"/>
    <w:rsid w:val="00675E37"/>
    <w:rsid w:val="00676F11"/>
    <w:rsid w:val="00680079"/>
    <w:rsid w:val="00680F68"/>
    <w:rsid w:val="0068260E"/>
    <w:rsid w:val="0068373D"/>
    <w:rsid w:val="00683BFE"/>
    <w:rsid w:val="00685069"/>
    <w:rsid w:val="006857DF"/>
    <w:rsid w:val="00685E66"/>
    <w:rsid w:val="00686B72"/>
    <w:rsid w:val="00686BF1"/>
    <w:rsid w:val="00690A09"/>
    <w:rsid w:val="00693FEA"/>
    <w:rsid w:val="00694930"/>
    <w:rsid w:val="00695170"/>
    <w:rsid w:val="00695BEF"/>
    <w:rsid w:val="006960D6"/>
    <w:rsid w:val="00696AA5"/>
    <w:rsid w:val="006974EE"/>
    <w:rsid w:val="006977F6"/>
    <w:rsid w:val="00697A13"/>
    <w:rsid w:val="006A109C"/>
    <w:rsid w:val="006A3CF3"/>
    <w:rsid w:val="006A672B"/>
    <w:rsid w:val="006B3F8A"/>
    <w:rsid w:val="006B5CA3"/>
    <w:rsid w:val="006B6B3B"/>
    <w:rsid w:val="006B7714"/>
    <w:rsid w:val="006B7816"/>
    <w:rsid w:val="006B78D8"/>
    <w:rsid w:val="006C090F"/>
    <w:rsid w:val="006C113F"/>
    <w:rsid w:val="006C38DD"/>
    <w:rsid w:val="006C5577"/>
    <w:rsid w:val="006C559A"/>
    <w:rsid w:val="006C58FA"/>
    <w:rsid w:val="006D042D"/>
    <w:rsid w:val="006D06EF"/>
    <w:rsid w:val="006D142E"/>
    <w:rsid w:val="006D4E6F"/>
    <w:rsid w:val="006D61F6"/>
    <w:rsid w:val="006E1F4C"/>
    <w:rsid w:val="006E279A"/>
    <w:rsid w:val="006E2F3F"/>
    <w:rsid w:val="006E313B"/>
    <w:rsid w:val="006E442A"/>
    <w:rsid w:val="006E5CFD"/>
    <w:rsid w:val="006F1326"/>
    <w:rsid w:val="006F2BEE"/>
    <w:rsid w:val="006F3708"/>
    <w:rsid w:val="006F3E6B"/>
    <w:rsid w:val="006F4A59"/>
    <w:rsid w:val="007014C7"/>
    <w:rsid w:val="00702D6F"/>
    <w:rsid w:val="007032F0"/>
    <w:rsid w:val="00703B6C"/>
    <w:rsid w:val="007047D5"/>
    <w:rsid w:val="00705D98"/>
    <w:rsid w:val="00707891"/>
    <w:rsid w:val="007078EE"/>
    <w:rsid w:val="00707D43"/>
    <w:rsid w:val="00711EF1"/>
    <w:rsid w:val="0071229A"/>
    <w:rsid w:val="00712572"/>
    <w:rsid w:val="00713495"/>
    <w:rsid w:val="00720FA2"/>
    <w:rsid w:val="007211F5"/>
    <w:rsid w:val="00724666"/>
    <w:rsid w:val="00726043"/>
    <w:rsid w:val="0072704A"/>
    <w:rsid w:val="00730AE8"/>
    <w:rsid w:val="00731963"/>
    <w:rsid w:val="00734321"/>
    <w:rsid w:val="00737289"/>
    <w:rsid w:val="00740310"/>
    <w:rsid w:val="00740652"/>
    <w:rsid w:val="00740F02"/>
    <w:rsid w:val="00740FEC"/>
    <w:rsid w:val="0074132E"/>
    <w:rsid w:val="00741493"/>
    <w:rsid w:val="007426B3"/>
    <w:rsid w:val="007426FD"/>
    <w:rsid w:val="0074329D"/>
    <w:rsid w:val="00744376"/>
    <w:rsid w:val="007449EA"/>
    <w:rsid w:val="007451AE"/>
    <w:rsid w:val="00746DD9"/>
    <w:rsid w:val="0075057A"/>
    <w:rsid w:val="00751771"/>
    <w:rsid w:val="00751C1C"/>
    <w:rsid w:val="00752180"/>
    <w:rsid w:val="007521A1"/>
    <w:rsid w:val="0075315D"/>
    <w:rsid w:val="007538F9"/>
    <w:rsid w:val="00753AFD"/>
    <w:rsid w:val="00754253"/>
    <w:rsid w:val="007552BB"/>
    <w:rsid w:val="007558D3"/>
    <w:rsid w:val="007559D7"/>
    <w:rsid w:val="00755D3A"/>
    <w:rsid w:val="00760141"/>
    <w:rsid w:val="007609C6"/>
    <w:rsid w:val="007610A0"/>
    <w:rsid w:val="007620F2"/>
    <w:rsid w:val="00762E34"/>
    <w:rsid w:val="00762EBA"/>
    <w:rsid w:val="0076359D"/>
    <w:rsid w:val="00772536"/>
    <w:rsid w:val="00773613"/>
    <w:rsid w:val="007736AA"/>
    <w:rsid w:val="00774782"/>
    <w:rsid w:val="00776527"/>
    <w:rsid w:val="0078113E"/>
    <w:rsid w:val="00781834"/>
    <w:rsid w:val="007821DB"/>
    <w:rsid w:val="00782744"/>
    <w:rsid w:val="00782818"/>
    <w:rsid w:val="00783C86"/>
    <w:rsid w:val="00784C4A"/>
    <w:rsid w:val="00786884"/>
    <w:rsid w:val="00787432"/>
    <w:rsid w:val="00787507"/>
    <w:rsid w:val="007879F2"/>
    <w:rsid w:val="00787D78"/>
    <w:rsid w:val="00791CF8"/>
    <w:rsid w:val="00792262"/>
    <w:rsid w:val="00793387"/>
    <w:rsid w:val="00793BAE"/>
    <w:rsid w:val="00794E0A"/>
    <w:rsid w:val="00796642"/>
    <w:rsid w:val="007A11D9"/>
    <w:rsid w:val="007A327B"/>
    <w:rsid w:val="007A4019"/>
    <w:rsid w:val="007A4606"/>
    <w:rsid w:val="007B1966"/>
    <w:rsid w:val="007B3DCC"/>
    <w:rsid w:val="007B4518"/>
    <w:rsid w:val="007B5031"/>
    <w:rsid w:val="007B517F"/>
    <w:rsid w:val="007B573F"/>
    <w:rsid w:val="007C3976"/>
    <w:rsid w:val="007C605B"/>
    <w:rsid w:val="007D2A5A"/>
    <w:rsid w:val="007D2AD8"/>
    <w:rsid w:val="007D2C47"/>
    <w:rsid w:val="007D3167"/>
    <w:rsid w:val="007D4281"/>
    <w:rsid w:val="007D42F5"/>
    <w:rsid w:val="007D44C3"/>
    <w:rsid w:val="007D5947"/>
    <w:rsid w:val="007D65C1"/>
    <w:rsid w:val="007E030F"/>
    <w:rsid w:val="007E0E59"/>
    <w:rsid w:val="007E0F4B"/>
    <w:rsid w:val="007E7E61"/>
    <w:rsid w:val="007F0845"/>
    <w:rsid w:val="007F16F9"/>
    <w:rsid w:val="007F1DC0"/>
    <w:rsid w:val="007F337B"/>
    <w:rsid w:val="007F37BA"/>
    <w:rsid w:val="007F3E3E"/>
    <w:rsid w:val="007F500D"/>
    <w:rsid w:val="007F5F14"/>
    <w:rsid w:val="007F7B54"/>
    <w:rsid w:val="008005D7"/>
    <w:rsid w:val="00801FDD"/>
    <w:rsid w:val="008020C2"/>
    <w:rsid w:val="0080255C"/>
    <w:rsid w:val="0081187C"/>
    <w:rsid w:val="00811E24"/>
    <w:rsid w:val="00812E2B"/>
    <w:rsid w:val="00813A70"/>
    <w:rsid w:val="00813FE6"/>
    <w:rsid w:val="00815C6E"/>
    <w:rsid w:val="0081645F"/>
    <w:rsid w:val="00816B74"/>
    <w:rsid w:val="008178C2"/>
    <w:rsid w:val="008178CF"/>
    <w:rsid w:val="00817C98"/>
    <w:rsid w:val="00820C9F"/>
    <w:rsid w:val="00821FF6"/>
    <w:rsid w:val="00823A05"/>
    <w:rsid w:val="00823AAF"/>
    <w:rsid w:val="00824081"/>
    <w:rsid w:val="0082409A"/>
    <w:rsid w:val="00827181"/>
    <w:rsid w:val="00827746"/>
    <w:rsid w:val="0083143E"/>
    <w:rsid w:val="0083159D"/>
    <w:rsid w:val="00832187"/>
    <w:rsid w:val="008336D8"/>
    <w:rsid w:val="008339C4"/>
    <w:rsid w:val="00834A2F"/>
    <w:rsid w:val="00834F0A"/>
    <w:rsid w:val="00834FAA"/>
    <w:rsid w:val="00836086"/>
    <w:rsid w:val="008373E9"/>
    <w:rsid w:val="00841D9F"/>
    <w:rsid w:val="00842604"/>
    <w:rsid w:val="00843ECF"/>
    <w:rsid w:val="00846673"/>
    <w:rsid w:val="00846BB6"/>
    <w:rsid w:val="00847380"/>
    <w:rsid w:val="0085281A"/>
    <w:rsid w:val="008559FE"/>
    <w:rsid w:val="00857339"/>
    <w:rsid w:val="008575E1"/>
    <w:rsid w:val="00862A7A"/>
    <w:rsid w:val="00863D9E"/>
    <w:rsid w:val="008642AF"/>
    <w:rsid w:val="00865986"/>
    <w:rsid w:val="00867E29"/>
    <w:rsid w:val="00870F2B"/>
    <w:rsid w:val="00873C15"/>
    <w:rsid w:val="008746E6"/>
    <w:rsid w:val="00876086"/>
    <w:rsid w:val="008768D6"/>
    <w:rsid w:val="008775D1"/>
    <w:rsid w:val="008777BB"/>
    <w:rsid w:val="00877D68"/>
    <w:rsid w:val="00877E5D"/>
    <w:rsid w:val="0088733A"/>
    <w:rsid w:val="008875EB"/>
    <w:rsid w:val="00891906"/>
    <w:rsid w:val="00891BE0"/>
    <w:rsid w:val="00893302"/>
    <w:rsid w:val="008945A1"/>
    <w:rsid w:val="00894A63"/>
    <w:rsid w:val="00895A54"/>
    <w:rsid w:val="00896916"/>
    <w:rsid w:val="00896BDE"/>
    <w:rsid w:val="00896C64"/>
    <w:rsid w:val="008A0436"/>
    <w:rsid w:val="008A0861"/>
    <w:rsid w:val="008A0BB2"/>
    <w:rsid w:val="008A1AB3"/>
    <w:rsid w:val="008A1C82"/>
    <w:rsid w:val="008A1D5C"/>
    <w:rsid w:val="008A3292"/>
    <w:rsid w:val="008A3A85"/>
    <w:rsid w:val="008A43E9"/>
    <w:rsid w:val="008A4CB1"/>
    <w:rsid w:val="008A615E"/>
    <w:rsid w:val="008A632B"/>
    <w:rsid w:val="008A6BFE"/>
    <w:rsid w:val="008B190E"/>
    <w:rsid w:val="008B1A8A"/>
    <w:rsid w:val="008B7306"/>
    <w:rsid w:val="008B775F"/>
    <w:rsid w:val="008B7C02"/>
    <w:rsid w:val="008B7F9E"/>
    <w:rsid w:val="008C0431"/>
    <w:rsid w:val="008C0E88"/>
    <w:rsid w:val="008C1AA8"/>
    <w:rsid w:val="008C22A8"/>
    <w:rsid w:val="008C63FD"/>
    <w:rsid w:val="008C6A4F"/>
    <w:rsid w:val="008C6CB8"/>
    <w:rsid w:val="008C7815"/>
    <w:rsid w:val="008C7A07"/>
    <w:rsid w:val="008D0171"/>
    <w:rsid w:val="008D2A16"/>
    <w:rsid w:val="008D2ECF"/>
    <w:rsid w:val="008D3F3D"/>
    <w:rsid w:val="008E31FF"/>
    <w:rsid w:val="008E3FB2"/>
    <w:rsid w:val="008E5DE6"/>
    <w:rsid w:val="008E6113"/>
    <w:rsid w:val="008E6AB3"/>
    <w:rsid w:val="008E6AD3"/>
    <w:rsid w:val="008E71A6"/>
    <w:rsid w:val="008E77B6"/>
    <w:rsid w:val="008E789F"/>
    <w:rsid w:val="008F032E"/>
    <w:rsid w:val="008F0F14"/>
    <w:rsid w:val="008F4FCE"/>
    <w:rsid w:val="008F5301"/>
    <w:rsid w:val="008F7D28"/>
    <w:rsid w:val="009003A8"/>
    <w:rsid w:val="00902CBE"/>
    <w:rsid w:val="00902D74"/>
    <w:rsid w:val="00902EFF"/>
    <w:rsid w:val="00903E06"/>
    <w:rsid w:val="00904B9D"/>
    <w:rsid w:val="009066E1"/>
    <w:rsid w:val="00907A41"/>
    <w:rsid w:val="009102BD"/>
    <w:rsid w:val="00910F93"/>
    <w:rsid w:val="00914426"/>
    <w:rsid w:val="0091675F"/>
    <w:rsid w:val="00916B87"/>
    <w:rsid w:val="00917709"/>
    <w:rsid w:val="00917918"/>
    <w:rsid w:val="00921F14"/>
    <w:rsid w:val="00923750"/>
    <w:rsid w:val="009243A5"/>
    <w:rsid w:val="009250D2"/>
    <w:rsid w:val="00926283"/>
    <w:rsid w:val="00926959"/>
    <w:rsid w:val="009340A2"/>
    <w:rsid w:val="00937B11"/>
    <w:rsid w:val="00940F1F"/>
    <w:rsid w:val="00941250"/>
    <w:rsid w:val="00942B5F"/>
    <w:rsid w:val="00943AF9"/>
    <w:rsid w:val="0094427A"/>
    <w:rsid w:val="009459C5"/>
    <w:rsid w:val="0094626C"/>
    <w:rsid w:val="0095013A"/>
    <w:rsid w:val="00953AEF"/>
    <w:rsid w:val="00953B56"/>
    <w:rsid w:val="00954026"/>
    <w:rsid w:val="00954E23"/>
    <w:rsid w:val="009551E2"/>
    <w:rsid w:val="00955783"/>
    <w:rsid w:val="00955E5F"/>
    <w:rsid w:val="009560B0"/>
    <w:rsid w:val="00957871"/>
    <w:rsid w:val="00964498"/>
    <w:rsid w:val="009663EB"/>
    <w:rsid w:val="0096650F"/>
    <w:rsid w:val="009700DB"/>
    <w:rsid w:val="00970CAA"/>
    <w:rsid w:val="00972263"/>
    <w:rsid w:val="009726B9"/>
    <w:rsid w:val="00972D8D"/>
    <w:rsid w:val="00973AAE"/>
    <w:rsid w:val="0097476C"/>
    <w:rsid w:val="00974923"/>
    <w:rsid w:val="00974D48"/>
    <w:rsid w:val="00974D5F"/>
    <w:rsid w:val="00975017"/>
    <w:rsid w:val="009759DF"/>
    <w:rsid w:val="009778B0"/>
    <w:rsid w:val="00980621"/>
    <w:rsid w:val="00982072"/>
    <w:rsid w:val="00983ECF"/>
    <w:rsid w:val="00986745"/>
    <w:rsid w:val="00987109"/>
    <w:rsid w:val="00987309"/>
    <w:rsid w:val="0099012D"/>
    <w:rsid w:val="009954FF"/>
    <w:rsid w:val="00996355"/>
    <w:rsid w:val="009978B4"/>
    <w:rsid w:val="009A2014"/>
    <w:rsid w:val="009A4E12"/>
    <w:rsid w:val="009A5C68"/>
    <w:rsid w:val="009B04D0"/>
    <w:rsid w:val="009B052C"/>
    <w:rsid w:val="009B0EF2"/>
    <w:rsid w:val="009B23A3"/>
    <w:rsid w:val="009B4925"/>
    <w:rsid w:val="009B4B4B"/>
    <w:rsid w:val="009B6CE7"/>
    <w:rsid w:val="009B6FD3"/>
    <w:rsid w:val="009B70BD"/>
    <w:rsid w:val="009C07A5"/>
    <w:rsid w:val="009C7388"/>
    <w:rsid w:val="009D1551"/>
    <w:rsid w:val="009D2859"/>
    <w:rsid w:val="009D4173"/>
    <w:rsid w:val="009D48AD"/>
    <w:rsid w:val="009D6095"/>
    <w:rsid w:val="009D6306"/>
    <w:rsid w:val="009D7047"/>
    <w:rsid w:val="009E048A"/>
    <w:rsid w:val="009E1FBA"/>
    <w:rsid w:val="009E2C54"/>
    <w:rsid w:val="009E3710"/>
    <w:rsid w:val="009E7B1F"/>
    <w:rsid w:val="009F41C4"/>
    <w:rsid w:val="009F5846"/>
    <w:rsid w:val="009F7D77"/>
    <w:rsid w:val="00A07E68"/>
    <w:rsid w:val="00A10D66"/>
    <w:rsid w:val="00A13A17"/>
    <w:rsid w:val="00A1420C"/>
    <w:rsid w:val="00A14821"/>
    <w:rsid w:val="00A17754"/>
    <w:rsid w:val="00A2055B"/>
    <w:rsid w:val="00A2253C"/>
    <w:rsid w:val="00A23545"/>
    <w:rsid w:val="00A23A55"/>
    <w:rsid w:val="00A23E43"/>
    <w:rsid w:val="00A24F8C"/>
    <w:rsid w:val="00A262BF"/>
    <w:rsid w:val="00A271AD"/>
    <w:rsid w:val="00A27581"/>
    <w:rsid w:val="00A276D5"/>
    <w:rsid w:val="00A30336"/>
    <w:rsid w:val="00A30BB5"/>
    <w:rsid w:val="00A3128F"/>
    <w:rsid w:val="00A326D0"/>
    <w:rsid w:val="00A347A4"/>
    <w:rsid w:val="00A35287"/>
    <w:rsid w:val="00A378F8"/>
    <w:rsid w:val="00A40B19"/>
    <w:rsid w:val="00A424F8"/>
    <w:rsid w:val="00A437B7"/>
    <w:rsid w:val="00A46DE0"/>
    <w:rsid w:val="00A4778A"/>
    <w:rsid w:val="00A5067F"/>
    <w:rsid w:val="00A550B7"/>
    <w:rsid w:val="00A55301"/>
    <w:rsid w:val="00A57B3C"/>
    <w:rsid w:val="00A60FD0"/>
    <w:rsid w:val="00A6128E"/>
    <w:rsid w:val="00A62CE1"/>
    <w:rsid w:val="00A631FA"/>
    <w:rsid w:val="00A64203"/>
    <w:rsid w:val="00A64348"/>
    <w:rsid w:val="00A6591D"/>
    <w:rsid w:val="00A66999"/>
    <w:rsid w:val="00A721FB"/>
    <w:rsid w:val="00A727BA"/>
    <w:rsid w:val="00A72D4B"/>
    <w:rsid w:val="00A732AE"/>
    <w:rsid w:val="00A75E40"/>
    <w:rsid w:val="00A77E80"/>
    <w:rsid w:val="00A77EB2"/>
    <w:rsid w:val="00A82B66"/>
    <w:rsid w:val="00A83B58"/>
    <w:rsid w:val="00A851B6"/>
    <w:rsid w:val="00A85729"/>
    <w:rsid w:val="00A8574B"/>
    <w:rsid w:val="00A857C0"/>
    <w:rsid w:val="00A96463"/>
    <w:rsid w:val="00A97E3F"/>
    <w:rsid w:val="00AA09D3"/>
    <w:rsid w:val="00AA23FB"/>
    <w:rsid w:val="00AA42AB"/>
    <w:rsid w:val="00AA559A"/>
    <w:rsid w:val="00AB104D"/>
    <w:rsid w:val="00AB2AF1"/>
    <w:rsid w:val="00AB2FC7"/>
    <w:rsid w:val="00AB440B"/>
    <w:rsid w:val="00AB47E3"/>
    <w:rsid w:val="00AB74C5"/>
    <w:rsid w:val="00AB7DF2"/>
    <w:rsid w:val="00AC1E3F"/>
    <w:rsid w:val="00AC4F18"/>
    <w:rsid w:val="00AC6C4D"/>
    <w:rsid w:val="00AD0B46"/>
    <w:rsid w:val="00AD1094"/>
    <w:rsid w:val="00AD2565"/>
    <w:rsid w:val="00AD306C"/>
    <w:rsid w:val="00AD3424"/>
    <w:rsid w:val="00AD50D1"/>
    <w:rsid w:val="00AD59BB"/>
    <w:rsid w:val="00AD5D68"/>
    <w:rsid w:val="00AD6C73"/>
    <w:rsid w:val="00AE06D0"/>
    <w:rsid w:val="00AE2DA2"/>
    <w:rsid w:val="00AE39DC"/>
    <w:rsid w:val="00AE3CDA"/>
    <w:rsid w:val="00AE3CEF"/>
    <w:rsid w:val="00AE7968"/>
    <w:rsid w:val="00AF128B"/>
    <w:rsid w:val="00AF1AEA"/>
    <w:rsid w:val="00AF2852"/>
    <w:rsid w:val="00AF3225"/>
    <w:rsid w:val="00AF518B"/>
    <w:rsid w:val="00AF5275"/>
    <w:rsid w:val="00AF6367"/>
    <w:rsid w:val="00AF6A79"/>
    <w:rsid w:val="00AF724E"/>
    <w:rsid w:val="00AF73A9"/>
    <w:rsid w:val="00B01C2C"/>
    <w:rsid w:val="00B0231C"/>
    <w:rsid w:val="00B07DA3"/>
    <w:rsid w:val="00B15DCD"/>
    <w:rsid w:val="00B17E71"/>
    <w:rsid w:val="00B17FDE"/>
    <w:rsid w:val="00B208FC"/>
    <w:rsid w:val="00B20C65"/>
    <w:rsid w:val="00B22E17"/>
    <w:rsid w:val="00B26015"/>
    <w:rsid w:val="00B26964"/>
    <w:rsid w:val="00B27293"/>
    <w:rsid w:val="00B2763E"/>
    <w:rsid w:val="00B30B30"/>
    <w:rsid w:val="00B3229E"/>
    <w:rsid w:val="00B32DDB"/>
    <w:rsid w:val="00B35174"/>
    <w:rsid w:val="00B35BEA"/>
    <w:rsid w:val="00B3793D"/>
    <w:rsid w:val="00B41BE6"/>
    <w:rsid w:val="00B457E7"/>
    <w:rsid w:val="00B45D1B"/>
    <w:rsid w:val="00B46D25"/>
    <w:rsid w:val="00B47430"/>
    <w:rsid w:val="00B52D2D"/>
    <w:rsid w:val="00B55301"/>
    <w:rsid w:val="00B55BA8"/>
    <w:rsid w:val="00B55F15"/>
    <w:rsid w:val="00B561A6"/>
    <w:rsid w:val="00B60062"/>
    <w:rsid w:val="00B62960"/>
    <w:rsid w:val="00B63A11"/>
    <w:rsid w:val="00B63FD0"/>
    <w:rsid w:val="00B65C84"/>
    <w:rsid w:val="00B6608F"/>
    <w:rsid w:val="00B71069"/>
    <w:rsid w:val="00B74317"/>
    <w:rsid w:val="00B76D1E"/>
    <w:rsid w:val="00B800EB"/>
    <w:rsid w:val="00B822D2"/>
    <w:rsid w:val="00B848B8"/>
    <w:rsid w:val="00B84A41"/>
    <w:rsid w:val="00B84D57"/>
    <w:rsid w:val="00B85689"/>
    <w:rsid w:val="00B85C07"/>
    <w:rsid w:val="00B86748"/>
    <w:rsid w:val="00B87DF4"/>
    <w:rsid w:val="00B907EA"/>
    <w:rsid w:val="00B91EC9"/>
    <w:rsid w:val="00B924CA"/>
    <w:rsid w:val="00B93384"/>
    <w:rsid w:val="00B94417"/>
    <w:rsid w:val="00B95940"/>
    <w:rsid w:val="00B95EF8"/>
    <w:rsid w:val="00B95F50"/>
    <w:rsid w:val="00B96BD9"/>
    <w:rsid w:val="00BA58FD"/>
    <w:rsid w:val="00BB1CFD"/>
    <w:rsid w:val="00BB2C53"/>
    <w:rsid w:val="00BB32DA"/>
    <w:rsid w:val="00BB3A54"/>
    <w:rsid w:val="00BB4E21"/>
    <w:rsid w:val="00BB7746"/>
    <w:rsid w:val="00BC22EB"/>
    <w:rsid w:val="00BC3475"/>
    <w:rsid w:val="00BC682B"/>
    <w:rsid w:val="00BC6B04"/>
    <w:rsid w:val="00BD186B"/>
    <w:rsid w:val="00BD1EAC"/>
    <w:rsid w:val="00BD3428"/>
    <w:rsid w:val="00BD366B"/>
    <w:rsid w:val="00BD534C"/>
    <w:rsid w:val="00BD56BC"/>
    <w:rsid w:val="00BD5D91"/>
    <w:rsid w:val="00BD6615"/>
    <w:rsid w:val="00BD69DC"/>
    <w:rsid w:val="00BD6D50"/>
    <w:rsid w:val="00BE0D79"/>
    <w:rsid w:val="00BE0DB0"/>
    <w:rsid w:val="00BE2583"/>
    <w:rsid w:val="00BE3381"/>
    <w:rsid w:val="00BE3F09"/>
    <w:rsid w:val="00BE670A"/>
    <w:rsid w:val="00BE6906"/>
    <w:rsid w:val="00BF18F4"/>
    <w:rsid w:val="00BF1A69"/>
    <w:rsid w:val="00BF3BC8"/>
    <w:rsid w:val="00BF3DF1"/>
    <w:rsid w:val="00BF4C31"/>
    <w:rsid w:val="00BF4E57"/>
    <w:rsid w:val="00C00F20"/>
    <w:rsid w:val="00C034E6"/>
    <w:rsid w:val="00C04E1D"/>
    <w:rsid w:val="00C0784A"/>
    <w:rsid w:val="00C10B28"/>
    <w:rsid w:val="00C10FAE"/>
    <w:rsid w:val="00C12A69"/>
    <w:rsid w:val="00C150BE"/>
    <w:rsid w:val="00C15A0C"/>
    <w:rsid w:val="00C15DCB"/>
    <w:rsid w:val="00C1711F"/>
    <w:rsid w:val="00C20744"/>
    <w:rsid w:val="00C20C4D"/>
    <w:rsid w:val="00C21D46"/>
    <w:rsid w:val="00C21F94"/>
    <w:rsid w:val="00C2201D"/>
    <w:rsid w:val="00C222A1"/>
    <w:rsid w:val="00C23CBD"/>
    <w:rsid w:val="00C23D22"/>
    <w:rsid w:val="00C2463B"/>
    <w:rsid w:val="00C24E77"/>
    <w:rsid w:val="00C2732D"/>
    <w:rsid w:val="00C273C6"/>
    <w:rsid w:val="00C27913"/>
    <w:rsid w:val="00C300C6"/>
    <w:rsid w:val="00C3271C"/>
    <w:rsid w:val="00C34FDE"/>
    <w:rsid w:val="00C35C16"/>
    <w:rsid w:val="00C375E9"/>
    <w:rsid w:val="00C40F81"/>
    <w:rsid w:val="00C41463"/>
    <w:rsid w:val="00C41A72"/>
    <w:rsid w:val="00C42192"/>
    <w:rsid w:val="00C431F5"/>
    <w:rsid w:val="00C476C5"/>
    <w:rsid w:val="00C503B0"/>
    <w:rsid w:val="00C511C2"/>
    <w:rsid w:val="00C53D82"/>
    <w:rsid w:val="00C60696"/>
    <w:rsid w:val="00C615F1"/>
    <w:rsid w:val="00C61627"/>
    <w:rsid w:val="00C63B21"/>
    <w:rsid w:val="00C64E60"/>
    <w:rsid w:val="00C657A4"/>
    <w:rsid w:val="00C6736C"/>
    <w:rsid w:val="00C71A1D"/>
    <w:rsid w:val="00C75C7E"/>
    <w:rsid w:val="00C75C9B"/>
    <w:rsid w:val="00C76D8E"/>
    <w:rsid w:val="00C77833"/>
    <w:rsid w:val="00C803C0"/>
    <w:rsid w:val="00C80C9B"/>
    <w:rsid w:val="00C8335E"/>
    <w:rsid w:val="00C83F9C"/>
    <w:rsid w:val="00C84CE3"/>
    <w:rsid w:val="00C85614"/>
    <w:rsid w:val="00C90CF4"/>
    <w:rsid w:val="00C91C19"/>
    <w:rsid w:val="00C929A0"/>
    <w:rsid w:val="00C93389"/>
    <w:rsid w:val="00C937DB"/>
    <w:rsid w:val="00C94519"/>
    <w:rsid w:val="00C94677"/>
    <w:rsid w:val="00C94E83"/>
    <w:rsid w:val="00CA140F"/>
    <w:rsid w:val="00CA25C2"/>
    <w:rsid w:val="00CA37CA"/>
    <w:rsid w:val="00CA6508"/>
    <w:rsid w:val="00CA6BA1"/>
    <w:rsid w:val="00CA6CD5"/>
    <w:rsid w:val="00CB1910"/>
    <w:rsid w:val="00CB2150"/>
    <w:rsid w:val="00CB28EE"/>
    <w:rsid w:val="00CB43A7"/>
    <w:rsid w:val="00CB5996"/>
    <w:rsid w:val="00CB7452"/>
    <w:rsid w:val="00CC0E10"/>
    <w:rsid w:val="00CC2642"/>
    <w:rsid w:val="00CC2E15"/>
    <w:rsid w:val="00CC3908"/>
    <w:rsid w:val="00CC62AD"/>
    <w:rsid w:val="00CC7B80"/>
    <w:rsid w:val="00CD2B3C"/>
    <w:rsid w:val="00CD30F6"/>
    <w:rsid w:val="00CD4B29"/>
    <w:rsid w:val="00CD693D"/>
    <w:rsid w:val="00CD6EF1"/>
    <w:rsid w:val="00CE21C7"/>
    <w:rsid w:val="00CE329C"/>
    <w:rsid w:val="00CE3DE9"/>
    <w:rsid w:val="00CE57D8"/>
    <w:rsid w:val="00CE617A"/>
    <w:rsid w:val="00CF28C2"/>
    <w:rsid w:val="00CF42BD"/>
    <w:rsid w:val="00CF51EC"/>
    <w:rsid w:val="00CF6CD7"/>
    <w:rsid w:val="00D0037A"/>
    <w:rsid w:val="00D00DAF"/>
    <w:rsid w:val="00D017EC"/>
    <w:rsid w:val="00D01CDA"/>
    <w:rsid w:val="00D02DB2"/>
    <w:rsid w:val="00D040DD"/>
    <w:rsid w:val="00D04E1B"/>
    <w:rsid w:val="00D06E5B"/>
    <w:rsid w:val="00D076DB"/>
    <w:rsid w:val="00D1067C"/>
    <w:rsid w:val="00D136D4"/>
    <w:rsid w:val="00D13830"/>
    <w:rsid w:val="00D13ECF"/>
    <w:rsid w:val="00D142E5"/>
    <w:rsid w:val="00D148CD"/>
    <w:rsid w:val="00D152C1"/>
    <w:rsid w:val="00D1611E"/>
    <w:rsid w:val="00D16E69"/>
    <w:rsid w:val="00D205A9"/>
    <w:rsid w:val="00D217EE"/>
    <w:rsid w:val="00D23442"/>
    <w:rsid w:val="00D245BA"/>
    <w:rsid w:val="00D26923"/>
    <w:rsid w:val="00D27856"/>
    <w:rsid w:val="00D301CA"/>
    <w:rsid w:val="00D30740"/>
    <w:rsid w:val="00D31075"/>
    <w:rsid w:val="00D31445"/>
    <w:rsid w:val="00D31932"/>
    <w:rsid w:val="00D336C7"/>
    <w:rsid w:val="00D3526E"/>
    <w:rsid w:val="00D378CC"/>
    <w:rsid w:val="00D4042C"/>
    <w:rsid w:val="00D42312"/>
    <w:rsid w:val="00D43998"/>
    <w:rsid w:val="00D4615E"/>
    <w:rsid w:val="00D478E2"/>
    <w:rsid w:val="00D50D80"/>
    <w:rsid w:val="00D5261D"/>
    <w:rsid w:val="00D5264C"/>
    <w:rsid w:val="00D547BA"/>
    <w:rsid w:val="00D55626"/>
    <w:rsid w:val="00D556BC"/>
    <w:rsid w:val="00D5626D"/>
    <w:rsid w:val="00D60277"/>
    <w:rsid w:val="00D6034A"/>
    <w:rsid w:val="00D61F88"/>
    <w:rsid w:val="00D62901"/>
    <w:rsid w:val="00D639A5"/>
    <w:rsid w:val="00D6470C"/>
    <w:rsid w:val="00D64853"/>
    <w:rsid w:val="00D64CB5"/>
    <w:rsid w:val="00D66D48"/>
    <w:rsid w:val="00D73256"/>
    <w:rsid w:val="00D73A30"/>
    <w:rsid w:val="00D74C65"/>
    <w:rsid w:val="00D75DC2"/>
    <w:rsid w:val="00D766EF"/>
    <w:rsid w:val="00D76C03"/>
    <w:rsid w:val="00D82462"/>
    <w:rsid w:val="00D83627"/>
    <w:rsid w:val="00D868CE"/>
    <w:rsid w:val="00D86DAE"/>
    <w:rsid w:val="00D87030"/>
    <w:rsid w:val="00D907C3"/>
    <w:rsid w:val="00D90C1E"/>
    <w:rsid w:val="00D91BDF"/>
    <w:rsid w:val="00D93F09"/>
    <w:rsid w:val="00D954C2"/>
    <w:rsid w:val="00D97BB8"/>
    <w:rsid w:val="00DA1318"/>
    <w:rsid w:val="00DA1382"/>
    <w:rsid w:val="00DA4AF6"/>
    <w:rsid w:val="00DB016E"/>
    <w:rsid w:val="00DB06E9"/>
    <w:rsid w:val="00DB378E"/>
    <w:rsid w:val="00DB3E9D"/>
    <w:rsid w:val="00DB47B9"/>
    <w:rsid w:val="00DB4FB8"/>
    <w:rsid w:val="00DB53CE"/>
    <w:rsid w:val="00DB549D"/>
    <w:rsid w:val="00DB64DD"/>
    <w:rsid w:val="00DC257F"/>
    <w:rsid w:val="00DC3790"/>
    <w:rsid w:val="00DC408A"/>
    <w:rsid w:val="00DC5B3B"/>
    <w:rsid w:val="00DC6796"/>
    <w:rsid w:val="00DC78DF"/>
    <w:rsid w:val="00DD0821"/>
    <w:rsid w:val="00DD0E32"/>
    <w:rsid w:val="00DD36D8"/>
    <w:rsid w:val="00DD373E"/>
    <w:rsid w:val="00DD57AD"/>
    <w:rsid w:val="00DD76A8"/>
    <w:rsid w:val="00DE009B"/>
    <w:rsid w:val="00DE1447"/>
    <w:rsid w:val="00DE2ED9"/>
    <w:rsid w:val="00DE319A"/>
    <w:rsid w:val="00DE4E12"/>
    <w:rsid w:val="00DF0DC3"/>
    <w:rsid w:val="00DF21FD"/>
    <w:rsid w:val="00DF2873"/>
    <w:rsid w:val="00DF5578"/>
    <w:rsid w:val="00DF78DD"/>
    <w:rsid w:val="00DF7FEC"/>
    <w:rsid w:val="00E00393"/>
    <w:rsid w:val="00E01C0E"/>
    <w:rsid w:val="00E02CF7"/>
    <w:rsid w:val="00E03B27"/>
    <w:rsid w:val="00E04694"/>
    <w:rsid w:val="00E05B2B"/>
    <w:rsid w:val="00E06A2A"/>
    <w:rsid w:val="00E07937"/>
    <w:rsid w:val="00E07F05"/>
    <w:rsid w:val="00E111C2"/>
    <w:rsid w:val="00E127E1"/>
    <w:rsid w:val="00E144D2"/>
    <w:rsid w:val="00E15346"/>
    <w:rsid w:val="00E15B7D"/>
    <w:rsid w:val="00E215EA"/>
    <w:rsid w:val="00E234BA"/>
    <w:rsid w:val="00E24619"/>
    <w:rsid w:val="00E25223"/>
    <w:rsid w:val="00E30BEA"/>
    <w:rsid w:val="00E31764"/>
    <w:rsid w:val="00E34985"/>
    <w:rsid w:val="00E34E4A"/>
    <w:rsid w:val="00E365B3"/>
    <w:rsid w:val="00E366BB"/>
    <w:rsid w:val="00E36F05"/>
    <w:rsid w:val="00E37C45"/>
    <w:rsid w:val="00E40AAA"/>
    <w:rsid w:val="00E438CF"/>
    <w:rsid w:val="00E43C41"/>
    <w:rsid w:val="00E450CE"/>
    <w:rsid w:val="00E45A00"/>
    <w:rsid w:val="00E45CE7"/>
    <w:rsid w:val="00E4631F"/>
    <w:rsid w:val="00E522BB"/>
    <w:rsid w:val="00E539E4"/>
    <w:rsid w:val="00E569C7"/>
    <w:rsid w:val="00E571F2"/>
    <w:rsid w:val="00E57429"/>
    <w:rsid w:val="00E67B4E"/>
    <w:rsid w:val="00E70510"/>
    <w:rsid w:val="00E71262"/>
    <w:rsid w:val="00E71A58"/>
    <w:rsid w:val="00E7724B"/>
    <w:rsid w:val="00E81DC2"/>
    <w:rsid w:val="00E84F21"/>
    <w:rsid w:val="00E90C03"/>
    <w:rsid w:val="00E90F73"/>
    <w:rsid w:val="00E921C7"/>
    <w:rsid w:val="00E92995"/>
    <w:rsid w:val="00E94612"/>
    <w:rsid w:val="00E95797"/>
    <w:rsid w:val="00E9682F"/>
    <w:rsid w:val="00E96A8D"/>
    <w:rsid w:val="00E972BA"/>
    <w:rsid w:val="00E97FA2"/>
    <w:rsid w:val="00EA06CB"/>
    <w:rsid w:val="00EA0C68"/>
    <w:rsid w:val="00EA3EBE"/>
    <w:rsid w:val="00EA3FAC"/>
    <w:rsid w:val="00EA4153"/>
    <w:rsid w:val="00EA5CD6"/>
    <w:rsid w:val="00EA6689"/>
    <w:rsid w:val="00EB20A0"/>
    <w:rsid w:val="00EB30B6"/>
    <w:rsid w:val="00EB4D7C"/>
    <w:rsid w:val="00EB4FA4"/>
    <w:rsid w:val="00EB5146"/>
    <w:rsid w:val="00EB55E9"/>
    <w:rsid w:val="00EB5641"/>
    <w:rsid w:val="00EB5CA9"/>
    <w:rsid w:val="00EB5ED4"/>
    <w:rsid w:val="00EB6537"/>
    <w:rsid w:val="00EB70E1"/>
    <w:rsid w:val="00EB763A"/>
    <w:rsid w:val="00EB7EB5"/>
    <w:rsid w:val="00EC454B"/>
    <w:rsid w:val="00EC6153"/>
    <w:rsid w:val="00EC7F92"/>
    <w:rsid w:val="00ED00A8"/>
    <w:rsid w:val="00ED0A79"/>
    <w:rsid w:val="00ED2961"/>
    <w:rsid w:val="00ED2989"/>
    <w:rsid w:val="00ED2CA5"/>
    <w:rsid w:val="00ED336F"/>
    <w:rsid w:val="00ED54D6"/>
    <w:rsid w:val="00ED5726"/>
    <w:rsid w:val="00EE0298"/>
    <w:rsid w:val="00EE0384"/>
    <w:rsid w:val="00EE10AA"/>
    <w:rsid w:val="00EE1637"/>
    <w:rsid w:val="00EE3B7A"/>
    <w:rsid w:val="00EE3E78"/>
    <w:rsid w:val="00EE5E02"/>
    <w:rsid w:val="00EE617D"/>
    <w:rsid w:val="00EE61BF"/>
    <w:rsid w:val="00EE6748"/>
    <w:rsid w:val="00EE6C6B"/>
    <w:rsid w:val="00EF0E75"/>
    <w:rsid w:val="00EF1F5A"/>
    <w:rsid w:val="00EF4199"/>
    <w:rsid w:val="00EF4685"/>
    <w:rsid w:val="00EF5397"/>
    <w:rsid w:val="00EF6BE3"/>
    <w:rsid w:val="00F00D0E"/>
    <w:rsid w:val="00F00D3C"/>
    <w:rsid w:val="00F04811"/>
    <w:rsid w:val="00F0488C"/>
    <w:rsid w:val="00F0496E"/>
    <w:rsid w:val="00F04D10"/>
    <w:rsid w:val="00F0625B"/>
    <w:rsid w:val="00F101FF"/>
    <w:rsid w:val="00F10A33"/>
    <w:rsid w:val="00F14CF4"/>
    <w:rsid w:val="00F15BEF"/>
    <w:rsid w:val="00F172BE"/>
    <w:rsid w:val="00F1776C"/>
    <w:rsid w:val="00F2037E"/>
    <w:rsid w:val="00F20D17"/>
    <w:rsid w:val="00F2103E"/>
    <w:rsid w:val="00F214FC"/>
    <w:rsid w:val="00F21C31"/>
    <w:rsid w:val="00F22FCD"/>
    <w:rsid w:val="00F23825"/>
    <w:rsid w:val="00F23FFF"/>
    <w:rsid w:val="00F2441D"/>
    <w:rsid w:val="00F24FAA"/>
    <w:rsid w:val="00F26197"/>
    <w:rsid w:val="00F318FC"/>
    <w:rsid w:val="00F31F76"/>
    <w:rsid w:val="00F3364D"/>
    <w:rsid w:val="00F34858"/>
    <w:rsid w:val="00F35899"/>
    <w:rsid w:val="00F35ACD"/>
    <w:rsid w:val="00F365BF"/>
    <w:rsid w:val="00F36BF8"/>
    <w:rsid w:val="00F37760"/>
    <w:rsid w:val="00F403D1"/>
    <w:rsid w:val="00F43921"/>
    <w:rsid w:val="00F4591F"/>
    <w:rsid w:val="00F4736B"/>
    <w:rsid w:val="00F47D05"/>
    <w:rsid w:val="00F50030"/>
    <w:rsid w:val="00F51FC9"/>
    <w:rsid w:val="00F54B31"/>
    <w:rsid w:val="00F54FD3"/>
    <w:rsid w:val="00F55605"/>
    <w:rsid w:val="00F62F02"/>
    <w:rsid w:val="00F63DDE"/>
    <w:rsid w:val="00F63FB7"/>
    <w:rsid w:val="00F64726"/>
    <w:rsid w:val="00F6561A"/>
    <w:rsid w:val="00F727D5"/>
    <w:rsid w:val="00F72F44"/>
    <w:rsid w:val="00F73A0C"/>
    <w:rsid w:val="00F759DC"/>
    <w:rsid w:val="00F76E62"/>
    <w:rsid w:val="00F771A5"/>
    <w:rsid w:val="00F817A4"/>
    <w:rsid w:val="00F81C3A"/>
    <w:rsid w:val="00F8309A"/>
    <w:rsid w:val="00F835FC"/>
    <w:rsid w:val="00F83E21"/>
    <w:rsid w:val="00F84E18"/>
    <w:rsid w:val="00F852E5"/>
    <w:rsid w:val="00F95117"/>
    <w:rsid w:val="00FA05D7"/>
    <w:rsid w:val="00FA1C6C"/>
    <w:rsid w:val="00FA2C2A"/>
    <w:rsid w:val="00FA309A"/>
    <w:rsid w:val="00FA7644"/>
    <w:rsid w:val="00FB0A9A"/>
    <w:rsid w:val="00FB483B"/>
    <w:rsid w:val="00FB5551"/>
    <w:rsid w:val="00FB56F1"/>
    <w:rsid w:val="00FB5FD4"/>
    <w:rsid w:val="00FB67F3"/>
    <w:rsid w:val="00FB7E06"/>
    <w:rsid w:val="00FC0D8A"/>
    <w:rsid w:val="00FC0E5F"/>
    <w:rsid w:val="00FC135D"/>
    <w:rsid w:val="00FC3C84"/>
    <w:rsid w:val="00FC4660"/>
    <w:rsid w:val="00FC56DE"/>
    <w:rsid w:val="00FC5BBF"/>
    <w:rsid w:val="00FD1261"/>
    <w:rsid w:val="00FD1627"/>
    <w:rsid w:val="00FD473D"/>
    <w:rsid w:val="00FD61C8"/>
    <w:rsid w:val="00FD63CE"/>
    <w:rsid w:val="00FD7D49"/>
    <w:rsid w:val="00FE1251"/>
    <w:rsid w:val="00FE27AE"/>
    <w:rsid w:val="00FE2F78"/>
    <w:rsid w:val="00FE3510"/>
    <w:rsid w:val="00FE375F"/>
    <w:rsid w:val="00FE4FCB"/>
    <w:rsid w:val="00FF28E0"/>
    <w:rsid w:val="00FF2FB4"/>
    <w:rsid w:val="00FF30B3"/>
    <w:rsid w:val="00FF3DF3"/>
    <w:rsid w:val="00FF4027"/>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8309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8309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37169547">
      <w:bodyDiv w:val="1"/>
      <w:marLeft w:val="0"/>
      <w:marRight w:val="0"/>
      <w:marTop w:val="0"/>
      <w:marBottom w:val="0"/>
      <w:divBdr>
        <w:top w:val="none" w:sz="0" w:space="0" w:color="auto"/>
        <w:left w:val="none" w:sz="0" w:space="0" w:color="auto"/>
        <w:bottom w:val="none" w:sz="0" w:space="0" w:color="auto"/>
        <w:right w:val="none" w:sz="0" w:space="0" w:color="auto"/>
      </w:divBdr>
    </w:div>
    <w:div w:id="94638251">
      <w:bodyDiv w:val="1"/>
      <w:marLeft w:val="0"/>
      <w:marRight w:val="0"/>
      <w:marTop w:val="0"/>
      <w:marBottom w:val="0"/>
      <w:divBdr>
        <w:top w:val="none" w:sz="0" w:space="0" w:color="auto"/>
        <w:left w:val="none" w:sz="0" w:space="0" w:color="auto"/>
        <w:bottom w:val="none" w:sz="0" w:space="0" w:color="auto"/>
        <w:right w:val="none" w:sz="0" w:space="0" w:color="auto"/>
      </w:divBdr>
    </w:div>
    <w:div w:id="238252420">
      <w:bodyDiv w:val="1"/>
      <w:marLeft w:val="0"/>
      <w:marRight w:val="0"/>
      <w:marTop w:val="0"/>
      <w:marBottom w:val="0"/>
      <w:divBdr>
        <w:top w:val="none" w:sz="0" w:space="0" w:color="auto"/>
        <w:left w:val="none" w:sz="0" w:space="0" w:color="auto"/>
        <w:bottom w:val="none" w:sz="0" w:space="0" w:color="auto"/>
        <w:right w:val="none" w:sz="0" w:space="0" w:color="auto"/>
      </w:divBdr>
    </w:div>
    <w:div w:id="240262598">
      <w:bodyDiv w:val="1"/>
      <w:marLeft w:val="0"/>
      <w:marRight w:val="0"/>
      <w:marTop w:val="0"/>
      <w:marBottom w:val="0"/>
      <w:divBdr>
        <w:top w:val="none" w:sz="0" w:space="0" w:color="auto"/>
        <w:left w:val="none" w:sz="0" w:space="0" w:color="auto"/>
        <w:bottom w:val="none" w:sz="0" w:space="0" w:color="auto"/>
        <w:right w:val="none" w:sz="0" w:space="0" w:color="auto"/>
      </w:divBdr>
    </w:div>
    <w:div w:id="276839719">
      <w:bodyDiv w:val="1"/>
      <w:marLeft w:val="0"/>
      <w:marRight w:val="0"/>
      <w:marTop w:val="0"/>
      <w:marBottom w:val="0"/>
      <w:divBdr>
        <w:top w:val="none" w:sz="0" w:space="0" w:color="auto"/>
        <w:left w:val="none" w:sz="0" w:space="0" w:color="auto"/>
        <w:bottom w:val="none" w:sz="0" w:space="0" w:color="auto"/>
        <w:right w:val="none" w:sz="0" w:space="0" w:color="auto"/>
      </w:divBdr>
    </w:div>
    <w:div w:id="280721696">
      <w:bodyDiv w:val="1"/>
      <w:marLeft w:val="0"/>
      <w:marRight w:val="0"/>
      <w:marTop w:val="0"/>
      <w:marBottom w:val="0"/>
      <w:divBdr>
        <w:top w:val="none" w:sz="0" w:space="0" w:color="auto"/>
        <w:left w:val="none" w:sz="0" w:space="0" w:color="auto"/>
        <w:bottom w:val="none" w:sz="0" w:space="0" w:color="auto"/>
        <w:right w:val="none" w:sz="0" w:space="0" w:color="auto"/>
      </w:divBdr>
    </w:div>
    <w:div w:id="416294190">
      <w:bodyDiv w:val="1"/>
      <w:marLeft w:val="0"/>
      <w:marRight w:val="0"/>
      <w:marTop w:val="0"/>
      <w:marBottom w:val="0"/>
      <w:divBdr>
        <w:top w:val="none" w:sz="0" w:space="0" w:color="auto"/>
        <w:left w:val="none" w:sz="0" w:space="0" w:color="auto"/>
        <w:bottom w:val="none" w:sz="0" w:space="0" w:color="auto"/>
        <w:right w:val="none" w:sz="0" w:space="0" w:color="auto"/>
      </w:divBdr>
    </w:div>
    <w:div w:id="430976118">
      <w:bodyDiv w:val="1"/>
      <w:marLeft w:val="0"/>
      <w:marRight w:val="0"/>
      <w:marTop w:val="0"/>
      <w:marBottom w:val="0"/>
      <w:divBdr>
        <w:top w:val="none" w:sz="0" w:space="0" w:color="auto"/>
        <w:left w:val="none" w:sz="0" w:space="0" w:color="auto"/>
        <w:bottom w:val="none" w:sz="0" w:space="0" w:color="auto"/>
        <w:right w:val="none" w:sz="0" w:space="0" w:color="auto"/>
      </w:divBdr>
    </w:div>
    <w:div w:id="446777837">
      <w:bodyDiv w:val="1"/>
      <w:marLeft w:val="0"/>
      <w:marRight w:val="0"/>
      <w:marTop w:val="0"/>
      <w:marBottom w:val="0"/>
      <w:divBdr>
        <w:top w:val="none" w:sz="0" w:space="0" w:color="auto"/>
        <w:left w:val="none" w:sz="0" w:space="0" w:color="auto"/>
        <w:bottom w:val="none" w:sz="0" w:space="0" w:color="auto"/>
        <w:right w:val="none" w:sz="0" w:space="0" w:color="auto"/>
      </w:divBdr>
    </w:div>
    <w:div w:id="501699546">
      <w:bodyDiv w:val="1"/>
      <w:marLeft w:val="0"/>
      <w:marRight w:val="0"/>
      <w:marTop w:val="0"/>
      <w:marBottom w:val="0"/>
      <w:divBdr>
        <w:top w:val="none" w:sz="0" w:space="0" w:color="auto"/>
        <w:left w:val="none" w:sz="0" w:space="0" w:color="auto"/>
        <w:bottom w:val="none" w:sz="0" w:space="0" w:color="auto"/>
        <w:right w:val="none" w:sz="0" w:space="0" w:color="auto"/>
      </w:divBdr>
    </w:div>
    <w:div w:id="526065032">
      <w:bodyDiv w:val="1"/>
      <w:marLeft w:val="0"/>
      <w:marRight w:val="0"/>
      <w:marTop w:val="0"/>
      <w:marBottom w:val="0"/>
      <w:divBdr>
        <w:top w:val="none" w:sz="0" w:space="0" w:color="auto"/>
        <w:left w:val="none" w:sz="0" w:space="0" w:color="auto"/>
        <w:bottom w:val="none" w:sz="0" w:space="0" w:color="auto"/>
        <w:right w:val="none" w:sz="0" w:space="0" w:color="auto"/>
      </w:divBdr>
    </w:div>
    <w:div w:id="633877307">
      <w:bodyDiv w:val="1"/>
      <w:marLeft w:val="0"/>
      <w:marRight w:val="0"/>
      <w:marTop w:val="0"/>
      <w:marBottom w:val="0"/>
      <w:divBdr>
        <w:top w:val="none" w:sz="0" w:space="0" w:color="auto"/>
        <w:left w:val="none" w:sz="0" w:space="0" w:color="auto"/>
        <w:bottom w:val="none" w:sz="0" w:space="0" w:color="auto"/>
        <w:right w:val="none" w:sz="0" w:space="0" w:color="auto"/>
      </w:divBdr>
    </w:div>
    <w:div w:id="655425969">
      <w:bodyDiv w:val="1"/>
      <w:marLeft w:val="0"/>
      <w:marRight w:val="0"/>
      <w:marTop w:val="0"/>
      <w:marBottom w:val="0"/>
      <w:divBdr>
        <w:top w:val="none" w:sz="0" w:space="0" w:color="auto"/>
        <w:left w:val="none" w:sz="0" w:space="0" w:color="auto"/>
        <w:bottom w:val="none" w:sz="0" w:space="0" w:color="auto"/>
        <w:right w:val="none" w:sz="0" w:space="0" w:color="auto"/>
      </w:divBdr>
    </w:div>
    <w:div w:id="755201583">
      <w:bodyDiv w:val="1"/>
      <w:marLeft w:val="0"/>
      <w:marRight w:val="0"/>
      <w:marTop w:val="0"/>
      <w:marBottom w:val="0"/>
      <w:divBdr>
        <w:top w:val="none" w:sz="0" w:space="0" w:color="auto"/>
        <w:left w:val="none" w:sz="0" w:space="0" w:color="auto"/>
        <w:bottom w:val="none" w:sz="0" w:space="0" w:color="auto"/>
        <w:right w:val="none" w:sz="0" w:space="0" w:color="auto"/>
      </w:divBdr>
    </w:div>
    <w:div w:id="759831249">
      <w:bodyDiv w:val="1"/>
      <w:marLeft w:val="0"/>
      <w:marRight w:val="0"/>
      <w:marTop w:val="0"/>
      <w:marBottom w:val="0"/>
      <w:divBdr>
        <w:top w:val="none" w:sz="0" w:space="0" w:color="auto"/>
        <w:left w:val="none" w:sz="0" w:space="0" w:color="auto"/>
        <w:bottom w:val="none" w:sz="0" w:space="0" w:color="auto"/>
        <w:right w:val="none" w:sz="0" w:space="0" w:color="auto"/>
      </w:divBdr>
    </w:div>
    <w:div w:id="765347354">
      <w:bodyDiv w:val="1"/>
      <w:marLeft w:val="0"/>
      <w:marRight w:val="0"/>
      <w:marTop w:val="0"/>
      <w:marBottom w:val="0"/>
      <w:divBdr>
        <w:top w:val="none" w:sz="0" w:space="0" w:color="auto"/>
        <w:left w:val="none" w:sz="0" w:space="0" w:color="auto"/>
        <w:bottom w:val="none" w:sz="0" w:space="0" w:color="auto"/>
        <w:right w:val="none" w:sz="0" w:space="0" w:color="auto"/>
      </w:divBdr>
    </w:div>
    <w:div w:id="803425400">
      <w:bodyDiv w:val="1"/>
      <w:marLeft w:val="0"/>
      <w:marRight w:val="0"/>
      <w:marTop w:val="0"/>
      <w:marBottom w:val="0"/>
      <w:divBdr>
        <w:top w:val="none" w:sz="0" w:space="0" w:color="auto"/>
        <w:left w:val="none" w:sz="0" w:space="0" w:color="auto"/>
        <w:bottom w:val="none" w:sz="0" w:space="0" w:color="auto"/>
        <w:right w:val="none" w:sz="0" w:space="0" w:color="auto"/>
      </w:divBdr>
    </w:div>
    <w:div w:id="816725141">
      <w:bodyDiv w:val="1"/>
      <w:marLeft w:val="0"/>
      <w:marRight w:val="0"/>
      <w:marTop w:val="0"/>
      <w:marBottom w:val="0"/>
      <w:divBdr>
        <w:top w:val="none" w:sz="0" w:space="0" w:color="auto"/>
        <w:left w:val="none" w:sz="0" w:space="0" w:color="auto"/>
        <w:bottom w:val="none" w:sz="0" w:space="0" w:color="auto"/>
        <w:right w:val="none" w:sz="0" w:space="0" w:color="auto"/>
      </w:divBdr>
    </w:div>
    <w:div w:id="817041319">
      <w:bodyDiv w:val="1"/>
      <w:marLeft w:val="0"/>
      <w:marRight w:val="0"/>
      <w:marTop w:val="0"/>
      <w:marBottom w:val="0"/>
      <w:divBdr>
        <w:top w:val="none" w:sz="0" w:space="0" w:color="auto"/>
        <w:left w:val="none" w:sz="0" w:space="0" w:color="auto"/>
        <w:bottom w:val="none" w:sz="0" w:space="0" w:color="auto"/>
        <w:right w:val="none" w:sz="0" w:space="0" w:color="auto"/>
      </w:divBdr>
    </w:div>
    <w:div w:id="883492507">
      <w:bodyDiv w:val="1"/>
      <w:marLeft w:val="0"/>
      <w:marRight w:val="0"/>
      <w:marTop w:val="0"/>
      <w:marBottom w:val="0"/>
      <w:divBdr>
        <w:top w:val="none" w:sz="0" w:space="0" w:color="auto"/>
        <w:left w:val="none" w:sz="0" w:space="0" w:color="auto"/>
        <w:bottom w:val="none" w:sz="0" w:space="0" w:color="auto"/>
        <w:right w:val="none" w:sz="0" w:space="0" w:color="auto"/>
      </w:divBdr>
    </w:div>
    <w:div w:id="890190768">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00095529">
      <w:bodyDiv w:val="1"/>
      <w:marLeft w:val="0"/>
      <w:marRight w:val="0"/>
      <w:marTop w:val="0"/>
      <w:marBottom w:val="0"/>
      <w:divBdr>
        <w:top w:val="none" w:sz="0" w:space="0" w:color="auto"/>
        <w:left w:val="none" w:sz="0" w:space="0" w:color="auto"/>
        <w:bottom w:val="none" w:sz="0" w:space="0" w:color="auto"/>
        <w:right w:val="none" w:sz="0" w:space="0" w:color="auto"/>
      </w:divBdr>
    </w:div>
    <w:div w:id="926504429">
      <w:bodyDiv w:val="1"/>
      <w:marLeft w:val="0"/>
      <w:marRight w:val="0"/>
      <w:marTop w:val="0"/>
      <w:marBottom w:val="0"/>
      <w:divBdr>
        <w:top w:val="none" w:sz="0" w:space="0" w:color="auto"/>
        <w:left w:val="none" w:sz="0" w:space="0" w:color="auto"/>
        <w:bottom w:val="none" w:sz="0" w:space="0" w:color="auto"/>
        <w:right w:val="none" w:sz="0" w:space="0" w:color="auto"/>
      </w:divBdr>
    </w:div>
    <w:div w:id="934442324">
      <w:bodyDiv w:val="1"/>
      <w:marLeft w:val="0"/>
      <w:marRight w:val="0"/>
      <w:marTop w:val="0"/>
      <w:marBottom w:val="0"/>
      <w:divBdr>
        <w:top w:val="none" w:sz="0" w:space="0" w:color="auto"/>
        <w:left w:val="none" w:sz="0" w:space="0" w:color="auto"/>
        <w:bottom w:val="none" w:sz="0" w:space="0" w:color="auto"/>
        <w:right w:val="none" w:sz="0" w:space="0" w:color="auto"/>
      </w:divBdr>
    </w:div>
    <w:div w:id="941379557">
      <w:bodyDiv w:val="1"/>
      <w:marLeft w:val="0"/>
      <w:marRight w:val="0"/>
      <w:marTop w:val="0"/>
      <w:marBottom w:val="0"/>
      <w:divBdr>
        <w:top w:val="none" w:sz="0" w:space="0" w:color="auto"/>
        <w:left w:val="none" w:sz="0" w:space="0" w:color="auto"/>
        <w:bottom w:val="none" w:sz="0" w:space="0" w:color="auto"/>
        <w:right w:val="none" w:sz="0" w:space="0" w:color="auto"/>
      </w:divBdr>
    </w:div>
    <w:div w:id="996543097">
      <w:bodyDiv w:val="1"/>
      <w:marLeft w:val="0"/>
      <w:marRight w:val="0"/>
      <w:marTop w:val="0"/>
      <w:marBottom w:val="0"/>
      <w:divBdr>
        <w:top w:val="none" w:sz="0" w:space="0" w:color="auto"/>
        <w:left w:val="none" w:sz="0" w:space="0" w:color="auto"/>
        <w:bottom w:val="none" w:sz="0" w:space="0" w:color="auto"/>
        <w:right w:val="none" w:sz="0" w:space="0" w:color="auto"/>
      </w:divBdr>
    </w:div>
    <w:div w:id="1051003694">
      <w:bodyDiv w:val="1"/>
      <w:marLeft w:val="0"/>
      <w:marRight w:val="0"/>
      <w:marTop w:val="0"/>
      <w:marBottom w:val="0"/>
      <w:divBdr>
        <w:top w:val="none" w:sz="0" w:space="0" w:color="auto"/>
        <w:left w:val="none" w:sz="0" w:space="0" w:color="auto"/>
        <w:bottom w:val="none" w:sz="0" w:space="0" w:color="auto"/>
        <w:right w:val="none" w:sz="0" w:space="0" w:color="auto"/>
      </w:divBdr>
    </w:div>
    <w:div w:id="1090586133">
      <w:bodyDiv w:val="1"/>
      <w:marLeft w:val="0"/>
      <w:marRight w:val="0"/>
      <w:marTop w:val="0"/>
      <w:marBottom w:val="0"/>
      <w:divBdr>
        <w:top w:val="none" w:sz="0" w:space="0" w:color="auto"/>
        <w:left w:val="none" w:sz="0" w:space="0" w:color="auto"/>
        <w:bottom w:val="none" w:sz="0" w:space="0" w:color="auto"/>
        <w:right w:val="none" w:sz="0" w:space="0" w:color="auto"/>
      </w:divBdr>
    </w:div>
    <w:div w:id="1102263713">
      <w:bodyDiv w:val="1"/>
      <w:marLeft w:val="0"/>
      <w:marRight w:val="0"/>
      <w:marTop w:val="0"/>
      <w:marBottom w:val="0"/>
      <w:divBdr>
        <w:top w:val="none" w:sz="0" w:space="0" w:color="auto"/>
        <w:left w:val="none" w:sz="0" w:space="0" w:color="auto"/>
        <w:bottom w:val="none" w:sz="0" w:space="0" w:color="auto"/>
        <w:right w:val="none" w:sz="0" w:space="0" w:color="auto"/>
      </w:divBdr>
    </w:div>
    <w:div w:id="1110204967">
      <w:bodyDiv w:val="1"/>
      <w:marLeft w:val="0"/>
      <w:marRight w:val="0"/>
      <w:marTop w:val="0"/>
      <w:marBottom w:val="0"/>
      <w:divBdr>
        <w:top w:val="none" w:sz="0" w:space="0" w:color="auto"/>
        <w:left w:val="none" w:sz="0" w:space="0" w:color="auto"/>
        <w:bottom w:val="none" w:sz="0" w:space="0" w:color="auto"/>
        <w:right w:val="none" w:sz="0" w:space="0" w:color="auto"/>
      </w:divBdr>
    </w:div>
    <w:div w:id="1132141109">
      <w:bodyDiv w:val="1"/>
      <w:marLeft w:val="0"/>
      <w:marRight w:val="0"/>
      <w:marTop w:val="0"/>
      <w:marBottom w:val="0"/>
      <w:divBdr>
        <w:top w:val="none" w:sz="0" w:space="0" w:color="auto"/>
        <w:left w:val="none" w:sz="0" w:space="0" w:color="auto"/>
        <w:bottom w:val="none" w:sz="0" w:space="0" w:color="auto"/>
        <w:right w:val="none" w:sz="0" w:space="0" w:color="auto"/>
      </w:divBdr>
    </w:div>
    <w:div w:id="1143425707">
      <w:bodyDiv w:val="1"/>
      <w:marLeft w:val="0"/>
      <w:marRight w:val="0"/>
      <w:marTop w:val="0"/>
      <w:marBottom w:val="0"/>
      <w:divBdr>
        <w:top w:val="none" w:sz="0" w:space="0" w:color="auto"/>
        <w:left w:val="none" w:sz="0" w:space="0" w:color="auto"/>
        <w:bottom w:val="none" w:sz="0" w:space="0" w:color="auto"/>
        <w:right w:val="none" w:sz="0" w:space="0" w:color="auto"/>
      </w:divBdr>
    </w:div>
    <w:div w:id="1220703716">
      <w:bodyDiv w:val="1"/>
      <w:marLeft w:val="0"/>
      <w:marRight w:val="0"/>
      <w:marTop w:val="0"/>
      <w:marBottom w:val="0"/>
      <w:divBdr>
        <w:top w:val="none" w:sz="0" w:space="0" w:color="auto"/>
        <w:left w:val="none" w:sz="0" w:space="0" w:color="auto"/>
        <w:bottom w:val="none" w:sz="0" w:space="0" w:color="auto"/>
        <w:right w:val="none" w:sz="0" w:space="0" w:color="auto"/>
      </w:divBdr>
    </w:div>
    <w:div w:id="1271741142">
      <w:bodyDiv w:val="1"/>
      <w:marLeft w:val="0"/>
      <w:marRight w:val="0"/>
      <w:marTop w:val="0"/>
      <w:marBottom w:val="0"/>
      <w:divBdr>
        <w:top w:val="none" w:sz="0" w:space="0" w:color="auto"/>
        <w:left w:val="none" w:sz="0" w:space="0" w:color="auto"/>
        <w:bottom w:val="none" w:sz="0" w:space="0" w:color="auto"/>
        <w:right w:val="none" w:sz="0" w:space="0" w:color="auto"/>
      </w:divBdr>
    </w:div>
    <w:div w:id="1284654697">
      <w:bodyDiv w:val="1"/>
      <w:marLeft w:val="0"/>
      <w:marRight w:val="0"/>
      <w:marTop w:val="0"/>
      <w:marBottom w:val="0"/>
      <w:divBdr>
        <w:top w:val="none" w:sz="0" w:space="0" w:color="auto"/>
        <w:left w:val="none" w:sz="0" w:space="0" w:color="auto"/>
        <w:bottom w:val="none" w:sz="0" w:space="0" w:color="auto"/>
        <w:right w:val="none" w:sz="0" w:space="0" w:color="auto"/>
      </w:divBdr>
    </w:div>
    <w:div w:id="1320186090">
      <w:bodyDiv w:val="1"/>
      <w:marLeft w:val="0"/>
      <w:marRight w:val="0"/>
      <w:marTop w:val="0"/>
      <w:marBottom w:val="0"/>
      <w:divBdr>
        <w:top w:val="none" w:sz="0" w:space="0" w:color="auto"/>
        <w:left w:val="none" w:sz="0" w:space="0" w:color="auto"/>
        <w:bottom w:val="none" w:sz="0" w:space="0" w:color="auto"/>
        <w:right w:val="none" w:sz="0" w:space="0" w:color="auto"/>
      </w:divBdr>
    </w:div>
    <w:div w:id="1337806368">
      <w:bodyDiv w:val="1"/>
      <w:marLeft w:val="0"/>
      <w:marRight w:val="0"/>
      <w:marTop w:val="0"/>
      <w:marBottom w:val="0"/>
      <w:divBdr>
        <w:top w:val="none" w:sz="0" w:space="0" w:color="auto"/>
        <w:left w:val="none" w:sz="0" w:space="0" w:color="auto"/>
        <w:bottom w:val="none" w:sz="0" w:space="0" w:color="auto"/>
        <w:right w:val="none" w:sz="0" w:space="0" w:color="auto"/>
      </w:divBdr>
    </w:div>
    <w:div w:id="1354727420">
      <w:bodyDiv w:val="1"/>
      <w:marLeft w:val="0"/>
      <w:marRight w:val="0"/>
      <w:marTop w:val="0"/>
      <w:marBottom w:val="0"/>
      <w:divBdr>
        <w:top w:val="none" w:sz="0" w:space="0" w:color="auto"/>
        <w:left w:val="none" w:sz="0" w:space="0" w:color="auto"/>
        <w:bottom w:val="none" w:sz="0" w:space="0" w:color="auto"/>
        <w:right w:val="none" w:sz="0" w:space="0" w:color="auto"/>
      </w:divBdr>
    </w:div>
    <w:div w:id="1412505286">
      <w:bodyDiv w:val="1"/>
      <w:marLeft w:val="0"/>
      <w:marRight w:val="0"/>
      <w:marTop w:val="0"/>
      <w:marBottom w:val="0"/>
      <w:divBdr>
        <w:top w:val="none" w:sz="0" w:space="0" w:color="auto"/>
        <w:left w:val="none" w:sz="0" w:space="0" w:color="auto"/>
        <w:bottom w:val="none" w:sz="0" w:space="0" w:color="auto"/>
        <w:right w:val="none" w:sz="0" w:space="0" w:color="auto"/>
      </w:divBdr>
    </w:div>
    <w:div w:id="1428430566">
      <w:bodyDiv w:val="1"/>
      <w:marLeft w:val="0"/>
      <w:marRight w:val="0"/>
      <w:marTop w:val="0"/>
      <w:marBottom w:val="0"/>
      <w:divBdr>
        <w:top w:val="none" w:sz="0" w:space="0" w:color="auto"/>
        <w:left w:val="none" w:sz="0" w:space="0" w:color="auto"/>
        <w:bottom w:val="none" w:sz="0" w:space="0" w:color="auto"/>
        <w:right w:val="none" w:sz="0" w:space="0" w:color="auto"/>
      </w:divBdr>
    </w:div>
    <w:div w:id="1452939911">
      <w:bodyDiv w:val="1"/>
      <w:marLeft w:val="0"/>
      <w:marRight w:val="0"/>
      <w:marTop w:val="0"/>
      <w:marBottom w:val="0"/>
      <w:divBdr>
        <w:top w:val="none" w:sz="0" w:space="0" w:color="auto"/>
        <w:left w:val="none" w:sz="0" w:space="0" w:color="auto"/>
        <w:bottom w:val="none" w:sz="0" w:space="0" w:color="auto"/>
        <w:right w:val="none" w:sz="0" w:space="0" w:color="auto"/>
      </w:divBdr>
    </w:div>
    <w:div w:id="1475829924">
      <w:bodyDiv w:val="1"/>
      <w:marLeft w:val="0"/>
      <w:marRight w:val="0"/>
      <w:marTop w:val="0"/>
      <w:marBottom w:val="0"/>
      <w:divBdr>
        <w:top w:val="none" w:sz="0" w:space="0" w:color="auto"/>
        <w:left w:val="none" w:sz="0" w:space="0" w:color="auto"/>
        <w:bottom w:val="none" w:sz="0" w:space="0" w:color="auto"/>
        <w:right w:val="none" w:sz="0" w:space="0" w:color="auto"/>
      </w:divBdr>
    </w:div>
    <w:div w:id="1490751030">
      <w:bodyDiv w:val="1"/>
      <w:marLeft w:val="0"/>
      <w:marRight w:val="0"/>
      <w:marTop w:val="0"/>
      <w:marBottom w:val="0"/>
      <w:divBdr>
        <w:top w:val="none" w:sz="0" w:space="0" w:color="auto"/>
        <w:left w:val="none" w:sz="0" w:space="0" w:color="auto"/>
        <w:bottom w:val="none" w:sz="0" w:space="0" w:color="auto"/>
        <w:right w:val="none" w:sz="0" w:space="0" w:color="auto"/>
      </w:divBdr>
    </w:div>
    <w:div w:id="1541553533">
      <w:bodyDiv w:val="1"/>
      <w:marLeft w:val="0"/>
      <w:marRight w:val="0"/>
      <w:marTop w:val="0"/>
      <w:marBottom w:val="0"/>
      <w:divBdr>
        <w:top w:val="none" w:sz="0" w:space="0" w:color="auto"/>
        <w:left w:val="none" w:sz="0" w:space="0" w:color="auto"/>
        <w:bottom w:val="none" w:sz="0" w:space="0" w:color="auto"/>
        <w:right w:val="none" w:sz="0" w:space="0" w:color="auto"/>
      </w:divBdr>
    </w:div>
    <w:div w:id="1676346549">
      <w:bodyDiv w:val="1"/>
      <w:marLeft w:val="0"/>
      <w:marRight w:val="0"/>
      <w:marTop w:val="0"/>
      <w:marBottom w:val="0"/>
      <w:divBdr>
        <w:top w:val="none" w:sz="0" w:space="0" w:color="auto"/>
        <w:left w:val="none" w:sz="0" w:space="0" w:color="auto"/>
        <w:bottom w:val="none" w:sz="0" w:space="0" w:color="auto"/>
        <w:right w:val="none" w:sz="0" w:space="0" w:color="auto"/>
      </w:divBdr>
    </w:div>
    <w:div w:id="1681084771">
      <w:bodyDiv w:val="1"/>
      <w:marLeft w:val="0"/>
      <w:marRight w:val="0"/>
      <w:marTop w:val="0"/>
      <w:marBottom w:val="0"/>
      <w:divBdr>
        <w:top w:val="none" w:sz="0" w:space="0" w:color="auto"/>
        <w:left w:val="none" w:sz="0" w:space="0" w:color="auto"/>
        <w:bottom w:val="none" w:sz="0" w:space="0" w:color="auto"/>
        <w:right w:val="none" w:sz="0" w:space="0" w:color="auto"/>
      </w:divBdr>
    </w:div>
    <w:div w:id="1709647987">
      <w:bodyDiv w:val="1"/>
      <w:marLeft w:val="0"/>
      <w:marRight w:val="0"/>
      <w:marTop w:val="0"/>
      <w:marBottom w:val="0"/>
      <w:divBdr>
        <w:top w:val="none" w:sz="0" w:space="0" w:color="auto"/>
        <w:left w:val="none" w:sz="0" w:space="0" w:color="auto"/>
        <w:bottom w:val="none" w:sz="0" w:space="0" w:color="auto"/>
        <w:right w:val="none" w:sz="0" w:space="0" w:color="auto"/>
      </w:divBdr>
    </w:div>
    <w:div w:id="1757282627">
      <w:bodyDiv w:val="1"/>
      <w:marLeft w:val="0"/>
      <w:marRight w:val="0"/>
      <w:marTop w:val="0"/>
      <w:marBottom w:val="0"/>
      <w:divBdr>
        <w:top w:val="none" w:sz="0" w:space="0" w:color="auto"/>
        <w:left w:val="none" w:sz="0" w:space="0" w:color="auto"/>
        <w:bottom w:val="none" w:sz="0" w:space="0" w:color="auto"/>
        <w:right w:val="none" w:sz="0" w:space="0" w:color="auto"/>
      </w:divBdr>
    </w:div>
    <w:div w:id="1766148915">
      <w:bodyDiv w:val="1"/>
      <w:marLeft w:val="0"/>
      <w:marRight w:val="0"/>
      <w:marTop w:val="0"/>
      <w:marBottom w:val="0"/>
      <w:divBdr>
        <w:top w:val="none" w:sz="0" w:space="0" w:color="auto"/>
        <w:left w:val="none" w:sz="0" w:space="0" w:color="auto"/>
        <w:bottom w:val="none" w:sz="0" w:space="0" w:color="auto"/>
        <w:right w:val="none" w:sz="0" w:space="0" w:color="auto"/>
      </w:divBdr>
    </w:div>
    <w:div w:id="1784571533">
      <w:bodyDiv w:val="1"/>
      <w:marLeft w:val="0"/>
      <w:marRight w:val="0"/>
      <w:marTop w:val="0"/>
      <w:marBottom w:val="0"/>
      <w:divBdr>
        <w:top w:val="none" w:sz="0" w:space="0" w:color="auto"/>
        <w:left w:val="none" w:sz="0" w:space="0" w:color="auto"/>
        <w:bottom w:val="none" w:sz="0" w:space="0" w:color="auto"/>
        <w:right w:val="none" w:sz="0" w:space="0" w:color="auto"/>
      </w:divBdr>
    </w:div>
    <w:div w:id="1801260551">
      <w:bodyDiv w:val="1"/>
      <w:marLeft w:val="0"/>
      <w:marRight w:val="0"/>
      <w:marTop w:val="0"/>
      <w:marBottom w:val="0"/>
      <w:divBdr>
        <w:top w:val="none" w:sz="0" w:space="0" w:color="auto"/>
        <w:left w:val="none" w:sz="0" w:space="0" w:color="auto"/>
        <w:bottom w:val="none" w:sz="0" w:space="0" w:color="auto"/>
        <w:right w:val="none" w:sz="0" w:space="0" w:color="auto"/>
      </w:divBdr>
    </w:div>
    <w:div w:id="1803962700">
      <w:bodyDiv w:val="1"/>
      <w:marLeft w:val="0"/>
      <w:marRight w:val="0"/>
      <w:marTop w:val="0"/>
      <w:marBottom w:val="0"/>
      <w:divBdr>
        <w:top w:val="none" w:sz="0" w:space="0" w:color="auto"/>
        <w:left w:val="none" w:sz="0" w:space="0" w:color="auto"/>
        <w:bottom w:val="none" w:sz="0" w:space="0" w:color="auto"/>
        <w:right w:val="none" w:sz="0" w:space="0" w:color="auto"/>
      </w:divBdr>
    </w:div>
    <w:div w:id="1838225288">
      <w:bodyDiv w:val="1"/>
      <w:marLeft w:val="0"/>
      <w:marRight w:val="0"/>
      <w:marTop w:val="0"/>
      <w:marBottom w:val="0"/>
      <w:divBdr>
        <w:top w:val="none" w:sz="0" w:space="0" w:color="auto"/>
        <w:left w:val="none" w:sz="0" w:space="0" w:color="auto"/>
        <w:bottom w:val="none" w:sz="0" w:space="0" w:color="auto"/>
        <w:right w:val="none" w:sz="0" w:space="0" w:color="auto"/>
      </w:divBdr>
    </w:div>
    <w:div w:id="1838423186">
      <w:bodyDiv w:val="1"/>
      <w:marLeft w:val="0"/>
      <w:marRight w:val="0"/>
      <w:marTop w:val="0"/>
      <w:marBottom w:val="0"/>
      <w:divBdr>
        <w:top w:val="none" w:sz="0" w:space="0" w:color="auto"/>
        <w:left w:val="none" w:sz="0" w:space="0" w:color="auto"/>
        <w:bottom w:val="none" w:sz="0" w:space="0" w:color="auto"/>
        <w:right w:val="none" w:sz="0" w:space="0" w:color="auto"/>
      </w:divBdr>
    </w:div>
    <w:div w:id="1903640905">
      <w:bodyDiv w:val="1"/>
      <w:marLeft w:val="0"/>
      <w:marRight w:val="0"/>
      <w:marTop w:val="0"/>
      <w:marBottom w:val="0"/>
      <w:divBdr>
        <w:top w:val="none" w:sz="0" w:space="0" w:color="auto"/>
        <w:left w:val="none" w:sz="0" w:space="0" w:color="auto"/>
        <w:bottom w:val="none" w:sz="0" w:space="0" w:color="auto"/>
        <w:right w:val="none" w:sz="0" w:space="0" w:color="auto"/>
      </w:divBdr>
    </w:div>
    <w:div w:id="1909654868">
      <w:bodyDiv w:val="1"/>
      <w:marLeft w:val="0"/>
      <w:marRight w:val="0"/>
      <w:marTop w:val="0"/>
      <w:marBottom w:val="0"/>
      <w:divBdr>
        <w:top w:val="none" w:sz="0" w:space="0" w:color="auto"/>
        <w:left w:val="none" w:sz="0" w:space="0" w:color="auto"/>
        <w:bottom w:val="none" w:sz="0" w:space="0" w:color="auto"/>
        <w:right w:val="none" w:sz="0" w:space="0" w:color="auto"/>
      </w:divBdr>
    </w:div>
    <w:div w:id="1932425964">
      <w:bodyDiv w:val="1"/>
      <w:marLeft w:val="0"/>
      <w:marRight w:val="0"/>
      <w:marTop w:val="0"/>
      <w:marBottom w:val="0"/>
      <w:divBdr>
        <w:top w:val="none" w:sz="0" w:space="0" w:color="auto"/>
        <w:left w:val="none" w:sz="0" w:space="0" w:color="auto"/>
        <w:bottom w:val="none" w:sz="0" w:space="0" w:color="auto"/>
        <w:right w:val="none" w:sz="0" w:space="0" w:color="auto"/>
      </w:divBdr>
    </w:div>
    <w:div w:id="1981303221">
      <w:bodyDiv w:val="1"/>
      <w:marLeft w:val="0"/>
      <w:marRight w:val="0"/>
      <w:marTop w:val="0"/>
      <w:marBottom w:val="0"/>
      <w:divBdr>
        <w:top w:val="none" w:sz="0" w:space="0" w:color="auto"/>
        <w:left w:val="none" w:sz="0" w:space="0" w:color="auto"/>
        <w:bottom w:val="none" w:sz="0" w:space="0" w:color="auto"/>
        <w:right w:val="none" w:sz="0" w:space="0" w:color="auto"/>
      </w:divBdr>
    </w:div>
    <w:div w:id="2055083959">
      <w:bodyDiv w:val="1"/>
      <w:marLeft w:val="0"/>
      <w:marRight w:val="0"/>
      <w:marTop w:val="0"/>
      <w:marBottom w:val="0"/>
      <w:divBdr>
        <w:top w:val="none" w:sz="0" w:space="0" w:color="auto"/>
        <w:left w:val="none" w:sz="0" w:space="0" w:color="auto"/>
        <w:bottom w:val="none" w:sz="0" w:space="0" w:color="auto"/>
        <w:right w:val="none" w:sz="0" w:space="0" w:color="auto"/>
      </w:divBdr>
    </w:div>
    <w:div w:id="2062904191">
      <w:bodyDiv w:val="1"/>
      <w:marLeft w:val="0"/>
      <w:marRight w:val="0"/>
      <w:marTop w:val="0"/>
      <w:marBottom w:val="0"/>
      <w:divBdr>
        <w:top w:val="none" w:sz="0" w:space="0" w:color="auto"/>
        <w:left w:val="none" w:sz="0" w:space="0" w:color="auto"/>
        <w:bottom w:val="none" w:sz="0" w:space="0" w:color="auto"/>
        <w:right w:val="none" w:sz="0" w:space="0" w:color="auto"/>
      </w:divBdr>
    </w:div>
    <w:div w:id="20692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02141-B9DF-4B98-8457-E015B944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88</TotalTime>
  <Pages>3</Pages>
  <Words>1762</Words>
  <Characters>8674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146</cp:revision>
  <cp:lastPrinted>2015-09-22T11:29:00Z</cp:lastPrinted>
  <dcterms:created xsi:type="dcterms:W3CDTF">2015-09-22T12:04:00Z</dcterms:created>
  <dcterms:modified xsi:type="dcterms:W3CDTF">2015-10-22T14:21:00Z</dcterms:modified>
</cp:coreProperties>
</file>