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91" w:rsidRPr="00BC3BDD" w:rsidRDefault="00372091" w:rsidP="00BC3BDD">
      <w:pPr>
        <w:pStyle w:val="Nadpis1"/>
        <w:rPr>
          <w:rFonts w:ascii="Arial" w:hAnsi="Arial" w:cs="Arial"/>
          <w:i/>
          <w:iCs/>
          <w:sz w:val="28"/>
          <w:lang w:val="en-US"/>
        </w:rPr>
      </w:pPr>
      <w:r w:rsidRPr="000F5467">
        <w:rPr>
          <w:rFonts w:ascii="Arial" w:hAnsi="Arial" w:cs="Arial"/>
          <w:i/>
          <w:iCs/>
          <w:sz w:val="28"/>
          <w:lang w:val="en-US"/>
        </w:rPr>
        <w:t>Method</w:t>
      </w:r>
      <w:r w:rsidR="00BC3BDD">
        <w:rPr>
          <w:rFonts w:ascii="Arial" w:hAnsi="Arial" w:cs="Arial"/>
          <w:i/>
          <w:iCs/>
          <w:sz w:val="28"/>
          <w:lang w:val="en-US"/>
        </w:rPr>
        <w:t>olog</w:t>
      </w:r>
      <w:r w:rsidRPr="000F5467">
        <w:rPr>
          <w:rFonts w:ascii="Arial" w:hAnsi="Arial" w:cs="Arial"/>
          <w:i/>
          <w:iCs/>
          <w:sz w:val="28"/>
          <w:lang w:val="en-US"/>
        </w:rPr>
        <w:t xml:space="preserve">ical </w:t>
      </w:r>
      <w:r w:rsidR="00BC3BDD">
        <w:rPr>
          <w:rFonts w:ascii="Arial" w:hAnsi="Arial" w:cs="Arial"/>
          <w:i/>
          <w:iCs/>
          <w:sz w:val="28"/>
          <w:lang w:val="en-US"/>
        </w:rPr>
        <w:t>notes</w:t>
      </w:r>
    </w:p>
    <w:p w:rsidR="00372091" w:rsidRPr="000F5467" w:rsidRDefault="00372091" w:rsidP="00372091">
      <w:pPr>
        <w:ind w:firstLine="708"/>
        <w:jc w:val="both"/>
        <w:rPr>
          <w:rFonts w:ascii="Arial" w:hAnsi="Arial" w:cs="Arial"/>
          <w:lang w:val="en-US"/>
        </w:rPr>
      </w:pPr>
      <w:r w:rsidRPr="000F5467">
        <w:rPr>
          <w:rFonts w:ascii="Arial" w:hAnsi="Arial" w:cs="Arial"/>
          <w:lang w:val="en-US"/>
        </w:rPr>
        <w:t xml:space="preserve"> </w:t>
      </w:r>
    </w:p>
    <w:p w:rsidR="000A15F4" w:rsidRPr="000A15F4" w:rsidRDefault="000A15F4" w:rsidP="000A15F4">
      <w:pPr>
        <w:spacing w:after="120"/>
        <w:jc w:val="both"/>
        <w:rPr>
          <w:rFonts w:ascii="Arial" w:hAnsi="Arial" w:cs="Arial"/>
          <w:i/>
          <w:color w:val="000000"/>
          <w:lang w:val="en-US" w:bidi="or-IN"/>
        </w:rPr>
      </w:pPr>
      <w:r w:rsidRPr="000A15F4">
        <w:rPr>
          <w:rFonts w:ascii="Arial" w:hAnsi="Arial" w:cs="Arial"/>
          <w:i/>
          <w:iCs/>
          <w:lang w:val="en-US"/>
        </w:rPr>
        <w:t xml:space="preserve">Outputs of the annual sample survey on poultry are included in the publication; since the reference year 2010, this survey replaces former quarterly conducted survey. After this periodicity change, and with an agreement with the Ministry of Agriculture of the Czech Republic, a methodological change was introduced: for purposes of this survey, hens are newly defined as laying hens of Gallus </w:t>
      </w:r>
      <w:proofErr w:type="spellStart"/>
      <w:r w:rsidRPr="000A15F4">
        <w:rPr>
          <w:rFonts w:ascii="Arial" w:hAnsi="Arial" w:cs="Arial"/>
          <w:i/>
          <w:iCs/>
          <w:lang w:val="en-US"/>
        </w:rPr>
        <w:t>gallus</w:t>
      </w:r>
      <w:proofErr w:type="spellEnd"/>
      <w:r w:rsidRPr="000A15F4">
        <w:rPr>
          <w:rFonts w:ascii="Arial" w:hAnsi="Arial" w:cs="Arial"/>
          <w:i/>
          <w:iCs/>
          <w:lang w:val="en-US"/>
        </w:rPr>
        <w:t xml:space="preserve"> species that have reached </w:t>
      </w:r>
      <w:r w:rsidRPr="000A15F4">
        <w:rPr>
          <w:rFonts w:ascii="Arial" w:hAnsi="Arial" w:cs="Arial"/>
          <w:i/>
          <w:color w:val="000000"/>
          <w:lang w:val="en-US" w:bidi="or-IN"/>
        </w:rPr>
        <w:t>laying maturity and are kept for the production of eggs not intended for hatching.</w:t>
      </w:r>
    </w:p>
    <w:p w:rsidR="000A15F4" w:rsidRPr="000A15F4" w:rsidRDefault="000A15F4" w:rsidP="000A15F4">
      <w:pPr>
        <w:spacing w:after="120"/>
        <w:jc w:val="both"/>
        <w:rPr>
          <w:rFonts w:ascii="Arial" w:hAnsi="Arial" w:cs="Arial"/>
          <w:i/>
          <w:color w:val="000000"/>
          <w:lang w:val="en-US" w:bidi="or-IN"/>
        </w:rPr>
      </w:pPr>
      <w:r w:rsidRPr="000A15F4">
        <w:rPr>
          <w:rFonts w:ascii="Arial" w:hAnsi="Arial" w:cs="Arial"/>
          <w:i/>
          <w:color w:val="000000"/>
          <w:lang w:val="en-US" w:bidi="or-IN"/>
        </w:rPr>
        <w:t xml:space="preserve">List of respondents was generated from updated Farm Register. Grossing-up process and data publication were carried out up to the level of structural data in </w:t>
      </w:r>
      <w:proofErr w:type="spellStart"/>
      <w:r w:rsidRPr="000A15F4">
        <w:rPr>
          <w:rFonts w:ascii="Arial" w:hAnsi="Arial" w:cs="Arial"/>
          <w:i/>
          <w:color w:val="000000"/>
          <w:lang w:val="en-US" w:bidi="or-IN"/>
        </w:rPr>
        <w:t>Agrocensus</w:t>
      </w:r>
      <w:proofErr w:type="spellEnd"/>
      <w:r w:rsidRPr="000A15F4">
        <w:rPr>
          <w:rFonts w:ascii="Arial" w:hAnsi="Arial" w:cs="Arial"/>
          <w:i/>
          <w:color w:val="000000"/>
          <w:lang w:val="en-US" w:bidi="or-IN"/>
        </w:rPr>
        <w:t xml:space="preserve"> 2000, i.e. estimates for units below thresholds (i.e. “hobby activities”) are not included. </w:t>
      </w:r>
    </w:p>
    <w:p w:rsidR="000A15F4" w:rsidRPr="000A15F4" w:rsidRDefault="000A15F4" w:rsidP="000A15F4">
      <w:pPr>
        <w:spacing w:after="120"/>
        <w:jc w:val="both"/>
        <w:rPr>
          <w:rFonts w:ascii="Arial" w:hAnsi="Arial" w:cs="Arial"/>
          <w:i/>
          <w:iCs/>
          <w:lang w:val="en-US"/>
        </w:rPr>
      </w:pPr>
      <w:r w:rsidRPr="000A15F4">
        <w:rPr>
          <w:rFonts w:ascii="Arial" w:hAnsi="Arial" w:cs="Arial"/>
          <w:i/>
          <w:iCs/>
          <w:lang w:val="en-US"/>
        </w:rPr>
        <w:t>Survey on poultry is carried out in a form of a sample survey using grossing-up. The sample is stratified according to grossing-up group of the reporting unit, number of livestock kept, productive sub-sector and region, where is the reporting unit farming or placed. Percentage of units selected for the survey is based on the number of livestock kept. Legal as well as natural person units are included in the sample.</w:t>
      </w:r>
    </w:p>
    <w:p w:rsidR="000A15F4" w:rsidRPr="000A15F4" w:rsidRDefault="000A15F4" w:rsidP="000A15F4">
      <w:pPr>
        <w:spacing w:after="120"/>
        <w:jc w:val="both"/>
        <w:rPr>
          <w:rFonts w:ascii="Arial" w:hAnsi="Arial" w:cs="Arial"/>
          <w:i/>
          <w:iCs/>
          <w:lang w:val="en-US"/>
        </w:rPr>
      </w:pPr>
      <w:r w:rsidRPr="000A15F4">
        <w:rPr>
          <w:rFonts w:ascii="Arial" w:hAnsi="Arial" w:cs="Arial"/>
          <w:i/>
          <w:iCs/>
          <w:lang w:val="en-US"/>
        </w:rPr>
        <w:t xml:space="preserve">Background data for the sample survey comes from book-keeping and stock records of the reporting units. Data on poultry hatching is taken from an </w:t>
      </w:r>
      <w:r w:rsidRPr="000A15F4">
        <w:rPr>
          <w:rFonts w:ascii="Arial" w:hAnsi="Arial" w:cs="Arial"/>
          <w:i/>
          <w:iCs/>
          <w:lang w:val="en-GB"/>
        </w:rPr>
        <w:t>authorised</w:t>
      </w:r>
      <w:r w:rsidRPr="000A15F4">
        <w:rPr>
          <w:rFonts w:ascii="Arial" w:hAnsi="Arial" w:cs="Arial"/>
          <w:i/>
          <w:iCs/>
          <w:lang w:val="en-US"/>
        </w:rPr>
        <w:t xml:space="preserve"> administrative institution (</w:t>
      </w:r>
      <w:proofErr w:type="spellStart"/>
      <w:r w:rsidRPr="000A15F4">
        <w:rPr>
          <w:rFonts w:ascii="Arial" w:hAnsi="Arial" w:cs="Arial"/>
          <w:i/>
          <w:iCs/>
          <w:lang w:val="en-US"/>
        </w:rPr>
        <w:t>Mezinárodní</w:t>
      </w:r>
      <w:proofErr w:type="spellEnd"/>
      <w:r w:rsidRPr="000A15F4">
        <w:rPr>
          <w:rFonts w:ascii="Arial" w:hAnsi="Arial" w:cs="Arial"/>
          <w:i/>
          <w:iCs/>
          <w:lang w:val="en-US"/>
        </w:rPr>
        <w:t xml:space="preserve"> </w:t>
      </w:r>
      <w:proofErr w:type="spellStart"/>
      <w:r w:rsidRPr="000A15F4">
        <w:rPr>
          <w:rFonts w:ascii="Arial" w:hAnsi="Arial" w:cs="Arial"/>
          <w:i/>
          <w:iCs/>
          <w:lang w:val="en-US"/>
        </w:rPr>
        <w:t>testování</w:t>
      </w:r>
      <w:proofErr w:type="spellEnd"/>
      <w:r w:rsidRPr="000A15F4">
        <w:rPr>
          <w:rFonts w:ascii="Arial" w:hAnsi="Arial" w:cs="Arial"/>
          <w:i/>
          <w:iCs/>
          <w:lang w:val="en-US"/>
        </w:rPr>
        <w:t xml:space="preserve"> </w:t>
      </w:r>
      <w:proofErr w:type="spellStart"/>
      <w:r w:rsidRPr="000A15F4">
        <w:rPr>
          <w:rFonts w:ascii="Arial" w:hAnsi="Arial" w:cs="Arial"/>
          <w:i/>
          <w:iCs/>
          <w:lang w:val="en-US"/>
        </w:rPr>
        <w:t>drůbeže</w:t>
      </w:r>
      <w:proofErr w:type="spellEnd"/>
      <w:r w:rsidRPr="000A15F4">
        <w:rPr>
          <w:rFonts w:ascii="Arial" w:hAnsi="Arial" w:cs="Arial"/>
          <w:i/>
          <w:iCs/>
          <w:lang w:val="en-US"/>
        </w:rPr>
        <w:t>, s. p.; International Poultry Testing, state enterprise).</w:t>
      </w:r>
    </w:p>
    <w:p w:rsidR="000A15F4" w:rsidRPr="000A15F4" w:rsidRDefault="000A15F4" w:rsidP="000A15F4">
      <w:pPr>
        <w:spacing w:after="120"/>
        <w:jc w:val="both"/>
        <w:rPr>
          <w:rFonts w:ascii="Arial" w:hAnsi="Arial" w:cs="Arial"/>
          <w:i/>
          <w:iCs/>
          <w:lang w:val="en-US"/>
        </w:rPr>
      </w:pPr>
      <w:r w:rsidRPr="000A15F4">
        <w:rPr>
          <w:rFonts w:ascii="Arial" w:hAnsi="Arial" w:cs="Arial"/>
          <w:i/>
          <w:iCs/>
          <w:lang w:val="en-US"/>
        </w:rPr>
        <w:t xml:space="preserve">Sales of poultry for slaughter covers sales to marketing and processing </w:t>
      </w:r>
      <w:proofErr w:type="spellStart"/>
      <w:r w:rsidRPr="000A15F4">
        <w:rPr>
          <w:rFonts w:ascii="Arial" w:hAnsi="Arial" w:cs="Arial"/>
          <w:i/>
          <w:iCs/>
          <w:lang w:val="en-US"/>
        </w:rPr>
        <w:t>organisations</w:t>
      </w:r>
      <w:proofErr w:type="spellEnd"/>
      <w:r w:rsidRPr="000A15F4">
        <w:rPr>
          <w:rFonts w:ascii="Arial" w:hAnsi="Arial" w:cs="Arial"/>
          <w:i/>
          <w:iCs/>
          <w:lang w:val="en-US"/>
        </w:rPr>
        <w:t>, direct sales to final consumers (incl. consumption and processing in the unit) and direct export.</w:t>
      </w:r>
    </w:p>
    <w:p w:rsidR="000A15F4" w:rsidRPr="000A15F4" w:rsidRDefault="000A15F4" w:rsidP="000A15F4">
      <w:pPr>
        <w:spacing w:after="120"/>
        <w:jc w:val="both"/>
        <w:rPr>
          <w:rFonts w:ascii="Arial" w:hAnsi="Arial" w:cs="Arial"/>
          <w:i/>
          <w:iCs/>
          <w:lang w:val="en-US"/>
        </w:rPr>
      </w:pPr>
      <w:r w:rsidRPr="000A15F4">
        <w:rPr>
          <w:rFonts w:ascii="Arial" w:hAnsi="Arial" w:cs="Arial"/>
          <w:i/>
          <w:iCs/>
          <w:lang w:val="en-US"/>
        </w:rPr>
        <w:t>Sales of eggs (for human consumption) are not surveyed since the reference year 2010 in order to decrease the respondents’ administrative burden. On the basis of time series analysis conducted by the Czech Statistical Office and the Ministry of Agriculture, it is possible to estimate its value as 95 % of the egg laying for consumption.</w:t>
      </w:r>
    </w:p>
    <w:p w:rsidR="000A15F4" w:rsidRPr="000A15F4" w:rsidRDefault="000A15F4" w:rsidP="000A15F4">
      <w:pPr>
        <w:spacing w:after="120"/>
        <w:jc w:val="both"/>
        <w:rPr>
          <w:rFonts w:ascii="Arial" w:hAnsi="Arial" w:cs="Arial"/>
          <w:i/>
          <w:iCs/>
          <w:lang w:val="en-US"/>
        </w:rPr>
      </w:pPr>
      <w:r w:rsidRPr="000A15F4">
        <w:rPr>
          <w:rFonts w:ascii="Arial" w:hAnsi="Arial" w:cs="Arial"/>
          <w:i/>
          <w:iCs/>
          <w:lang w:val="en-US"/>
        </w:rPr>
        <w:t>Survey results are published as national totals and broken down by region (NUTS 3).</w:t>
      </w:r>
    </w:p>
    <w:p w:rsidR="00114BF0" w:rsidRPr="000A15F4" w:rsidRDefault="00114BF0">
      <w:pPr>
        <w:jc w:val="both"/>
        <w:rPr>
          <w:rFonts w:ascii="Arial" w:hAnsi="Arial" w:cs="Arial"/>
          <w:i/>
          <w:color w:val="000000"/>
          <w:lang w:bidi="or-IN"/>
        </w:rPr>
      </w:pPr>
    </w:p>
    <w:p w:rsidR="00114BF0" w:rsidRDefault="00114BF0" w:rsidP="00114BF0">
      <w:pPr>
        <w:jc w:val="center"/>
        <w:rPr>
          <w:i/>
          <w:iCs/>
        </w:rPr>
      </w:pPr>
      <w:r>
        <w:rPr>
          <w:rFonts w:ascii="Wingdings" w:hAnsi="Wingdings"/>
          <w:sz w:val="26"/>
          <w:szCs w:val="26"/>
        </w:rPr>
        <w:t></w:t>
      </w:r>
    </w:p>
    <w:p w:rsidR="00114BF0" w:rsidRDefault="00114BF0" w:rsidP="00114BF0">
      <w:pPr>
        <w:rPr>
          <w:rFonts w:ascii="Arial" w:hAnsi="Arial" w:cs="Arial"/>
          <w:i/>
          <w:iCs/>
          <w:lang w:val="en-GB"/>
        </w:rPr>
      </w:pPr>
    </w:p>
    <w:p w:rsidR="00114BF0" w:rsidRDefault="00114BF0" w:rsidP="00114BF0">
      <w:pPr>
        <w:rPr>
          <w:rFonts w:ascii="Arial" w:hAnsi="Arial" w:cs="Arial"/>
          <w:i/>
          <w:iCs/>
          <w:lang w:val="en-GB"/>
        </w:rPr>
      </w:pPr>
    </w:p>
    <w:p w:rsidR="00114BF0" w:rsidRDefault="00114BF0" w:rsidP="00114BF0">
      <w:pPr>
        <w:rPr>
          <w:rFonts w:ascii="Arial" w:hAnsi="Arial" w:cs="Arial"/>
          <w:i/>
          <w:iCs/>
          <w:lang w:val="en-GB"/>
        </w:rPr>
      </w:pPr>
      <w:r>
        <w:rPr>
          <w:rFonts w:ascii="Arial" w:hAnsi="Arial" w:cs="Arial"/>
          <w:i/>
          <w:iCs/>
          <w:lang w:val="en-GB"/>
        </w:rPr>
        <w:t>SYMBOLS USED IN THE TABLES</w:t>
      </w:r>
    </w:p>
    <w:p w:rsidR="00114BF0" w:rsidRDefault="00114BF0" w:rsidP="00114BF0">
      <w:pPr>
        <w:rPr>
          <w:rFonts w:ascii="Arial" w:hAnsi="Arial" w:cs="Arial"/>
          <w:i/>
          <w:iCs/>
          <w:lang w:val="en-GB"/>
        </w:rPr>
      </w:pPr>
    </w:p>
    <w:p w:rsidR="00114BF0" w:rsidRDefault="00114BF0" w:rsidP="00114BF0">
      <w:pPr>
        <w:rPr>
          <w:rFonts w:ascii="Arial" w:hAnsi="Arial" w:cs="Arial"/>
          <w:i/>
          <w:iCs/>
          <w:lang w:val="en-GB"/>
        </w:rPr>
      </w:pPr>
      <w:r>
        <w:rPr>
          <w:rFonts w:ascii="Arial" w:hAnsi="Arial" w:cs="Arial"/>
          <w:i/>
          <w:iCs/>
          <w:lang w:val="en-GB"/>
        </w:rPr>
        <w:t>-</w:t>
      </w:r>
      <w:r>
        <w:rPr>
          <w:rFonts w:ascii="Arial" w:hAnsi="Arial" w:cs="Arial"/>
          <w:i/>
          <w:iCs/>
          <w:lang w:val="en-GB"/>
        </w:rPr>
        <w:tab/>
      </w:r>
      <w:proofErr w:type="gramStart"/>
      <w:r>
        <w:rPr>
          <w:rFonts w:ascii="Arial" w:hAnsi="Arial" w:cs="Arial"/>
          <w:i/>
          <w:iCs/>
          <w:lang w:val="en-GB"/>
        </w:rPr>
        <w:t>no</w:t>
      </w:r>
      <w:proofErr w:type="gramEnd"/>
      <w:r>
        <w:rPr>
          <w:rFonts w:ascii="Arial" w:hAnsi="Arial" w:cs="Arial"/>
          <w:i/>
          <w:iCs/>
          <w:lang w:val="en-GB"/>
        </w:rPr>
        <w:t xml:space="preserve"> cases registered</w:t>
      </w:r>
    </w:p>
    <w:p w:rsidR="00114BF0" w:rsidRDefault="00114BF0" w:rsidP="00114BF0">
      <w:pPr>
        <w:spacing w:before="120"/>
        <w:rPr>
          <w:rFonts w:ascii="Arial" w:hAnsi="Arial" w:cs="Arial"/>
          <w:i/>
          <w:iCs/>
          <w:lang w:val="en-GB"/>
        </w:rPr>
      </w:pPr>
      <w:r>
        <w:rPr>
          <w:rFonts w:ascii="Arial" w:hAnsi="Arial" w:cs="Arial"/>
          <w:i/>
          <w:iCs/>
          <w:lang w:val="en-GB"/>
        </w:rPr>
        <w:t>.</w:t>
      </w:r>
      <w:r>
        <w:rPr>
          <w:rFonts w:ascii="Arial" w:hAnsi="Arial" w:cs="Arial"/>
          <w:i/>
          <w:iCs/>
          <w:lang w:val="en-GB"/>
        </w:rPr>
        <w:tab/>
      </w:r>
      <w:proofErr w:type="gramStart"/>
      <w:r>
        <w:rPr>
          <w:rFonts w:ascii="Arial" w:hAnsi="Arial" w:cs="Arial"/>
          <w:i/>
          <w:iCs/>
          <w:lang w:val="en-GB"/>
        </w:rPr>
        <w:t>data</w:t>
      </w:r>
      <w:proofErr w:type="gramEnd"/>
      <w:r>
        <w:rPr>
          <w:rFonts w:ascii="Arial" w:hAnsi="Arial" w:cs="Arial"/>
          <w:i/>
          <w:iCs/>
          <w:lang w:val="en-GB"/>
        </w:rPr>
        <w:t xml:space="preserve"> unavailable or unreliable</w:t>
      </w:r>
    </w:p>
    <w:p w:rsidR="00114BF0" w:rsidRDefault="00114BF0" w:rsidP="00114BF0">
      <w:pPr>
        <w:spacing w:before="120"/>
        <w:rPr>
          <w:rFonts w:ascii="Arial" w:hAnsi="Arial" w:cs="Arial"/>
          <w:i/>
          <w:iCs/>
          <w:lang w:val="en-GB"/>
        </w:rPr>
      </w:pPr>
      <w:proofErr w:type="gramStart"/>
      <w:r>
        <w:rPr>
          <w:rFonts w:ascii="Arial" w:hAnsi="Arial" w:cs="Arial"/>
          <w:i/>
          <w:iCs/>
          <w:lang w:val="en-GB"/>
        </w:rPr>
        <w:t>x</w:t>
      </w:r>
      <w:proofErr w:type="gramEnd"/>
      <w:r>
        <w:rPr>
          <w:rFonts w:ascii="Arial" w:hAnsi="Arial" w:cs="Arial"/>
          <w:i/>
          <w:iCs/>
          <w:lang w:val="en-GB"/>
        </w:rPr>
        <w:tab/>
        <w:t>not applicable</w:t>
      </w:r>
    </w:p>
    <w:p w:rsidR="00114BF0" w:rsidRDefault="00114BF0" w:rsidP="00114BF0">
      <w:pPr>
        <w:spacing w:before="120"/>
        <w:rPr>
          <w:rFonts w:ascii="Arial" w:hAnsi="Arial" w:cs="Arial"/>
          <w:i/>
          <w:iCs/>
          <w:lang w:val="en-GB"/>
        </w:rPr>
      </w:pPr>
      <w:r>
        <w:rPr>
          <w:rFonts w:ascii="Arial" w:hAnsi="Arial" w:cs="Arial"/>
          <w:i/>
          <w:iCs/>
          <w:lang w:val="en-GB"/>
        </w:rPr>
        <w:t>0</w:t>
      </w:r>
      <w:r>
        <w:rPr>
          <w:rFonts w:ascii="Arial" w:hAnsi="Arial" w:cs="Arial"/>
          <w:i/>
          <w:iCs/>
          <w:lang w:val="en-GB"/>
        </w:rPr>
        <w:tab/>
        <w:t>less than half the final digit shown and greater than real zero</w:t>
      </w:r>
    </w:p>
    <w:p w:rsidR="00114BF0" w:rsidRDefault="00114BF0" w:rsidP="00114BF0">
      <w:pPr>
        <w:spacing w:before="120"/>
        <w:rPr>
          <w:rFonts w:ascii="Arial" w:hAnsi="Arial" w:cs="Arial"/>
          <w:i/>
          <w:iCs/>
          <w:lang w:val="en-GB"/>
        </w:rPr>
      </w:pPr>
      <w:proofErr w:type="spellStart"/>
      <w:r>
        <w:rPr>
          <w:rFonts w:ascii="Arial" w:hAnsi="Arial" w:cs="Arial"/>
          <w:i/>
          <w:iCs/>
          <w:lang w:val="en-GB"/>
        </w:rPr>
        <w:t>i</w:t>
      </w:r>
      <w:proofErr w:type="spellEnd"/>
      <w:r>
        <w:rPr>
          <w:rFonts w:ascii="Arial" w:hAnsi="Arial" w:cs="Arial"/>
          <w:i/>
          <w:iCs/>
          <w:lang w:val="en-GB"/>
        </w:rPr>
        <w:t>. d.</w:t>
      </w:r>
      <w:r>
        <w:rPr>
          <w:rFonts w:ascii="Arial" w:hAnsi="Arial" w:cs="Arial"/>
          <w:i/>
          <w:iCs/>
          <w:lang w:val="en-GB"/>
        </w:rPr>
        <w:tab/>
        <w:t>individual data</w:t>
      </w:r>
    </w:p>
    <w:p w:rsidR="00114BF0" w:rsidRDefault="00114BF0">
      <w:pPr>
        <w:jc w:val="both"/>
        <w:rPr>
          <w:rFonts w:ascii="Arial" w:hAnsi="Arial" w:cs="Arial"/>
          <w:i/>
          <w:color w:val="000000"/>
          <w:lang w:bidi="or-IN"/>
        </w:rPr>
      </w:pPr>
    </w:p>
    <w:p w:rsidR="00987FB2" w:rsidRDefault="00447CE8" w:rsidP="00447CE8">
      <w:pPr>
        <w:pStyle w:val="Nadpis1"/>
        <w:rPr>
          <w:lang w:val="en-GB"/>
        </w:rPr>
      </w:pPr>
      <w:r>
        <w:rPr>
          <w:lang w:val="en-GB"/>
        </w:rPr>
        <w:t xml:space="preserve"> </w:t>
      </w:r>
    </w:p>
    <w:p w:rsidR="00987FB2" w:rsidRDefault="00987FB2">
      <w:pPr>
        <w:tabs>
          <w:tab w:val="left" w:pos="993"/>
          <w:tab w:val="right" w:pos="8931"/>
        </w:tabs>
        <w:ind w:left="709" w:hanging="425"/>
        <w:rPr>
          <w:rFonts w:ascii="Arial" w:hAnsi="Arial" w:cs="Arial"/>
          <w:bCs/>
          <w:lang w:val="en-GB"/>
        </w:rPr>
      </w:pPr>
    </w:p>
    <w:sectPr w:rsidR="00987FB2">
      <w:pgSz w:w="11907"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CD8" w:rsidRDefault="00CF3CD8">
      <w:r>
        <w:separator/>
      </w:r>
    </w:p>
  </w:endnote>
  <w:endnote w:type="continuationSeparator" w:id="0">
    <w:p w:rsidR="00CF3CD8" w:rsidRDefault="00CF3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CD8" w:rsidRDefault="00CF3CD8">
      <w:r>
        <w:separator/>
      </w:r>
    </w:p>
  </w:footnote>
  <w:footnote w:type="continuationSeparator" w:id="0">
    <w:p w:rsidR="00CF3CD8" w:rsidRDefault="00CF3C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3FB"/>
    <w:rsid w:val="000A15F4"/>
    <w:rsid w:val="000F5467"/>
    <w:rsid w:val="00114BF0"/>
    <w:rsid w:val="001A3C4D"/>
    <w:rsid w:val="0027265F"/>
    <w:rsid w:val="00346E24"/>
    <w:rsid w:val="00372091"/>
    <w:rsid w:val="00447CE8"/>
    <w:rsid w:val="004933EA"/>
    <w:rsid w:val="00551E4E"/>
    <w:rsid w:val="005D03FB"/>
    <w:rsid w:val="0063069B"/>
    <w:rsid w:val="006C1C33"/>
    <w:rsid w:val="00755849"/>
    <w:rsid w:val="00817105"/>
    <w:rsid w:val="008527AF"/>
    <w:rsid w:val="008A5F89"/>
    <w:rsid w:val="00906711"/>
    <w:rsid w:val="00986178"/>
    <w:rsid w:val="00987FB2"/>
    <w:rsid w:val="00B0355C"/>
    <w:rsid w:val="00B92557"/>
    <w:rsid w:val="00BC3BDD"/>
    <w:rsid w:val="00C060B5"/>
    <w:rsid w:val="00C46643"/>
    <w:rsid w:val="00CA40D8"/>
    <w:rsid w:val="00CF3CD8"/>
    <w:rsid w:val="00D869AF"/>
    <w:rsid w:val="00D95BD0"/>
    <w:rsid w:val="00E55E5F"/>
    <w:rsid w:val="00FF7D9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jc w:val="center"/>
      <w:outlineLvl w:val="0"/>
    </w:pPr>
    <w:rPr>
      <w:bCs/>
      <w:sz w:val="24"/>
    </w:rPr>
  </w:style>
  <w:style w:type="paragraph" w:styleId="Nadpis2">
    <w:name w:val="heading 2"/>
    <w:basedOn w:val="Normln"/>
    <w:next w:val="Normln"/>
    <w:qFormat/>
    <w:pPr>
      <w:keepNext/>
      <w:tabs>
        <w:tab w:val="left" w:pos="566"/>
        <w:tab w:val="left" w:pos="1274"/>
        <w:tab w:val="left" w:pos="1982"/>
        <w:tab w:val="left" w:pos="2690"/>
        <w:tab w:val="left" w:pos="3398"/>
        <w:tab w:val="left" w:pos="4106"/>
        <w:tab w:val="left" w:pos="4814"/>
        <w:tab w:val="left" w:pos="5522"/>
        <w:tab w:val="left" w:pos="6230"/>
        <w:tab w:val="left" w:pos="6938"/>
        <w:tab w:val="left" w:pos="7646"/>
        <w:tab w:val="left" w:pos="8354"/>
      </w:tabs>
      <w:ind w:right="114"/>
      <w:jc w:val="both"/>
      <w:outlineLvl w:val="1"/>
    </w:pPr>
    <w:rPr>
      <w:sz w:val="24"/>
    </w:rPr>
  </w:style>
  <w:style w:type="paragraph" w:styleId="Nadpis3">
    <w:name w:val="heading 3"/>
    <w:basedOn w:val="Normln"/>
    <w:next w:val="Normln"/>
    <w:qFormat/>
    <w:pPr>
      <w:keepNext/>
      <w:tabs>
        <w:tab w:val="left" w:pos="566"/>
        <w:tab w:val="left" w:pos="1274"/>
        <w:tab w:val="left" w:pos="1982"/>
        <w:tab w:val="left" w:pos="2690"/>
        <w:tab w:val="left" w:pos="3398"/>
        <w:tab w:val="left" w:pos="4106"/>
        <w:tab w:val="left" w:pos="4814"/>
        <w:tab w:val="left" w:pos="5522"/>
        <w:tab w:val="left" w:pos="6230"/>
        <w:tab w:val="left" w:pos="6938"/>
        <w:tab w:val="left" w:pos="7646"/>
        <w:tab w:val="left" w:pos="8354"/>
      </w:tabs>
      <w:ind w:left="566" w:right="114"/>
      <w:jc w:val="both"/>
      <w:outlineLvl w:val="2"/>
    </w:pPr>
    <w:rPr>
      <w:b/>
      <w:bCs/>
      <w:sz w:val="26"/>
    </w:rPr>
  </w:style>
  <w:style w:type="paragraph" w:styleId="Nadpis4">
    <w:name w:val="heading 4"/>
    <w:basedOn w:val="Normln"/>
    <w:next w:val="Normln"/>
    <w:qFormat/>
    <w:pPr>
      <w:keepNext/>
      <w:jc w:val="center"/>
      <w:outlineLvl w:val="3"/>
    </w:pPr>
    <w:rPr>
      <w:rFonts w:ascii="Arial" w:hAnsi="Arial"/>
      <w:b/>
      <w:sz w:val="36"/>
    </w:rPr>
  </w:style>
  <w:style w:type="paragraph" w:styleId="Nadpis5">
    <w:name w:val="heading 5"/>
    <w:basedOn w:val="Normln"/>
    <w:next w:val="Normln"/>
    <w:qFormat/>
    <w:pPr>
      <w:keepNext/>
      <w:tabs>
        <w:tab w:val="left" w:pos="6096"/>
      </w:tabs>
      <w:outlineLvl w:val="4"/>
    </w:pPr>
    <w:rPr>
      <w:rFonts w:ascii="Arial" w:hAnsi="Arial"/>
      <w:b/>
      <w:i/>
      <w:iCs/>
      <w:sz w:val="26"/>
    </w:rPr>
  </w:style>
  <w:style w:type="paragraph" w:styleId="Nadpis6">
    <w:name w:val="heading 6"/>
    <w:basedOn w:val="Normln"/>
    <w:next w:val="Normln"/>
    <w:qFormat/>
    <w:pPr>
      <w:keepNext/>
      <w:jc w:val="center"/>
      <w:outlineLvl w:val="5"/>
    </w:pPr>
    <w:rPr>
      <w:rFonts w:ascii="Arial" w:hAnsi="Arial"/>
      <w:b/>
      <w:i/>
      <w:iCs/>
      <w:sz w:val="36"/>
    </w:rPr>
  </w:style>
  <w:style w:type="paragraph" w:styleId="Nadpis7">
    <w:name w:val="heading 7"/>
    <w:basedOn w:val="Normln"/>
    <w:next w:val="Normln"/>
    <w:qFormat/>
    <w:pPr>
      <w:keepNext/>
      <w:jc w:val="center"/>
      <w:outlineLvl w:val="6"/>
    </w:pPr>
    <w:rPr>
      <w:rFonts w:ascii="Arial" w:hAnsi="Arial"/>
      <w:b/>
      <w:bCs/>
      <w:i/>
      <w:iCs/>
      <w:sz w:val="24"/>
    </w:rPr>
  </w:style>
  <w:style w:type="paragraph" w:styleId="Nadpis8">
    <w:name w:val="heading 8"/>
    <w:basedOn w:val="Normln"/>
    <w:next w:val="Normln"/>
    <w:qFormat/>
    <w:pPr>
      <w:keepNext/>
      <w:outlineLvl w:val="7"/>
    </w:pPr>
    <w:rPr>
      <w:rFonts w:ascii="Arial" w:hAnsi="Arial"/>
      <w:b/>
      <w:i/>
      <w:iCs/>
      <w:sz w:val="22"/>
    </w:rPr>
  </w:style>
  <w:style w:type="paragraph" w:styleId="Nadpis9">
    <w:name w:val="heading 9"/>
    <w:basedOn w:val="Normln"/>
    <w:next w:val="Normln"/>
    <w:qFormat/>
    <w:pPr>
      <w:keepNext/>
      <w:tabs>
        <w:tab w:val="left" w:pos="0"/>
        <w:tab w:val="left" w:pos="1274"/>
        <w:tab w:val="left" w:pos="1982"/>
        <w:tab w:val="left" w:pos="2690"/>
        <w:tab w:val="left" w:pos="3398"/>
        <w:tab w:val="left" w:pos="4106"/>
        <w:tab w:val="left" w:pos="4814"/>
        <w:tab w:val="left" w:pos="5522"/>
        <w:tab w:val="left" w:pos="6230"/>
        <w:tab w:val="left" w:pos="6938"/>
        <w:tab w:val="left" w:pos="7646"/>
        <w:tab w:val="left" w:pos="8354"/>
      </w:tabs>
      <w:ind w:right="114"/>
      <w:jc w:val="both"/>
      <w:outlineLvl w:val="8"/>
    </w:pPr>
    <w:rPr>
      <w:rFonts w:ascii="Arial" w:hAnsi="Arial"/>
      <w:b/>
      <w:bCs/>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rPr>
      <w:vertAlign w:val="superscript"/>
    </w:rPr>
  </w:style>
  <w:style w:type="paragraph" w:styleId="Textpoznpodarou">
    <w:name w:val="footnote text"/>
    <w:basedOn w:val="Normln"/>
    <w:semiHidden/>
  </w:style>
  <w:style w:type="paragraph" w:styleId="Nzev">
    <w:name w:val="Title"/>
    <w:basedOn w:val="Normln"/>
    <w:qFormat/>
    <w:pPr>
      <w:spacing w:before="120" w:after="120"/>
      <w:jc w:val="center"/>
    </w:pPr>
    <w:rPr>
      <w:bCs/>
      <w:sz w:val="48"/>
      <w:u w:val="single"/>
    </w:rPr>
  </w:style>
  <w:style w:type="character" w:styleId="Hypertextovodkaz">
    <w:name w:val="Hyperlink"/>
    <w:basedOn w:val="Standardnpsmoodstavce"/>
    <w:semiHidden/>
    <w:rPr>
      <w:color w:val="0000FF"/>
      <w:u w:val="single"/>
    </w:rPr>
  </w:style>
  <w:style w:type="character" w:styleId="Sledovanodkaz">
    <w:name w:val="FollowedHyperlink"/>
    <w:basedOn w:val="Standardnpsmoodstavce"/>
    <w:semiHidden/>
    <w:rPr>
      <w:color w:val="800080"/>
      <w:u w:val="single"/>
    </w:rPr>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Textvbloku">
    <w:name w:val="Block Text"/>
    <w:basedOn w:val="Normln"/>
    <w:semiHidden/>
    <w:pPr>
      <w:tabs>
        <w:tab w:val="left" w:pos="566"/>
        <w:tab w:val="left" w:pos="1274"/>
        <w:tab w:val="left" w:pos="1982"/>
        <w:tab w:val="left" w:pos="2690"/>
        <w:tab w:val="left" w:pos="3398"/>
        <w:tab w:val="left" w:pos="4106"/>
        <w:tab w:val="left" w:pos="4814"/>
        <w:tab w:val="left" w:pos="5522"/>
        <w:tab w:val="left" w:pos="6230"/>
        <w:tab w:val="left" w:pos="6938"/>
        <w:tab w:val="left" w:pos="7646"/>
        <w:tab w:val="left" w:pos="8354"/>
      </w:tabs>
      <w:ind w:left="566" w:right="114"/>
      <w:jc w:val="both"/>
    </w:pPr>
    <w:rPr>
      <w:sz w:val="26"/>
    </w:rPr>
  </w:style>
  <w:style w:type="paragraph" w:styleId="Titulek">
    <w:name w:val="caption"/>
    <w:basedOn w:val="Normln"/>
    <w:next w:val="Normln"/>
    <w:qFormat/>
    <w:pPr>
      <w:spacing w:before="120" w:after="120"/>
    </w:pPr>
    <w:rPr>
      <w:rFonts w:ascii="Arial" w:hAnsi="Arial"/>
      <w:b/>
      <w:sz w:val="28"/>
    </w:rPr>
  </w:style>
  <w:style w:type="paragraph" w:styleId="Zkladntextodsazen">
    <w:name w:val="Body Text Indent"/>
    <w:basedOn w:val="Normln"/>
    <w:semiHidden/>
    <w:pPr>
      <w:overflowPunct/>
      <w:autoSpaceDE/>
      <w:autoSpaceDN/>
      <w:adjustRightInd/>
      <w:ind w:firstLine="708"/>
      <w:jc w:val="both"/>
      <w:textAlignment w:val="auto"/>
    </w:pPr>
    <w:rPr>
      <w:rFonts w:ascii="Arial" w:hAnsi="Arial" w:cs="Arial"/>
      <w:szCs w:val="24"/>
    </w:rPr>
  </w:style>
  <w:style w:type="paragraph" w:styleId="Zkladntextodsazen2">
    <w:name w:val="Body Text Indent 2"/>
    <w:basedOn w:val="Normln"/>
    <w:semiHidden/>
    <w:pPr>
      <w:overflowPunct/>
      <w:autoSpaceDE/>
      <w:autoSpaceDN/>
      <w:adjustRightInd/>
      <w:ind w:firstLine="708"/>
      <w:jc w:val="both"/>
      <w:textAlignment w:val="auto"/>
    </w:pPr>
    <w:rPr>
      <w:rFonts w:ascii="Arial" w:hAnsi="Arial" w:cs="Arial"/>
      <w:sz w:val="24"/>
      <w:szCs w:val="24"/>
    </w:rPr>
  </w:style>
  <w:style w:type="paragraph" w:styleId="Zkladntextodsazen3">
    <w:name w:val="Body Text Indent 3"/>
    <w:basedOn w:val="Normln"/>
    <w:semiHidden/>
    <w:pPr>
      <w:overflowPunct/>
      <w:autoSpaceDE/>
      <w:autoSpaceDN/>
      <w:adjustRightInd/>
      <w:ind w:firstLine="708"/>
      <w:jc w:val="both"/>
      <w:textAlignment w:val="auto"/>
    </w:pPr>
    <w:rPr>
      <w:rFonts w:ascii="Arial" w:hAnsi="Arial" w:cs="Arial"/>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1959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Titulní list</vt:lpstr>
    </vt:vector>
  </TitlesOfParts>
  <Company>ČSÚ</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Titulní list</dc:title>
  <dc:subject>Publikace</dc:subject>
  <dc:creator>Makovičková</dc:creator>
  <cp:lastModifiedBy>stara7827</cp:lastModifiedBy>
  <cp:revision>2</cp:revision>
  <cp:lastPrinted>2012-02-01T09:21:00Z</cp:lastPrinted>
  <dcterms:created xsi:type="dcterms:W3CDTF">2019-01-17T08:30:00Z</dcterms:created>
  <dcterms:modified xsi:type="dcterms:W3CDTF">2019-01-17T08:30:00Z</dcterms:modified>
</cp:coreProperties>
</file>