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B9" w:rsidRDefault="00C355B9">
      <w:pPr>
        <w:pStyle w:val="Nadpis4"/>
        <w:jc w:val="center"/>
      </w:pPr>
      <w:r>
        <w:t xml:space="preserve">Energetické bilance ČR </w:t>
      </w:r>
    </w:p>
    <w:p w:rsidR="00C355B9" w:rsidRDefault="00C355B9">
      <w:pPr>
        <w:suppressAutoHyphens/>
        <w:jc w:val="center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pacing w:val="-2"/>
          <w:sz w:val="24"/>
        </w:rPr>
        <w:t>(metodika Českého statistického úřadu)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  <w:sz w:val="24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Český statistický úřad publikuje energetickou bilanci v metodice, která byla používána před rokem 1993, čímž je zaručena srovnatelnost časových řad. Základní metodický rozdíl mezi metodikou ČSÚ a mezinárodní metodikou (používanou IEA/OECD</w:t>
      </w:r>
      <w:r>
        <w:rPr>
          <w:rFonts w:ascii="Arial" w:hAnsi="Arial" w:cs="Arial"/>
          <w:spacing w:val="-2"/>
          <w:lang w:val="en-US"/>
        </w:rPr>
        <w:t>, Eurostatem</w:t>
      </w:r>
      <w:r>
        <w:rPr>
          <w:rFonts w:ascii="Arial" w:hAnsi="Arial" w:cs="Arial"/>
          <w:spacing w:val="-2"/>
        </w:rPr>
        <w:t xml:space="preserve"> a OSN) je ve vykazování tepelné energie. ČSÚ vykazuje veškeré vyrobené teplo včetně tepla ze závodních výroben a palivo spotřebované na výrobu tohoto tepla v transformačním sektoru energetické bilance, zatímco mezinárodní metodika uvádí pouze teplo vyrobené ve veřejných výrobnách a teplo vyrobené v závodních výrobnách určené na prodej mimo vlastní podnik a palivo na výrobu tohoto tepla spotřebované. Teplo vyrobené v závodních výrobnách pro vlastní spotřebu v podniku v energetické bilanci mezinárodní metodika neuvádí, palivo spotřebované na výrobu tohoto tepla se zahrnuje do konečné spotřeby. 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Pro zpracování úlohy „Energetická bilance ČR“ se využívají výsledky statistických zjišťování, které jsou zabezpečovány převážně ČSÚ, částečně pak MPO (Ministerstvo průmyslu a obchodu) a ERÚ (Energetický regulační úřad).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Základními výkazy jsou: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EP 5-01 </w:t>
      </w:r>
      <w:r>
        <w:rPr>
          <w:rFonts w:ascii="Arial" w:hAnsi="Arial" w:cs="Arial"/>
          <w:spacing w:val="-2"/>
        </w:rPr>
        <w:tab/>
        <w:t>Roční výkaz o spotřebě paliv a energie a zásobách paliv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EP 7-01 </w:t>
      </w:r>
      <w:r>
        <w:rPr>
          <w:rFonts w:ascii="Arial" w:hAnsi="Arial" w:cs="Arial"/>
          <w:spacing w:val="-2"/>
        </w:rPr>
        <w:tab/>
        <w:t>Roční výkaz o zdrojích a rozdělení paliv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EP 8-01 </w:t>
      </w:r>
      <w:r>
        <w:rPr>
          <w:rFonts w:ascii="Arial" w:hAnsi="Arial" w:cs="Arial"/>
          <w:spacing w:val="-2"/>
        </w:rPr>
        <w:tab/>
        <w:t>Roční výkaz o energetických pochodech zušlechťování paliv</w:t>
      </w:r>
    </w:p>
    <w:p w:rsidR="00C355B9" w:rsidRDefault="00C355B9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EP 9-01 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</w:rPr>
        <w:t>Roční výkaz o spotřebě paliv a energie na výrobu vybraných výrobků</w:t>
      </w:r>
    </w:p>
    <w:p w:rsidR="00C355B9" w:rsidRDefault="00C355B9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EP 10-01 </w:t>
      </w:r>
      <w:r>
        <w:rPr>
          <w:rFonts w:ascii="Arial" w:hAnsi="Arial" w:cs="Arial"/>
        </w:rPr>
        <w:tab/>
        <w:t>Roční výkaz o výrobě a rozvodu elektrické a tepelné energie</w:t>
      </w:r>
    </w:p>
    <w:p w:rsidR="00C355B9" w:rsidRDefault="00C355B9">
      <w:pPr>
        <w:pStyle w:val="Zkladntextodsazen2"/>
        <w:ind w:left="1440" w:hanging="1440"/>
      </w:pPr>
      <w:r>
        <w:t xml:space="preserve">EPR 1-12 </w:t>
      </w:r>
      <w:r>
        <w:tab/>
        <w:t>Měsíční výkaz o ropě, ropných produktech a biopalivech pro rafinérie a výrobce ropných produktů</w:t>
      </w:r>
    </w:p>
    <w:p w:rsidR="00C355B9" w:rsidRDefault="00C355B9">
      <w:pPr>
        <w:pStyle w:val="Zkladntextodsazen2"/>
        <w:ind w:left="1440" w:hanging="1440"/>
      </w:pPr>
      <w:r>
        <w:t xml:space="preserve">EPS 1-12 </w:t>
      </w:r>
      <w:r>
        <w:tab/>
        <w:t>Měsíční výkaz o ropě, ropných produktech a biopalivech pro obchodní, skladovatelské a spotřebitelské subjekty</w:t>
      </w:r>
    </w:p>
    <w:p w:rsidR="00C355B9" w:rsidRDefault="00C355B9">
      <w:pPr>
        <w:suppressAutoHyphens/>
        <w:jc w:val="both"/>
        <w:rPr>
          <w:rFonts w:ascii="Arial" w:hAnsi="Arial" w:cs="Arial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>Výstupy z výše uvedených výkazů jsou vstupy do zpracování energetické bilance. V dalším textu, který objasňuje stavbu energetické bilance a definuje vstupující ukazatele, jsou v závorkách uvedeny příslušné výkazy (případně subjekty), které jsou zdrojem těchto ukazatelů.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Energetickou bilanci můžeme rozdělit na tři základní části: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ind w:firstLine="7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I. Prvotní energetické zdroje </w:t>
      </w:r>
    </w:p>
    <w:p w:rsidR="00C355B9" w:rsidRDefault="00C355B9">
      <w:pPr>
        <w:suppressAutoHyphens/>
        <w:ind w:firstLine="7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II. Energetické procesy </w:t>
      </w:r>
    </w:p>
    <w:p w:rsidR="00C355B9" w:rsidRDefault="00C355B9">
      <w:pPr>
        <w:suppressAutoHyphens/>
        <w:ind w:firstLine="72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III. Konečná spotřeba energie 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pStyle w:val="Nadpis3"/>
        <w:rPr>
          <w:sz w:val="20"/>
        </w:rPr>
      </w:pPr>
      <w:r>
        <w:rPr>
          <w:sz w:val="20"/>
        </w:rPr>
        <w:t>I. Prvotní energetické zdroje (EP 7-01, EP 10-01, EPR 1-12, EP 5-01, MPO, ERÚ)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Do této části energetické bilance jsou zahrnuty: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numPr>
          <w:ilvl w:val="0"/>
          <w:numId w:val="2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přírodní energetické zdroje (EP 7-01, EP 10-01, EPR 1-12, MPO, ERÚ)</w:t>
      </w:r>
    </w:p>
    <w:p w:rsidR="00C355B9" w:rsidRDefault="00C355B9">
      <w:pPr>
        <w:numPr>
          <w:ilvl w:val="0"/>
          <w:numId w:val="2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dovoz a vývoz paliv a energie (EP 7-01, EP 10-01, EPR 1-12, EPS 1-12, statistika ZO, MPO, ERÚ)</w:t>
      </w:r>
    </w:p>
    <w:p w:rsidR="00C355B9" w:rsidRDefault="00C355B9">
      <w:pPr>
        <w:numPr>
          <w:ilvl w:val="0"/>
          <w:numId w:val="2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změna stavu zásob paliv a energie (EP 7-01, EP 5-01, EPR 1-12, EPS 1-12)</w:t>
      </w:r>
    </w:p>
    <w:p w:rsidR="00C355B9" w:rsidRDefault="00C355B9">
      <w:pPr>
        <w:numPr>
          <w:ilvl w:val="0"/>
          <w:numId w:val="2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jiné zdroje (</w:t>
      </w:r>
      <w:proofErr w:type="gramStart"/>
      <w:r>
        <w:rPr>
          <w:rFonts w:ascii="Arial" w:hAnsi="Arial" w:cs="Arial"/>
          <w:spacing w:val="-2"/>
        </w:rPr>
        <w:t>úbytky) (EP</w:t>
      </w:r>
      <w:proofErr w:type="gramEnd"/>
      <w:r>
        <w:rPr>
          <w:rFonts w:ascii="Arial" w:hAnsi="Arial" w:cs="Arial"/>
          <w:spacing w:val="-2"/>
        </w:rPr>
        <w:t xml:space="preserve"> 7-01, EPR 1-12, EPS 1-12)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pStyle w:val="Nadpis1"/>
        <w:rPr>
          <w:sz w:val="20"/>
        </w:rPr>
      </w:pPr>
      <w:r>
        <w:rPr>
          <w:sz w:val="20"/>
        </w:rPr>
        <w:t>Přírodní zdroje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numPr>
          <w:ilvl w:val="0"/>
          <w:numId w:val="9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Těžba paliv na úrovni odbytové těžby (tj. po prvotní úpravě, např. uhlí po úpravě tříděním a </w:t>
      </w:r>
      <w:proofErr w:type="gramStart"/>
      <w:r>
        <w:rPr>
          <w:rFonts w:ascii="Arial" w:hAnsi="Arial" w:cs="Arial"/>
          <w:spacing w:val="-2"/>
        </w:rPr>
        <w:t>praním) (EP</w:t>
      </w:r>
      <w:proofErr w:type="gramEnd"/>
      <w:r>
        <w:rPr>
          <w:rFonts w:ascii="Arial" w:hAnsi="Arial" w:cs="Arial"/>
          <w:spacing w:val="-2"/>
        </w:rPr>
        <w:t xml:space="preserve"> 7-01, EPR 1-12)</w:t>
      </w:r>
    </w:p>
    <w:p w:rsidR="00C355B9" w:rsidRDefault="00C355B9">
      <w:pPr>
        <w:numPr>
          <w:ilvl w:val="0"/>
          <w:numId w:val="9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Elektřina z vodních sil měřená na svorkách generátorů (nikoli však elektřina vyrobená v přečerpávacích vodních elektrárnách, která patří do kategorie “výroba z energetických </w:t>
      </w:r>
      <w:proofErr w:type="gramStart"/>
      <w:r>
        <w:rPr>
          <w:rFonts w:ascii="Arial" w:hAnsi="Arial" w:cs="Arial"/>
          <w:spacing w:val="-2"/>
        </w:rPr>
        <w:t>procesů”) (EP</w:t>
      </w:r>
      <w:proofErr w:type="gramEnd"/>
      <w:r>
        <w:rPr>
          <w:rFonts w:ascii="Arial" w:hAnsi="Arial" w:cs="Arial"/>
          <w:spacing w:val="-2"/>
        </w:rPr>
        <w:t xml:space="preserve"> 10-01, ERÚ)</w:t>
      </w:r>
    </w:p>
    <w:p w:rsidR="00C355B9" w:rsidRDefault="00C355B9">
      <w:pPr>
        <w:numPr>
          <w:ilvl w:val="0"/>
          <w:numId w:val="9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Tepelná energie vyrobená v jaderných elektrárnách (teplárnách, výtopnách) jak pro výrobu elektřiny, </w:t>
      </w:r>
      <w:r>
        <w:rPr>
          <w:rFonts w:ascii="Arial" w:hAnsi="Arial" w:cs="Arial"/>
          <w:spacing w:val="-2"/>
        </w:rPr>
        <w:lastRenderedPageBreak/>
        <w:t>tak i pro rozvod (EP 10-01)</w:t>
      </w:r>
    </w:p>
    <w:p w:rsidR="00C355B9" w:rsidRDefault="00C355B9">
      <w:pPr>
        <w:numPr>
          <w:ilvl w:val="0"/>
          <w:numId w:val="9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Teplo vznikající v exotermických chemických reakcích, které je dále využité (např. teplo vznikající při výrobě kyseliny sírové). (EP 10-01)</w:t>
      </w:r>
    </w:p>
    <w:p w:rsidR="00C355B9" w:rsidRDefault="00C355B9">
      <w:pPr>
        <w:numPr>
          <w:ilvl w:val="0"/>
          <w:numId w:val="9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Do přírodních zdrojů se zahrnují též obnovitelné zdroje energie jako je sluneční energie, geotermální energie, energie z tepelných čerpadel, energie bioplynu a větrná energie apod. (MPO)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pStyle w:val="Nadpis1"/>
        <w:rPr>
          <w:sz w:val="20"/>
        </w:rPr>
      </w:pPr>
      <w:r>
        <w:rPr>
          <w:sz w:val="20"/>
        </w:rPr>
        <w:t xml:space="preserve">Dovoz 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Dovoz všech druhů paliv a energie i ve formě meziproduktů (např. různé polotovary ze zpracování ropy jako jsou olejové a vakuové destiláty, rafináty, filtráty, hydrogenáty apod.).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Dovoz elektřiny se uvádí na základě měřených údajů, nikoli podle údajů zahraničního obchodu stejně jako v mezinárodním dotazníku o elektřině.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Údaje o dovozu nezahrnují tranzitní dodávky paliv a energie.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Údaj o dovozu zemního plynu zahrnuje dovoz do zásobníků pronajatých na území jiných států a sloužících ke spotřebě v České republice.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pStyle w:val="Nadpis1"/>
        <w:rPr>
          <w:sz w:val="20"/>
          <w:vertAlign w:val="superscript"/>
        </w:rPr>
      </w:pPr>
      <w:r>
        <w:rPr>
          <w:sz w:val="20"/>
        </w:rPr>
        <w:t>Vývoz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Vývoz všech druhů paliv a energie (včetně meziproduktů).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Údaje o vývozu nezahrnují tranzitní dodávky paliv a energie a ztráty spojené s tranzitem. 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Vývoz elektřiny se uvádí stejně jako dovoz na základě měřených údajů.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pStyle w:val="Nadpis1"/>
        <w:rPr>
          <w:sz w:val="20"/>
        </w:rPr>
      </w:pPr>
      <w:r>
        <w:rPr>
          <w:sz w:val="20"/>
        </w:rPr>
        <w:t xml:space="preserve">Čerpání (+), doplnění (-) zásob </w:t>
      </w:r>
      <w:r>
        <w:rPr>
          <w:spacing w:val="-2"/>
          <w:sz w:val="20"/>
        </w:rPr>
        <w:t>(</w:t>
      </w:r>
      <w:r w:rsidR="005E1571">
        <w:rPr>
          <w:spacing w:val="-2"/>
          <w:sz w:val="20"/>
        </w:rPr>
        <w:t xml:space="preserve">EP 5-01, </w:t>
      </w:r>
      <w:r>
        <w:rPr>
          <w:spacing w:val="-2"/>
          <w:sz w:val="20"/>
        </w:rPr>
        <w:t>EP 7-01, EPR 1-12, EPS 1-12)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Čerpání ze zásob (snížení zásob) zvyšuje disponibilní zdroje a je proto označeno (+), doplnění zásob (zvýšení zásob) omezuje tyto zdroje a je proto označeno (-).</w:t>
      </w:r>
    </w:p>
    <w:p w:rsidR="00C355B9" w:rsidRDefault="00C355B9">
      <w:pPr>
        <w:suppressAutoHyphens/>
        <w:ind w:firstLine="360"/>
        <w:jc w:val="both"/>
        <w:rPr>
          <w:rFonts w:ascii="Arial" w:hAnsi="Arial" w:cs="Arial"/>
          <w:spacing w:val="-2"/>
        </w:rPr>
      </w:pPr>
    </w:p>
    <w:p w:rsidR="00C355B9" w:rsidRDefault="00C355B9">
      <w:pPr>
        <w:pStyle w:val="Nadpis1"/>
        <w:rPr>
          <w:sz w:val="20"/>
        </w:rPr>
      </w:pPr>
      <w:r>
        <w:rPr>
          <w:sz w:val="20"/>
        </w:rPr>
        <w:t xml:space="preserve">Jiné zdroje (+), jiné úbytky (-) 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Jsou ostatní evidované a v jiných ukazatelích neuvedené přírůstky nebo úbytky zdrojů, např. čerpaní nebo doplnění státních hmotných rezerv, čerpání ze zásob nebo doplnění zásob polotovarů kapalných paliv apod.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Uvádí se zde také výsledek reklasifikace vyrobeného kapalného paliva buď v důsledku změny jeho </w:t>
      </w:r>
      <w:proofErr w:type="gramStart"/>
      <w:r>
        <w:rPr>
          <w:rFonts w:ascii="Arial" w:hAnsi="Arial" w:cs="Arial"/>
          <w:spacing w:val="-2"/>
        </w:rPr>
        <w:t>specifikace nebo</w:t>
      </w:r>
      <w:proofErr w:type="gramEnd"/>
      <w:r>
        <w:rPr>
          <w:rFonts w:ascii="Arial" w:hAnsi="Arial" w:cs="Arial"/>
          <w:spacing w:val="-2"/>
        </w:rPr>
        <w:t xml:space="preserve"> proto, že bylo namícháno do jiného produktu. Negativní vstup u jednoho produktu musí být kompenzován pozitivním vstupem (nebo několika vstupy) u jiného produktu nebo několika produktů a naopak. Celkový výsledek této reklasifikace v položce kapalná paliva celkem musí být nula. Taková reklasifikace může nastat také u zemního plynu v případě, že se převede určité množství ze systému zemního plynu karbonského do systému zemního plynu naftového.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Reklasifikace paliv může také nastat u tuhých paliv, především mezi skupinami černého uhlí energetického a koksovatelného. Také v položce tuhá paliva platí, že celkový výsledek reklasifikace musí být nulový.</w:t>
      </w:r>
    </w:p>
    <w:p w:rsidR="00C355B9" w:rsidRDefault="00C355B9">
      <w:pPr>
        <w:pStyle w:val="Nadpis1"/>
        <w:rPr>
          <w:sz w:val="20"/>
        </w:rPr>
      </w:pPr>
      <w:r>
        <w:rPr>
          <w:sz w:val="20"/>
        </w:rPr>
        <w:t>Prvotní energetické zdroje celkem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Aritmetický součet výše uvedených ukazatelů tj. přírodní zdroje (+)dovoz (-)vývoz (+/-) změna stavu zásob (+/-) jiné zdroje.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pStyle w:val="Nadpis3"/>
        <w:rPr>
          <w:sz w:val="20"/>
        </w:rPr>
      </w:pPr>
      <w:r>
        <w:rPr>
          <w:sz w:val="20"/>
        </w:rPr>
        <w:t>II. Energetické procesy (EP 8-01, EP 10-01, EPR 1-12, EP 9-01)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Energetické procesy jsou produktivní činnosti, jejichž výsledkem je zvýšení nebo změna užitné hodnoty energetických látek, které jimi procházejí.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Za energetické procesy se v energetické bilanci považují jen ty procesy, ve kterých se bilancují na jedné straně vsázka do procesů a na straně druhé výroba a ztráty na vsázce. Kromě této bilance energetických procesů se dále sledují paliva a energie, které byly vynaloženy na provozování energetického procesu (provozovací spotřeba).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Jako energetické procesy jsou v energetické bilanci uváděny tyto činnosti: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Briketování hnědého uhlí </w:t>
      </w:r>
      <w:r>
        <w:rPr>
          <w:rFonts w:ascii="Arial" w:hAnsi="Arial" w:cs="Arial"/>
        </w:rPr>
        <w:t>(EP 8-01)</w:t>
      </w:r>
    </w:p>
    <w:p w:rsidR="00C355B9" w:rsidRDefault="00C355B9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spacing w:val="-2"/>
        </w:rPr>
        <w:t>Vysokotepelná</w:t>
      </w:r>
      <w:proofErr w:type="spellEnd"/>
      <w:r>
        <w:rPr>
          <w:rFonts w:ascii="Arial" w:hAnsi="Arial" w:cs="Arial"/>
          <w:spacing w:val="-2"/>
        </w:rPr>
        <w:t xml:space="preserve"> karbonizace v koksovnách </w:t>
      </w:r>
      <w:r>
        <w:rPr>
          <w:rFonts w:ascii="Arial" w:hAnsi="Arial" w:cs="Arial"/>
        </w:rPr>
        <w:t>(EP 8-01)</w:t>
      </w:r>
    </w:p>
    <w:p w:rsidR="00C355B9" w:rsidRDefault="00C355B9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Tlakové zplyňování uhlí včetně karburace </w:t>
      </w:r>
      <w:r>
        <w:rPr>
          <w:rFonts w:ascii="Arial" w:hAnsi="Arial" w:cs="Arial"/>
        </w:rPr>
        <w:t>(EP 8-01)</w:t>
      </w:r>
    </w:p>
    <w:p w:rsidR="00C355B9" w:rsidRDefault="00C355B9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Výroba vysokopecního plynu ve vysokých pecích </w:t>
      </w:r>
      <w:r>
        <w:rPr>
          <w:rFonts w:ascii="Arial" w:hAnsi="Arial" w:cs="Arial"/>
        </w:rPr>
        <w:t>(EP 8-01)</w:t>
      </w:r>
    </w:p>
    <w:p w:rsidR="00C355B9" w:rsidRDefault="00C355B9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Zplyňování v průmyslových generátorových stanicích </w:t>
      </w:r>
      <w:r>
        <w:rPr>
          <w:rFonts w:ascii="Arial" w:hAnsi="Arial" w:cs="Arial"/>
        </w:rPr>
        <w:t>(EP 8-01)</w:t>
      </w:r>
    </w:p>
    <w:p w:rsidR="00C355B9" w:rsidRDefault="00C355B9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Výroba kapalných paliv z ropy a dehtů </w:t>
      </w:r>
      <w:r>
        <w:rPr>
          <w:rFonts w:ascii="Arial" w:hAnsi="Arial" w:cs="Arial"/>
        </w:rPr>
        <w:t>(EP 8-01, EPR 1-12)</w:t>
      </w:r>
    </w:p>
    <w:p w:rsidR="00C355B9" w:rsidRDefault="00C355B9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Výroba tepla</w:t>
      </w:r>
      <w:r>
        <w:rPr>
          <w:rFonts w:ascii="Arial" w:hAnsi="Arial" w:cs="Arial"/>
        </w:rPr>
        <w:t xml:space="preserve"> (EP 10-01)</w:t>
      </w:r>
    </w:p>
    <w:p w:rsidR="00C355B9" w:rsidRDefault="00C355B9">
      <w:pPr>
        <w:numPr>
          <w:ilvl w:val="0"/>
          <w:numId w:val="24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Výroba elektřiny (</w:t>
      </w:r>
      <w:r>
        <w:rPr>
          <w:rFonts w:ascii="Arial" w:hAnsi="Arial" w:cs="Arial"/>
        </w:rPr>
        <w:t>EP 10-01)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pStyle w:val="Nadpis1"/>
        <w:rPr>
          <w:sz w:val="20"/>
        </w:rPr>
      </w:pPr>
      <w:r>
        <w:rPr>
          <w:sz w:val="20"/>
        </w:rPr>
        <w:t xml:space="preserve">Druhotné energetické zdroje </w:t>
      </w:r>
      <w:r>
        <w:rPr>
          <w:spacing w:val="-2"/>
        </w:rPr>
        <w:t>(</w:t>
      </w:r>
      <w:r>
        <w:rPr>
          <w:sz w:val="20"/>
        </w:rPr>
        <w:t>EP10-01</w:t>
      </w:r>
      <w:r>
        <w:t>)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   </w:t>
      </w:r>
    </w:p>
    <w:p w:rsidR="00C355B9" w:rsidRDefault="00C355B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Je to množství energie, které bylo po použití v určitém energetickém nebo technologickém procesu znovu využito ve formě paliv nebo tepla, buď v tomtéž procesu, nebo pro jiné energetické účely.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pStyle w:val="Nadpis1"/>
        <w:rPr>
          <w:sz w:val="20"/>
        </w:rPr>
      </w:pPr>
      <w:r>
        <w:rPr>
          <w:sz w:val="20"/>
        </w:rPr>
        <w:t>Vsázka, spotřeba při zušlechťování paliv (EP 8-01)</w:t>
      </w:r>
    </w:p>
    <w:p w:rsidR="00C355B9" w:rsidRDefault="00C355B9">
      <w:pPr>
        <w:pStyle w:val="Nadpis1"/>
        <w:rPr>
          <w:sz w:val="20"/>
        </w:rPr>
      </w:pPr>
      <w:r>
        <w:rPr>
          <w:sz w:val="20"/>
        </w:rPr>
        <w:t xml:space="preserve">Vsázka, spotřeba na výrobu tepla </w:t>
      </w:r>
      <w:r>
        <w:rPr>
          <w:spacing w:val="-2"/>
        </w:rPr>
        <w:t>(</w:t>
      </w:r>
      <w:r>
        <w:rPr>
          <w:sz w:val="20"/>
        </w:rPr>
        <w:t>EP 10-01</w:t>
      </w:r>
      <w:r>
        <w:t>)</w:t>
      </w:r>
    </w:p>
    <w:p w:rsidR="00C355B9" w:rsidRDefault="00C355B9">
      <w:pPr>
        <w:pStyle w:val="Nadpis1"/>
        <w:rPr>
          <w:sz w:val="20"/>
        </w:rPr>
      </w:pPr>
      <w:r>
        <w:rPr>
          <w:sz w:val="20"/>
        </w:rPr>
        <w:t xml:space="preserve">Vsázka, spotřeba na výrobu elektřiny </w:t>
      </w:r>
      <w:r>
        <w:rPr>
          <w:spacing w:val="-2"/>
        </w:rPr>
        <w:t>(</w:t>
      </w:r>
      <w:r>
        <w:rPr>
          <w:sz w:val="20"/>
        </w:rPr>
        <w:t>EP 10-01</w:t>
      </w:r>
      <w:r>
        <w:t>)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Paliva a energie, která jsou v energetických procesech zpracována za účelem změny jejich užitných vlastností, např. hnědé uhlí na výrobu briket a energoplynu, uhlí vhodné pro koksování na výrobu koksu a koksárenského plynu, ropa na výrobu kapalných paliv, paliva na výrobu tepla a elektřiny v parních elektrárnách a elektřina použitá na přečerpání v přečerpávacích vodních elektrárnách, teplo vyrobené v jaderných elektrárnách použité na výrobu elektrické energie a tepla pro rozvod.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pStyle w:val="Nadpis1"/>
        <w:rPr>
          <w:sz w:val="20"/>
        </w:rPr>
      </w:pPr>
      <w:r>
        <w:rPr>
          <w:sz w:val="20"/>
        </w:rPr>
        <w:t>Provozovací spotřeba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Provozovací spotřeba energetických procesů (spotřeba sloužící přímo k udržení a zajištění provozu příslušného energetického procesu).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pStyle w:val="Nadpis1"/>
        <w:rPr>
          <w:sz w:val="20"/>
        </w:rPr>
      </w:pPr>
      <w:r>
        <w:rPr>
          <w:sz w:val="20"/>
        </w:rPr>
        <w:t>Spotřeba paliv a energie při těžbě a zpracování paliv (EP 9-01)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numPr>
          <w:ilvl w:val="0"/>
          <w:numId w:val="18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při těžbě paliv (včetně důlní dopravy) </w:t>
      </w:r>
    </w:p>
    <w:p w:rsidR="00C355B9" w:rsidRDefault="00C355B9">
      <w:pPr>
        <w:numPr>
          <w:ilvl w:val="0"/>
          <w:numId w:val="18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při prvotní úpravě paliv (třídění, praní aj.),</w:t>
      </w:r>
    </w:p>
    <w:p w:rsidR="00C355B9" w:rsidRDefault="00C355B9">
      <w:pPr>
        <w:pStyle w:val="Nadpis1"/>
        <w:rPr>
          <w:sz w:val="20"/>
        </w:rPr>
      </w:pPr>
      <w:r>
        <w:rPr>
          <w:sz w:val="20"/>
        </w:rPr>
        <w:t>Ztráty (v rozvodech paliv a energie a ztráty paliv znehodnocením a zničením)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Rozdíl mezi vstupem paliv a energie do dálkových dopravních systémů (ropovodů, plynovodů, teplovodů a rozvodů elektřiny) a výstupem z nich. Nejsou zde zahrnuty ztráty ve vnitropodnikových rozvodech, které jsou součástí spotřeby.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Do položky se zahrnují také zdůvodněné ztráty znehodnocením a zničením, například ztráty vysokopecního, případně i jiných plynů z nedostatku odbytu.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pStyle w:val="Nadpis3"/>
        <w:rPr>
          <w:sz w:val="20"/>
        </w:rPr>
      </w:pPr>
      <w:r>
        <w:rPr>
          <w:sz w:val="20"/>
        </w:rPr>
        <w:t>III. Konečná spotřeba (EP 5-01, EP 7-01, MPO)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Je to spotřeba zjišťovaná před vstupem do spotřebičů, ve kterých se využije pro finální užitný efekt, nikoli pro výrobu jiné energie (s výjimkou druhotných energetických zdrojů).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Konečná spotřeba se v energetické bilanci člení podle odvětví: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numPr>
          <w:ilvl w:val="0"/>
          <w:numId w:val="19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Spotřeba v zemědělství a lesnictví (EP 5-01)</w:t>
      </w:r>
    </w:p>
    <w:p w:rsidR="00C355B9" w:rsidRDefault="00C355B9">
      <w:pPr>
        <w:numPr>
          <w:ilvl w:val="0"/>
          <w:numId w:val="19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Spotřeba v průmyslu (EP 5-01)</w:t>
      </w:r>
    </w:p>
    <w:p w:rsidR="00C355B9" w:rsidRDefault="00C355B9">
      <w:pPr>
        <w:numPr>
          <w:ilvl w:val="0"/>
          <w:numId w:val="19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Spotřeba ve stavebnictví (EP 5-01)</w:t>
      </w:r>
    </w:p>
    <w:p w:rsidR="00C355B9" w:rsidRDefault="00C355B9">
      <w:pPr>
        <w:numPr>
          <w:ilvl w:val="0"/>
          <w:numId w:val="19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Spotřeba v dopravě (EP 5-01)</w:t>
      </w:r>
    </w:p>
    <w:p w:rsidR="00C355B9" w:rsidRDefault="00C355B9">
      <w:pPr>
        <w:numPr>
          <w:ilvl w:val="0"/>
          <w:numId w:val="19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Spotřeba v ostatních odvětvích (EP 5-01)</w:t>
      </w:r>
    </w:p>
    <w:p w:rsidR="00C355B9" w:rsidRDefault="00C355B9">
      <w:pPr>
        <w:numPr>
          <w:ilvl w:val="0"/>
          <w:numId w:val="19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Spotřeba v domácnostech (EP 7-01, MPO)</w:t>
      </w:r>
    </w:p>
    <w:p w:rsidR="00C355B9" w:rsidRDefault="00C355B9">
      <w:pPr>
        <w:pStyle w:val="Nadpis2"/>
        <w:rPr>
          <w:rFonts w:ascii="Arial" w:hAnsi="Arial" w:cs="Arial"/>
        </w:rPr>
      </w:pPr>
    </w:p>
    <w:p w:rsidR="00C355B9" w:rsidRDefault="00C355B9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>Konečná spotřeba celkem</w:t>
      </w:r>
    </w:p>
    <w:p w:rsidR="00C355B9" w:rsidRDefault="00C355B9">
      <w:pPr>
        <w:suppressAutoHyphens/>
        <w:jc w:val="both"/>
        <w:rPr>
          <w:rFonts w:ascii="Arial" w:hAnsi="Arial" w:cs="Arial"/>
          <w:b/>
          <w:bCs/>
          <w:spacing w:val="-2"/>
        </w:rPr>
      </w:pPr>
    </w:p>
    <w:p w:rsidR="00C355B9" w:rsidRDefault="00C355B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Prvotní energetické zdroje celkem (+) druhotné energetické zdroje (-) vsázka do energetických procesů celkem (+) výroba z energetických procesů (-) provozovací spotřeba (-) ztráty 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>Energetická bilance v mezinárodní metodice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Publikace obsahuje proti dřívějším publikacím navíc tabulky s energetickou bilancí v mezinárodní metodice. K tomu byl použit volně přístupný soubor na webové stránce IEA v MS Excel. Jako vstup byla použita data z ročních sjednocených dotazníků IEA/OECD, </w:t>
      </w:r>
      <w:proofErr w:type="spellStart"/>
      <w:r>
        <w:rPr>
          <w:rFonts w:ascii="Arial" w:hAnsi="Arial" w:cs="Arial"/>
          <w:spacing w:val="-2"/>
        </w:rPr>
        <w:t>Eurostatu</w:t>
      </w:r>
      <w:proofErr w:type="spellEnd"/>
      <w:r>
        <w:rPr>
          <w:rFonts w:ascii="Arial" w:hAnsi="Arial" w:cs="Arial"/>
          <w:spacing w:val="-2"/>
        </w:rPr>
        <w:t xml:space="preserve"> a OSN: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Coal Annual Questionnaire 201</w:t>
      </w:r>
      <w:r w:rsidR="005E1571">
        <w:rPr>
          <w:rFonts w:ascii="Arial" w:hAnsi="Arial" w:cs="Arial"/>
          <w:spacing w:val="-2"/>
          <w:lang w:val="en-US"/>
        </w:rPr>
        <w:t>2</w:t>
      </w:r>
      <w:r>
        <w:rPr>
          <w:rFonts w:ascii="Arial" w:hAnsi="Arial" w:cs="Arial"/>
          <w:spacing w:val="-2"/>
          <w:lang w:val="en-US"/>
        </w:rPr>
        <w:t xml:space="preserve"> and Historical Revisions    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Oil Annual Questionnaire 201</w:t>
      </w:r>
      <w:r w:rsidR="005E1571">
        <w:rPr>
          <w:rFonts w:ascii="Arial" w:hAnsi="Arial" w:cs="Arial"/>
          <w:spacing w:val="-2"/>
          <w:lang w:val="en-US"/>
        </w:rPr>
        <w:t>2</w:t>
      </w:r>
      <w:r>
        <w:rPr>
          <w:rFonts w:ascii="Arial" w:hAnsi="Arial" w:cs="Arial"/>
          <w:spacing w:val="-2"/>
          <w:lang w:val="en-US"/>
        </w:rPr>
        <w:t xml:space="preserve"> and Historical Revisions    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Natural Gas Questionnaire 201</w:t>
      </w:r>
      <w:r w:rsidR="005E1571">
        <w:rPr>
          <w:rFonts w:ascii="Arial" w:hAnsi="Arial" w:cs="Arial"/>
          <w:spacing w:val="-2"/>
          <w:lang w:val="en-US"/>
        </w:rPr>
        <w:t>2</w:t>
      </w:r>
      <w:r>
        <w:rPr>
          <w:rFonts w:ascii="Arial" w:hAnsi="Arial" w:cs="Arial"/>
          <w:spacing w:val="-2"/>
          <w:lang w:val="en-US"/>
        </w:rPr>
        <w:t xml:space="preserve"> and Historical Revisions    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Electricity and Heat Annual Questionnaire 201</w:t>
      </w:r>
      <w:r w:rsidR="005E1571">
        <w:rPr>
          <w:rFonts w:ascii="Arial" w:hAnsi="Arial" w:cs="Arial"/>
          <w:spacing w:val="-2"/>
          <w:lang w:val="en-US"/>
        </w:rPr>
        <w:t>2</w:t>
      </w:r>
      <w:r>
        <w:rPr>
          <w:rFonts w:ascii="Arial" w:hAnsi="Arial" w:cs="Arial"/>
          <w:spacing w:val="-2"/>
          <w:lang w:val="en-US"/>
        </w:rPr>
        <w:t xml:space="preserve"> and Historical Revisions    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  <w:lang w:val="en-US"/>
        </w:rPr>
      </w:pPr>
      <w:proofErr w:type="spellStart"/>
      <w:r>
        <w:rPr>
          <w:rFonts w:ascii="Arial" w:hAnsi="Arial" w:cs="Arial"/>
          <w:spacing w:val="-2"/>
          <w:lang w:val="en-US"/>
        </w:rPr>
        <w:t>Renewables</w:t>
      </w:r>
      <w:proofErr w:type="spellEnd"/>
      <w:r>
        <w:rPr>
          <w:rFonts w:ascii="Arial" w:hAnsi="Arial" w:cs="Arial"/>
          <w:spacing w:val="-2"/>
          <w:lang w:val="en-US"/>
        </w:rPr>
        <w:t xml:space="preserve"> Annual Questionnaire 201</w:t>
      </w:r>
      <w:r w:rsidR="005E1571">
        <w:rPr>
          <w:rFonts w:ascii="Arial" w:hAnsi="Arial" w:cs="Arial"/>
          <w:spacing w:val="-2"/>
          <w:lang w:val="en-US"/>
        </w:rPr>
        <w:t>2</w:t>
      </w:r>
      <w:r>
        <w:rPr>
          <w:rFonts w:ascii="Arial" w:hAnsi="Arial" w:cs="Arial"/>
          <w:spacing w:val="-2"/>
          <w:lang w:val="en-US"/>
        </w:rPr>
        <w:t xml:space="preserve"> and Historical Revisions    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  <w:lang w:val="en-US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K sestavení dotazníků se používají data z výkazů ČSÚ, data MPO a ERÚ za jednotlivé druhy paliv, elektřinu a teplo. Data jsou přepočítána do metodiky IEA. Údaje o uhlí, ropě a ropných výrobcích jsou vyjádřeny v tisících tunách, u plynů v TJ, u zemního plynu ve spalném teple, u uhelných plynů ve výhřevnosti. K přepočtu fyzických jednotek na energetické jsou používány průměrné hodnoty výhřevností </w:t>
      </w:r>
      <w:r>
        <w:rPr>
          <w:rFonts w:ascii="Arial" w:hAnsi="Arial" w:cs="Arial"/>
          <w:spacing w:val="-2"/>
          <w:lang w:val="en-US"/>
        </w:rPr>
        <w:t>(Conversion Factors)</w:t>
      </w:r>
      <w:r>
        <w:rPr>
          <w:rFonts w:ascii="Arial" w:hAnsi="Arial" w:cs="Arial"/>
          <w:spacing w:val="-2"/>
        </w:rPr>
        <w:t xml:space="preserve"> pro těžbu, výrobu, dovoz, vývoz, výrobu koksu, vysokopecní proces, veřejné výrobce elektřiny a  tepa, odvětví průmyslu a ostatní odvětví. Tyto hodnoty jsou zadávány přímo, a proto jim musí být věnována velká pozornost, protože na jejich přesnosti je závislá kvalita energetické bilance vyjádřená bilančním rozdílem. </w:t>
      </w: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</w:p>
    <w:p w:rsidR="00C355B9" w:rsidRDefault="00C355B9">
      <w:p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Jako základní jednotku energetické bilance používá IEA </w:t>
      </w:r>
      <w:proofErr w:type="spellStart"/>
      <w:r>
        <w:rPr>
          <w:rFonts w:ascii="Arial" w:hAnsi="Arial" w:cs="Arial"/>
          <w:spacing w:val="-2"/>
        </w:rPr>
        <w:t>ktoe</w:t>
      </w:r>
      <w:proofErr w:type="spellEnd"/>
      <w:r>
        <w:rPr>
          <w:rFonts w:ascii="Arial" w:hAnsi="Arial" w:cs="Arial"/>
          <w:spacing w:val="-2"/>
        </w:rPr>
        <w:t xml:space="preserve">, tedy tisíc tun ropného ekvivalentu (1 </w:t>
      </w:r>
      <w:proofErr w:type="spellStart"/>
      <w:r>
        <w:rPr>
          <w:rFonts w:ascii="Arial" w:hAnsi="Arial" w:cs="Arial"/>
          <w:spacing w:val="-2"/>
        </w:rPr>
        <w:t>ktoe</w:t>
      </w:r>
      <w:proofErr w:type="spellEnd"/>
      <w:r>
        <w:rPr>
          <w:rFonts w:ascii="Arial" w:hAnsi="Arial" w:cs="Arial"/>
          <w:spacing w:val="-2"/>
        </w:rPr>
        <w:t xml:space="preserve"> = 41 868 GJ).  Na rozdíl od bilance ČSÚ je bilance v mezinárodní metodice členěna odlišně, mezi uhlí zařazuje i uhelné plyny a uhelné dehty, mezi plyny pak pouze zemní plyn, obnovitelné energetické zdroje jsou členěny podrobněji. </w:t>
      </w:r>
    </w:p>
    <w:sectPr w:rsidR="00C355B9">
      <w:headerReference w:type="default" r:id="rId7"/>
      <w:footerReference w:type="even" r:id="rId8"/>
      <w:footerReference w:type="default" r:id="rId9"/>
      <w:endnotePr>
        <w:numFmt w:val="decimal"/>
      </w:endnotePr>
      <w:type w:val="continuous"/>
      <w:pgSz w:w="11906" w:h="16838" w:code="9"/>
      <w:pgMar w:top="1418" w:right="1418" w:bottom="1418" w:left="1418" w:header="567" w:footer="567" w:gutter="0"/>
      <w:pgNumType w:start="1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55A" w:rsidRDefault="001F655A">
      <w:pPr>
        <w:spacing w:line="20" w:lineRule="exact"/>
      </w:pPr>
    </w:p>
  </w:endnote>
  <w:endnote w:type="continuationSeparator" w:id="0">
    <w:p w:rsidR="001F655A" w:rsidRDefault="001F655A">
      <w:r>
        <w:t xml:space="preserve"> </w:t>
      </w:r>
    </w:p>
  </w:endnote>
  <w:endnote w:type="continuationNotice" w:id="1">
    <w:p w:rsidR="001F655A" w:rsidRDefault="001F655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B9" w:rsidRDefault="00C355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55B9" w:rsidRDefault="00C355B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B9" w:rsidRDefault="00C355B9">
    <w:pPr>
      <w:pStyle w:val="Zpat"/>
      <w:framePr w:wrap="around" w:vAnchor="text" w:hAnchor="margin" w:xAlign="center" w:y="1"/>
      <w:rPr>
        <w:rStyle w:val="slostrnky"/>
        <w:rFonts w:ascii="Arial" w:hAnsi="Arial" w:cs="Arial"/>
        <w:b/>
        <w:bCs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fldChar w:fldCharType="begin"/>
    </w:r>
    <w:r>
      <w:rPr>
        <w:rStyle w:val="slostrnky"/>
        <w:rFonts w:ascii="Arial" w:hAnsi="Arial" w:cs="Arial"/>
        <w:sz w:val="18"/>
        <w:szCs w:val="18"/>
      </w:rPr>
      <w:instrText xml:space="preserve">PAGE  </w:instrText>
    </w:r>
    <w:r>
      <w:rPr>
        <w:rStyle w:val="slostrnky"/>
        <w:rFonts w:ascii="Arial" w:hAnsi="Arial" w:cs="Arial"/>
        <w:sz w:val="18"/>
        <w:szCs w:val="18"/>
      </w:rPr>
      <w:fldChar w:fldCharType="separate"/>
    </w:r>
    <w:r w:rsidR="005E1571">
      <w:rPr>
        <w:rStyle w:val="slostrnky"/>
        <w:rFonts w:ascii="Arial" w:hAnsi="Arial" w:cs="Arial"/>
        <w:noProof/>
        <w:sz w:val="18"/>
        <w:szCs w:val="18"/>
      </w:rPr>
      <w:t>1</w:t>
    </w:r>
    <w:r>
      <w:rPr>
        <w:rStyle w:val="slostrnky"/>
        <w:rFonts w:ascii="Arial" w:hAnsi="Arial" w:cs="Arial"/>
        <w:sz w:val="18"/>
        <w:szCs w:val="18"/>
      </w:rPr>
      <w:fldChar w:fldCharType="end"/>
    </w:r>
  </w:p>
  <w:p w:rsidR="00C355B9" w:rsidRDefault="00C355B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55A" w:rsidRDefault="001F655A">
      <w:r>
        <w:separator/>
      </w:r>
    </w:p>
  </w:footnote>
  <w:footnote w:type="continuationSeparator" w:id="0">
    <w:p w:rsidR="001F655A" w:rsidRDefault="001F6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B9" w:rsidRDefault="00C355B9">
    <w:pPr>
      <w:pStyle w:val="Textvysvtlivek"/>
      <w:rPr>
        <w:noProof/>
        <w:sz w:val="10"/>
        <w:szCs w:val="10"/>
      </w:rPr>
    </w:pPr>
    <w:r>
      <w:rPr>
        <w:noProof/>
      </w:rPr>
      <w:pict>
        <v:rect id="_x0000_s2050" style="position:absolute;margin-left:1in;margin-top:0;width:451.3pt;height:10pt;z-index:1;mso-position-horizontal-relative:page" o:allowincell="f" filled="f" stroked="f" strokeweight="0">
          <v:textbox inset="0,0,0,0">
            <w:txbxContent>
              <w:p w:rsidR="00C355B9" w:rsidRDefault="00C355B9">
                <w:pPr>
                  <w:rPr>
                    <w:szCs w:val="20"/>
                  </w:rPr>
                </w:pPr>
              </w:p>
            </w:txbxContent>
          </v:textbox>
          <w10:wrap anchorx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58A6D4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F1262D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E37B88"/>
    <w:multiLevelType w:val="singleLevel"/>
    <w:tmpl w:val="D2B4F5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7F270A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147200AC"/>
    <w:multiLevelType w:val="hybridMultilevel"/>
    <w:tmpl w:val="D79E87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A6AB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76E7C0D"/>
    <w:multiLevelType w:val="singleLevel"/>
    <w:tmpl w:val="D2B4F5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0B4395"/>
    <w:multiLevelType w:val="singleLevel"/>
    <w:tmpl w:val="D2B4F5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A346A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1CD95A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1EB83E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35357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331033AD"/>
    <w:multiLevelType w:val="singleLevel"/>
    <w:tmpl w:val="D2B4F5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885106C"/>
    <w:multiLevelType w:val="singleLevel"/>
    <w:tmpl w:val="D2B4F5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C733F10"/>
    <w:multiLevelType w:val="singleLevel"/>
    <w:tmpl w:val="D2B4F5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E7302B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3F73610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521774FB"/>
    <w:multiLevelType w:val="singleLevel"/>
    <w:tmpl w:val="D2B4F5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3DC6DD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>
    <w:nsid w:val="59A72C8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5ED00A9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>
    <w:nsid w:val="609A2D24"/>
    <w:multiLevelType w:val="singleLevel"/>
    <w:tmpl w:val="D2B4F51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46C440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>
    <w:nsid w:val="75DE098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16"/>
  </w:num>
  <w:num w:numId="5">
    <w:abstractNumId w:val="2"/>
  </w:num>
  <w:num w:numId="6">
    <w:abstractNumId w:val="6"/>
  </w:num>
  <w:num w:numId="7">
    <w:abstractNumId w:val="17"/>
  </w:num>
  <w:num w:numId="8">
    <w:abstractNumId w:val="10"/>
  </w:num>
  <w:num w:numId="9">
    <w:abstractNumId w:val="22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7"/>
  </w:num>
  <w:num w:numId="17">
    <w:abstractNumId w:val="21"/>
  </w:num>
  <w:num w:numId="18">
    <w:abstractNumId w:val="23"/>
  </w:num>
  <w:num w:numId="19">
    <w:abstractNumId w:val="5"/>
  </w:num>
  <w:num w:numId="20">
    <w:abstractNumId w:val="18"/>
  </w:num>
  <w:num w:numId="21">
    <w:abstractNumId w:val="19"/>
  </w:num>
  <w:num w:numId="22">
    <w:abstractNumId w:val="1"/>
  </w:num>
  <w:num w:numId="23">
    <w:abstractNumId w:val="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E66"/>
    <w:rsid w:val="001F655A"/>
    <w:rsid w:val="005E1571"/>
    <w:rsid w:val="00C355B9"/>
    <w:rsid w:val="00C5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Courier" w:hAnsi="Courier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uppressAutoHyphens/>
      <w:jc w:val="both"/>
      <w:outlineLvl w:val="1"/>
    </w:pPr>
    <w:rPr>
      <w:b/>
      <w:bCs/>
      <w:spacing w:val="-2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rFonts w:ascii="Arial" w:hAnsi="Arial" w:cs="Arial"/>
      <w:b/>
      <w:bCs/>
      <w:spacing w:val="-2"/>
      <w:sz w:val="32"/>
    </w:rPr>
  </w:style>
  <w:style w:type="paragraph" w:styleId="Nadpis4">
    <w:name w:val="heading 4"/>
    <w:basedOn w:val="Normln"/>
    <w:next w:val="Normln"/>
    <w:qFormat/>
    <w:pPr>
      <w:keepNext/>
      <w:suppressAutoHyphens/>
      <w:jc w:val="both"/>
      <w:outlineLvl w:val="3"/>
    </w:pPr>
    <w:rPr>
      <w:rFonts w:ascii="Arial" w:hAnsi="Arial" w:cs="Arial"/>
      <w:b/>
      <w:bCs/>
      <w:spacing w:val="-2"/>
      <w:sz w:val="3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sz w:val="24"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semiHidden/>
  </w:style>
  <w:style w:type="character" w:customStyle="1" w:styleId="Odkaznavysvtlivku">
    <w:name w:val="Odkaz na vysvětlivku"/>
    <w:rPr>
      <w:vertAlign w:val="superscript"/>
    </w:rPr>
  </w:style>
  <w:style w:type="paragraph" w:styleId="Textpoznpodarou">
    <w:name w:val="footnote text"/>
    <w:basedOn w:val="Normln"/>
    <w:semiHidden/>
  </w:style>
  <w:style w:type="character" w:customStyle="1" w:styleId="Odkaznapoznpodarou">
    <w:name w:val="Odkaz na pozn. pod čarou"/>
    <w:rPr>
      <w:vertAlign w:val="superscript"/>
    </w:rPr>
  </w:style>
  <w:style w:type="character" w:customStyle="1" w:styleId="Bibliogrphy">
    <w:name w:val="Bibliogrphy"/>
    <w:basedOn w:val="Standardnpsmoodstavce"/>
  </w:style>
  <w:style w:type="character" w:customStyle="1" w:styleId="TechInit">
    <w:name w:val="Tech Init"/>
    <w:basedOn w:val="Standardnpsmoodstavce"/>
    <w:rPr>
      <w:rFonts w:ascii="Courier" w:hAnsi="Courier"/>
      <w:sz w:val="24"/>
      <w:szCs w:val="24"/>
      <w:lang w:val="en-US"/>
    </w:rPr>
  </w:style>
  <w:style w:type="character" w:customStyle="1" w:styleId="Technical1">
    <w:name w:val="Technical 1"/>
    <w:basedOn w:val="Standardnpsmoodstavce"/>
    <w:rPr>
      <w:rFonts w:ascii="Courier" w:hAnsi="Courier"/>
      <w:sz w:val="24"/>
      <w:szCs w:val="24"/>
      <w:lang w:val="en-US"/>
    </w:rPr>
  </w:style>
  <w:style w:type="character" w:customStyle="1" w:styleId="Technical2">
    <w:name w:val="Technical 2"/>
    <w:basedOn w:val="Standardnpsmoodstavce"/>
    <w:rPr>
      <w:rFonts w:ascii="Courier" w:hAnsi="Courier"/>
      <w:sz w:val="24"/>
      <w:szCs w:val="24"/>
      <w:lang w:val="en-US"/>
    </w:rPr>
  </w:style>
  <w:style w:type="character" w:customStyle="1" w:styleId="Technical3">
    <w:name w:val="Technical 3"/>
    <w:basedOn w:val="Standardnpsmoodstavce"/>
    <w:rPr>
      <w:rFonts w:ascii="Courier" w:hAnsi="Courier"/>
      <w:sz w:val="24"/>
      <w:szCs w:val="24"/>
      <w:lang w:val="en-US"/>
    </w:rPr>
  </w:style>
  <w:style w:type="character" w:customStyle="1" w:styleId="Technical4">
    <w:name w:val="Technical 4"/>
    <w:basedOn w:val="Standardnpsmoodstavce"/>
  </w:style>
  <w:style w:type="character" w:customStyle="1" w:styleId="Technical5">
    <w:name w:val="Technical 5"/>
    <w:basedOn w:val="Standardnpsmoodstavce"/>
  </w:style>
  <w:style w:type="character" w:customStyle="1" w:styleId="Technical6">
    <w:name w:val="Technical 6"/>
    <w:basedOn w:val="Standardnpsmoodstavce"/>
  </w:style>
  <w:style w:type="character" w:customStyle="1" w:styleId="Technical7">
    <w:name w:val="Technical 7"/>
    <w:basedOn w:val="Standardnpsmoodstavce"/>
  </w:style>
  <w:style w:type="character" w:customStyle="1" w:styleId="Technical8">
    <w:name w:val="Technical 8"/>
    <w:basedOn w:val="Standardnpsmoodstavce"/>
  </w:style>
  <w:style w:type="character" w:customStyle="1" w:styleId="DocInit">
    <w:name w:val="Doc Init"/>
    <w:basedOn w:val="Standardnpsmoodstavce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" w:hAnsi="Courier"/>
      <w:szCs w:val="24"/>
      <w:lang w:val="en-US"/>
    </w:rPr>
  </w:style>
  <w:style w:type="character" w:customStyle="1" w:styleId="Document2">
    <w:name w:val="Document 2"/>
    <w:basedOn w:val="Standardnpsmoodstavce"/>
    <w:rPr>
      <w:rFonts w:ascii="Courier" w:hAnsi="Courier"/>
      <w:sz w:val="24"/>
      <w:szCs w:val="24"/>
      <w:lang w:val="en-US"/>
    </w:rPr>
  </w:style>
  <w:style w:type="character" w:customStyle="1" w:styleId="Document3">
    <w:name w:val="Document 3"/>
    <w:basedOn w:val="Standardnpsmoodstavce"/>
    <w:rPr>
      <w:rFonts w:ascii="Courier" w:hAnsi="Courier"/>
      <w:sz w:val="24"/>
      <w:szCs w:val="24"/>
      <w:lang w:val="en-US"/>
    </w:rPr>
  </w:style>
  <w:style w:type="character" w:customStyle="1" w:styleId="Document4">
    <w:name w:val="Document 4"/>
    <w:basedOn w:val="Standardnpsmoodstavce"/>
    <w:rPr>
      <w:b/>
      <w:bCs/>
      <w:i/>
      <w:iCs/>
      <w:sz w:val="24"/>
      <w:szCs w:val="24"/>
    </w:rPr>
  </w:style>
  <w:style w:type="character" w:customStyle="1" w:styleId="Document5">
    <w:name w:val="Document 5"/>
    <w:basedOn w:val="Standardnpsmoodstavce"/>
  </w:style>
  <w:style w:type="character" w:customStyle="1" w:styleId="Document6">
    <w:name w:val="Document 6"/>
    <w:basedOn w:val="Standardnpsmoodstavce"/>
  </w:style>
  <w:style w:type="character" w:customStyle="1" w:styleId="Document7">
    <w:name w:val="Document 7"/>
    <w:basedOn w:val="Standardnpsmoodstavce"/>
  </w:style>
  <w:style w:type="character" w:customStyle="1" w:styleId="Document8">
    <w:name w:val="Document 8"/>
    <w:basedOn w:val="Standardnpsmoodstavce"/>
  </w:style>
  <w:style w:type="character" w:customStyle="1" w:styleId="RightPar1">
    <w:name w:val="Right Par 1"/>
    <w:basedOn w:val="Standardnpsmoodstavce"/>
  </w:style>
  <w:style w:type="character" w:customStyle="1" w:styleId="RightPar2">
    <w:name w:val="Right Par 2"/>
    <w:basedOn w:val="Standardnpsmoodstavce"/>
  </w:style>
  <w:style w:type="character" w:customStyle="1" w:styleId="RightPar3">
    <w:name w:val="Right Par 3"/>
    <w:basedOn w:val="Standardnpsmoodstavce"/>
  </w:style>
  <w:style w:type="character" w:customStyle="1" w:styleId="RightPar4">
    <w:name w:val="Right Par 4"/>
    <w:basedOn w:val="Standardnpsmoodstavce"/>
  </w:style>
  <w:style w:type="character" w:customStyle="1" w:styleId="RightPar5">
    <w:name w:val="Right Par 5"/>
    <w:basedOn w:val="Standardnpsmoodstavce"/>
  </w:style>
  <w:style w:type="character" w:customStyle="1" w:styleId="RightPar6">
    <w:name w:val="Right Par 6"/>
    <w:basedOn w:val="Standardnpsmoodstavce"/>
  </w:style>
  <w:style w:type="character" w:customStyle="1" w:styleId="RightPar7">
    <w:name w:val="Right Par 7"/>
    <w:basedOn w:val="Standardnpsmoodstavce"/>
  </w:style>
  <w:style w:type="character" w:customStyle="1" w:styleId="RightPar8">
    <w:name w:val="Right Par 8"/>
    <w:basedOn w:val="Standardnpsmoodstavce"/>
  </w:style>
  <w:style w:type="paragraph" w:styleId="Obsah1">
    <w:name w:val="toc 1"/>
    <w:basedOn w:val="Normln"/>
    <w:next w:val="Normln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autoRedefine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Nadpisobsahu">
    <w:name w:val="TOC Heading"/>
    <w:basedOn w:val="Normln"/>
    <w:qFormat/>
    <w:pPr>
      <w:tabs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</w:style>
  <w:style w:type="character" w:customStyle="1" w:styleId="EquationCaption">
    <w:name w:val="_Equation Caption"/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suppressAutoHyphens/>
      <w:jc w:val="both"/>
    </w:pPr>
    <w:rPr>
      <w:spacing w:val="-2"/>
    </w:r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pPr>
      <w:widowControl/>
      <w:autoSpaceDE/>
      <w:autoSpaceDN/>
      <w:ind w:left="283" w:hanging="283"/>
    </w:pPr>
    <w:rPr>
      <w:rFonts w:ascii="Times New Roman" w:hAnsi="Times New Roman"/>
      <w:szCs w:val="20"/>
    </w:rPr>
  </w:style>
  <w:style w:type="paragraph" w:styleId="Seznam2">
    <w:name w:val="List 2"/>
    <w:basedOn w:val="Normln"/>
    <w:semiHidden/>
    <w:pPr>
      <w:widowControl/>
      <w:autoSpaceDE/>
      <w:autoSpaceDN/>
      <w:ind w:left="566" w:hanging="283"/>
    </w:pPr>
    <w:rPr>
      <w:rFonts w:ascii="Times New Roman" w:hAnsi="Times New Roman"/>
      <w:szCs w:val="20"/>
    </w:rPr>
  </w:style>
  <w:style w:type="paragraph" w:styleId="Seznamsodrkami">
    <w:name w:val="List Bullet"/>
    <w:basedOn w:val="Normln"/>
    <w:autoRedefine/>
    <w:semiHidden/>
    <w:pPr>
      <w:widowControl/>
      <w:numPr>
        <w:numId w:val="22"/>
      </w:numPr>
      <w:autoSpaceDE/>
      <w:autoSpaceDN/>
    </w:pPr>
    <w:rPr>
      <w:rFonts w:ascii="Times New Roman" w:hAnsi="Times New Roman"/>
      <w:szCs w:val="20"/>
    </w:rPr>
  </w:style>
  <w:style w:type="paragraph" w:styleId="Seznamsodrkami2">
    <w:name w:val="List Bullet 2"/>
    <w:basedOn w:val="Normln"/>
    <w:autoRedefine/>
    <w:semiHidden/>
    <w:pPr>
      <w:widowControl/>
      <w:numPr>
        <w:numId w:val="23"/>
      </w:numPr>
      <w:autoSpaceDE/>
      <w:autoSpaceDN/>
    </w:pPr>
    <w:rPr>
      <w:rFonts w:ascii="Times New Roman" w:hAnsi="Times New Roman"/>
      <w:szCs w:val="20"/>
    </w:rPr>
  </w:style>
  <w:style w:type="paragraph" w:styleId="Nzev">
    <w:name w:val="Title"/>
    <w:basedOn w:val="Normln"/>
    <w:qFormat/>
    <w:pPr>
      <w:widowControl/>
      <w:autoSpaceDE/>
      <w:autoSpaceDN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Podtitul">
    <w:name w:val="Subtitle"/>
    <w:basedOn w:val="Normln"/>
    <w:qFormat/>
    <w:pPr>
      <w:widowControl/>
      <w:autoSpaceDE/>
      <w:autoSpaceDN/>
      <w:spacing w:after="60"/>
      <w:jc w:val="center"/>
      <w:outlineLvl w:val="1"/>
    </w:pPr>
    <w:rPr>
      <w:rFonts w:ascii="Arial" w:hAnsi="Arial"/>
      <w:sz w:val="24"/>
      <w:szCs w:val="20"/>
    </w:rPr>
  </w:style>
  <w:style w:type="paragraph" w:styleId="Zkladntext2">
    <w:name w:val="Body Text 2"/>
    <w:basedOn w:val="Normln"/>
    <w:semiHidden/>
    <w:pPr>
      <w:widowControl/>
      <w:autoSpaceDE/>
      <w:autoSpaceDN/>
    </w:pPr>
    <w:rPr>
      <w:rFonts w:ascii="Times New Roman" w:hAnsi="Times New Roman"/>
      <w:sz w:val="24"/>
      <w:szCs w:val="2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sz w:val="24"/>
      <w:lang w:val="en-US"/>
    </w:rPr>
  </w:style>
  <w:style w:type="paragraph" w:styleId="Zkladntextodsazen2">
    <w:name w:val="Body Text Indent 2"/>
    <w:basedOn w:val="Normln"/>
    <w:semiHidden/>
    <w:pPr>
      <w:suppressAutoHyphens/>
      <w:ind w:left="720" w:hanging="7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1530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Metodická nápl ukazatel energetické bilance R   </vt:lpstr>
    </vt:vector>
  </TitlesOfParts>
  <Company>CSU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nápl ukazatel energetické bilance R</dc:title>
  <dc:creator>koudelka</dc:creator>
  <cp:lastModifiedBy>koudelka4191</cp:lastModifiedBy>
  <cp:revision>2</cp:revision>
  <cp:lastPrinted>2011-03-17T08:28:00Z</cp:lastPrinted>
  <dcterms:created xsi:type="dcterms:W3CDTF">2014-03-24T14:49:00Z</dcterms:created>
  <dcterms:modified xsi:type="dcterms:W3CDTF">2014-03-24T14:49:00Z</dcterms:modified>
</cp:coreProperties>
</file>