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41106" w14:textId="77777777" w:rsidR="00867569" w:rsidRDefault="00235012" w:rsidP="00E42E00">
      <w:pPr>
        <w:pStyle w:val="Datum"/>
      </w:pPr>
      <w:r>
        <w:t>30. 9. 2020</w:t>
      </w:r>
    </w:p>
    <w:p w14:paraId="400DD9C3" w14:textId="6677D7DA" w:rsidR="00867569" w:rsidRPr="00A56C80" w:rsidRDefault="00A24A6D" w:rsidP="00A56C80">
      <w:pPr>
        <w:pStyle w:val="Nzev"/>
      </w:pPr>
      <w:r>
        <w:t>Digitální dovednosti</w:t>
      </w:r>
      <w:r w:rsidR="00235012">
        <w:t xml:space="preserve"> – 2019</w:t>
      </w:r>
    </w:p>
    <w:p w14:paraId="6E67EBB9" w14:textId="70C81347" w:rsidR="00867569" w:rsidRDefault="00EA165A" w:rsidP="00EA165A">
      <w:pPr>
        <w:pStyle w:val="Perex"/>
      </w:pPr>
      <w:r w:rsidRPr="00EA165A">
        <w:rPr>
          <w:bCs/>
          <w:szCs w:val="20"/>
        </w:rPr>
        <w:t xml:space="preserve">Používání informačních a komunikačních technologií je pro většinu osob na denním pořádku. Digitální dovednosti </w:t>
      </w:r>
      <w:r w:rsidR="0059521E">
        <w:rPr>
          <w:bCs/>
          <w:szCs w:val="20"/>
        </w:rPr>
        <w:t xml:space="preserve">jsou </w:t>
      </w:r>
      <w:r w:rsidR="000D2D24">
        <w:rPr>
          <w:bCs/>
          <w:szCs w:val="20"/>
        </w:rPr>
        <w:t>ta</w:t>
      </w:r>
      <w:r w:rsidR="002810A5">
        <w:rPr>
          <w:bCs/>
          <w:szCs w:val="20"/>
        </w:rPr>
        <w:t xml:space="preserve">k </w:t>
      </w:r>
      <w:r w:rsidRPr="00EA165A">
        <w:rPr>
          <w:bCs/>
          <w:szCs w:val="20"/>
        </w:rPr>
        <w:t xml:space="preserve">jednou z kompetencí, které jsou v současné </w:t>
      </w:r>
      <w:r w:rsidR="007F3899">
        <w:rPr>
          <w:bCs/>
          <w:szCs w:val="20"/>
        </w:rPr>
        <w:t>době</w:t>
      </w:r>
      <w:r w:rsidRPr="00EA165A">
        <w:rPr>
          <w:bCs/>
          <w:szCs w:val="20"/>
        </w:rPr>
        <w:t xml:space="preserve"> nezbytné</w:t>
      </w:r>
      <w:r w:rsidR="007F3899">
        <w:rPr>
          <w:bCs/>
          <w:szCs w:val="20"/>
        </w:rPr>
        <w:t xml:space="preserve"> pro značnou část populace</w:t>
      </w:r>
      <w:r w:rsidRPr="00EA165A">
        <w:rPr>
          <w:bCs/>
          <w:szCs w:val="20"/>
        </w:rPr>
        <w:t>. O tom, jak</w:t>
      </w:r>
      <w:r w:rsidR="000E47AA">
        <w:rPr>
          <w:bCs/>
          <w:szCs w:val="20"/>
        </w:rPr>
        <w:t xml:space="preserve"> jsou </w:t>
      </w:r>
      <w:r w:rsidRPr="00EA165A">
        <w:rPr>
          <w:bCs/>
          <w:szCs w:val="20"/>
        </w:rPr>
        <w:t xml:space="preserve">Češi </w:t>
      </w:r>
      <w:r w:rsidR="000E47AA">
        <w:rPr>
          <w:bCs/>
          <w:szCs w:val="20"/>
        </w:rPr>
        <w:t>zdatn</w:t>
      </w:r>
      <w:r w:rsidRPr="00EA165A">
        <w:rPr>
          <w:bCs/>
          <w:szCs w:val="20"/>
        </w:rPr>
        <w:t xml:space="preserve">í </w:t>
      </w:r>
      <w:r w:rsidR="000E47AA">
        <w:rPr>
          <w:bCs/>
          <w:szCs w:val="20"/>
        </w:rPr>
        <w:t xml:space="preserve">ve vybraných </w:t>
      </w:r>
      <w:r w:rsidRPr="00EA165A">
        <w:rPr>
          <w:bCs/>
          <w:szCs w:val="20"/>
        </w:rPr>
        <w:t>digitální</w:t>
      </w:r>
      <w:r w:rsidR="000E47AA">
        <w:rPr>
          <w:bCs/>
          <w:szCs w:val="20"/>
        </w:rPr>
        <w:t>ch</w:t>
      </w:r>
      <w:r w:rsidRPr="00EA165A">
        <w:rPr>
          <w:bCs/>
          <w:szCs w:val="20"/>
        </w:rPr>
        <w:t xml:space="preserve"> dovednost</w:t>
      </w:r>
      <w:r w:rsidR="000E47AA">
        <w:rPr>
          <w:bCs/>
          <w:szCs w:val="20"/>
        </w:rPr>
        <w:t>ech</w:t>
      </w:r>
      <w:r w:rsidRPr="00EA165A">
        <w:rPr>
          <w:bCs/>
          <w:szCs w:val="20"/>
        </w:rPr>
        <w:t xml:space="preserve"> v</w:t>
      </w:r>
      <w:r w:rsidR="000E47AA">
        <w:rPr>
          <w:bCs/>
          <w:szCs w:val="20"/>
        </w:rPr>
        <w:t> </w:t>
      </w:r>
      <w:r w:rsidRPr="00EA165A">
        <w:rPr>
          <w:bCs/>
          <w:szCs w:val="20"/>
        </w:rPr>
        <w:t>porovnání s ostatními státy EU, pojednává následující analýza.</w:t>
      </w:r>
      <w:r>
        <w:rPr>
          <w:b w:val="0"/>
          <w:bCs/>
          <w:szCs w:val="20"/>
        </w:rPr>
        <w:t xml:space="preserve"> </w:t>
      </w:r>
    </w:p>
    <w:p w14:paraId="23CB08E7" w14:textId="49EAAF50" w:rsidR="00235012" w:rsidRDefault="00235012" w:rsidP="00E42E00">
      <w:r w:rsidRPr="00235012">
        <w:t xml:space="preserve">Faktorem, který </w:t>
      </w:r>
      <w:r>
        <w:t xml:space="preserve">je určující pro </w:t>
      </w:r>
      <w:r w:rsidRPr="00235012">
        <w:t>rozvoj digitálních</w:t>
      </w:r>
      <w:r>
        <w:t xml:space="preserve"> </w:t>
      </w:r>
      <w:r w:rsidRPr="00235012">
        <w:t>dovedností,</w:t>
      </w:r>
      <w:r>
        <w:t xml:space="preserve"> </w:t>
      </w:r>
      <w:r w:rsidRPr="00235012">
        <w:t>je</w:t>
      </w:r>
      <w:r>
        <w:t xml:space="preserve"> </w:t>
      </w:r>
      <w:r w:rsidRPr="00235012">
        <w:t>bez</w:t>
      </w:r>
      <w:r>
        <w:t xml:space="preserve">esporu používání informačních </w:t>
      </w:r>
      <w:r w:rsidRPr="00235012">
        <w:t>technologií.</w:t>
      </w:r>
      <w:r>
        <w:t xml:space="preserve"> </w:t>
      </w:r>
      <w:r w:rsidRPr="00235012">
        <w:t>Příležitosti</w:t>
      </w:r>
      <w:r>
        <w:t xml:space="preserve"> </w:t>
      </w:r>
      <w:r w:rsidRPr="00235012">
        <w:t>a</w:t>
      </w:r>
      <w:r>
        <w:t xml:space="preserve"> </w:t>
      </w:r>
      <w:r w:rsidRPr="00235012">
        <w:t>motivace</w:t>
      </w:r>
      <w:r>
        <w:t xml:space="preserve"> </w:t>
      </w:r>
      <w:r w:rsidRPr="00235012">
        <w:t>k</w:t>
      </w:r>
      <w:r>
        <w:t xml:space="preserve"> </w:t>
      </w:r>
      <w:r w:rsidRPr="00235012">
        <w:t>získávání počítačových dovedností, v</w:t>
      </w:r>
      <w:r>
        <w:t xml:space="preserve"> </w:t>
      </w:r>
      <w:r w:rsidRPr="00235012">
        <w:t>některých případech i</w:t>
      </w:r>
      <w:r w:rsidR="007A416D">
        <w:t> </w:t>
      </w:r>
      <w:r w:rsidRPr="00235012">
        <w:t>nutnost danou</w:t>
      </w:r>
      <w:r>
        <w:t xml:space="preserve"> </w:t>
      </w:r>
      <w:r w:rsidRPr="00235012">
        <w:t>problematiku ovládat,</w:t>
      </w:r>
      <w:r>
        <w:t xml:space="preserve"> </w:t>
      </w:r>
      <w:r w:rsidRPr="00235012">
        <w:t>jsou</w:t>
      </w:r>
      <w:r>
        <w:t xml:space="preserve"> </w:t>
      </w:r>
      <w:r w:rsidRPr="00235012">
        <w:t>různé v</w:t>
      </w:r>
      <w:r>
        <w:t xml:space="preserve"> </w:t>
      </w:r>
      <w:r w:rsidRPr="00235012">
        <w:t xml:space="preserve">jednotlivých </w:t>
      </w:r>
      <w:proofErr w:type="spellStart"/>
      <w:r w:rsidRPr="00235012">
        <w:t>socio</w:t>
      </w:r>
      <w:proofErr w:type="spellEnd"/>
      <w:r w:rsidRPr="00235012">
        <w:t>-</w:t>
      </w:r>
      <w:r w:rsidR="00B80EB7">
        <w:t xml:space="preserve">demografických skupinách. Např. </w:t>
      </w:r>
      <w:r w:rsidRPr="00235012">
        <w:rPr>
          <w:b/>
        </w:rPr>
        <w:t xml:space="preserve">používání </w:t>
      </w:r>
      <w:r w:rsidR="00DD43E4" w:rsidRPr="00131E80">
        <w:rPr>
          <w:b/>
        </w:rPr>
        <w:t>internetu na počítači</w:t>
      </w:r>
      <w:r w:rsidR="00DD43E4">
        <w:rPr>
          <w:rStyle w:val="Znakapoznpodarou"/>
        </w:rPr>
        <w:footnoteReference w:id="1"/>
      </w:r>
      <w:r w:rsidR="00DD43E4">
        <w:t xml:space="preserve"> </w:t>
      </w:r>
      <w:r w:rsidRPr="00235012">
        <w:t>se liší nejen v</w:t>
      </w:r>
      <w:r>
        <w:t xml:space="preserve"> </w:t>
      </w:r>
      <w:r w:rsidRPr="00235012">
        <w:t>závislosti na</w:t>
      </w:r>
      <w:r>
        <w:t xml:space="preserve"> </w:t>
      </w:r>
      <w:r w:rsidRPr="00235012">
        <w:t>věku</w:t>
      </w:r>
      <w:r>
        <w:t xml:space="preserve">, </w:t>
      </w:r>
      <w:r w:rsidRPr="00235012">
        <w:t>vzdělání, ale i na ekonomické aktivitě.</w:t>
      </w:r>
      <w:r>
        <w:t xml:space="preserve"> </w:t>
      </w:r>
      <w:r w:rsidRPr="00235012">
        <w:t>Zatímco ve věku 16–54 let používalo</w:t>
      </w:r>
      <w:r>
        <w:t xml:space="preserve"> </w:t>
      </w:r>
      <w:r w:rsidR="00B80EB7">
        <w:t xml:space="preserve">v roce 2019 </w:t>
      </w:r>
      <w:r w:rsidRPr="00235012">
        <w:t xml:space="preserve">internet </w:t>
      </w:r>
      <w:r w:rsidR="00DD43E4">
        <w:t>na počítači</w:t>
      </w:r>
      <w:r w:rsidR="00B80EB7">
        <w:t xml:space="preserve"> </w:t>
      </w:r>
      <w:r w:rsidR="00DD43E4">
        <w:t xml:space="preserve">více než </w:t>
      </w:r>
      <w:r w:rsidRPr="00235012">
        <w:t>90</w:t>
      </w:r>
      <w:r w:rsidR="008D03D4">
        <w:t xml:space="preserve"> </w:t>
      </w:r>
      <w:r w:rsidRPr="00235012">
        <w:t>% osob, mezi osobami</w:t>
      </w:r>
      <w:r>
        <w:t xml:space="preserve"> </w:t>
      </w:r>
      <w:r w:rsidRPr="00235012">
        <w:t xml:space="preserve">staršími </w:t>
      </w:r>
      <w:r w:rsidR="00BE4E0F">
        <w:t>5</w:t>
      </w:r>
      <w:r w:rsidRPr="00235012">
        <w:t xml:space="preserve">5 let </w:t>
      </w:r>
      <w:r w:rsidR="00BE4E0F">
        <w:t xml:space="preserve">jich byla polovina a u osob nad 75 </w:t>
      </w:r>
      <w:r w:rsidR="007A416D">
        <w:t xml:space="preserve">let </w:t>
      </w:r>
      <w:r w:rsidR="00BE4E0F">
        <w:t>podíl činil 18</w:t>
      </w:r>
      <w:r w:rsidR="007A416D">
        <w:t> </w:t>
      </w:r>
      <w:r w:rsidR="00BE4E0F">
        <w:t>%.</w:t>
      </w:r>
      <w:r>
        <w:t xml:space="preserve"> </w:t>
      </w:r>
      <w:r w:rsidRPr="00235012">
        <w:t>Pro studenty byl</w:t>
      </w:r>
      <w:r>
        <w:t xml:space="preserve"> </w:t>
      </w:r>
      <w:r w:rsidR="00E735BA">
        <w:t>přístup</w:t>
      </w:r>
      <w:r w:rsidRPr="00235012">
        <w:t xml:space="preserve"> na internet </w:t>
      </w:r>
      <w:r w:rsidR="00BE4E0F">
        <w:t>přes počítač</w:t>
      </w:r>
      <w:r w:rsidR="00E735BA">
        <w:t xml:space="preserve"> </w:t>
      </w:r>
      <w:r w:rsidRPr="00235012">
        <w:t>naprosto běžnou</w:t>
      </w:r>
      <w:r>
        <w:t xml:space="preserve"> </w:t>
      </w:r>
      <w:r w:rsidRPr="00235012">
        <w:t>záležitostí, používalo ho 9</w:t>
      </w:r>
      <w:r w:rsidR="008A126F">
        <w:t>8</w:t>
      </w:r>
      <w:r w:rsidR="0079354A">
        <w:t xml:space="preserve"> </w:t>
      </w:r>
      <w:r w:rsidRPr="00235012">
        <w:t>%</w:t>
      </w:r>
      <w:r w:rsidR="002810A5">
        <w:t xml:space="preserve"> z nich</w:t>
      </w:r>
      <w:r>
        <w:t>.</w:t>
      </w:r>
    </w:p>
    <w:p w14:paraId="7C70FD45" w14:textId="205B24B6" w:rsidR="00A426AA" w:rsidRDefault="00A426AA" w:rsidP="00E42E00"/>
    <w:p w14:paraId="03AFEB9F" w14:textId="77777777" w:rsidR="00A426AA" w:rsidRDefault="00A426AA" w:rsidP="00A426AA">
      <w:pPr>
        <w:rPr>
          <w:b/>
        </w:rPr>
      </w:pPr>
      <w:r w:rsidRPr="002A0697">
        <w:rPr>
          <w:b/>
        </w:rPr>
        <w:t>Graf 1: Osoby starší 16 let, které v posledních 12 měsících použily kancelářský software, 2019</w:t>
      </w:r>
    </w:p>
    <w:p w14:paraId="0EEEDAA0" w14:textId="77777777" w:rsidR="00A426AA" w:rsidRDefault="00A426AA" w:rsidP="00A426AA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65C9D383" wp14:editId="4D5D087B">
            <wp:extent cx="5400000" cy="2556000"/>
            <wp:effectExtent l="0" t="0" r="10795" b="15875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C45F7E0" w14:textId="2E5889BC" w:rsidR="00A426AA" w:rsidRPr="00B854F9" w:rsidRDefault="00A426AA" w:rsidP="00A426AA">
      <w:pPr>
        <w:rPr>
          <w:sz w:val="18"/>
        </w:rPr>
      </w:pPr>
      <w:r w:rsidRPr="00B854F9">
        <w:rPr>
          <w:sz w:val="18"/>
        </w:rPr>
        <w:t xml:space="preserve">* Zahrnuje i ženy (popř. muže) na rodičovské či </w:t>
      </w:r>
      <w:r w:rsidR="00A10945">
        <w:rPr>
          <w:sz w:val="18"/>
        </w:rPr>
        <w:t xml:space="preserve">ženy na </w:t>
      </w:r>
      <w:r w:rsidRPr="00B854F9">
        <w:rPr>
          <w:sz w:val="18"/>
        </w:rPr>
        <w:t>mateřské dovolené.</w:t>
      </w:r>
    </w:p>
    <w:p w14:paraId="23433EB8" w14:textId="77777777" w:rsidR="00A426AA" w:rsidRPr="00B854F9" w:rsidRDefault="00A426AA" w:rsidP="00A426AA">
      <w:pPr>
        <w:rPr>
          <w:sz w:val="18"/>
        </w:rPr>
      </w:pPr>
      <w:r w:rsidRPr="00B854F9">
        <w:rPr>
          <w:sz w:val="18"/>
        </w:rPr>
        <w:t xml:space="preserve">Zdroj: </w:t>
      </w:r>
      <w:r w:rsidRPr="005E51A6">
        <w:rPr>
          <w:sz w:val="18"/>
          <w:szCs w:val="18"/>
        </w:rPr>
        <w:t>Č</w:t>
      </w:r>
      <w:r w:rsidRPr="005E51A6">
        <w:rPr>
          <w:rFonts w:cs="Arial"/>
          <w:sz w:val="18"/>
          <w:szCs w:val="18"/>
        </w:rPr>
        <w:t>SÚ, Šetření o využívání ICT v</w:t>
      </w:r>
      <w:r>
        <w:rPr>
          <w:rFonts w:cs="Arial"/>
          <w:sz w:val="18"/>
          <w:szCs w:val="18"/>
        </w:rPr>
        <w:t xml:space="preserve"> </w:t>
      </w:r>
      <w:r w:rsidRPr="005E51A6">
        <w:rPr>
          <w:rFonts w:cs="Arial"/>
          <w:sz w:val="18"/>
          <w:szCs w:val="18"/>
        </w:rPr>
        <w:t>domácnostech a jednotlivci</w:t>
      </w:r>
    </w:p>
    <w:p w14:paraId="3F214096" w14:textId="77777777" w:rsidR="004D6535" w:rsidRDefault="004D6535" w:rsidP="00E42E00"/>
    <w:p w14:paraId="79B79CF2" w14:textId="77777777" w:rsidR="00BE4E0F" w:rsidRPr="004D6535" w:rsidRDefault="004D6535" w:rsidP="00E42E00">
      <w:pPr>
        <w:rPr>
          <w:b/>
        </w:rPr>
      </w:pPr>
      <w:r w:rsidRPr="004D6535">
        <w:rPr>
          <w:b/>
        </w:rPr>
        <w:t>Používání kancelářského softwaru</w:t>
      </w:r>
    </w:p>
    <w:p w14:paraId="0D699475" w14:textId="734F4601" w:rsidR="00C27F81" w:rsidRDefault="002810A5" w:rsidP="00E42E00">
      <w:r>
        <w:t>V roce 2019 používalo 56 </w:t>
      </w:r>
      <w:r w:rsidR="00D12C48">
        <w:t>%</w:t>
      </w:r>
      <w:r w:rsidR="00950CFE">
        <w:t xml:space="preserve"> Čechů starších 16 let </w:t>
      </w:r>
      <w:r w:rsidR="00950CFE" w:rsidRPr="004D6535">
        <w:rPr>
          <w:b/>
        </w:rPr>
        <w:t>kancelářský software</w:t>
      </w:r>
      <w:r w:rsidR="00950CFE">
        <w:t xml:space="preserve">. Nejběžnějším nástrojem byl </w:t>
      </w:r>
      <w:r w:rsidR="00950CFE" w:rsidRPr="00745E0F">
        <w:rPr>
          <w:b/>
        </w:rPr>
        <w:t>textový editor</w:t>
      </w:r>
      <w:r w:rsidR="00950CFE">
        <w:t xml:space="preserve">, </w:t>
      </w:r>
      <w:r w:rsidR="006B79C8">
        <w:t>ve kterém vytvářela dokumenty</w:t>
      </w:r>
      <w:r w:rsidR="00950CFE">
        <w:t xml:space="preserve"> více než polovina </w:t>
      </w:r>
      <w:r w:rsidR="006B79C8">
        <w:t>(54 %) osob</w:t>
      </w:r>
      <w:r w:rsidR="00950CFE">
        <w:t>.</w:t>
      </w:r>
      <w:r w:rsidR="006B79C8">
        <w:t xml:space="preserve"> </w:t>
      </w:r>
      <w:r w:rsidR="001F3521">
        <w:lastRenderedPageBreak/>
        <w:t>Z uživatelů internetu</w:t>
      </w:r>
      <w:r w:rsidR="00A10945">
        <w:rPr>
          <w:rStyle w:val="Znakapoznpodarou"/>
        </w:rPr>
        <w:footnoteReference w:id="2"/>
      </w:r>
      <w:r w:rsidR="001F3521">
        <w:t xml:space="preserve"> to byly dokonce dvě třetiny. </w:t>
      </w:r>
      <w:r w:rsidR="001B06F7">
        <w:t xml:space="preserve">Je zřejmé, že textový editor najde široké uplatnění především při plnění </w:t>
      </w:r>
      <w:r w:rsidR="00A80ED1">
        <w:t xml:space="preserve">školních či </w:t>
      </w:r>
      <w:r w:rsidR="001B06F7">
        <w:t xml:space="preserve">pracovních úkolů. </w:t>
      </w:r>
      <w:r w:rsidR="00C27F81">
        <w:t>Podíl s</w:t>
      </w:r>
      <w:r w:rsidR="001B06F7">
        <w:t xml:space="preserve">tudentů, kteří ho </w:t>
      </w:r>
      <w:r w:rsidR="00C27F81">
        <w:t xml:space="preserve">v roce 2019 </w:t>
      </w:r>
      <w:r w:rsidR="001A1842">
        <w:t>po</w:t>
      </w:r>
      <w:r w:rsidR="001B06F7">
        <w:t>užívali</w:t>
      </w:r>
      <w:r w:rsidR="00C27F81">
        <w:t>, činil</w:t>
      </w:r>
      <w:r w:rsidR="001B06F7">
        <w:t xml:space="preserve"> 94 %</w:t>
      </w:r>
      <w:r w:rsidR="00C27F81">
        <w:t xml:space="preserve">. Ve věkové skupině 45–54 let pracovalo v textovém editoru 6 osob z 10, zatímco v mladším seniorském věku 65–74 let jen 2 osoby z 10. </w:t>
      </w:r>
      <w:r w:rsidR="002840DD">
        <w:t xml:space="preserve">Podíl vysokoškolsky vzdělaných, kteří vytváří dokumenty v textovém editoru, byl </w:t>
      </w:r>
      <w:r>
        <w:t xml:space="preserve">ve srovnání s osobami se základním vzděláním </w:t>
      </w:r>
      <w:r w:rsidR="00EC6DF5">
        <w:t xml:space="preserve">více než </w:t>
      </w:r>
      <w:r w:rsidR="002840DD">
        <w:t>šestinásobný (91 %</w:t>
      </w:r>
      <w:r>
        <w:t xml:space="preserve"> vs. </w:t>
      </w:r>
      <w:r w:rsidR="002840DD">
        <w:t>1</w:t>
      </w:r>
      <w:r w:rsidR="008A126F">
        <w:t>4</w:t>
      </w:r>
      <w:r w:rsidR="002840DD">
        <w:t xml:space="preserve"> %).</w:t>
      </w:r>
      <w:r w:rsidR="00A80ED1">
        <w:t xml:space="preserve"> </w:t>
      </w:r>
      <w:r w:rsidR="00703092">
        <w:t>V roce 2003</w:t>
      </w:r>
      <w:r w:rsidR="00B0113C">
        <w:t>, odkdy šetření o využívání informačních a</w:t>
      </w:r>
      <w:r w:rsidR="00EA165A">
        <w:t> </w:t>
      </w:r>
      <w:r w:rsidR="00B0113C">
        <w:t>komunikačních technologií každoročně probíhá,</w:t>
      </w:r>
      <w:r w:rsidR="00703092">
        <w:t xml:space="preserve"> používalo textový editor </w:t>
      </w:r>
      <w:r w:rsidR="00703092" w:rsidRPr="007F3899">
        <w:t>39 %</w:t>
      </w:r>
      <w:r w:rsidR="00703092">
        <w:t xml:space="preserve"> Čechů. Jedním z důvodů růstu tohoto podílu </w:t>
      </w:r>
      <w:r>
        <w:t>by mohla být i</w:t>
      </w:r>
      <w:r w:rsidR="00703092">
        <w:t xml:space="preserve"> změna ve struktuře za</w:t>
      </w:r>
      <w:r>
        <w:t xml:space="preserve">městnaných dle klasifikace ISCO </w:t>
      </w:r>
      <w:r w:rsidR="00703092">
        <w:t xml:space="preserve">– postavení v zaměstnání. </w:t>
      </w:r>
      <w:r w:rsidR="007848F8">
        <w:t>Nejhojněji zastoupenou kategorií tehdy byli</w:t>
      </w:r>
      <w:r w:rsidR="00703092">
        <w:t xml:space="preserve"> Řemeslníci a</w:t>
      </w:r>
      <w:r w:rsidR="00166220">
        <w:t> </w:t>
      </w:r>
      <w:r w:rsidR="00703092">
        <w:t>opraváři</w:t>
      </w:r>
      <w:r>
        <w:t xml:space="preserve">, kteří </w:t>
      </w:r>
      <w:r w:rsidR="00E00E5E">
        <w:t xml:space="preserve">v roce 2003 </w:t>
      </w:r>
      <w:r>
        <w:t>t</w:t>
      </w:r>
      <w:r w:rsidR="007848F8">
        <w:t xml:space="preserve">vořili </w:t>
      </w:r>
      <w:r w:rsidR="00703092">
        <w:t xml:space="preserve">pětinu všech zaměstnanců, </w:t>
      </w:r>
      <w:r w:rsidR="007848F8">
        <w:t xml:space="preserve">zatímco </w:t>
      </w:r>
      <w:r w:rsidR="00703092">
        <w:t xml:space="preserve">v roce </w:t>
      </w:r>
      <w:r w:rsidR="00703092" w:rsidRPr="00151F09">
        <w:t>201</w:t>
      </w:r>
      <w:r w:rsidR="00151F09">
        <w:t>9</w:t>
      </w:r>
      <w:r w:rsidR="00703092">
        <w:t xml:space="preserve"> jich bylo 16</w:t>
      </w:r>
      <w:r w:rsidR="001A1842">
        <w:t> </w:t>
      </w:r>
      <w:r w:rsidR="00703092">
        <w:t>%. Nutno doplnit, že mnozí manuálně pracující dnes rovněž potřebují vytvářet dokumenty v elektronické podobě.</w:t>
      </w:r>
      <w:r w:rsidR="00C83947">
        <w:t xml:space="preserve"> Oproti řemeslníkům naopak</w:t>
      </w:r>
      <w:r w:rsidR="003148F0">
        <w:t xml:space="preserve"> </w:t>
      </w:r>
      <w:r w:rsidR="00C83947">
        <w:t xml:space="preserve">od roku 2003 </w:t>
      </w:r>
      <w:r w:rsidR="003148F0">
        <w:t xml:space="preserve">vzrostl </w:t>
      </w:r>
      <w:r w:rsidR="00703092">
        <w:t>podíl Specialistů z 11 % na 16 %</w:t>
      </w:r>
      <w:r w:rsidR="00C83947">
        <w:t xml:space="preserve"> v roce 2019</w:t>
      </w:r>
      <w:r w:rsidR="00703092">
        <w:t xml:space="preserve">. </w:t>
      </w:r>
      <w:r w:rsidR="003148F0">
        <w:t>V</w:t>
      </w:r>
      <w:r w:rsidR="00C83947">
        <w:t> témže roce</w:t>
      </w:r>
      <w:r w:rsidR="003148F0">
        <w:t xml:space="preserve"> používalo textový </w:t>
      </w:r>
      <w:r w:rsidR="001A1842">
        <w:t>edit</w:t>
      </w:r>
      <w:r w:rsidR="003148F0">
        <w:t>or 93 % zaměstnanců v této skupině.</w:t>
      </w:r>
    </w:p>
    <w:p w14:paraId="1FAE2FC4" w14:textId="5327978C" w:rsidR="00A426AA" w:rsidRDefault="00A426AA" w:rsidP="00E42E00"/>
    <w:p w14:paraId="1AB803EB" w14:textId="506C6E72" w:rsidR="00A426AA" w:rsidRDefault="00A426AA" w:rsidP="00A426AA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38F1086" wp14:editId="2EBD39B5">
            <wp:simplePos x="0" y="0"/>
            <wp:positionH relativeFrom="column">
              <wp:posOffset>-4445</wp:posOffset>
            </wp:positionH>
            <wp:positionV relativeFrom="paragraph">
              <wp:posOffset>335915</wp:posOffset>
            </wp:positionV>
            <wp:extent cx="2699385" cy="2699385"/>
            <wp:effectExtent l="0" t="0" r="5715" b="5715"/>
            <wp:wrapTight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ight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0C2B5FE" wp14:editId="0669A1A7">
            <wp:simplePos x="0" y="0"/>
            <wp:positionH relativeFrom="column">
              <wp:posOffset>2717800</wp:posOffset>
            </wp:positionH>
            <wp:positionV relativeFrom="paragraph">
              <wp:posOffset>331470</wp:posOffset>
            </wp:positionV>
            <wp:extent cx="2699385" cy="2699385"/>
            <wp:effectExtent l="0" t="0" r="5715" b="5715"/>
            <wp:wrapTight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ight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697">
        <w:rPr>
          <w:b/>
        </w:rPr>
        <w:t xml:space="preserve">Graf </w:t>
      </w:r>
      <w:r>
        <w:rPr>
          <w:b/>
        </w:rPr>
        <w:t>2</w:t>
      </w:r>
      <w:r w:rsidRPr="002A0697">
        <w:rPr>
          <w:b/>
        </w:rPr>
        <w:t xml:space="preserve">: Osoby starší 16 let, které v posledních 12 měsících použily </w:t>
      </w:r>
      <w:r>
        <w:rPr>
          <w:b/>
        </w:rPr>
        <w:t>textový editor a tabulkový procesor</w:t>
      </w:r>
      <w:r w:rsidRPr="002A0697">
        <w:rPr>
          <w:b/>
        </w:rPr>
        <w:t>, 2019</w:t>
      </w:r>
    </w:p>
    <w:p w14:paraId="644B8CA3" w14:textId="12187C7C" w:rsidR="00A426AA" w:rsidRPr="00B854F9" w:rsidRDefault="00A426AA" w:rsidP="00A426AA">
      <w:pPr>
        <w:rPr>
          <w:sz w:val="18"/>
        </w:rPr>
      </w:pPr>
      <w:r w:rsidRPr="00B854F9">
        <w:rPr>
          <w:sz w:val="18"/>
        </w:rPr>
        <w:t xml:space="preserve">Zdroj: </w:t>
      </w:r>
      <w:r w:rsidRPr="005E51A6">
        <w:rPr>
          <w:sz w:val="18"/>
          <w:szCs w:val="18"/>
        </w:rPr>
        <w:t>Č</w:t>
      </w:r>
      <w:r w:rsidRPr="005E51A6">
        <w:rPr>
          <w:rFonts w:cs="Arial"/>
          <w:sz w:val="18"/>
          <w:szCs w:val="18"/>
        </w:rPr>
        <w:t>SÚ, Šetření o využívání ICT v</w:t>
      </w:r>
      <w:r>
        <w:rPr>
          <w:rFonts w:cs="Arial"/>
          <w:sz w:val="18"/>
          <w:szCs w:val="18"/>
        </w:rPr>
        <w:t xml:space="preserve"> </w:t>
      </w:r>
      <w:r w:rsidRPr="005E51A6">
        <w:rPr>
          <w:rFonts w:cs="Arial"/>
          <w:sz w:val="18"/>
          <w:szCs w:val="18"/>
        </w:rPr>
        <w:t>domácnostech a jednotlivci</w:t>
      </w:r>
    </w:p>
    <w:p w14:paraId="015BF241" w14:textId="7FC7E7FA" w:rsidR="00C27F81" w:rsidRDefault="00C27F81" w:rsidP="00E42E00"/>
    <w:p w14:paraId="77113AC9" w14:textId="257E6665" w:rsidR="00B854F9" w:rsidRDefault="006B79C8" w:rsidP="00B854F9">
      <w:r>
        <w:t xml:space="preserve">O něco méně </w:t>
      </w:r>
      <w:r w:rsidR="001F3521">
        <w:t xml:space="preserve">využívaný byl </w:t>
      </w:r>
      <w:r w:rsidR="001F3521" w:rsidRPr="00745E0F">
        <w:rPr>
          <w:b/>
        </w:rPr>
        <w:t>tabulkový procesor</w:t>
      </w:r>
      <w:r w:rsidR="001F3521">
        <w:t xml:space="preserve">, </w:t>
      </w:r>
      <w:r w:rsidR="002810A5">
        <w:t>se kterým</w:t>
      </w:r>
      <w:r w:rsidR="002840DD">
        <w:t xml:space="preserve"> v roce 2019 </w:t>
      </w:r>
      <w:r w:rsidR="001F3521">
        <w:t xml:space="preserve">pracovalo 45 % </w:t>
      </w:r>
      <w:r>
        <w:t>Č</w:t>
      </w:r>
      <w:r w:rsidR="001F3521">
        <w:t>echů. P</w:t>
      </w:r>
      <w:r>
        <w:t xml:space="preserve">okročilejší funkcionality jako vzorce, či filtry </w:t>
      </w:r>
      <w:r w:rsidR="002840DD">
        <w:t>používala</w:t>
      </w:r>
      <w:r>
        <w:t xml:space="preserve"> pětina osob starších 16 let.</w:t>
      </w:r>
      <w:r w:rsidR="00327000">
        <w:t xml:space="preserve"> V nejmladší sledované věkové kategorii 16–24 let používalo Excel či podobný software 82 %</w:t>
      </w:r>
      <w:r w:rsidR="005E51A6">
        <w:t xml:space="preserve"> osob</w:t>
      </w:r>
      <w:r w:rsidR="00327000">
        <w:t>. Složitější operace v něm prováděl každý druhý</w:t>
      </w:r>
      <w:r w:rsidR="00707E0E">
        <w:t xml:space="preserve"> z této věkové skupiny</w:t>
      </w:r>
      <w:r w:rsidR="00327000">
        <w:t>.</w:t>
      </w:r>
      <w:r w:rsidR="00955711">
        <w:t xml:space="preserve"> V roce 2003 používala tabulkový procesor na základní úrovni </w:t>
      </w:r>
      <w:r w:rsidR="005E51A6" w:rsidRPr="007F3899">
        <w:t xml:space="preserve">pouhá </w:t>
      </w:r>
      <w:r w:rsidR="00EC6DF5">
        <w:t>čtvrtina osob</w:t>
      </w:r>
      <w:r w:rsidR="007F3899">
        <w:t xml:space="preserve">, což je o </w:t>
      </w:r>
      <w:r w:rsidR="00C83947">
        <w:t xml:space="preserve">20 </w:t>
      </w:r>
      <w:r w:rsidR="007F3899">
        <w:t xml:space="preserve">p. b. </w:t>
      </w:r>
      <w:proofErr w:type="gramStart"/>
      <w:r w:rsidR="007F3899">
        <w:t>méně</w:t>
      </w:r>
      <w:proofErr w:type="gramEnd"/>
      <w:r w:rsidR="007F3899">
        <w:t xml:space="preserve"> než v roce 2019.</w:t>
      </w:r>
    </w:p>
    <w:p w14:paraId="483D5352" w14:textId="77777777" w:rsidR="006D04A7" w:rsidRDefault="006D04A7" w:rsidP="00B854F9"/>
    <w:p w14:paraId="6497514F" w14:textId="295E9761" w:rsidR="002A0697" w:rsidRDefault="00B854F9" w:rsidP="00B854F9">
      <w:r>
        <w:t xml:space="preserve">Výčet tří nejpoužívanějších druhů kancelářského softwaru uzavírají </w:t>
      </w:r>
      <w:r w:rsidRPr="00745E0F">
        <w:rPr>
          <w:b/>
        </w:rPr>
        <w:t>programy na vytváření prezentací</w:t>
      </w:r>
      <w:r w:rsidR="001A1842">
        <w:t>. V roce 2019</w:t>
      </w:r>
      <w:r>
        <w:t xml:space="preserve"> ve specializovaném nástroji vytvářelo </w:t>
      </w:r>
      <w:r w:rsidR="001A1842">
        <w:t xml:space="preserve">prezentace </w:t>
      </w:r>
      <w:r>
        <w:t xml:space="preserve">18 % české populace </w:t>
      </w:r>
      <w:r>
        <w:lastRenderedPageBreak/>
        <w:t xml:space="preserve">starší 16 let, což je </w:t>
      </w:r>
      <w:r w:rsidR="00C83947">
        <w:t>třikrát více než v roce 2003</w:t>
      </w:r>
      <w:r>
        <w:t>. Aktivnější v používání byli muži, každý pátý připrav</w:t>
      </w:r>
      <w:r w:rsidR="007007BC">
        <w:t>oval</w:t>
      </w:r>
      <w:r w:rsidR="005E51A6">
        <w:t xml:space="preserve"> prezentaci</w:t>
      </w:r>
      <w:r>
        <w:t>. Mezi ženami jich bylo 16 %. Vytváření prezentace se týkalo 7 studentů z 10.</w:t>
      </w:r>
    </w:p>
    <w:p w14:paraId="6D352E3B" w14:textId="77777777" w:rsidR="00B854F9" w:rsidRDefault="00B854F9" w:rsidP="00B854F9">
      <w:pPr>
        <w:rPr>
          <w:b/>
        </w:rPr>
      </w:pPr>
    </w:p>
    <w:p w14:paraId="140CE3AE" w14:textId="27A5F62C" w:rsidR="00950CFE" w:rsidRDefault="001963F9" w:rsidP="00E42E00">
      <w:r>
        <w:t xml:space="preserve">Dalším hojně využívaným počítačovým programem je </w:t>
      </w:r>
      <w:r w:rsidRPr="00745E0F">
        <w:rPr>
          <w:b/>
        </w:rPr>
        <w:t>software na úpravu fotografií</w:t>
      </w:r>
      <w:r w:rsidR="00EC6DF5">
        <w:rPr>
          <w:rStyle w:val="Znakapoznpodarou"/>
        </w:rPr>
        <w:footnoteReference w:id="3"/>
      </w:r>
      <w:r>
        <w:t xml:space="preserve">. </w:t>
      </w:r>
      <w:r w:rsidR="00B12B34">
        <w:t>Třetina osob snímky editovala</w:t>
      </w:r>
      <w:r w:rsidR="00955711">
        <w:t xml:space="preserve"> v nějakém z takových nástrojů</w:t>
      </w:r>
      <w:r w:rsidR="00B12B34">
        <w:t>. Nejčastěji se jednalo o ml</w:t>
      </w:r>
      <w:r w:rsidR="00707E0E">
        <w:t>adou generaci ve věku 16–24 let, ve které se</w:t>
      </w:r>
      <w:r w:rsidR="00B12B34">
        <w:t xml:space="preserve"> úpravám fotek na počítači či mobilním telefonu</w:t>
      </w:r>
      <w:r w:rsidR="00707E0E">
        <w:t xml:space="preserve"> věnovalo 70 % z</w:t>
      </w:r>
      <w:r w:rsidR="00166220">
        <w:t> </w:t>
      </w:r>
      <w:r w:rsidR="00707E0E">
        <w:t>nich</w:t>
      </w:r>
      <w:r w:rsidR="00B12B34">
        <w:t>.</w:t>
      </w:r>
    </w:p>
    <w:p w14:paraId="4D87561D" w14:textId="77777777" w:rsidR="001F3521" w:rsidRDefault="001F3521" w:rsidP="00E42E00"/>
    <w:p w14:paraId="4837FD5A" w14:textId="0E75E92F" w:rsidR="001318CA" w:rsidRDefault="004D6535" w:rsidP="001318CA">
      <w:r>
        <w:t>Nej</w:t>
      </w:r>
      <w:r w:rsidR="00992713">
        <w:t>sofistikovaně</w:t>
      </w:r>
      <w:r>
        <w:t>jší digitální dovednost, která se v rámci šetření o využívání informačních a</w:t>
      </w:r>
      <w:r w:rsidR="00B53962">
        <w:t> </w:t>
      </w:r>
      <w:r>
        <w:t xml:space="preserve">komunikačních technologií zjišťovala, představuje </w:t>
      </w:r>
      <w:r w:rsidRPr="00745E0F">
        <w:rPr>
          <w:b/>
        </w:rPr>
        <w:t>programování</w:t>
      </w:r>
      <w:r>
        <w:t xml:space="preserve">. Zatímco </w:t>
      </w:r>
      <w:r w:rsidR="00955711">
        <w:t xml:space="preserve">ještě </w:t>
      </w:r>
      <w:r>
        <w:t xml:space="preserve">v roce 2017 programovala v České republice 4 % osob, v roce 2019 jejich podíl vzrostl na 6 %. </w:t>
      </w:r>
      <w:r w:rsidR="00707E0E">
        <w:t xml:space="preserve">Ženy, které programovaly, </w:t>
      </w:r>
      <w:r>
        <w:t>zaujímaly 3 %, podíl mezi muži činil 9 %.</w:t>
      </w:r>
      <w:r w:rsidR="007007BC">
        <w:t xml:space="preserve"> Ve věkové skupině 16–3</w:t>
      </w:r>
      <w:r w:rsidR="00B12B34">
        <w:t xml:space="preserve">4 let programoval v roce 2019 každý desátý, ve vyšších věkových kategoriích je tato dovednost rozšířena minimálně. Ve věkové skupině </w:t>
      </w:r>
      <w:r w:rsidR="007007BC">
        <w:t>35–4</w:t>
      </w:r>
      <w:r w:rsidR="00B12B34">
        <w:t>4 let</w:t>
      </w:r>
      <w:r w:rsidR="000518F0">
        <w:t xml:space="preserve">, resp. </w:t>
      </w:r>
      <w:r w:rsidR="007007BC">
        <w:t>4</w:t>
      </w:r>
      <w:r w:rsidR="000518F0">
        <w:t>5–</w:t>
      </w:r>
      <w:r w:rsidR="007007BC">
        <w:t>5</w:t>
      </w:r>
      <w:r w:rsidR="000518F0">
        <w:t>4 let</w:t>
      </w:r>
      <w:r w:rsidR="007007BC">
        <w:t xml:space="preserve"> programovalo</w:t>
      </w:r>
      <w:r w:rsidR="00B12B34">
        <w:t xml:space="preserve"> </w:t>
      </w:r>
      <w:r w:rsidR="007007BC">
        <w:t>7</w:t>
      </w:r>
      <w:r w:rsidR="00B12B34">
        <w:t xml:space="preserve"> %</w:t>
      </w:r>
      <w:r w:rsidR="000518F0">
        <w:t xml:space="preserve">, resp. </w:t>
      </w:r>
      <w:r w:rsidR="007007BC">
        <w:t>4</w:t>
      </w:r>
      <w:r w:rsidR="000518F0">
        <w:t xml:space="preserve"> %</w:t>
      </w:r>
      <w:r w:rsidR="00B12B34">
        <w:t xml:space="preserve"> populace.</w:t>
      </w:r>
    </w:p>
    <w:p w14:paraId="589B4101" w14:textId="77777777" w:rsidR="001318CA" w:rsidRDefault="001318CA" w:rsidP="001318CA">
      <w:pPr>
        <w:rPr>
          <w:b/>
        </w:rPr>
      </w:pPr>
    </w:p>
    <w:p w14:paraId="4E2BE8CD" w14:textId="2B53C84D" w:rsidR="000518F0" w:rsidRDefault="00745E0F" w:rsidP="00E42E00">
      <w:r w:rsidRPr="00745E0F">
        <w:rPr>
          <w:b/>
        </w:rPr>
        <w:t>Zálohování dat</w:t>
      </w:r>
    </w:p>
    <w:p w14:paraId="678CD901" w14:textId="103DBEA8" w:rsidR="000518F0" w:rsidRDefault="00894F5B" w:rsidP="00E42E00">
      <w:r>
        <w:t xml:space="preserve">Digitální dovednosti v širším slova smyslu zahrnují i bezpečné chování v digitálním prostředí, např. v podobě </w:t>
      </w:r>
      <w:r w:rsidRPr="00745E0F">
        <w:t>zálohování dat</w:t>
      </w:r>
      <w:r>
        <w:t>. V roce 2019 zálohovalo soubory 48 % Čechů starších 16 let.</w:t>
      </w:r>
      <w:r w:rsidR="00953CFF">
        <w:t xml:space="preserve"> V tomto ohledu </w:t>
      </w:r>
      <w:r w:rsidR="00955711">
        <w:t xml:space="preserve">byli mnohem </w:t>
      </w:r>
      <w:r w:rsidR="00953CFF">
        <w:t xml:space="preserve">uvědomělejší muži. Zálohovalo jich 53 % oproti 43 % žen. Možnosti </w:t>
      </w:r>
      <w:r w:rsidR="00953CFF" w:rsidRPr="00745E0F">
        <w:rPr>
          <w:b/>
        </w:rPr>
        <w:t>ukládat data na fyzický nosič</w:t>
      </w:r>
      <w:r w:rsidR="00953CFF">
        <w:t xml:space="preserve"> (externí disk či </w:t>
      </w:r>
      <w:proofErr w:type="spellStart"/>
      <w:r w:rsidR="00953CFF">
        <w:t>flash</w:t>
      </w:r>
      <w:proofErr w:type="spellEnd"/>
      <w:r w:rsidR="00953CFF">
        <w:t xml:space="preserve"> disk) využilo 45 % osob. Z mužů to byla polovina, mezi ženami dvě pětiny. Méně častý způsob zálohování představo</w:t>
      </w:r>
      <w:r w:rsidR="009A2A4E">
        <w:t xml:space="preserve">valo </w:t>
      </w:r>
      <w:r w:rsidR="009A2A4E" w:rsidRPr="00745E0F">
        <w:rPr>
          <w:b/>
        </w:rPr>
        <w:t>internetové úložiště</w:t>
      </w:r>
      <w:r w:rsidR="00776467">
        <w:t>, se kterým pracovalo 22 % osob, opět o něco více muži (25 %) než ženy (19 %).</w:t>
      </w:r>
    </w:p>
    <w:p w14:paraId="2BC7E981" w14:textId="057A07FF" w:rsidR="0004359A" w:rsidRDefault="0004359A" w:rsidP="00E42E00"/>
    <w:p w14:paraId="74E46948" w14:textId="77777777" w:rsidR="0004359A" w:rsidRDefault="0004359A" w:rsidP="0004359A">
      <w:pPr>
        <w:rPr>
          <w:b/>
        </w:rPr>
      </w:pPr>
      <w:r>
        <w:rPr>
          <w:b/>
        </w:rPr>
        <w:t>Česko v rámci EU</w:t>
      </w:r>
    </w:p>
    <w:p w14:paraId="35917809" w14:textId="125D307C" w:rsidR="0004359A" w:rsidRDefault="0004359A" w:rsidP="00E42E00">
      <w:pPr>
        <w:rPr>
          <w:b/>
        </w:rPr>
      </w:pPr>
      <w:r>
        <w:t>Zemí s nejvyšším podílem osob používajících textový editor v roce 2019 bylo Nizozemsko. Tři čtvrtiny tamních obyvatel ve věku 16–74 let v něm vytvářely dokumenty. Mezi TOP 4 státy se dále zařadilo Finsko, Velká Británie a Švédsko. Tyto státy se nachází v čele všech tří sledovaných ukazatelů týkajících se kancelářského softwaru. Česká republika s podílem 58 %</w:t>
      </w:r>
      <w:r>
        <w:rPr>
          <w:rStyle w:val="Znakapoznpodarou"/>
        </w:rPr>
        <w:footnoteReference w:id="4"/>
      </w:r>
      <w:r>
        <w:t xml:space="preserve"> obsadila 8</w:t>
      </w:r>
      <w:r w:rsidR="00707E0E">
        <w:t>. místo, unijní průměr činil 54 </w:t>
      </w:r>
      <w:r>
        <w:t>%. Ze sousedících zemí na tom bylo ještě lépe Německo a Rakousko s 63%, resp. 62% podílem. Pouze 4 z 10 Poláků používali textový editor. Údaje za Slovensko nejsou k dispozici.</w:t>
      </w:r>
    </w:p>
    <w:p w14:paraId="4ADE1B67" w14:textId="77777777" w:rsidR="0004359A" w:rsidRDefault="0004359A">
      <w:pPr>
        <w:spacing w:line="240" w:lineRule="auto"/>
        <w:jc w:val="left"/>
        <w:rPr>
          <w:b/>
        </w:rPr>
      </w:pPr>
      <w:r>
        <w:rPr>
          <w:b/>
        </w:rPr>
        <w:br w:type="page"/>
      </w:r>
    </w:p>
    <w:p w14:paraId="74183E33" w14:textId="308A511F" w:rsidR="00745E0F" w:rsidRPr="00745E0F" w:rsidRDefault="002A0697" w:rsidP="006E07A0">
      <w:pPr>
        <w:rPr>
          <w:b/>
        </w:rPr>
      </w:pPr>
      <w:r>
        <w:rPr>
          <w:b/>
        </w:rPr>
        <w:lastRenderedPageBreak/>
        <w:t xml:space="preserve">Graf </w:t>
      </w:r>
      <w:r w:rsidR="00A10945">
        <w:rPr>
          <w:b/>
        </w:rPr>
        <w:t>3</w:t>
      </w:r>
      <w:r w:rsidR="00745E0F" w:rsidRPr="00745E0F">
        <w:rPr>
          <w:b/>
        </w:rPr>
        <w:t>: Osoby ve věku 16–74 let v zemích EU, které v posledních 12 měsících použily textový editor, 2019</w:t>
      </w:r>
    </w:p>
    <w:p w14:paraId="1BEB1449" w14:textId="23CDD71B" w:rsidR="00B0113C" w:rsidRDefault="00745E0F" w:rsidP="00E42E00">
      <w:r>
        <w:rPr>
          <w:noProof/>
          <w:lang w:eastAsia="cs-CZ"/>
        </w:rPr>
        <w:drawing>
          <wp:inline distT="0" distB="0" distL="0" distR="0" wp14:anchorId="1E79FD51" wp14:editId="1D6B154D">
            <wp:extent cx="5400040" cy="2340000"/>
            <wp:effectExtent l="0" t="0" r="10160" b="3175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3BFEA0B" w14:textId="054A3AFC" w:rsidR="00745E0F" w:rsidRPr="00A10945" w:rsidRDefault="00C83947" w:rsidP="00745E0F">
      <w:pPr>
        <w:spacing w:line="240" w:lineRule="auto"/>
        <w:rPr>
          <w:rFonts w:eastAsia="Times New Roman" w:cs="Arial"/>
          <w:color w:val="000000"/>
          <w:sz w:val="18"/>
          <w:szCs w:val="18"/>
          <w:lang w:val="en-GB" w:eastAsia="cs-CZ"/>
        </w:rPr>
      </w:pPr>
      <w:r>
        <w:rPr>
          <w:rFonts w:eastAsia="Times New Roman" w:cs="Arial"/>
          <w:color w:val="000000"/>
          <w:sz w:val="18"/>
          <w:szCs w:val="18"/>
          <w:lang w:eastAsia="cs-CZ"/>
        </w:rPr>
        <w:t xml:space="preserve">Zdroj: </w:t>
      </w:r>
      <w:proofErr w:type="spellStart"/>
      <w:r>
        <w:rPr>
          <w:rFonts w:eastAsia="Times New Roman" w:cs="Arial"/>
          <w:color w:val="000000"/>
          <w:sz w:val="18"/>
          <w:szCs w:val="18"/>
          <w:lang w:eastAsia="cs-CZ"/>
        </w:rPr>
        <w:t>Eurostat</w:t>
      </w:r>
      <w:proofErr w:type="spellEnd"/>
      <w:r w:rsidR="00A10945">
        <w:rPr>
          <w:rFonts w:eastAsia="Times New Roman" w:cs="Arial"/>
          <w:color w:val="000000"/>
          <w:sz w:val="18"/>
          <w:szCs w:val="18"/>
          <w:lang w:eastAsia="cs-CZ"/>
        </w:rPr>
        <w:t xml:space="preserve">, </w:t>
      </w:r>
      <w:r w:rsidR="00A10945" w:rsidRPr="00A10945">
        <w:rPr>
          <w:rFonts w:eastAsia="Times New Roman" w:cs="Arial"/>
          <w:color w:val="000000"/>
          <w:sz w:val="18"/>
          <w:szCs w:val="18"/>
          <w:lang w:val="en-GB" w:eastAsia="cs-CZ"/>
        </w:rPr>
        <w:t>Survey on usage of ICT in households</w:t>
      </w:r>
    </w:p>
    <w:p w14:paraId="00C45B66" w14:textId="0090FB85" w:rsidR="00745E0F" w:rsidRDefault="00745E0F" w:rsidP="00E42E00"/>
    <w:p w14:paraId="12EE89B0" w14:textId="30721DF3" w:rsidR="00776467" w:rsidRDefault="00F06010" w:rsidP="0004359A">
      <w:r>
        <w:t xml:space="preserve">V používání tabulkového procesoru si Češi </w:t>
      </w:r>
      <w:r w:rsidR="004220DD">
        <w:t xml:space="preserve">z hlediska umístění </w:t>
      </w:r>
      <w:r>
        <w:t>vedli ještě lépe</w:t>
      </w:r>
      <w:r w:rsidR="004220DD">
        <w:t xml:space="preserve"> a s 49% podílem obsadili 6. příčku.</w:t>
      </w:r>
      <w:r>
        <w:t xml:space="preserve"> Průměr EU překonali o 10 p. b.</w:t>
      </w:r>
      <w:r w:rsidR="004220DD">
        <w:t xml:space="preserve"> </w:t>
      </w:r>
      <w:r>
        <w:t xml:space="preserve">Statistice opět </w:t>
      </w:r>
      <w:r w:rsidR="004220DD">
        <w:t>vévodilo</w:t>
      </w:r>
      <w:r>
        <w:t xml:space="preserve"> N</w:t>
      </w:r>
      <w:r w:rsidR="004220DD">
        <w:t>izozemsko, kde v </w:t>
      </w:r>
      <w:r w:rsidR="00C13472">
        <w:t>tabulkovém</w:t>
      </w:r>
      <w:r w:rsidR="004220DD">
        <w:t xml:space="preserve"> programu pracovalo 58 % osob ve věku 16–74 let. Více než polovina populace v </w:t>
      </w:r>
      <w:r w:rsidR="000B7DDB">
        <w:t>daném</w:t>
      </w:r>
      <w:bookmarkStart w:id="0" w:name="_GoBack"/>
      <w:bookmarkEnd w:id="0"/>
      <w:r w:rsidR="004220DD">
        <w:t xml:space="preserve"> věkovém vymezení používala </w:t>
      </w:r>
      <w:r w:rsidR="00C13472">
        <w:t xml:space="preserve">tento software </w:t>
      </w:r>
      <w:r w:rsidR="004220DD">
        <w:t xml:space="preserve">i v Dánsku, Finsku a Velké Británii. Britové dominovali v umění používat pokročilejší funkce, jako jsou filtry či vzorce. Tuto dovednost ovládalo 39 % z nich. V České republice využívala složitější operace méně než čtvrtina osob. V Německu a </w:t>
      </w:r>
      <w:r w:rsidR="00397059">
        <w:t>v Portugalsku</w:t>
      </w:r>
      <w:r w:rsidR="004220DD">
        <w:t xml:space="preserve"> je nejnižší podíl těch, kteří </w:t>
      </w:r>
      <w:r w:rsidR="00C13472">
        <w:t>umí</w:t>
      </w:r>
      <w:r w:rsidR="004220DD">
        <w:t xml:space="preserve"> s tabulkovým programem zacházet pouze </w:t>
      </w:r>
      <w:r w:rsidR="00397059">
        <w:t>na základní úrovni, jinými slovy 82 % osob, které tabulkový procesor používaly, byly pokročilí uživatelé</w:t>
      </w:r>
      <w:r w:rsidR="004220DD">
        <w:t>.</w:t>
      </w:r>
    </w:p>
    <w:p w14:paraId="7ABE7AD4" w14:textId="77777777" w:rsidR="0004359A" w:rsidRDefault="0004359A" w:rsidP="0004359A">
      <w:pPr>
        <w:rPr>
          <w:b/>
        </w:rPr>
      </w:pPr>
    </w:p>
    <w:p w14:paraId="7189C46A" w14:textId="766F0710" w:rsidR="00950CFE" w:rsidRPr="006E07A0" w:rsidRDefault="006E07A0" w:rsidP="006E07A0">
      <w:pPr>
        <w:rPr>
          <w:b/>
        </w:rPr>
      </w:pPr>
      <w:r w:rsidRPr="006E07A0">
        <w:rPr>
          <w:b/>
        </w:rPr>
        <w:t xml:space="preserve">Graf </w:t>
      </w:r>
      <w:r w:rsidR="00A10945">
        <w:rPr>
          <w:b/>
        </w:rPr>
        <w:t>4</w:t>
      </w:r>
      <w:r w:rsidRPr="006E07A0">
        <w:rPr>
          <w:b/>
        </w:rPr>
        <w:t>: Osoby ve věku 16–74 let v zemích EU, které v posledních 12 měsících použily tabulkový procesor, 2019</w:t>
      </w:r>
    </w:p>
    <w:p w14:paraId="4D411224" w14:textId="190E11F2" w:rsidR="001F6C45" w:rsidRDefault="00F06010" w:rsidP="00E42E00">
      <w:r>
        <w:rPr>
          <w:noProof/>
          <w:lang w:eastAsia="cs-CZ"/>
        </w:rPr>
        <w:drawing>
          <wp:inline distT="0" distB="0" distL="0" distR="0" wp14:anchorId="4BD330E7" wp14:editId="2DD7A5CC">
            <wp:extent cx="5400040" cy="2340000"/>
            <wp:effectExtent l="0" t="0" r="10160" b="3175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34290E0" w14:textId="77777777" w:rsidR="00A10945" w:rsidRPr="00A10945" w:rsidRDefault="00F06010" w:rsidP="00A10945">
      <w:pPr>
        <w:spacing w:line="240" w:lineRule="auto"/>
        <w:rPr>
          <w:rFonts w:eastAsia="Times New Roman" w:cs="Arial"/>
          <w:color w:val="000000"/>
          <w:sz w:val="18"/>
          <w:szCs w:val="18"/>
          <w:lang w:val="en-GB" w:eastAsia="cs-CZ"/>
        </w:rPr>
      </w:pPr>
      <w:r w:rsidRPr="00745E0F">
        <w:rPr>
          <w:rFonts w:eastAsia="Times New Roman" w:cs="Arial"/>
          <w:color w:val="000000"/>
          <w:sz w:val="18"/>
          <w:szCs w:val="18"/>
          <w:lang w:eastAsia="cs-CZ"/>
        </w:rPr>
        <w:t xml:space="preserve">Zdroj: </w:t>
      </w:r>
      <w:proofErr w:type="spellStart"/>
      <w:r w:rsidRPr="00745E0F">
        <w:rPr>
          <w:rFonts w:eastAsia="Times New Roman" w:cs="Arial"/>
          <w:color w:val="000000"/>
          <w:sz w:val="18"/>
          <w:szCs w:val="18"/>
          <w:lang w:eastAsia="cs-CZ"/>
        </w:rPr>
        <w:t>Eurostat</w:t>
      </w:r>
      <w:proofErr w:type="spellEnd"/>
      <w:r w:rsidR="00A10945">
        <w:rPr>
          <w:rFonts w:eastAsia="Times New Roman" w:cs="Arial"/>
          <w:color w:val="000000"/>
          <w:sz w:val="18"/>
          <w:szCs w:val="18"/>
          <w:lang w:eastAsia="cs-CZ"/>
        </w:rPr>
        <w:t xml:space="preserve">, </w:t>
      </w:r>
      <w:r w:rsidR="00A10945" w:rsidRPr="00A10945">
        <w:rPr>
          <w:rFonts w:eastAsia="Times New Roman" w:cs="Arial"/>
          <w:color w:val="000000"/>
          <w:sz w:val="18"/>
          <w:szCs w:val="18"/>
          <w:lang w:val="en-GB" w:eastAsia="cs-CZ"/>
        </w:rPr>
        <w:t>Survey on usage of ICT in households</w:t>
      </w:r>
    </w:p>
    <w:p w14:paraId="3A0FEC3D" w14:textId="15D67911" w:rsidR="00F06010" w:rsidRPr="00745E0F" w:rsidRDefault="00F06010" w:rsidP="00F06010">
      <w:pPr>
        <w:spacing w:line="240" w:lineRule="auto"/>
        <w:rPr>
          <w:rFonts w:eastAsia="Times New Roman" w:cs="Arial"/>
          <w:color w:val="000000"/>
          <w:sz w:val="18"/>
          <w:szCs w:val="18"/>
          <w:lang w:eastAsia="cs-CZ"/>
        </w:rPr>
      </w:pPr>
    </w:p>
    <w:p w14:paraId="7D04FF35" w14:textId="6F7FB258" w:rsidR="001318CA" w:rsidRDefault="00F01CE1" w:rsidP="001318CA">
      <w:r>
        <w:t xml:space="preserve">Velmocí v programování </w:t>
      </w:r>
      <w:r w:rsidR="00C13472">
        <w:t>na území Evropské Unie bylo v roce 2019 Dánsko s</w:t>
      </w:r>
      <w:r w:rsidR="00620C71">
        <w:t>e</w:t>
      </w:r>
      <w:r w:rsidR="00C13472">
        <w:t xml:space="preserve"> 14% </w:t>
      </w:r>
      <w:r w:rsidR="00620C71">
        <w:t xml:space="preserve">zastoupením </w:t>
      </w:r>
      <w:r>
        <w:t xml:space="preserve">této dovednosti </w:t>
      </w:r>
      <w:r w:rsidR="00C13472">
        <w:t xml:space="preserve">mezi osobami </w:t>
      </w:r>
      <w:r w:rsidR="005A5105">
        <w:t xml:space="preserve">ve věku </w:t>
      </w:r>
      <w:r w:rsidR="00C13472">
        <w:t>16–74 let.</w:t>
      </w:r>
      <w:r w:rsidR="00E26D80">
        <w:t xml:space="preserve"> </w:t>
      </w:r>
      <w:r w:rsidR="006D04A7">
        <w:t>Také ve Švédsku programovala více než desetina (</w:t>
      </w:r>
      <w:r w:rsidR="00E26D80">
        <w:t>12 %</w:t>
      </w:r>
      <w:r w:rsidR="006D04A7">
        <w:t xml:space="preserve">) populace ve věku 16–74 let. </w:t>
      </w:r>
      <w:r w:rsidR="00E26D80">
        <w:t xml:space="preserve">Hodnota za Českou republiku byla </w:t>
      </w:r>
      <w:r w:rsidR="0036366B">
        <w:t xml:space="preserve">oproti Švédsku </w:t>
      </w:r>
      <w:r w:rsidR="00E26D80">
        <w:t>poloviční, na úrovni unijního průměru.</w:t>
      </w:r>
      <w:r w:rsidR="005A5105">
        <w:t xml:space="preserve"> Pokud se zaměříme pouze na studenty, do čela se dostává Chorvatsko, kde programovala více než třetina z nich. V</w:t>
      </w:r>
      <w:r w:rsidR="0036366B">
        <w:t> Rakousku a Portugalsku programovali 3</w:t>
      </w:r>
      <w:r w:rsidR="006D04A7">
        <w:t> </w:t>
      </w:r>
      <w:r w:rsidR="0036366B">
        <w:t xml:space="preserve">z 10 studentů. Mezi českými studenty se našlo 16 % </w:t>
      </w:r>
      <w:r w:rsidR="00315F3C">
        <w:t>programujících</w:t>
      </w:r>
      <w:r w:rsidR="0036366B">
        <w:t xml:space="preserve">, o něco méně než byl evropský průměr. Ten činil 18 %. </w:t>
      </w:r>
    </w:p>
    <w:p w14:paraId="11D34865" w14:textId="77777777" w:rsidR="001318CA" w:rsidRDefault="001318CA" w:rsidP="001318CA">
      <w:pPr>
        <w:rPr>
          <w:b/>
        </w:rPr>
      </w:pPr>
    </w:p>
    <w:p w14:paraId="55911E31" w14:textId="526CF90D" w:rsidR="00D806D6" w:rsidRPr="00C13472" w:rsidRDefault="00D806D6" w:rsidP="00C13472">
      <w:pPr>
        <w:rPr>
          <w:b/>
        </w:rPr>
      </w:pPr>
      <w:r w:rsidRPr="00D806D6">
        <w:rPr>
          <w:b/>
        </w:rPr>
        <w:t xml:space="preserve">Graf </w:t>
      </w:r>
      <w:r w:rsidR="00A10945">
        <w:rPr>
          <w:b/>
        </w:rPr>
        <w:t>5</w:t>
      </w:r>
      <w:r w:rsidRPr="00D806D6">
        <w:rPr>
          <w:b/>
        </w:rPr>
        <w:t xml:space="preserve">: </w:t>
      </w:r>
      <w:r w:rsidR="00A449C3" w:rsidRPr="00A449C3">
        <w:rPr>
          <w:b/>
        </w:rPr>
        <w:t>Studenti a celková populace ve věku 16–74 let v zemích EU, kteří v posledních 12</w:t>
      </w:r>
      <w:r w:rsidR="005A5105">
        <w:rPr>
          <w:b/>
        </w:rPr>
        <w:t> </w:t>
      </w:r>
      <w:r w:rsidR="00A449C3" w:rsidRPr="00A449C3">
        <w:rPr>
          <w:b/>
        </w:rPr>
        <w:t>měsících programovali, 2019</w:t>
      </w:r>
    </w:p>
    <w:p w14:paraId="684F6182" w14:textId="7A8EF379" w:rsidR="00D806D6" w:rsidRDefault="00A24A6D" w:rsidP="00E42E00">
      <w:r>
        <w:rPr>
          <w:noProof/>
          <w:lang w:eastAsia="cs-CZ"/>
        </w:rPr>
        <w:drawing>
          <wp:inline distT="0" distB="0" distL="0" distR="0" wp14:anchorId="591F6556" wp14:editId="45DDC05A">
            <wp:extent cx="5400040" cy="2339975"/>
            <wp:effectExtent l="0" t="0" r="10160" b="3175"/>
            <wp:docPr id="25" name="Graf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CE48B57" w14:textId="77777777" w:rsidR="00A10945" w:rsidRPr="00A10945" w:rsidRDefault="00C83947" w:rsidP="00A10945">
      <w:pPr>
        <w:spacing w:line="240" w:lineRule="auto"/>
        <w:rPr>
          <w:rFonts w:eastAsia="Times New Roman" w:cs="Arial"/>
          <w:color w:val="000000"/>
          <w:sz w:val="18"/>
          <w:szCs w:val="18"/>
          <w:lang w:val="en-GB" w:eastAsia="cs-CZ"/>
        </w:rPr>
      </w:pPr>
      <w:r>
        <w:rPr>
          <w:rFonts w:eastAsia="Times New Roman" w:cs="Arial"/>
          <w:color w:val="000000"/>
          <w:sz w:val="18"/>
          <w:szCs w:val="18"/>
          <w:lang w:eastAsia="cs-CZ"/>
        </w:rPr>
        <w:t xml:space="preserve">Zdroj: </w:t>
      </w:r>
      <w:proofErr w:type="spellStart"/>
      <w:r>
        <w:rPr>
          <w:rFonts w:eastAsia="Times New Roman" w:cs="Arial"/>
          <w:color w:val="000000"/>
          <w:sz w:val="18"/>
          <w:szCs w:val="18"/>
          <w:lang w:eastAsia="cs-CZ"/>
        </w:rPr>
        <w:t>Eurostat</w:t>
      </w:r>
      <w:proofErr w:type="spellEnd"/>
      <w:r w:rsidR="00A10945">
        <w:rPr>
          <w:rFonts w:eastAsia="Times New Roman" w:cs="Arial"/>
          <w:color w:val="000000"/>
          <w:sz w:val="18"/>
          <w:szCs w:val="18"/>
          <w:lang w:eastAsia="cs-CZ"/>
        </w:rPr>
        <w:t xml:space="preserve">, </w:t>
      </w:r>
      <w:r w:rsidR="00A10945" w:rsidRPr="00A10945">
        <w:rPr>
          <w:rFonts w:eastAsia="Times New Roman" w:cs="Arial"/>
          <w:color w:val="000000"/>
          <w:sz w:val="18"/>
          <w:szCs w:val="18"/>
          <w:lang w:val="en-GB" w:eastAsia="cs-CZ"/>
        </w:rPr>
        <w:t>Survey on usage of ICT in households</w:t>
      </w:r>
    </w:p>
    <w:p w14:paraId="3DB60B8E" w14:textId="77777777" w:rsidR="006D04A7" w:rsidRDefault="006D04A7" w:rsidP="00E42E00"/>
    <w:p w14:paraId="0D354F89" w14:textId="360B8457" w:rsidR="00FE521D" w:rsidRDefault="00FE521D" w:rsidP="00E42E00">
      <w:r>
        <w:t>Nejaktivnější v zál</w:t>
      </w:r>
      <w:r w:rsidR="00A10945">
        <w:t>ohování dat byli opět Nizozemci.</w:t>
      </w:r>
      <w:r>
        <w:t xml:space="preserve"> </w:t>
      </w:r>
      <w:r w:rsidR="00A10945">
        <w:t>P</w:t>
      </w:r>
      <w:r>
        <w:t xml:space="preserve">odíl osob, které </w:t>
      </w:r>
      <w:r w:rsidR="001D05FA">
        <w:t>ukládaly soubory na více míst, v roce 2019 činil 72 %. Vedle Dánska a Švédska stojí v popředí této statistiky také další země severozápadní Evropy. Češi se s 49% podílem nachází zhruba na úrovni průměru Evropské Unie. M</w:t>
      </w:r>
      <w:r w:rsidR="00836504">
        <w:t xml:space="preserve">éně uvědomělí v zabezpečení proti ztrátě dat byli občané jižních zemí </w:t>
      </w:r>
      <w:r w:rsidR="00836504">
        <w:br/>
        <w:t xml:space="preserve">– v Rumunsku, Bulharsku, Chorvatsku – kde zálohovala </w:t>
      </w:r>
      <w:r w:rsidR="00A10945">
        <w:t>méně než</w:t>
      </w:r>
      <w:r w:rsidR="00836504">
        <w:t xml:space="preserve"> třetina osob.</w:t>
      </w:r>
      <w:r w:rsidR="001D05FA">
        <w:t xml:space="preserve"> </w:t>
      </w:r>
    </w:p>
    <w:p w14:paraId="09E5E1BE" w14:textId="77777777" w:rsidR="001D05FA" w:rsidRDefault="001D05FA" w:rsidP="00E42E00"/>
    <w:p w14:paraId="046C7DD3" w14:textId="77777777" w:rsidR="0004359A" w:rsidRDefault="0004359A">
      <w:pPr>
        <w:spacing w:line="240" w:lineRule="auto"/>
        <w:jc w:val="left"/>
        <w:rPr>
          <w:b/>
        </w:rPr>
      </w:pPr>
      <w:r>
        <w:rPr>
          <w:b/>
        </w:rPr>
        <w:br w:type="page"/>
      </w:r>
    </w:p>
    <w:p w14:paraId="2A4276A8" w14:textId="26C2CFFF" w:rsidR="00766AB8" w:rsidRDefault="00FE521D" w:rsidP="00766AB8">
      <w:pPr>
        <w:rPr>
          <w:b/>
        </w:rPr>
      </w:pPr>
      <w:r w:rsidRPr="00FE521D">
        <w:rPr>
          <w:b/>
        </w:rPr>
        <w:lastRenderedPageBreak/>
        <w:t xml:space="preserve">Graf </w:t>
      </w:r>
      <w:r w:rsidR="00A10945">
        <w:rPr>
          <w:b/>
        </w:rPr>
        <w:t>6</w:t>
      </w:r>
      <w:r w:rsidRPr="00FE521D">
        <w:rPr>
          <w:b/>
        </w:rPr>
        <w:t>: Osoby ve věku 16–74 let v zemích EU, které v posledních 12 měsících zálohovaly data</w:t>
      </w:r>
      <w:r w:rsidR="00766AB8">
        <w:rPr>
          <w:b/>
        </w:rPr>
        <w:t>, 2019</w:t>
      </w:r>
    </w:p>
    <w:p w14:paraId="44BC442F" w14:textId="6A7BCBB3" w:rsidR="00D27D69" w:rsidRDefault="00766AB8" w:rsidP="00766AB8">
      <w:pPr>
        <w:jc w:val="left"/>
      </w:pPr>
      <w:r>
        <w:rPr>
          <w:noProof/>
          <w:lang w:eastAsia="cs-CZ"/>
        </w:rPr>
        <w:drawing>
          <wp:inline distT="0" distB="0" distL="0" distR="0" wp14:anchorId="34999512" wp14:editId="1C12C13E">
            <wp:extent cx="5400000" cy="2340000"/>
            <wp:effectExtent l="0" t="0" r="10795" b="3175"/>
            <wp:docPr id="26" name="Graf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B56BED8" w14:textId="77777777" w:rsidR="00A10945" w:rsidRPr="00A10945" w:rsidRDefault="00FE521D" w:rsidP="00A10945">
      <w:pPr>
        <w:spacing w:line="240" w:lineRule="auto"/>
        <w:rPr>
          <w:rFonts w:eastAsia="Times New Roman" w:cs="Arial"/>
          <w:color w:val="000000"/>
          <w:sz w:val="18"/>
          <w:szCs w:val="18"/>
          <w:lang w:val="en-GB" w:eastAsia="cs-CZ"/>
        </w:rPr>
      </w:pPr>
      <w:r w:rsidRPr="00745E0F">
        <w:rPr>
          <w:rFonts w:eastAsia="Times New Roman" w:cs="Arial"/>
          <w:color w:val="000000"/>
          <w:sz w:val="18"/>
          <w:szCs w:val="18"/>
          <w:lang w:eastAsia="cs-CZ"/>
        </w:rPr>
        <w:t xml:space="preserve">Zdroj: </w:t>
      </w:r>
      <w:proofErr w:type="spellStart"/>
      <w:r w:rsidRPr="00745E0F">
        <w:rPr>
          <w:rFonts w:eastAsia="Times New Roman" w:cs="Arial"/>
          <w:color w:val="000000"/>
          <w:sz w:val="18"/>
          <w:szCs w:val="18"/>
          <w:lang w:eastAsia="cs-CZ"/>
        </w:rPr>
        <w:t>Eurostat</w:t>
      </w:r>
      <w:proofErr w:type="spellEnd"/>
      <w:r w:rsidR="00A10945">
        <w:rPr>
          <w:rFonts w:eastAsia="Times New Roman" w:cs="Arial"/>
          <w:color w:val="000000"/>
          <w:sz w:val="18"/>
          <w:szCs w:val="18"/>
          <w:lang w:eastAsia="cs-CZ"/>
        </w:rPr>
        <w:t xml:space="preserve">, </w:t>
      </w:r>
      <w:r w:rsidR="00A10945" w:rsidRPr="00A10945">
        <w:rPr>
          <w:rFonts w:eastAsia="Times New Roman" w:cs="Arial"/>
          <w:color w:val="000000"/>
          <w:sz w:val="18"/>
          <w:szCs w:val="18"/>
          <w:lang w:val="en-GB" w:eastAsia="cs-CZ"/>
        </w:rPr>
        <w:t>Survey on usage of ICT in households</w:t>
      </w:r>
    </w:p>
    <w:p w14:paraId="05909492" w14:textId="7BD8804F" w:rsidR="005F699D" w:rsidRDefault="005F699D" w:rsidP="00E42E00"/>
    <w:p w14:paraId="3BBF515C" w14:textId="2267BDAF" w:rsidR="00766AB8" w:rsidRPr="00766AB8" w:rsidRDefault="00766AB8" w:rsidP="00E42E00">
      <w:pPr>
        <w:rPr>
          <w:rFonts w:cs="Arial"/>
          <w:szCs w:val="25"/>
        </w:rPr>
      </w:pPr>
      <w:r w:rsidRPr="00766AB8">
        <w:rPr>
          <w:rFonts w:cs="Arial"/>
          <w:szCs w:val="25"/>
        </w:rPr>
        <w:t>Více informací nejen o digitálních dovednost</w:t>
      </w:r>
      <w:r>
        <w:rPr>
          <w:rFonts w:cs="Arial"/>
          <w:szCs w:val="25"/>
        </w:rPr>
        <w:t>ech</w:t>
      </w:r>
      <w:r w:rsidRPr="00766AB8">
        <w:rPr>
          <w:rFonts w:cs="Arial"/>
          <w:szCs w:val="25"/>
        </w:rPr>
        <w:t>, ale také o používání internetu a dalších informačních technologií lze najít na</w:t>
      </w:r>
      <w:r>
        <w:rPr>
          <w:rFonts w:cs="Arial"/>
          <w:szCs w:val="25"/>
        </w:rPr>
        <w:t xml:space="preserve">: </w:t>
      </w:r>
      <w:hyperlink r:id="rId14" w:history="1">
        <w:r w:rsidRPr="00766AB8">
          <w:rPr>
            <w:rStyle w:val="Hypertextovodkaz"/>
            <w:rFonts w:cs="Arial"/>
            <w:szCs w:val="25"/>
          </w:rPr>
          <w:t>https://www.czso.cz/csu/czso/domacnosti_a_jednotlivci</w:t>
        </w:r>
      </w:hyperlink>
      <w:r>
        <w:rPr>
          <w:rFonts w:cs="Arial"/>
          <w:szCs w:val="25"/>
        </w:rPr>
        <w:t>.</w:t>
      </w:r>
      <w:r w:rsidRPr="00766AB8">
        <w:rPr>
          <w:rFonts w:cs="Arial"/>
          <w:szCs w:val="25"/>
        </w:rPr>
        <w:t xml:space="preserve"> Jedná se o výstupy z Výběrového šetření o využívání informačních a komunikačních technologií v domácnostech a mezi jednotlivci.</w:t>
      </w:r>
      <w:r w:rsidR="00166220">
        <w:rPr>
          <w:rFonts w:cs="Arial"/>
          <w:szCs w:val="25"/>
        </w:rPr>
        <w:t xml:space="preserve"> Kromě výsledků šetření je zde k dispozici také metodika.</w:t>
      </w:r>
    </w:p>
    <w:p w14:paraId="3C337BEB" w14:textId="77777777" w:rsidR="00766AB8" w:rsidRDefault="00766AB8" w:rsidP="00E42E00"/>
    <w:p w14:paraId="21E360F2" w14:textId="77777777" w:rsidR="007B1333" w:rsidRDefault="00235012" w:rsidP="00E42E00">
      <w:pPr>
        <w:rPr>
          <w:b/>
        </w:rPr>
      </w:pPr>
      <w:r>
        <w:rPr>
          <w:b/>
        </w:rPr>
        <w:t>Autor</w:t>
      </w:r>
    </w:p>
    <w:p w14:paraId="2B0ADC69" w14:textId="77777777" w:rsidR="00235012" w:rsidRDefault="00235012" w:rsidP="00E42E00">
      <w:r>
        <w:t xml:space="preserve">Alena </w:t>
      </w:r>
      <w:proofErr w:type="spellStart"/>
      <w:r>
        <w:t>Hykyšová</w:t>
      </w:r>
      <w:proofErr w:type="spellEnd"/>
    </w:p>
    <w:p w14:paraId="5AB68055" w14:textId="77777777" w:rsidR="007B1333" w:rsidRDefault="00235012" w:rsidP="00E42E00">
      <w:r>
        <w:t>Odbor statistik rozvoje společnosti</w:t>
      </w:r>
    </w:p>
    <w:p w14:paraId="26663511" w14:textId="77777777" w:rsidR="004920AD" w:rsidRDefault="006D4862" w:rsidP="00E42E00">
      <w:hyperlink r:id="rId15" w:history="1">
        <w:r w:rsidR="00235012" w:rsidRPr="00A93532">
          <w:rPr>
            <w:rStyle w:val="Hypertextovodkaz"/>
          </w:rPr>
          <w:t>Alena.hykysova@czso.cz</w:t>
        </w:r>
      </w:hyperlink>
    </w:p>
    <w:p w14:paraId="3A0E8E24" w14:textId="77777777" w:rsidR="00235012" w:rsidRPr="004920AD" w:rsidRDefault="00235012" w:rsidP="00E42E00"/>
    <w:sectPr w:rsidR="00235012" w:rsidRPr="004920AD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03F5F" w14:textId="77777777" w:rsidR="006D4862" w:rsidRDefault="006D4862" w:rsidP="00BA6370">
      <w:r>
        <w:separator/>
      </w:r>
    </w:p>
  </w:endnote>
  <w:endnote w:type="continuationSeparator" w:id="0">
    <w:p w14:paraId="2696CCCB" w14:textId="77777777" w:rsidR="006D4862" w:rsidRDefault="006D486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422C5" w14:textId="77777777" w:rsidR="003D0499" w:rsidRDefault="00BD208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BF06B9" wp14:editId="4C71D3B4">
              <wp:simplePos x="0" y="0"/>
              <wp:positionH relativeFrom="page">
                <wp:posOffset>1259840</wp:posOffset>
              </wp:positionH>
              <wp:positionV relativeFrom="page">
                <wp:posOffset>9829165</wp:posOffset>
              </wp:positionV>
              <wp:extent cx="5416550" cy="4953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3388E1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E16E93F" w14:textId="2357EA27" w:rsidR="003D0499" w:rsidRPr="00A81EB3" w:rsidRDefault="003D0499" w:rsidP="00175ABA">
                          <w:pPr>
                            <w:tabs>
                              <w:tab w:val="right" w:pos="8505"/>
                            </w:tabs>
                            <w:spacing w:before="60"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EB4B5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EB4B5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B7DDB">
                            <w:rPr>
                              <w:rFonts w:cs="Arial"/>
                              <w:noProof/>
                              <w:szCs w:val="15"/>
                            </w:rPr>
                            <w:t>6</w:t>
                          </w:r>
                          <w:r w:rsidR="00EB4B5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BF06B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5pt;width:426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" filled="f" stroked="f">
              <v:textbox inset="0,0,0,0">
                <w:txbxContent>
                  <w:p w14:paraId="223388E1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E16E93F" w14:textId="2357EA27" w:rsidR="003D0499" w:rsidRPr="00A81EB3" w:rsidRDefault="003D0499" w:rsidP="00175ABA">
                    <w:pPr>
                      <w:tabs>
                        <w:tab w:val="right" w:pos="8505"/>
                      </w:tabs>
                      <w:spacing w:before="60"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EB4B5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EB4B5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B7DDB">
                      <w:rPr>
                        <w:rFonts w:cs="Arial"/>
                        <w:noProof/>
                        <w:szCs w:val="15"/>
                      </w:rPr>
                      <w:t>6</w:t>
                    </w:r>
                    <w:r w:rsidR="00EB4B5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5D37AD4" wp14:editId="5D1BFA12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94CD4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6EBAE" w14:textId="77777777" w:rsidR="006D4862" w:rsidRDefault="006D4862" w:rsidP="00BA6370">
      <w:r>
        <w:separator/>
      </w:r>
    </w:p>
  </w:footnote>
  <w:footnote w:type="continuationSeparator" w:id="0">
    <w:p w14:paraId="1F6C4986" w14:textId="77777777" w:rsidR="006D4862" w:rsidRDefault="006D4862" w:rsidP="00BA6370">
      <w:r>
        <w:continuationSeparator/>
      </w:r>
    </w:p>
  </w:footnote>
  <w:footnote w:id="1">
    <w:p w14:paraId="15556354" w14:textId="77777777" w:rsidR="00DD43E4" w:rsidRPr="00666268" w:rsidRDefault="00DD43E4" w:rsidP="00DD43E4">
      <w:pPr>
        <w:pStyle w:val="Textpoznpodarou"/>
        <w:rPr>
          <w:sz w:val="16"/>
        </w:rPr>
      </w:pPr>
      <w:r w:rsidRPr="00666268">
        <w:rPr>
          <w:rStyle w:val="Znakapoznpodarou"/>
          <w:sz w:val="16"/>
        </w:rPr>
        <w:footnoteRef/>
      </w:r>
      <w:r w:rsidRPr="00666268">
        <w:rPr>
          <w:sz w:val="16"/>
        </w:rPr>
        <w:t xml:space="preserve"> </w:t>
      </w:r>
      <w:r>
        <w:rPr>
          <w:sz w:val="16"/>
        </w:rPr>
        <w:t>Počítač zde zahrnuje</w:t>
      </w:r>
      <w:r w:rsidRPr="00666268">
        <w:rPr>
          <w:sz w:val="16"/>
        </w:rPr>
        <w:t xml:space="preserve"> </w:t>
      </w:r>
      <w:r>
        <w:rPr>
          <w:sz w:val="16"/>
        </w:rPr>
        <w:t xml:space="preserve">různé typy: </w:t>
      </w:r>
      <w:r w:rsidRPr="00666268">
        <w:rPr>
          <w:sz w:val="16"/>
        </w:rPr>
        <w:t>stolní počítač, notebook či tablet.</w:t>
      </w:r>
    </w:p>
  </w:footnote>
  <w:footnote w:id="2">
    <w:p w14:paraId="533393B4" w14:textId="15519B85" w:rsidR="00A10945" w:rsidRDefault="00A10945">
      <w:pPr>
        <w:pStyle w:val="Textpoznpodarou"/>
      </w:pPr>
      <w:r w:rsidRPr="00A10945">
        <w:rPr>
          <w:rStyle w:val="Znakapoznpodarou"/>
          <w:sz w:val="16"/>
        </w:rPr>
        <w:footnoteRef/>
      </w:r>
      <w:r w:rsidRPr="00A10945">
        <w:rPr>
          <w:sz w:val="16"/>
        </w:rPr>
        <w:t xml:space="preserve"> Osoby, které použily internet v posledních 3 měsících.</w:t>
      </w:r>
    </w:p>
  </w:footnote>
  <w:footnote w:id="3">
    <w:p w14:paraId="75262ACF" w14:textId="77777777" w:rsidR="00EC6DF5" w:rsidRPr="001963F9" w:rsidRDefault="00EC6DF5" w:rsidP="00EC6DF5">
      <w:pPr>
        <w:pStyle w:val="Textpoznpodarou"/>
        <w:spacing w:before="60"/>
        <w:rPr>
          <w:sz w:val="16"/>
        </w:rPr>
      </w:pPr>
      <w:r w:rsidRPr="001963F9">
        <w:rPr>
          <w:rStyle w:val="Znakapoznpodarou"/>
          <w:sz w:val="16"/>
        </w:rPr>
        <w:footnoteRef/>
      </w:r>
      <w:r>
        <w:t xml:space="preserve"> </w:t>
      </w:r>
      <w:r w:rsidRPr="001963F9">
        <w:rPr>
          <w:sz w:val="16"/>
        </w:rPr>
        <w:t>V</w:t>
      </w:r>
      <w:r w:rsidRPr="001963F9">
        <w:rPr>
          <w:sz w:val="12"/>
        </w:rPr>
        <w:t xml:space="preserve"> </w:t>
      </w:r>
      <w:r w:rsidRPr="001963F9">
        <w:rPr>
          <w:sz w:val="16"/>
        </w:rPr>
        <w:t>dnešní době m</w:t>
      </w:r>
      <w:r>
        <w:rPr>
          <w:sz w:val="16"/>
        </w:rPr>
        <w:t>ají</w:t>
      </w:r>
      <w:r w:rsidRPr="001963F9">
        <w:rPr>
          <w:sz w:val="16"/>
        </w:rPr>
        <w:t xml:space="preserve"> značnou konkurenci v podobě mobilních aplikací</w:t>
      </w:r>
      <w:r>
        <w:rPr>
          <w:sz w:val="16"/>
        </w:rPr>
        <w:t>, které se rovněž do ukazatele počítají.</w:t>
      </w:r>
    </w:p>
  </w:footnote>
  <w:footnote w:id="4">
    <w:p w14:paraId="3AD5AB53" w14:textId="77777777" w:rsidR="0004359A" w:rsidRDefault="0004359A" w:rsidP="0004359A">
      <w:pPr>
        <w:pStyle w:val="Textpoznpodarou"/>
        <w:spacing w:before="60"/>
      </w:pPr>
      <w:r w:rsidRPr="006E07A0">
        <w:rPr>
          <w:rStyle w:val="Znakapoznpodarou"/>
          <w:sz w:val="16"/>
        </w:rPr>
        <w:footnoteRef/>
      </w:r>
      <w:r w:rsidRPr="006E07A0">
        <w:rPr>
          <w:sz w:val="16"/>
        </w:rPr>
        <w:t xml:space="preserve"> Mezinárodní data jsou publikována ve věkové kategorii 16–74 let. Národní zahrnují všechny osoby starší 16 let. Proto se hodnota </w:t>
      </w:r>
      <w:r>
        <w:rPr>
          <w:sz w:val="16"/>
        </w:rPr>
        <w:t xml:space="preserve">za ČR </w:t>
      </w:r>
      <w:r w:rsidRPr="006E07A0">
        <w:rPr>
          <w:sz w:val="16"/>
        </w:rPr>
        <w:t>mírně liší od podílu uvedeného na předchozí straně. Platí i pro ostatní ukazatele.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691D7" w14:textId="77777777" w:rsidR="003D0499" w:rsidRDefault="00BD208A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722F139" wp14:editId="128CFC7D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8BECE6" id="Group 6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CPzHUAAFQ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ZX958XD9HioKo15MIpqP&#10;H96+BMSfTx/+9cOPp8gf/vjD8fW/PeLnF89/l7+/jcAXP3385+MN0F3//HQMovn1zem9oADTF78G&#10;DfwlaeD216eL1/iP09AfNuP28uI1fuvwpz3+EnT0+h0UKf9uu+suL/DrfgwkXr98/e5P+q8Ph2mn&#10;/3Qad/LvXly/jMMGUpU04Quz7XEW6OPnCfRf311/uA16ehRxqUA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MxYwgAAANsAAAAPAAAAZHJzL2Rvd25yZXYueG1sRE9Na8JA&#10;EL0L/Q/LFHqrG0up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BGHMxY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12"/>
    <w:rsid w:val="00004D6F"/>
    <w:rsid w:val="00020335"/>
    <w:rsid w:val="0004359A"/>
    <w:rsid w:val="00043BF4"/>
    <w:rsid w:val="000518F0"/>
    <w:rsid w:val="000843A5"/>
    <w:rsid w:val="000B6F63"/>
    <w:rsid w:val="000B7DDB"/>
    <w:rsid w:val="000C65B9"/>
    <w:rsid w:val="000D2D24"/>
    <w:rsid w:val="000E47AA"/>
    <w:rsid w:val="000F5B28"/>
    <w:rsid w:val="00127216"/>
    <w:rsid w:val="001318CA"/>
    <w:rsid w:val="001404AB"/>
    <w:rsid w:val="00151F09"/>
    <w:rsid w:val="00156CEB"/>
    <w:rsid w:val="001658A9"/>
    <w:rsid w:val="00166220"/>
    <w:rsid w:val="0017231D"/>
    <w:rsid w:val="00175ABA"/>
    <w:rsid w:val="001810DC"/>
    <w:rsid w:val="001963F9"/>
    <w:rsid w:val="001A1842"/>
    <w:rsid w:val="001A59BF"/>
    <w:rsid w:val="001B06F7"/>
    <w:rsid w:val="001B607F"/>
    <w:rsid w:val="001D05FA"/>
    <w:rsid w:val="001D2496"/>
    <w:rsid w:val="001D369A"/>
    <w:rsid w:val="001F3521"/>
    <w:rsid w:val="001F6C45"/>
    <w:rsid w:val="002070FB"/>
    <w:rsid w:val="00213729"/>
    <w:rsid w:val="00215E00"/>
    <w:rsid w:val="00235012"/>
    <w:rsid w:val="00237368"/>
    <w:rsid w:val="002406FA"/>
    <w:rsid w:val="00275E85"/>
    <w:rsid w:val="002810A5"/>
    <w:rsid w:val="002840DD"/>
    <w:rsid w:val="002A0697"/>
    <w:rsid w:val="002B2E47"/>
    <w:rsid w:val="002D6A6C"/>
    <w:rsid w:val="002E0DFA"/>
    <w:rsid w:val="00301BE3"/>
    <w:rsid w:val="00306306"/>
    <w:rsid w:val="003148F0"/>
    <w:rsid w:val="00315F3C"/>
    <w:rsid w:val="00327000"/>
    <w:rsid w:val="003301A3"/>
    <w:rsid w:val="00334249"/>
    <w:rsid w:val="0036366B"/>
    <w:rsid w:val="0036777B"/>
    <w:rsid w:val="0038282A"/>
    <w:rsid w:val="00397059"/>
    <w:rsid w:val="00397580"/>
    <w:rsid w:val="003A1794"/>
    <w:rsid w:val="003A45C8"/>
    <w:rsid w:val="003C2DCF"/>
    <w:rsid w:val="003C7FE7"/>
    <w:rsid w:val="003D0499"/>
    <w:rsid w:val="003F19DA"/>
    <w:rsid w:val="003F526A"/>
    <w:rsid w:val="00405244"/>
    <w:rsid w:val="004220DD"/>
    <w:rsid w:val="004436EE"/>
    <w:rsid w:val="0045547F"/>
    <w:rsid w:val="00461AA0"/>
    <w:rsid w:val="004920AD"/>
    <w:rsid w:val="004D05B3"/>
    <w:rsid w:val="004D6535"/>
    <w:rsid w:val="004E479E"/>
    <w:rsid w:val="004F78E6"/>
    <w:rsid w:val="00512D99"/>
    <w:rsid w:val="00531DBB"/>
    <w:rsid w:val="005320B3"/>
    <w:rsid w:val="00544B6D"/>
    <w:rsid w:val="00553DAA"/>
    <w:rsid w:val="005646B3"/>
    <w:rsid w:val="00576430"/>
    <w:rsid w:val="0058088C"/>
    <w:rsid w:val="0059521E"/>
    <w:rsid w:val="005A5105"/>
    <w:rsid w:val="005E51A6"/>
    <w:rsid w:val="005F699D"/>
    <w:rsid w:val="005F79FB"/>
    <w:rsid w:val="00604406"/>
    <w:rsid w:val="00605F4A"/>
    <w:rsid w:val="00607822"/>
    <w:rsid w:val="006103AA"/>
    <w:rsid w:val="00613656"/>
    <w:rsid w:val="00613BBF"/>
    <w:rsid w:val="00620C71"/>
    <w:rsid w:val="00622B80"/>
    <w:rsid w:val="0064139A"/>
    <w:rsid w:val="006517C4"/>
    <w:rsid w:val="006B79C8"/>
    <w:rsid w:val="006C09DD"/>
    <w:rsid w:val="006D04A7"/>
    <w:rsid w:val="006D4862"/>
    <w:rsid w:val="006E024F"/>
    <w:rsid w:val="006E07A0"/>
    <w:rsid w:val="006E4E81"/>
    <w:rsid w:val="007007BC"/>
    <w:rsid w:val="00703092"/>
    <w:rsid w:val="00707E0E"/>
    <w:rsid w:val="00707F7D"/>
    <w:rsid w:val="00717EC5"/>
    <w:rsid w:val="00737B80"/>
    <w:rsid w:val="00745E0F"/>
    <w:rsid w:val="00766AB8"/>
    <w:rsid w:val="007739B0"/>
    <w:rsid w:val="00776467"/>
    <w:rsid w:val="007848F8"/>
    <w:rsid w:val="00785809"/>
    <w:rsid w:val="0079354A"/>
    <w:rsid w:val="007A416D"/>
    <w:rsid w:val="007A57F2"/>
    <w:rsid w:val="007B1333"/>
    <w:rsid w:val="007E23A3"/>
    <w:rsid w:val="007F3899"/>
    <w:rsid w:val="007F4AEB"/>
    <w:rsid w:val="007F75B2"/>
    <w:rsid w:val="008043C4"/>
    <w:rsid w:val="00815588"/>
    <w:rsid w:val="00830309"/>
    <w:rsid w:val="00831B1B"/>
    <w:rsid w:val="008337A6"/>
    <w:rsid w:val="00836504"/>
    <w:rsid w:val="00861D0E"/>
    <w:rsid w:val="00867569"/>
    <w:rsid w:val="00894F5B"/>
    <w:rsid w:val="008A126F"/>
    <w:rsid w:val="008A18A9"/>
    <w:rsid w:val="008A750A"/>
    <w:rsid w:val="008B431B"/>
    <w:rsid w:val="008B7D3C"/>
    <w:rsid w:val="008C384C"/>
    <w:rsid w:val="008D03D4"/>
    <w:rsid w:val="008D0F11"/>
    <w:rsid w:val="008F1B44"/>
    <w:rsid w:val="008F73B4"/>
    <w:rsid w:val="0090741A"/>
    <w:rsid w:val="00931A52"/>
    <w:rsid w:val="00950CFE"/>
    <w:rsid w:val="00953CFF"/>
    <w:rsid w:val="00955711"/>
    <w:rsid w:val="00992713"/>
    <w:rsid w:val="009A2A4E"/>
    <w:rsid w:val="009B55B1"/>
    <w:rsid w:val="00A10945"/>
    <w:rsid w:val="00A24A6D"/>
    <w:rsid w:val="00A426AA"/>
    <w:rsid w:val="00A4343D"/>
    <w:rsid w:val="00A449C3"/>
    <w:rsid w:val="00A502F1"/>
    <w:rsid w:val="00A56C80"/>
    <w:rsid w:val="00A70A83"/>
    <w:rsid w:val="00A80ED1"/>
    <w:rsid w:val="00A81EB3"/>
    <w:rsid w:val="00B00C1D"/>
    <w:rsid w:val="00B0113C"/>
    <w:rsid w:val="00B12B34"/>
    <w:rsid w:val="00B26391"/>
    <w:rsid w:val="00B33194"/>
    <w:rsid w:val="00B4375D"/>
    <w:rsid w:val="00B53962"/>
    <w:rsid w:val="00B80EB7"/>
    <w:rsid w:val="00B854F9"/>
    <w:rsid w:val="00BA439F"/>
    <w:rsid w:val="00BA6370"/>
    <w:rsid w:val="00BC748B"/>
    <w:rsid w:val="00BD208A"/>
    <w:rsid w:val="00BE0A89"/>
    <w:rsid w:val="00BE4E0F"/>
    <w:rsid w:val="00C13472"/>
    <w:rsid w:val="00C269D4"/>
    <w:rsid w:val="00C27F81"/>
    <w:rsid w:val="00C40A81"/>
    <w:rsid w:val="00C4160D"/>
    <w:rsid w:val="00C83947"/>
    <w:rsid w:val="00C8406E"/>
    <w:rsid w:val="00C947FC"/>
    <w:rsid w:val="00CB2709"/>
    <w:rsid w:val="00CB6F89"/>
    <w:rsid w:val="00CE228C"/>
    <w:rsid w:val="00CF545B"/>
    <w:rsid w:val="00D12C48"/>
    <w:rsid w:val="00D27D69"/>
    <w:rsid w:val="00D448C2"/>
    <w:rsid w:val="00D666C3"/>
    <w:rsid w:val="00D705E0"/>
    <w:rsid w:val="00D806D6"/>
    <w:rsid w:val="00DD1EAE"/>
    <w:rsid w:val="00DD43E4"/>
    <w:rsid w:val="00DD4856"/>
    <w:rsid w:val="00DF47FE"/>
    <w:rsid w:val="00E00E5E"/>
    <w:rsid w:val="00E26704"/>
    <w:rsid w:val="00E26D80"/>
    <w:rsid w:val="00E31980"/>
    <w:rsid w:val="00E42E00"/>
    <w:rsid w:val="00E6423C"/>
    <w:rsid w:val="00E735BA"/>
    <w:rsid w:val="00E93830"/>
    <w:rsid w:val="00E93E0E"/>
    <w:rsid w:val="00EA165A"/>
    <w:rsid w:val="00EA7B94"/>
    <w:rsid w:val="00EB1ED3"/>
    <w:rsid w:val="00EB4B5C"/>
    <w:rsid w:val="00EC2D51"/>
    <w:rsid w:val="00EC6DF5"/>
    <w:rsid w:val="00ED7B69"/>
    <w:rsid w:val="00F01CE1"/>
    <w:rsid w:val="00F06010"/>
    <w:rsid w:val="00F13564"/>
    <w:rsid w:val="00F26395"/>
    <w:rsid w:val="00F32DA4"/>
    <w:rsid w:val="00F7010D"/>
    <w:rsid w:val="00F856A2"/>
    <w:rsid w:val="00F87A1A"/>
    <w:rsid w:val="00FB687C"/>
    <w:rsid w:val="00FC3069"/>
    <w:rsid w:val="00FE521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7093616"/>
  <w15:docId w15:val="{98EB75DE-87A4-4109-921E-62E220F7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43E4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43E4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rsid w:val="00DD43E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F35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52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521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5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521"/>
    <w:rPr>
      <w:rFonts w:ascii="Arial" w:hAnsi="Arial"/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963F9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963F9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1963F9"/>
    <w:rPr>
      <w:vertAlign w:val="superscript"/>
    </w:rPr>
  </w:style>
  <w:style w:type="paragraph" w:customStyle="1" w:styleId="Default">
    <w:name w:val="Default"/>
    <w:rsid w:val="00EA16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66A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yperlink" Target="mailto:Alena.hykysova@czso.cz" TargetMode="Externa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s://www.czso.cz/csu/czso/domacnosti_a_jednotlivc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kysova23070\AppData\Local\Temp\Anal&#253;za%20CZ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hykysova23070\Documents\VSIT\anal&#253;zy\2020\Data_anal&#253;za_digit&#225;ln&#237;%20dovednosti_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D:\hykysova23070\Documents\VSIT\anal&#253;zy\2020\Se&#353;it2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hykysova23070\Documents\VSIT\anal&#253;zy\2020\Se&#353;it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hykysova23070\Documents\VSIT\anal&#253;zy\2020\Se&#353;it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hykysova23070\Documents\VSIT\anal&#253;zy\2020\Se&#353;it2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873221216041398E-2"/>
          <c:y val="5.8807805399625768E-2"/>
          <c:w val="0.94825355756791718"/>
          <c:h val="0.4442115144588482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0"/>
              <c:layout>
                <c:manualLayout>
                  <c:x val="0"/>
                  <c:y val="0.1299374969433168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BD2-4BEE-A9C3-459E3B8E6930}"/>
                </c:ext>
              </c:extLst>
            </c:dLbl>
            <c:dLbl>
              <c:idx val="11"/>
              <c:layout>
                <c:manualLayout>
                  <c:x val="0"/>
                  <c:y val="1.4612287337378689E-2"/>
                </c:manualLayout>
              </c:layout>
              <c:numFmt formatCode="0\ %" sourceLinked="0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D2-4BEE-A9C3-459E3B8E6930}"/>
                </c:ext>
              </c:extLst>
            </c:dLbl>
            <c:dLbl>
              <c:idx val="13"/>
              <c:layout>
                <c:manualLayout>
                  <c:x val="2.3521110196401268E-3"/>
                  <c:y val="7.3798112846158379E-3"/>
                </c:manualLayout>
              </c:layout>
              <c:numFmt formatCode="0\ %" sourceLinked="0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BD2-4BEE-A9C3-459E3B8E6930}"/>
                </c:ext>
              </c:extLst>
            </c:dLbl>
            <c:dLbl>
              <c:idx val="21"/>
              <c:layout>
                <c:manualLayout>
                  <c:x val="0"/>
                  <c:y val="8.6965672995766782E-3"/>
                </c:manualLayout>
              </c:layout>
              <c:numFmt formatCode="0\ %" sourceLinked="0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D2-4BEE-A9C3-459E3B8E6930}"/>
                </c:ext>
              </c:extLst>
            </c:dLbl>
            <c:dLbl>
              <c:idx val="22"/>
              <c:numFmt formatCode="0\ %" sourceLinked="0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BD2-4BEE-A9C3-459E3B8E6930}"/>
                </c:ext>
              </c:extLst>
            </c:dLbl>
            <c:numFmt formatCode="0\ %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kancel!$A$4:$B$26</c:f>
              <c:strCache>
                <c:ptCount val="23"/>
                <c:pt idx="0">
                  <c:v>celkem (16+)</c:v>
                </c:pt>
                <c:pt idx="2">
                  <c:v>muži (16+)</c:v>
                </c:pt>
                <c:pt idx="3">
                  <c:v>ženy (16+)</c:v>
                </c:pt>
                <c:pt idx="5">
                  <c:v>16–24 let</c:v>
                </c:pt>
                <c:pt idx="6">
                  <c:v>25–34 let</c:v>
                </c:pt>
                <c:pt idx="7">
                  <c:v>35–44 let</c:v>
                </c:pt>
                <c:pt idx="8">
                  <c:v>45–54 let</c:v>
                </c:pt>
                <c:pt idx="9">
                  <c:v>55–64 let</c:v>
                </c:pt>
                <c:pt idx="10">
                  <c:v>65–74 let</c:v>
                </c:pt>
                <c:pt idx="11">
                  <c:v>75+</c:v>
                </c:pt>
                <c:pt idx="13">
                  <c:v>ZŠ</c:v>
                </c:pt>
                <c:pt idx="14">
                  <c:v>SŠ bez maturity</c:v>
                </c:pt>
                <c:pt idx="15">
                  <c:v>SŠ s maturitou + VOŠ</c:v>
                </c:pt>
                <c:pt idx="16">
                  <c:v>VŠ</c:v>
                </c:pt>
                <c:pt idx="18">
                  <c:v>zaměstnaní</c:v>
                </c:pt>
                <c:pt idx="19">
                  <c:v>ženy v domácnosti*</c:v>
                </c:pt>
                <c:pt idx="20">
                  <c:v>studenti</c:v>
                </c:pt>
                <c:pt idx="21">
                  <c:v>starobní důchodci</c:v>
                </c:pt>
                <c:pt idx="22">
                  <c:v>invalidní důchodci</c:v>
                </c:pt>
              </c:strCache>
            </c:strRef>
          </c:cat>
          <c:val>
            <c:numRef>
              <c:f>kancel!$C$4:$C$26</c:f>
              <c:numCache>
                <c:formatCode>General</c:formatCode>
                <c:ptCount val="23"/>
                <c:pt idx="0" formatCode="0%">
                  <c:v>0.55600000000000005</c:v>
                </c:pt>
                <c:pt idx="2" formatCode="0%">
                  <c:v>0.56699999999999995</c:v>
                </c:pt>
                <c:pt idx="3" formatCode="0%">
                  <c:v>0.54400000000000004</c:v>
                </c:pt>
                <c:pt idx="5" formatCode="0%">
                  <c:v>0.89500000000000002</c:v>
                </c:pt>
                <c:pt idx="6" formatCode="0%">
                  <c:v>0.76200000000000001</c:v>
                </c:pt>
                <c:pt idx="7" formatCode="0%">
                  <c:v>0.69599999999999995</c:v>
                </c:pt>
                <c:pt idx="8" formatCode="0%">
                  <c:v>0.627</c:v>
                </c:pt>
                <c:pt idx="9" formatCode="0%">
                  <c:v>0.47699999999999998</c:v>
                </c:pt>
                <c:pt idx="10" formatCode="0%">
                  <c:v>0.222</c:v>
                </c:pt>
                <c:pt idx="11" formatCode="0%">
                  <c:v>6.9000000000000006E-2</c:v>
                </c:pt>
                <c:pt idx="13" formatCode="0%">
                  <c:v>0.14899999999999999</c:v>
                </c:pt>
                <c:pt idx="14" formatCode="0%">
                  <c:v>0.39400000000000002</c:v>
                </c:pt>
                <c:pt idx="15" formatCode="0%">
                  <c:v>0.78100000000000003</c:v>
                </c:pt>
                <c:pt idx="16" formatCode="0%">
                  <c:v>0.92500000000000004</c:v>
                </c:pt>
                <c:pt idx="18" formatCode="0%">
                  <c:v>0.68799999999999994</c:v>
                </c:pt>
                <c:pt idx="19" formatCode="0%">
                  <c:v>0.64600000000000002</c:v>
                </c:pt>
                <c:pt idx="20" formatCode="0%">
                  <c:v>0.94199999999999995</c:v>
                </c:pt>
                <c:pt idx="21" formatCode="0%">
                  <c:v>0.16400000000000001</c:v>
                </c:pt>
                <c:pt idx="22" formatCode="0%">
                  <c:v>0.20399999999999999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BD2-4BEE-A9C3-459E3B8E69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3"/>
        <c:overlap val="-27"/>
        <c:axId val="833481935"/>
        <c:axId val="833485679"/>
      </c:barChart>
      <c:catAx>
        <c:axId val="833481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833485679"/>
        <c:crosses val="autoZero"/>
        <c:auto val="1"/>
        <c:lblAlgn val="ctr"/>
        <c:lblOffset val="100"/>
        <c:noMultiLvlLbl val="0"/>
      </c:catAx>
      <c:valAx>
        <c:axId val="833485679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8334819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word!$H$1</c:f>
              <c:strCache>
                <c:ptCount val="1"/>
                <c:pt idx="0">
                  <c:v>textový editor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0"/>
              <c:layout>
                <c:manualLayout>
                  <c:x val="0"/>
                  <c:y val="0.1261603703703703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820-4226-AD2E-AEABF60F5CC0}"/>
                </c:ext>
              </c:extLst>
            </c:dLbl>
            <c:dLbl>
              <c:idx val="11"/>
              <c:numFmt formatCode="0\ %" sourceLinked="0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20-4226-AD2E-AEABF60F5CC0}"/>
                </c:ext>
              </c:extLst>
            </c:dLbl>
            <c:numFmt formatCode="0\ %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word!$G$2:$G$13</c:f>
              <c:strCache>
                <c:ptCount val="12"/>
                <c:pt idx="0">
                  <c:v>celkem (16+)</c:v>
                </c:pt>
                <c:pt idx="2">
                  <c:v>muži (16+)</c:v>
                </c:pt>
                <c:pt idx="3">
                  <c:v>ženy (16+)</c:v>
                </c:pt>
                <c:pt idx="5">
                  <c:v> 16–24 let</c:v>
                </c:pt>
                <c:pt idx="6">
                  <c:v>25–34 let</c:v>
                </c:pt>
                <c:pt idx="7">
                  <c:v>35–44 let</c:v>
                </c:pt>
                <c:pt idx="8">
                  <c:v>45–54 let</c:v>
                </c:pt>
                <c:pt idx="9">
                  <c:v>55–64 let</c:v>
                </c:pt>
                <c:pt idx="10">
                  <c:v>65–74 let</c:v>
                </c:pt>
                <c:pt idx="11">
                  <c:v>75+</c:v>
                </c:pt>
              </c:strCache>
            </c:strRef>
          </c:cat>
          <c:val>
            <c:numRef>
              <c:f>word!$H$2:$H$13</c:f>
              <c:numCache>
                <c:formatCode>General</c:formatCode>
                <c:ptCount val="12"/>
                <c:pt idx="0" formatCode="0%">
                  <c:v>0.53900000000000003</c:v>
                </c:pt>
                <c:pt idx="2" formatCode="0%">
                  <c:v>0.54900000000000004</c:v>
                </c:pt>
                <c:pt idx="3" formatCode="0%">
                  <c:v>0.53100000000000003</c:v>
                </c:pt>
                <c:pt idx="5" formatCode="0%">
                  <c:v>0.88900000000000001</c:v>
                </c:pt>
                <c:pt idx="6" formatCode="0%">
                  <c:v>0.72899999999999998</c:v>
                </c:pt>
                <c:pt idx="7" formatCode="0%">
                  <c:v>0.67600000000000005</c:v>
                </c:pt>
                <c:pt idx="8" formatCode="0%">
                  <c:v>0.61</c:v>
                </c:pt>
                <c:pt idx="9" formatCode="0%">
                  <c:v>0.46200000000000002</c:v>
                </c:pt>
                <c:pt idx="10" formatCode="0%">
                  <c:v>0.214</c:v>
                </c:pt>
                <c:pt idx="11" formatCode="0%">
                  <c:v>6.9000000000000006E-2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20-4226-AD2E-AEABF60F5C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3"/>
        <c:overlap val="-27"/>
        <c:axId val="1351398576"/>
        <c:axId val="1351396080"/>
      </c:barChart>
      <c:catAx>
        <c:axId val="135139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351396080"/>
        <c:crosses val="autoZero"/>
        <c:auto val="1"/>
        <c:lblAlgn val="ctr"/>
        <c:lblOffset val="100"/>
        <c:noMultiLvlLbl val="0"/>
      </c:catAx>
      <c:valAx>
        <c:axId val="13513960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351398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word!$K$1</c:f>
              <c:strCache>
                <c:ptCount val="1"/>
                <c:pt idx="0">
                  <c:v> tabulkový procesor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0"/>
              <c:numFmt formatCode="0\ %" sourceLinked="0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A1-47B4-A490-2285AB90338F}"/>
                </c:ext>
              </c:extLst>
            </c:dLbl>
            <c:dLbl>
              <c:idx val="11"/>
              <c:numFmt formatCode="0\ %" sourceLinked="0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A1-47B4-A490-2285AB90338F}"/>
                </c:ext>
              </c:extLst>
            </c:dLbl>
            <c:numFmt formatCode="0\ %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word!$J$2:$J$13</c:f>
              <c:strCache>
                <c:ptCount val="12"/>
                <c:pt idx="0">
                  <c:v>celkem (16+)</c:v>
                </c:pt>
                <c:pt idx="2">
                  <c:v>muži (16+)</c:v>
                </c:pt>
                <c:pt idx="3">
                  <c:v>ženy (16+)</c:v>
                </c:pt>
                <c:pt idx="5">
                  <c:v> 16–24 let</c:v>
                </c:pt>
                <c:pt idx="6">
                  <c:v>25–34 let</c:v>
                </c:pt>
                <c:pt idx="7">
                  <c:v>35–44 let</c:v>
                </c:pt>
                <c:pt idx="8">
                  <c:v>45–54 let</c:v>
                </c:pt>
                <c:pt idx="9">
                  <c:v>55–64 let</c:v>
                </c:pt>
                <c:pt idx="10">
                  <c:v>65–74 let</c:v>
                </c:pt>
                <c:pt idx="11">
                  <c:v>75+</c:v>
                </c:pt>
              </c:strCache>
            </c:strRef>
          </c:cat>
          <c:val>
            <c:numRef>
              <c:f>word!$K$2:$K$13</c:f>
              <c:numCache>
                <c:formatCode>General</c:formatCode>
                <c:ptCount val="12"/>
                <c:pt idx="0" formatCode="0%">
                  <c:v>0.44900000000000001</c:v>
                </c:pt>
                <c:pt idx="2" formatCode="0%">
                  <c:v>0.47</c:v>
                </c:pt>
                <c:pt idx="3" formatCode="0%">
                  <c:v>0.42899999999999999</c:v>
                </c:pt>
                <c:pt idx="5" formatCode="0%">
                  <c:v>0.81599999999999995</c:v>
                </c:pt>
                <c:pt idx="6" formatCode="0%">
                  <c:v>0.61099999999999999</c:v>
                </c:pt>
                <c:pt idx="7" formatCode="0%">
                  <c:v>0.57599999999999996</c:v>
                </c:pt>
                <c:pt idx="8" formatCode="0%">
                  <c:v>0.50900000000000001</c:v>
                </c:pt>
                <c:pt idx="9" formatCode="0%">
                  <c:v>0.35399999999999998</c:v>
                </c:pt>
                <c:pt idx="10" formatCode="0%">
                  <c:v>0.13500000000000001</c:v>
                </c:pt>
                <c:pt idx="11" formatCode="0%">
                  <c:v>3.7999999999999999E-2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A1-47B4-A490-2285AB9033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3"/>
        <c:overlap val="-27"/>
        <c:axId val="1349281248"/>
        <c:axId val="1349290400"/>
      </c:barChart>
      <c:catAx>
        <c:axId val="1349281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349290400"/>
        <c:crosses val="autoZero"/>
        <c:auto val="1"/>
        <c:lblAlgn val="ctr"/>
        <c:lblOffset val="100"/>
        <c:noMultiLvlLbl val="0"/>
      </c:catAx>
      <c:valAx>
        <c:axId val="13492904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349281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EU_word!$B$2</c:f>
              <c:strCache>
                <c:ptCount val="1"/>
                <c:pt idx="0">
                  <c:v>Value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Pt>
            <c:idx val="7"/>
            <c:invertIfNegative val="0"/>
            <c:bubble3D val="0"/>
            <c:spPr>
              <a:solidFill>
                <a:srgbClr val="4F81BD">
                  <a:lumMod val="5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A42-4DFF-A696-715D5A9595F0}"/>
              </c:ext>
            </c:extLst>
          </c:dPt>
          <c:dPt>
            <c:idx val="14"/>
            <c:invertIfNegative val="0"/>
            <c:bubble3D val="0"/>
            <c:spPr>
              <a:solidFill>
                <a:srgbClr val="4F81BD">
                  <a:lumMod val="5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A42-4DFF-A696-715D5A9595F0}"/>
              </c:ext>
            </c:extLst>
          </c:dPt>
          <c:dLbls>
            <c:numFmt formatCode="0\ %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EU_word!$A$3:$A$30</c:f>
              <c:strCache>
                <c:ptCount val="28"/>
                <c:pt idx="0">
                  <c:v>Nizozemsko</c:v>
                </c:pt>
                <c:pt idx="1">
                  <c:v>Finsko</c:v>
                </c:pt>
                <c:pt idx="2">
                  <c:v>Velká Británie</c:v>
                </c:pt>
                <c:pt idx="3">
                  <c:v>Švédsko</c:v>
                </c:pt>
                <c:pt idx="4">
                  <c:v>Německo</c:v>
                </c:pt>
                <c:pt idx="5">
                  <c:v>Rakousko</c:v>
                </c:pt>
                <c:pt idx="6">
                  <c:v>Lucembursko</c:v>
                </c:pt>
                <c:pt idx="7">
                  <c:v>Česko</c:v>
                </c:pt>
                <c:pt idx="8">
                  <c:v>Dánsko</c:v>
                </c:pt>
                <c:pt idx="9">
                  <c:v>Belgie</c:v>
                </c:pt>
                <c:pt idx="10">
                  <c:v>Chorvatsko</c:v>
                </c:pt>
                <c:pt idx="11">
                  <c:v>Estonsko</c:v>
                </c:pt>
                <c:pt idx="12">
                  <c:v>Slovinsko</c:v>
                </c:pt>
                <c:pt idx="13">
                  <c:v>Francie</c:v>
                </c:pt>
                <c:pt idx="14">
                  <c:v>EU28</c:v>
                </c:pt>
                <c:pt idx="15">
                  <c:v>Řecko</c:v>
                </c:pt>
                <c:pt idx="16">
                  <c:v>Španělsko</c:v>
                </c:pt>
                <c:pt idx="17">
                  <c:v>Malta</c:v>
                </c:pt>
                <c:pt idx="18">
                  <c:v>Irsko</c:v>
                </c:pt>
                <c:pt idx="19">
                  <c:v>Portugalsko</c:v>
                </c:pt>
                <c:pt idx="20">
                  <c:v>Litva</c:v>
                </c:pt>
                <c:pt idx="21">
                  <c:v>Maďarsko</c:v>
                </c:pt>
                <c:pt idx="22">
                  <c:v>Kypr</c:v>
                </c:pt>
                <c:pt idx="23">
                  <c:v>Itálie</c:v>
                </c:pt>
                <c:pt idx="24">
                  <c:v>Polsko</c:v>
                </c:pt>
                <c:pt idx="25">
                  <c:v>Lotyšsko</c:v>
                </c:pt>
                <c:pt idx="26">
                  <c:v>Bulharsko</c:v>
                </c:pt>
                <c:pt idx="27">
                  <c:v>Rumunsko</c:v>
                </c:pt>
              </c:strCache>
            </c:strRef>
          </c:cat>
          <c:val>
            <c:numRef>
              <c:f>EU_word!$B$3:$B$30</c:f>
              <c:numCache>
                <c:formatCode>0%</c:formatCode>
                <c:ptCount val="28"/>
                <c:pt idx="0">
                  <c:v>0.76495159999999995</c:v>
                </c:pt>
                <c:pt idx="1">
                  <c:v>0.70827370000000001</c:v>
                </c:pt>
                <c:pt idx="2">
                  <c:v>0.68818235000000005</c:v>
                </c:pt>
                <c:pt idx="3">
                  <c:v>0.67296224999999998</c:v>
                </c:pt>
                <c:pt idx="4">
                  <c:v>0.63066529999999998</c:v>
                </c:pt>
                <c:pt idx="5">
                  <c:v>0.61639434000000004</c:v>
                </c:pt>
                <c:pt idx="6">
                  <c:v>0.58612299999999995</c:v>
                </c:pt>
                <c:pt idx="7">
                  <c:v>0.58291110000000002</c:v>
                </c:pt>
                <c:pt idx="8">
                  <c:v>0.56622510000000004</c:v>
                </c:pt>
                <c:pt idx="9">
                  <c:v>0.54556930000000003</c:v>
                </c:pt>
                <c:pt idx="10">
                  <c:v>0.54463834</c:v>
                </c:pt>
                <c:pt idx="11">
                  <c:v>0.54432939999999996</c:v>
                </c:pt>
                <c:pt idx="12">
                  <c:v>0.54150849999999995</c:v>
                </c:pt>
                <c:pt idx="13">
                  <c:v>0.54029419999999995</c:v>
                </c:pt>
                <c:pt idx="14">
                  <c:v>0.53709346000000002</c:v>
                </c:pt>
                <c:pt idx="15">
                  <c:v>0.53563819999999995</c:v>
                </c:pt>
                <c:pt idx="16">
                  <c:v>0.52484830000000005</c:v>
                </c:pt>
                <c:pt idx="17">
                  <c:v>0.51426899999999998</c:v>
                </c:pt>
                <c:pt idx="18">
                  <c:v>0.48779282000000002</c:v>
                </c:pt>
                <c:pt idx="19">
                  <c:v>0.48308446999999999</c:v>
                </c:pt>
                <c:pt idx="20">
                  <c:v>0.47808313000000002</c:v>
                </c:pt>
                <c:pt idx="21">
                  <c:v>0.47339764000000001</c:v>
                </c:pt>
                <c:pt idx="22">
                  <c:v>0.43505579999999999</c:v>
                </c:pt>
                <c:pt idx="23">
                  <c:v>0.39920306</c:v>
                </c:pt>
                <c:pt idx="24">
                  <c:v>0.39205527000000001</c:v>
                </c:pt>
                <c:pt idx="25">
                  <c:v>0.38552894999999998</c:v>
                </c:pt>
                <c:pt idx="26">
                  <c:v>0.27333384999999999</c:v>
                </c:pt>
                <c:pt idx="27">
                  <c:v>0.19969948000000001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A42-4DFF-A696-715D5A9595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3"/>
        <c:overlap val="-27"/>
        <c:axId val="1969698591"/>
        <c:axId val="1969699423"/>
      </c:barChart>
      <c:catAx>
        <c:axId val="1969698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969699423"/>
        <c:crosses val="autoZero"/>
        <c:auto val="1"/>
        <c:lblAlgn val="ctr"/>
        <c:lblOffset val="100"/>
        <c:noMultiLvlLbl val="0"/>
      </c:catAx>
      <c:valAx>
        <c:axId val="1969699423"/>
        <c:scaling>
          <c:orientation val="minMax"/>
          <c:max val="0.9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19696985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EU_excel!$B$2</c:f>
              <c:strCache>
                <c:ptCount val="1"/>
                <c:pt idx="0">
                  <c:v> použití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061-451D-987A-AAC680423097}"/>
              </c:ext>
            </c:extLst>
          </c:dPt>
          <c:dPt>
            <c:idx val="16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061-451D-987A-AAC680423097}"/>
              </c:ext>
            </c:extLst>
          </c:dPt>
          <c:dLbls>
            <c:numFmt formatCode="0\ %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EU_excel!$A$3:$A$30</c:f>
              <c:strCache>
                <c:ptCount val="28"/>
                <c:pt idx="0">
                  <c:v>Nizozemsko</c:v>
                </c:pt>
                <c:pt idx="1">
                  <c:v>Dánsko</c:v>
                </c:pt>
                <c:pt idx="2">
                  <c:v>Finsko</c:v>
                </c:pt>
                <c:pt idx="3">
                  <c:v>Velká Británie</c:v>
                </c:pt>
                <c:pt idx="4">
                  <c:v>Švédsko</c:v>
                </c:pt>
                <c:pt idx="5">
                  <c:v>Česko</c:v>
                </c:pt>
                <c:pt idx="6">
                  <c:v>Rakousko</c:v>
                </c:pt>
                <c:pt idx="7">
                  <c:v>Belgie</c:v>
                </c:pt>
                <c:pt idx="8">
                  <c:v>Lucembursko</c:v>
                </c:pt>
                <c:pt idx="9">
                  <c:v>Slovinsko</c:v>
                </c:pt>
                <c:pt idx="10">
                  <c:v>Estonsko</c:v>
                </c:pt>
                <c:pt idx="11">
                  <c:v>Chorvatsko</c:v>
                </c:pt>
                <c:pt idx="12">
                  <c:v>Litva</c:v>
                </c:pt>
                <c:pt idx="13">
                  <c:v>Francie</c:v>
                </c:pt>
                <c:pt idx="14">
                  <c:v>Malta</c:v>
                </c:pt>
                <c:pt idx="15">
                  <c:v>Německo</c:v>
                </c:pt>
                <c:pt idx="16">
                  <c:v>EU28</c:v>
                </c:pt>
                <c:pt idx="17">
                  <c:v>Řecko</c:v>
                </c:pt>
                <c:pt idx="18">
                  <c:v>Španělsko</c:v>
                </c:pt>
                <c:pt idx="19">
                  <c:v>Portugalsko</c:v>
                </c:pt>
                <c:pt idx="20">
                  <c:v>Maďarsko</c:v>
                </c:pt>
                <c:pt idx="21">
                  <c:v>Irsko</c:v>
                </c:pt>
                <c:pt idx="22">
                  <c:v>Lotyšsko</c:v>
                </c:pt>
                <c:pt idx="23">
                  <c:v>Itálie</c:v>
                </c:pt>
                <c:pt idx="24">
                  <c:v>Kypr</c:v>
                </c:pt>
                <c:pt idx="25">
                  <c:v>Polsko</c:v>
                </c:pt>
                <c:pt idx="26">
                  <c:v>Bulharsko</c:v>
                </c:pt>
                <c:pt idx="27">
                  <c:v>Rumunsko</c:v>
                </c:pt>
              </c:strCache>
            </c:strRef>
          </c:cat>
          <c:val>
            <c:numRef>
              <c:f>EU_excel!$B$3:$B$30</c:f>
              <c:numCache>
                <c:formatCode>0%</c:formatCode>
                <c:ptCount val="28"/>
                <c:pt idx="0">
                  <c:v>0.5845515</c:v>
                </c:pt>
                <c:pt idx="1">
                  <c:v>0.54478660000000001</c:v>
                </c:pt>
                <c:pt idx="2">
                  <c:v>0.53419870000000003</c:v>
                </c:pt>
                <c:pt idx="3">
                  <c:v>0.50320845999999997</c:v>
                </c:pt>
                <c:pt idx="4">
                  <c:v>0.49493015000000001</c:v>
                </c:pt>
                <c:pt idx="5">
                  <c:v>0.48936730000000001</c:v>
                </c:pt>
                <c:pt idx="6">
                  <c:v>0.44796522999999999</c:v>
                </c:pt>
                <c:pt idx="7">
                  <c:v>0.4477836</c:v>
                </c:pt>
                <c:pt idx="8">
                  <c:v>0.44556814</c:v>
                </c:pt>
                <c:pt idx="9">
                  <c:v>0.44407004</c:v>
                </c:pt>
                <c:pt idx="10">
                  <c:v>0.43886770000000003</c:v>
                </c:pt>
                <c:pt idx="11">
                  <c:v>0.43135794999999999</c:v>
                </c:pt>
                <c:pt idx="12">
                  <c:v>0.42160588999999998</c:v>
                </c:pt>
                <c:pt idx="13">
                  <c:v>0.41111892</c:v>
                </c:pt>
                <c:pt idx="14">
                  <c:v>0.40579754000000001</c:v>
                </c:pt>
                <c:pt idx="15">
                  <c:v>0.40425169999999999</c:v>
                </c:pt>
                <c:pt idx="16">
                  <c:v>0.39182597000000002</c:v>
                </c:pt>
                <c:pt idx="17">
                  <c:v>0.38296532999999999</c:v>
                </c:pt>
                <c:pt idx="18">
                  <c:v>0.38219799999999998</c:v>
                </c:pt>
                <c:pt idx="19">
                  <c:v>0.37172386000000002</c:v>
                </c:pt>
                <c:pt idx="20">
                  <c:v>0.35629537999999999</c:v>
                </c:pt>
                <c:pt idx="21">
                  <c:v>0.35302721999999997</c:v>
                </c:pt>
                <c:pt idx="22">
                  <c:v>0.32165617000000002</c:v>
                </c:pt>
                <c:pt idx="23">
                  <c:v>0.30111085999999998</c:v>
                </c:pt>
                <c:pt idx="24">
                  <c:v>0.28384700000000002</c:v>
                </c:pt>
                <c:pt idx="25">
                  <c:v>0.27900174</c:v>
                </c:pt>
                <c:pt idx="26">
                  <c:v>0.15915505999999999</c:v>
                </c:pt>
                <c:pt idx="27">
                  <c:v>0.15219869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061-451D-987A-AAC6804230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3"/>
        <c:axId val="226323775"/>
        <c:axId val="226332927"/>
      </c:barChart>
      <c:lineChart>
        <c:grouping val="standard"/>
        <c:varyColors val="0"/>
        <c:ser>
          <c:idx val="1"/>
          <c:order val="1"/>
          <c:tx>
            <c:strRef>
              <c:f>EU_excel!$C$2</c:f>
              <c:strCache>
                <c:ptCount val="1"/>
                <c:pt idx="0">
                  <c:v> použití pokročilých funkcí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EU_excel!$A$3:$A$30</c:f>
              <c:strCache>
                <c:ptCount val="28"/>
                <c:pt idx="0">
                  <c:v>Nizozemsko</c:v>
                </c:pt>
                <c:pt idx="1">
                  <c:v>Dánsko</c:v>
                </c:pt>
                <c:pt idx="2">
                  <c:v>Finsko</c:v>
                </c:pt>
                <c:pt idx="3">
                  <c:v>Velká Británie</c:v>
                </c:pt>
                <c:pt idx="4">
                  <c:v>Švédsko</c:v>
                </c:pt>
                <c:pt idx="5">
                  <c:v>Česko</c:v>
                </c:pt>
                <c:pt idx="6">
                  <c:v>Rakousko</c:v>
                </c:pt>
                <c:pt idx="7">
                  <c:v>Belgie</c:v>
                </c:pt>
                <c:pt idx="8">
                  <c:v>Lucembursko</c:v>
                </c:pt>
                <c:pt idx="9">
                  <c:v>Slovinsko</c:v>
                </c:pt>
                <c:pt idx="10">
                  <c:v>Estonsko</c:v>
                </c:pt>
                <c:pt idx="11">
                  <c:v>Chorvatsko</c:v>
                </c:pt>
                <c:pt idx="12">
                  <c:v>Litva</c:v>
                </c:pt>
                <c:pt idx="13">
                  <c:v>Francie</c:v>
                </c:pt>
                <c:pt idx="14">
                  <c:v>Malta</c:v>
                </c:pt>
                <c:pt idx="15">
                  <c:v>Německo</c:v>
                </c:pt>
                <c:pt idx="16">
                  <c:v>EU28</c:v>
                </c:pt>
                <c:pt idx="17">
                  <c:v>Řecko</c:v>
                </c:pt>
                <c:pt idx="18">
                  <c:v>Španělsko</c:v>
                </c:pt>
                <c:pt idx="19">
                  <c:v>Portugalsko</c:v>
                </c:pt>
                <c:pt idx="20">
                  <c:v>Maďarsko</c:v>
                </c:pt>
                <c:pt idx="21">
                  <c:v>Irsko</c:v>
                </c:pt>
                <c:pt idx="22">
                  <c:v>Lotyšsko</c:v>
                </c:pt>
                <c:pt idx="23">
                  <c:v>Itálie</c:v>
                </c:pt>
                <c:pt idx="24">
                  <c:v>Kypr</c:v>
                </c:pt>
                <c:pt idx="25">
                  <c:v>Polsko</c:v>
                </c:pt>
                <c:pt idx="26">
                  <c:v>Bulharsko</c:v>
                </c:pt>
                <c:pt idx="27">
                  <c:v>Rumunsko</c:v>
                </c:pt>
              </c:strCache>
            </c:strRef>
          </c:cat>
          <c:val>
            <c:numRef>
              <c:f>EU_excel!$C$3:$C$30</c:f>
              <c:numCache>
                <c:formatCode>0%</c:formatCode>
                <c:ptCount val="28"/>
                <c:pt idx="0">
                  <c:v>0.36166399999999999</c:v>
                </c:pt>
                <c:pt idx="1">
                  <c:v>0.33651835000000002</c:v>
                </c:pt>
                <c:pt idx="2">
                  <c:v>0.33775889999999997</c:v>
                </c:pt>
                <c:pt idx="3">
                  <c:v>0.39047106999999998</c:v>
                </c:pt>
                <c:pt idx="4">
                  <c:v>0.29013523000000002</c:v>
                </c:pt>
                <c:pt idx="5">
                  <c:v>0.22970565000000001</c:v>
                </c:pt>
                <c:pt idx="6">
                  <c:v>0.30332209999999998</c:v>
                </c:pt>
                <c:pt idx="7">
                  <c:v>0.21888305</c:v>
                </c:pt>
                <c:pt idx="8">
                  <c:v>0.314666</c:v>
                </c:pt>
                <c:pt idx="9">
                  <c:v>0.31483911999999997</c:v>
                </c:pt>
                <c:pt idx="10">
                  <c:v>0.29550399999999999</c:v>
                </c:pt>
                <c:pt idx="11">
                  <c:v>0.25142320000000001</c:v>
                </c:pt>
                <c:pt idx="12">
                  <c:v>0.23632854</c:v>
                </c:pt>
                <c:pt idx="13">
                  <c:v>0.26521358</c:v>
                </c:pt>
                <c:pt idx="14">
                  <c:v>0.3147568</c:v>
                </c:pt>
                <c:pt idx="15">
                  <c:v>0.33275687999999998</c:v>
                </c:pt>
                <c:pt idx="16">
                  <c:v>0.26420962999999997</c:v>
                </c:pt>
                <c:pt idx="17">
                  <c:v>0.17889189999999999</c:v>
                </c:pt>
                <c:pt idx="18">
                  <c:v>0.24979872</c:v>
                </c:pt>
                <c:pt idx="19">
                  <c:v>0.30421767</c:v>
                </c:pt>
                <c:pt idx="20">
                  <c:v>0.2468243</c:v>
                </c:pt>
                <c:pt idx="21">
                  <c:v>0.23899055</c:v>
                </c:pt>
                <c:pt idx="22">
                  <c:v>0.17397729000000001</c:v>
                </c:pt>
                <c:pt idx="23">
                  <c:v>0.21430247999999999</c:v>
                </c:pt>
                <c:pt idx="24">
                  <c:v>0.1524334</c:v>
                </c:pt>
                <c:pt idx="25">
                  <c:v>0.12986979000000001</c:v>
                </c:pt>
                <c:pt idx="26">
                  <c:v>7.4961219999999995E-2</c:v>
                </c:pt>
                <c:pt idx="27">
                  <c:v>5.4186610000000003E-2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061-451D-987A-AAC6804230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6323775"/>
        <c:axId val="226332927"/>
      </c:lineChart>
      <c:catAx>
        <c:axId val="2263237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26332927"/>
        <c:crosses val="autoZero"/>
        <c:auto val="1"/>
        <c:lblAlgn val="ctr"/>
        <c:lblOffset val="100"/>
        <c:noMultiLvlLbl val="0"/>
      </c:catAx>
      <c:valAx>
        <c:axId val="226332927"/>
        <c:scaling>
          <c:orientation val="minMax"/>
          <c:max val="0.7000000000000000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\ 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263237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EU_prog!$C$2</c:f>
              <c:strCache>
                <c:ptCount val="1"/>
                <c:pt idx="0">
                  <c:v> studenti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12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92A-469A-B8C8-B822A1E9F3C6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B92A-469A-B8C8-B822A1E9F3C6}"/>
              </c:ext>
            </c:extLst>
          </c:dPt>
          <c:dLbls>
            <c:numFmt formatCode="0\ %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EU_prog!$A$3:$A$30</c:f>
              <c:strCache>
                <c:ptCount val="28"/>
                <c:pt idx="0">
                  <c:v>Chorvatsko</c:v>
                </c:pt>
                <c:pt idx="1">
                  <c:v>Rakousko</c:v>
                </c:pt>
                <c:pt idx="2">
                  <c:v>Portugalsko</c:v>
                </c:pt>
                <c:pt idx="3">
                  <c:v>Dánsko</c:v>
                </c:pt>
                <c:pt idx="4">
                  <c:v>Nizozemsko</c:v>
                </c:pt>
                <c:pt idx="5">
                  <c:v>Francie</c:v>
                </c:pt>
                <c:pt idx="6">
                  <c:v>Finsko</c:v>
                </c:pt>
                <c:pt idx="7">
                  <c:v>Slovinsko</c:v>
                </c:pt>
                <c:pt idx="8">
                  <c:v>Německo</c:v>
                </c:pt>
                <c:pt idx="9">
                  <c:v>Švédsko</c:v>
                </c:pt>
                <c:pt idx="10">
                  <c:v>Malta</c:v>
                </c:pt>
                <c:pt idx="11">
                  <c:v>Estonsko</c:v>
                </c:pt>
                <c:pt idx="12">
                  <c:v>EU28</c:v>
                </c:pt>
                <c:pt idx="13">
                  <c:v>Itálie</c:v>
                </c:pt>
                <c:pt idx="14">
                  <c:v>Litva</c:v>
                </c:pt>
                <c:pt idx="15">
                  <c:v>Španělsko</c:v>
                </c:pt>
                <c:pt idx="16">
                  <c:v>Lucembursko</c:v>
                </c:pt>
                <c:pt idx="17">
                  <c:v>Česko</c:v>
                </c:pt>
                <c:pt idx="18">
                  <c:v>Velká Británie</c:v>
                </c:pt>
                <c:pt idx="19">
                  <c:v>Polsko</c:v>
                </c:pt>
                <c:pt idx="20">
                  <c:v>Irsko</c:v>
                </c:pt>
                <c:pt idx="21">
                  <c:v>Belgie</c:v>
                </c:pt>
                <c:pt idx="22">
                  <c:v>Lotyšsko</c:v>
                </c:pt>
                <c:pt idx="23">
                  <c:v>Kypr</c:v>
                </c:pt>
                <c:pt idx="24">
                  <c:v>Maďarsko</c:v>
                </c:pt>
                <c:pt idx="25">
                  <c:v>Řecko</c:v>
                </c:pt>
                <c:pt idx="26">
                  <c:v>Rumunsko</c:v>
                </c:pt>
                <c:pt idx="27">
                  <c:v>Bulharsko</c:v>
                </c:pt>
              </c:strCache>
            </c:strRef>
          </c:cat>
          <c:val>
            <c:numRef>
              <c:f>EU_prog!$C$3:$C$30</c:f>
              <c:numCache>
                <c:formatCode>0%</c:formatCode>
                <c:ptCount val="28"/>
                <c:pt idx="0">
                  <c:v>0.33552464999999998</c:v>
                </c:pt>
                <c:pt idx="1">
                  <c:v>0.30399308000000003</c:v>
                </c:pt>
                <c:pt idx="2">
                  <c:v>0.29895147999999999</c:v>
                </c:pt>
                <c:pt idx="3">
                  <c:v>0.28489031999999997</c:v>
                </c:pt>
                <c:pt idx="4">
                  <c:v>0.22671918999999999</c:v>
                </c:pt>
                <c:pt idx="5">
                  <c:v>0.22611228999999999</c:v>
                </c:pt>
                <c:pt idx="6">
                  <c:v>0.21839776999999999</c:v>
                </c:pt>
                <c:pt idx="7">
                  <c:v>0.21715675000000001</c:v>
                </c:pt>
                <c:pt idx="8">
                  <c:v>0.21344263999999999</c:v>
                </c:pt>
                <c:pt idx="9">
                  <c:v>0.21321925999999999</c:v>
                </c:pt>
                <c:pt idx="10">
                  <c:v>0.19621797999999999</c:v>
                </c:pt>
                <c:pt idx="11">
                  <c:v>0.18256633999999999</c:v>
                </c:pt>
                <c:pt idx="12">
                  <c:v>0.17889239000000001</c:v>
                </c:pt>
                <c:pt idx="13">
                  <c:v>0.17564113000000001</c:v>
                </c:pt>
                <c:pt idx="14">
                  <c:v>0.17443262000000001</c:v>
                </c:pt>
                <c:pt idx="15">
                  <c:v>0.17308435999999999</c:v>
                </c:pt>
                <c:pt idx="16">
                  <c:v>0.16484392</c:v>
                </c:pt>
                <c:pt idx="17">
                  <c:v>0.16462774999999999</c:v>
                </c:pt>
                <c:pt idx="18">
                  <c:v>0.15987791000000001</c:v>
                </c:pt>
                <c:pt idx="19">
                  <c:v>0.12731819999999999</c:v>
                </c:pt>
                <c:pt idx="20">
                  <c:v>0.12080303000000001</c:v>
                </c:pt>
                <c:pt idx="21">
                  <c:v>0.11704713999999999</c:v>
                </c:pt>
                <c:pt idx="22">
                  <c:v>0.11308165000000001</c:v>
                </c:pt>
                <c:pt idx="23">
                  <c:v>0.10877086</c:v>
                </c:pt>
                <c:pt idx="24">
                  <c:v>9.573885E-2</c:v>
                </c:pt>
                <c:pt idx="25">
                  <c:v>9.2390689999999998E-2</c:v>
                </c:pt>
                <c:pt idx="26">
                  <c:v>2.5266250000000001E-2</c:v>
                </c:pt>
                <c:pt idx="27">
                  <c:v>2.0247350000000001E-2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92A-469A-B8C8-B822A1E9F3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3"/>
        <c:overlap val="-27"/>
        <c:axId val="225899791"/>
        <c:axId val="225901871"/>
      </c:barChart>
      <c:lineChart>
        <c:grouping val="stacked"/>
        <c:varyColors val="0"/>
        <c:ser>
          <c:idx val="0"/>
          <c:order val="0"/>
          <c:tx>
            <c:strRef>
              <c:f>EU_prog!$B$2</c:f>
              <c:strCache>
                <c:ptCount val="1"/>
                <c:pt idx="0">
                  <c:v> celkem (16–74 let)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Pt>
            <c:idx val="12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2"/>
                  </a:solidFill>
                </a:ln>
                <a:effectLst/>
              </c:spPr>
            </c:marker>
            <c:bubble3D val="0"/>
            <c:spPr>
              <a:ln w="28575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6-B92A-469A-B8C8-B822A1E9F3C6}"/>
              </c:ext>
            </c:extLst>
          </c:dPt>
          <c:dPt>
            <c:idx val="17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2"/>
                  </a:solidFill>
                </a:ln>
                <a:effectLst/>
              </c:spPr>
            </c:marker>
            <c:bubble3D val="0"/>
            <c:spPr>
              <a:ln w="28575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8-B92A-469A-B8C8-B822A1E9F3C6}"/>
              </c:ext>
            </c:extLst>
          </c:dPt>
          <c:cat>
            <c:strRef>
              <c:f>EU_prog!$A$3:$A$30</c:f>
              <c:strCache>
                <c:ptCount val="28"/>
                <c:pt idx="0">
                  <c:v>Chorvatsko</c:v>
                </c:pt>
                <c:pt idx="1">
                  <c:v>Rakousko</c:v>
                </c:pt>
                <c:pt idx="2">
                  <c:v>Portugalsko</c:v>
                </c:pt>
                <c:pt idx="3">
                  <c:v>Dánsko</c:v>
                </c:pt>
                <c:pt idx="4">
                  <c:v>Nizozemsko</c:v>
                </c:pt>
                <c:pt idx="5">
                  <c:v>Francie</c:v>
                </c:pt>
                <c:pt idx="6">
                  <c:v>Finsko</c:v>
                </c:pt>
                <c:pt idx="7">
                  <c:v>Slovinsko</c:v>
                </c:pt>
                <c:pt idx="8">
                  <c:v>Německo</c:v>
                </c:pt>
                <c:pt idx="9">
                  <c:v>Švédsko</c:v>
                </c:pt>
                <c:pt idx="10">
                  <c:v>Malta</c:v>
                </c:pt>
                <c:pt idx="11">
                  <c:v>Estonsko</c:v>
                </c:pt>
                <c:pt idx="12">
                  <c:v>EU28</c:v>
                </c:pt>
                <c:pt idx="13">
                  <c:v>Itálie</c:v>
                </c:pt>
                <c:pt idx="14">
                  <c:v>Litva</c:v>
                </c:pt>
                <c:pt idx="15">
                  <c:v>Španělsko</c:v>
                </c:pt>
                <c:pt idx="16">
                  <c:v>Lucembursko</c:v>
                </c:pt>
                <c:pt idx="17">
                  <c:v>Česko</c:v>
                </c:pt>
                <c:pt idx="18">
                  <c:v>Velká Británie</c:v>
                </c:pt>
                <c:pt idx="19">
                  <c:v>Polsko</c:v>
                </c:pt>
                <c:pt idx="20">
                  <c:v>Irsko</c:v>
                </c:pt>
                <c:pt idx="21">
                  <c:v>Belgie</c:v>
                </c:pt>
                <c:pt idx="22">
                  <c:v>Lotyšsko</c:v>
                </c:pt>
                <c:pt idx="23">
                  <c:v>Kypr</c:v>
                </c:pt>
                <c:pt idx="24">
                  <c:v>Maďarsko</c:v>
                </c:pt>
                <c:pt idx="25">
                  <c:v>Řecko</c:v>
                </c:pt>
                <c:pt idx="26">
                  <c:v>Rumunsko</c:v>
                </c:pt>
                <c:pt idx="27">
                  <c:v>Bulharsko</c:v>
                </c:pt>
              </c:strCache>
            </c:strRef>
          </c:cat>
          <c:val>
            <c:numRef>
              <c:f>EU_prog!$B$3:$B$30</c:f>
              <c:numCache>
                <c:formatCode>0%</c:formatCode>
                <c:ptCount val="28"/>
                <c:pt idx="0">
                  <c:v>8.5630429999999993E-2</c:v>
                </c:pt>
                <c:pt idx="1">
                  <c:v>8.7567580000000006E-2</c:v>
                </c:pt>
                <c:pt idx="2">
                  <c:v>8.1732440000000003E-2</c:v>
                </c:pt>
                <c:pt idx="3">
                  <c:v>0.14299442000000001</c:v>
                </c:pt>
                <c:pt idx="4">
                  <c:v>9.5449699999999998E-2</c:v>
                </c:pt>
                <c:pt idx="5">
                  <c:v>6.1576760000000001E-2</c:v>
                </c:pt>
                <c:pt idx="6">
                  <c:v>9.8570840000000007E-2</c:v>
                </c:pt>
                <c:pt idx="7">
                  <c:v>5.2189779999999998E-2</c:v>
                </c:pt>
                <c:pt idx="8">
                  <c:v>5.9471820000000002E-2</c:v>
                </c:pt>
                <c:pt idx="9">
                  <c:v>0.11897277000000001</c:v>
                </c:pt>
                <c:pt idx="10">
                  <c:v>7.5759309999999996E-2</c:v>
                </c:pt>
                <c:pt idx="11">
                  <c:v>7.3839840000000004E-2</c:v>
                </c:pt>
                <c:pt idx="12">
                  <c:v>6.4318470000000003E-2</c:v>
                </c:pt>
                <c:pt idx="13">
                  <c:v>5.8475569999999998E-2</c:v>
                </c:pt>
                <c:pt idx="14">
                  <c:v>4.659874E-2</c:v>
                </c:pt>
                <c:pt idx="15">
                  <c:v>6.8480100000000002E-2</c:v>
                </c:pt>
                <c:pt idx="16">
                  <c:v>6.6316970000000003E-2</c:v>
                </c:pt>
                <c:pt idx="17">
                  <c:v>6.2144850000000001E-2</c:v>
                </c:pt>
                <c:pt idx="18">
                  <c:v>9.7742140000000005E-2</c:v>
                </c:pt>
                <c:pt idx="19">
                  <c:v>3.4622090000000001E-2</c:v>
                </c:pt>
                <c:pt idx="20">
                  <c:v>6.687601E-2</c:v>
                </c:pt>
                <c:pt idx="21">
                  <c:v>4.470056E-2</c:v>
                </c:pt>
                <c:pt idx="22">
                  <c:v>2.5306740000000001E-2</c:v>
                </c:pt>
                <c:pt idx="23">
                  <c:v>3.7365759999999998E-2</c:v>
                </c:pt>
                <c:pt idx="24">
                  <c:v>4.0860760000000003E-2</c:v>
                </c:pt>
                <c:pt idx="25">
                  <c:v>4.1433419999999999E-2</c:v>
                </c:pt>
                <c:pt idx="26">
                  <c:v>1.0367970000000001E-2</c:v>
                </c:pt>
                <c:pt idx="27">
                  <c:v>1.089848E-2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B92A-469A-B8C8-B822A1E9F3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5899791"/>
        <c:axId val="225901871"/>
      </c:lineChart>
      <c:catAx>
        <c:axId val="2258997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25901871"/>
        <c:crosses val="autoZero"/>
        <c:auto val="1"/>
        <c:lblAlgn val="ctr"/>
        <c:lblOffset val="100"/>
        <c:noMultiLvlLbl val="0"/>
      </c:catAx>
      <c:valAx>
        <c:axId val="225901871"/>
        <c:scaling>
          <c:orientation val="minMax"/>
          <c:max val="0.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\ 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25899791"/>
        <c:crosses val="autoZero"/>
        <c:crossBetween val="between"/>
        <c:majorUnit val="5.000000000000001E-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EU_zál!$B$2</c:f>
              <c:strCache>
                <c:ptCount val="1"/>
                <c:pt idx="0">
                  <c:v>Value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Pt>
            <c:idx val="14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B55-4C8D-85AF-7DF577C800AA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B55-4C8D-85AF-7DF577C800AA}"/>
              </c:ext>
            </c:extLst>
          </c:dPt>
          <c:dLbls>
            <c:dLbl>
              <c:idx val="28"/>
              <c:layout>
                <c:manualLayout>
                  <c:x val="0"/>
                  <c:y val="0.1587499739539319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B55-4C8D-85AF-7DF577C800AA}"/>
                </c:ext>
              </c:extLst>
            </c:dLbl>
            <c:numFmt formatCode="0\ %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EU_zál!$A$3:$A$31</c:f>
              <c:strCache>
                <c:ptCount val="29"/>
                <c:pt idx="0">
                  <c:v>Nizozemsko</c:v>
                </c:pt>
                <c:pt idx="1">
                  <c:v>Dánsko</c:v>
                </c:pt>
                <c:pt idx="2">
                  <c:v>Švédsko</c:v>
                </c:pt>
                <c:pt idx="3">
                  <c:v>Belgie</c:v>
                </c:pt>
                <c:pt idx="4">
                  <c:v>Velká Británie</c:v>
                </c:pt>
                <c:pt idx="5">
                  <c:v>Německo</c:v>
                </c:pt>
                <c:pt idx="6">
                  <c:v>Lucembursko</c:v>
                </c:pt>
                <c:pt idx="7">
                  <c:v>Rakousko</c:v>
                </c:pt>
                <c:pt idx="8">
                  <c:v>Finsko</c:v>
                </c:pt>
                <c:pt idx="9">
                  <c:v>Španělsko</c:v>
                </c:pt>
                <c:pt idx="10">
                  <c:v>Malta</c:v>
                </c:pt>
                <c:pt idx="11">
                  <c:v>Irsko</c:v>
                </c:pt>
                <c:pt idx="12">
                  <c:v>Kypr</c:v>
                </c:pt>
                <c:pt idx="13">
                  <c:v>Estonsko</c:v>
                </c:pt>
                <c:pt idx="14">
                  <c:v>Česko</c:v>
                </c:pt>
                <c:pt idx="15">
                  <c:v>EU28</c:v>
                </c:pt>
                <c:pt idx="16">
                  <c:v>Francie</c:v>
                </c:pt>
                <c:pt idx="17">
                  <c:v>Slovinsko</c:v>
                </c:pt>
                <c:pt idx="18">
                  <c:v>Lotyšsko</c:v>
                </c:pt>
                <c:pt idx="19">
                  <c:v>Slovensko</c:v>
                </c:pt>
                <c:pt idx="20">
                  <c:v>Litva</c:v>
                </c:pt>
                <c:pt idx="21">
                  <c:v>Portugalsko</c:v>
                </c:pt>
                <c:pt idx="22">
                  <c:v>Polsko</c:v>
                </c:pt>
                <c:pt idx="23">
                  <c:v>Řecko</c:v>
                </c:pt>
                <c:pt idx="24">
                  <c:v>Maďarsko</c:v>
                </c:pt>
                <c:pt idx="25">
                  <c:v>Itálie</c:v>
                </c:pt>
                <c:pt idx="26">
                  <c:v>Chorvatsko</c:v>
                </c:pt>
                <c:pt idx="27">
                  <c:v>Bulharsko</c:v>
                </c:pt>
                <c:pt idx="28">
                  <c:v>Rumunsko</c:v>
                </c:pt>
              </c:strCache>
            </c:strRef>
          </c:cat>
          <c:val>
            <c:numRef>
              <c:f>EU_zál!$B$3:$B$31</c:f>
              <c:numCache>
                <c:formatCode>0%</c:formatCode>
                <c:ptCount val="29"/>
                <c:pt idx="0">
                  <c:v>0.72198932999999998</c:v>
                </c:pt>
                <c:pt idx="1">
                  <c:v>0.64719470000000001</c:v>
                </c:pt>
                <c:pt idx="2">
                  <c:v>0.63914305000000005</c:v>
                </c:pt>
                <c:pt idx="3">
                  <c:v>0.61607420000000002</c:v>
                </c:pt>
                <c:pt idx="4">
                  <c:v>0.60253614</c:v>
                </c:pt>
                <c:pt idx="5">
                  <c:v>0.58949370000000001</c:v>
                </c:pt>
                <c:pt idx="6">
                  <c:v>0.57658803000000003</c:v>
                </c:pt>
                <c:pt idx="7">
                  <c:v>0.57377359999999999</c:v>
                </c:pt>
                <c:pt idx="8">
                  <c:v>0.53350059999999999</c:v>
                </c:pt>
                <c:pt idx="9">
                  <c:v>0.51523982999999995</c:v>
                </c:pt>
                <c:pt idx="10">
                  <c:v>0.51237889999999997</c:v>
                </c:pt>
                <c:pt idx="11">
                  <c:v>0.49437009999999998</c:v>
                </c:pt>
                <c:pt idx="12">
                  <c:v>0.48839015000000002</c:v>
                </c:pt>
                <c:pt idx="13">
                  <c:v>0.48636236999999999</c:v>
                </c:pt>
                <c:pt idx="14">
                  <c:v>0.48625617999999998</c:v>
                </c:pt>
                <c:pt idx="15">
                  <c:v>0.48457371999999999</c:v>
                </c:pt>
                <c:pt idx="16">
                  <c:v>0.47673263999999999</c:v>
                </c:pt>
                <c:pt idx="17">
                  <c:v>0.43474469999999998</c:v>
                </c:pt>
                <c:pt idx="18">
                  <c:v>0.42514049999999998</c:v>
                </c:pt>
                <c:pt idx="19">
                  <c:v>0.42241417999999997</c:v>
                </c:pt>
                <c:pt idx="20">
                  <c:v>0.42024669999999997</c:v>
                </c:pt>
                <c:pt idx="21">
                  <c:v>0.38824454000000003</c:v>
                </c:pt>
                <c:pt idx="22">
                  <c:v>0.35964990000000002</c:v>
                </c:pt>
                <c:pt idx="23">
                  <c:v>0.34662545</c:v>
                </c:pt>
                <c:pt idx="24">
                  <c:v>0.34503075</c:v>
                </c:pt>
                <c:pt idx="25">
                  <c:v>0.33181432</c:v>
                </c:pt>
                <c:pt idx="26">
                  <c:v>0.29025732999999998</c:v>
                </c:pt>
                <c:pt idx="27">
                  <c:v>0.26224732000000001</c:v>
                </c:pt>
                <c:pt idx="28">
                  <c:v>0.20959043999999999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B55-4C8D-85AF-7DF577C800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3"/>
        <c:overlap val="-27"/>
        <c:axId val="917961471"/>
        <c:axId val="917964383"/>
      </c:barChart>
      <c:catAx>
        <c:axId val="9179614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917964383"/>
        <c:crosses val="autoZero"/>
        <c:auto val="1"/>
        <c:lblAlgn val="ctr"/>
        <c:lblOffset val="100"/>
        <c:noMultiLvlLbl val="0"/>
      </c:catAx>
      <c:valAx>
        <c:axId val="917964383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9179614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B9C2-CA4C-46C2-821B-5CCEC0FA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CZ.dotx</Template>
  <TotalTime>19</TotalTime>
  <Pages>6</Pages>
  <Words>1266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8722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hykysova23070</dc:creator>
  <cp:lastModifiedBy>hykysova23070</cp:lastModifiedBy>
  <cp:revision>4</cp:revision>
  <cp:lastPrinted>2020-08-28T07:31:00Z</cp:lastPrinted>
  <dcterms:created xsi:type="dcterms:W3CDTF">2020-09-24T06:56:00Z</dcterms:created>
  <dcterms:modified xsi:type="dcterms:W3CDTF">2020-09-24T07:26:00Z</dcterms:modified>
</cp:coreProperties>
</file>