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E40" w:rsidRPr="009110F7" w:rsidRDefault="007B3622" w:rsidP="00E67696">
      <w:pPr>
        <w:rPr>
          <w:lang w:eastAsia="ar-SA"/>
        </w:rPr>
        <w:sectPr w:rsidR="00A75E40" w:rsidRPr="009110F7" w:rsidSect="0085114D">
          <w:pgSz w:w="11906" w:h="16838" w:code="9"/>
          <w:pgMar w:top="1134" w:right="1134" w:bottom="1418" w:left="1134" w:header="709" w:footer="709" w:gutter="0"/>
          <w:pgNumType w:start="1"/>
          <w:cols w:space="708"/>
          <w:docGrid w:linePitch="360"/>
        </w:sectPr>
      </w:pPr>
      <w:bookmarkStart w:id="0" w:name="_GoBack"/>
      <w:bookmarkEnd w:id="0"/>
      <w:r>
        <w:rPr>
          <w:noProof/>
        </w:rPr>
        <mc:AlternateContent>
          <mc:Choice Requires="wpg">
            <w:drawing>
              <wp:anchor distT="0" distB="0" distL="114300" distR="114300" simplePos="0" relativeHeight="251663872" behindDoc="0" locked="1" layoutInCell="1" allowOverlap="1" wp14:anchorId="06EAB90E" wp14:editId="75CA0DB2">
                <wp:simplePos x="0" y="0"/>
                <wp:positionH relativeFrom="page">
                  <wp:posOffset>862965</wp:posOffset>
                </wp:positionH>
                <wp:positionV relativeFrom="page">
                  <wp:posOffset>538480</wp:posOffset>
                </wp:positionV>
                <wp:extent cx="2181860" cy="514985"/>
                <wp:effectExtent l="0" t="0" r="3810" b="6350"/>
                <wp:wrapSquare wrapText="bothSides"/>
                <wp:docPr id="58" name="Skupina 3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81860" cy="514985"/>
                          <a:chOff x="0" y="0"/>
                          <a:chExt cx="1671002" cy="395288"/>
                        </a:xfrm>
                      </wpg:grpSpPr>
                      <wps:wsp>
                        <wps:cNvPr id="59" name="Rectangle 5"/>
                        <wps:cNvSpPr>
                          <a:spLocks noChangeArrowheads="1"/>
                        </wps:cNvSpPr>
                        <wps:spPr bwMode="auto">
                          <a:xfrm>
                            <a:off x="395287" y="4763"/>
                            <a:ext cx="419100" cy="98425"/>
                          </a:xfrm>
                          <a:prstGeom prst="rect">
                            <a:avLst/>
                          </a:prstGeom>
                          <a:solidFill>
                            <a:srgbClr val="0071BC"/>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
                        <wps:cNvSpPr>
                          <a:spLocks noChangeArrowheads="1"/>
                        </wps:cNvSpPr>
                        <wps:spPr bwMode="auto">
                          <a:xfrm>
                            <a:off x="0" y="147638"/>
                            <a:ext cx="814705" cy="97790"/>
                          </a:xfrm>
                          <a:prstGeom prst="rect">
                            <a:avLst/>
                          </a:prstGeom>
                          <a:solidFill>
                            <a:srgbClr val="0071BC"/>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
                        <wps:cNvSpPr>
                          <a:spLocks noChangeArrowheads="1"/>
                        </wps:cNvSpPr>
                        <wps:spPr bwMode="auto">
                          <a:xfrm>
                            <a:off x="357187" y="295275"/>
                            <a:ext cx="457200" cy="97790"/>
                          </a:xfrm>
                          <a:prstGeom prst="rect">
                            <a:avLst/>
                          </a:prstGeom>
                          <a:solidFill>
                            <a:srgbClr val="0071BC"/>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s:wsp>
                        <wps:cNvPr id="62" name="Freeform 8"/>
                        <wps:cNvSpPr>
                          <a:spLocks noEditPoints="1"/>
                        </wps:cNvSpPr>
                        <wps:spPr bwMode="auto">
                          <a:xfrm>
                            <a:off x="862012" y="290513"/>
                            <a:ext cx="455295" cy="104775"/>
                          </a:xfrm>
                          <a:custGeom>
                            <a:avLst/>
                            <a:gdLst>
                              <a:gd name="T0" fmla="*/ 34559 w 1436"/>
                              <a:gd name="T1" fmla="*/ 3175 h 330"/>
                              <a:gd name="T2" fmla="*/ 14268 w 1436"/>
                              <a:gd name="T3" fmla="*/ 16193 h 330"/>
                              <a:gd name="T4" fmla="*/ 1268 w 1436"/>
                              <a:gd name="T5" fmla="*/ 40640 h 330"/>
                              <a:gd name="T6" fmla="*/ 2536 w 1436"/>
                              <a:gd name="T7" fmla="*/ 67628 h 330"/>
                              <a:gd name="T8" fmla="*/ 15536 w 1436"/>
                              <a:gd name="T9" fmla="*/ 89535 h 330"/>
                              <a:gd name="T10" fmla="*/ 37096 w 1436"/>
                              <a:gd name="T11" fmla="*/ 102235 h 330"/>
                              <a:gd name="T12" fmla="*/ 63729 w 1436"/>
                              <a:gd name="T13" fmla="*/ 103823 h 330"/>
                              <a:gd name="T14" fmla="*/ 85923 w 1436"/>
                              <a:gd name="T15" fmla="*/ 95250 h 330"/>
                              <a:gd name="T16" fmla="*/ 103044 w 1436"/>
                              <a:gd name="T17" fmla="*/ 74613 h 330"/>
                              <a:gd name="T18" fmla="*/ 107483 w 1436"/>
                              <a:gd name="T19" fmla="*/ 47308 h 330"/>
                              <a:gd name="T20" fmla="*/ 99873 w 1436"/>
                              <a:gd name="T21" fmla="*/ 24448 h 330"/>
                              <a:gd name="T22" fmla="*/ 81167 w 1436"/>
                              <a:gd name="T23" fmla="*/ 6350 h 330"/>
                              <a:gd name="T24" fmla="*/ 53900 w 1436"/>
                              <a:gd name="T25" fmla="*/ 0 h 330"/>
                              <a:gd name="T26" fmla="*/ 62143 w 1436"/>
                              <a:gd name="T27" fmla="*/ 26353 h 330"/>
                              <a:gd name="T28" fmla="*/ 73557 w 1436"/>
                              <a:gd name="T29" fmla="*/ 33020 h 330"/>
                              <a:gd name="T30" fmla="*/ 80216 w 1436"/>
                              <a:gd name="T31" fmla="*/ 44133 h 330"/>
                              <a:gd name="T32" fmla="*/ 81167 w 1436"/>
                              <a:gd name="T33" fmla="*/ 58103 h 330"/>
                              <a:gd name="T34" fmla="*/ 75143 w 1436"/>
                              <a:gd name="T35" fmla="*/ 70168 h 330"/>
                              <a:gd name="T36" fmla="*/ 64363 w 1436"/>
                              <a:gd name="T37" fmla="*/ 78105 h 330"/>
                              <a:gd name="T38" fmla="*/ 51046 w 1436"/>
                              <a:gd name="T39" fmla="*/ 80010 h 330"/>
                              <a:gd name="T40" fmla="*/ 38364 w 1436"/>
                              <a:gd name="T41" fmla="*/ 75248 h 330"/>
                              <a:gd name="T42" fmla="*/ 29803 w 1436"/>
                              <a:gd name="T43" fmla="*/ 65405 h 330"/>
                              <a:gd name="T44" fmla="*/ 26633 w 1436"/>
                              <a:gd name="T45" fmla="*/ 52070 h 330"/>
                              <a:gd name="T46" fmla="*/ 29803 w 1436"/>
                              <a:gd name="T47" fmla="*/ 39053 h 330"/>
                              <a:gd name="T48" fmla="*/ 38681 w 1436"/>
                              <a:gd name="T49" fmla="*/ 29528 h 330"/>
                              <a:gd name="T50" fmla="*/ 51046 w 1436"/>
                              <a:gd name="T51" fmla="*/ 25083 h 330"/>
                              <a:gd name="T52" fmla="*/ 120482 w 1436"/>
                              <a:gd name="T53" fmla="*/ 3175 h 330"/>
                              <a:gd name="T54" fmla="*/ 173748 w 1436"/>
                              <a:gd name="T55" fmla="*/ 40958 h 330"/>
                              <a:gd name="T56" fmla="*/ 248890 w 1436"/>
                              <a:gd name="T57" fmla="*/ 3175 h 330"/>
                              <a:gd name="T58" fmla="*/ 246037 w 1436"/>
                              <a:gd name="T59" fmla="*/ 62548 h 330"/>
                              <a:gd name="T60" fmla="*/ 290742 w 1436"/>
                              <a:gd name="T61" fmla="*/ 3175 h 330"/>
                              <a:gd name="T62" fmla="*/ 380152 w 1436"/>
                              <a:gd name="T63" fmla="*/ 6033 h 330"/>
                              <a:gd name="T64" fmla="*/ 351617 w 1436"/>
                              <a:gd name="T65" fmla="*/ 1270 h 330"/>
                              <a:gd name="T66" fmla="*/ 327838 w 1436"/>
                              <a:gd name="T67" fmla="*/ 9843 h 330"/>
                              <a:gd name="T68" fmla="*/ 311668 w 1436"/>
                              <a:gd name="T69" fmla="*/ 27940 h 330"/>
                              <a:gd name="T70" fmla="*/ 305327 w 1436"/>
                              <a:gd name="T71" fmla="*/ 53023 h 330"/>
                              <a:gd name="T72" fmla="*/ 310717 w 1436"/>
                              <a:gd name="T73" fmla="*/ 75565 h 330"/>
                              <a:gd name="T74" fmla="*/ 326887 w 1436"/>
                              <a:gd name="T75" fmla="*/ 93980 h 330"/>
                              <a:gd name="T76" fmla="*/ 351934 w 1436"/>
                              <a:gd name="T77" fmla="*/ 103505 h 330"/>
                              <a:gd name="T78" fmla="*/ 380152 w 1436"/>
                              <a:gd name="T79" fmla="*/ 99060 h 330"/>
                              <a:gd name="T80" fmla="*/ 369689 w 1436"/>
                              <a:gd name="T81" fmla="*/ 76835 h 330"/>
                              <a:gd name="T82" fmla="*/ 355739 w 1436"/>
                              <a:gd name="T83" fmla="*/ 79375 h 330"/>
                              <a:gd name="T84" fmla="*/ 340520 w 1436"/>
                              <a:gd name="T85" fmla="*/ 73025 h 330"/>
                              <a:gd name="T86" fmla="*/ 333228 w 1436"/>
                              <a:gd name="T87" fmla="*/ 61595 h 330"/>
                              <a:gd name="T88" fmla="*/ 332277 w 1436"/>
                              <a:gd name="T89" fmla="*/ 46990 h 330"/>
                              <a:gd name="T90" fmla="*/ 337984 w 1436"/>
                              <a:gd name="T91" fmla="*/ 35560 h 330"/>
                              <a:gd name="T92" fmla="*/ 347812 w 1436"/>
                              <a:gd name="T93" fmla="*/ 27940 h 330"/>
                              <a:gd name="T94" fmla="*/ 361129 w 1436"/>
                              <a:gd name="T95" fmla="*/ 26035 h 330"/>
                              <a:gd name="T96" fmla="*/ 375396 w 1436"/>
                              <a:gd name="T97" fmla="*/ 31750 h 330"/>
                              <a:gd name="T98" fmla="*/ 455295 w 1436"/>
                              <a:gd name="T99" fmla="*/ 3175 h 330"/>
                              <a:gd name="T100" fmla="*/ 425175 w 1436"/>
                              <a:gd name="T101" fmla="*/ 79693 h 330"/>
                              <a:gd name="T102" fmla="*/ 425175 w 1436"/>
                              <a:gd name="T103" fmla="*/ 24765 h 33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436" h="330">
                                <a:moveTo>
                                  <a:pt x="170" y="0"/>
                                </a:moveTo>
                                <a:lnTo>
                                  <a:pt x="155" y="1"/>
                                </a:lnTo>
                                <a:lnTo>
                                  <a:pt x="139" y="2"/>
                                </a:lnTo>
                                <a:lnTo>
                                  <a:pt x="124" y="6"/>
                                </a:lnTo>
                                <a:lnTo>
                                  <a:pt x="109" y="10"/>
                                </a:lnTo>
                                <a:lnTo>
                                  <a:pt x="95" y="16"/>
                                </a:lnTo>
                                <a:lnTo>
                                  <a:pt x="81" y="23"/>
                                </a:lnTo>
                                <a:lnTo>
                                  <a:pt x="69" y="30"/>
                                </a:lnTo>
                                <a:lnTo>
                                  <a:pt x="58" y="39"/>
                                </a:lnTo>
                                <a:lnTo>
                                  <a:pt x="45" y="51"/>
                                </a:lnTo>
                                <a:lnTo>
                                  <a:pt x="34" y="65"/>
                                </a:lnTo>
                                <a:lnTo>
                                  <a:pt x="24" y="79"/>
                                </a:lnTo>
                                <a:lnTo>
                                  <a:pt x="15" y="95"/>
                                </a:lnTo>
                                <a:lnTo>
                                  <a:pt x="9" y="112"/>
                                </a:lnTo>
                                <a:lnTo>
                                  <a:pt x="4" y="128"/>
                                </a:lnTo>
                                <a:lnTo>
                                  <a:pt x="2" y="146"/>
                                </a:lnTo>
                                <a:lnTo>
                                  <a:pt x="0" y="162"/>
                                </a:lnTo>
                                <a:lnTo>
                                  <a:pt x="2" y="181"/>
                                </a:lnTo>
                                <a:lnTo>
                                  <a:pt x="4" y="197"/>
                                </a:lnTo>
                                <a:lnTo>
                                  <a:pt x="8" y="213"/>
                                </a:lnTo>
                                <a:lnTo>
                                  <a:pt x="13" y="230"/>
                                </a:lnTo>
                                <a:lnTo>
                                  <a:pt x="20" y="243"/>
                                </a:lnTo>
                                <a:lnTo>
                                  <a:pt x="28" y="258"/>
                                </a:lnTo>
                                <a:lnTo>
                                  <a:pt x="38" y="271"/>
                                </a:lnTo>
                                <a:lnTo>
                                  <a:pt x="49" y="282"/>
                                </a:lnTo>
                                <a:lnTo>
                                  <a:pt x="60" y="294"/>
                                </a:lnTo>
                                <a:lnTo>
                                  <a:pt x="73" y="302"/>
                                </a:lnTo>
                                <a:lnTo>
                                  <a:pt x="86" y="311"/>
                                </a:lnTo>
                                <a:lnTo>
                                  <a:pt x="101" y="317"/>
                                </a:lnTo>
                                <a:lnTo>
                                  <a:pt x="117" y="322"/>
                                </a:lnTo>
                                <a:lnTo>
                                  <a:pt x="134" y="327"/>
                                </a:lnTo>
                                <a:lnTo>
                                  <a:pt x="151" y="330"/>
                                </a:lnTo>
                                <a:lnTo>
                                  <a:pt x="168" y="330"/>
                                </a:lnTo>
                                <a:lnTo>
                                  <a:pt x="186" y="330"/>
                                </a:lnTo>
                                <a:lnTo>
                                  <a:pt x="201" y="327"/>
                                </a:lnTo>
                                <a:lnTo>
                                  <a:pt x="217" y="325"/>
                                </a:lnTo>
                                <a:lnTo>
                                  <a:pt x="231" y="320"/>
                                </a:lnTo>
                                <a:lnTo>
                                  <a:pt x="244" y="315"/>
                                </a:lnTo>
                                <a:lnTo>
                                  <a:pt x="258" y="309"/>
                                </a:lnTo>
                                <a:lnTo>
                                  <a:pt x="271" y="300"/>
                                </a:lnTo>
                                <a:lnTo>
                                  <a:pt x="283" y="291"/>
                                </a:lnTo>
                                <a:lnTo>
                                  <a:pt x="296" y="279"/>
                                </a:lnTo>
                                <a:lnTo>
                                  <a:pt x="307" y="265"/>
                                </a:lnTo>
                                <a:lnTo>
                                  <a:pt x="317" y="251"/>
                                </a:lnTo>
                                <a:lnTo>
                                  <a:pt x="325" y="235"/>
                                </a:lnTo>
                                <a:lnTo>
                                  <a:pt x="332" y="218"/>
                                </a:lnTo>
                                <a:lnTo>
                                  <a:pt x="337" y="201"/>
                                </a:lnTo>
                                <a:lnTo>
                                  <a:pt x="339" y="183"/>
                                </a:lnTo>
                                <a:lnTo>
                                  <a:pt x="340" y="166"/>
                                </a:lnTo>
                                <a:lnTo>
                                  <a:pt x="339" y="149"/>
                                </a:lnTo>
                                <a:lnTo>
                                  <a:pt x="338" y="134"/>
                                </a:lnTo>
                                <a:lnTo>
                                  <a:pt x="334" y="119"/>
                                </a:lnTo>
                                <a:lnTo>
                                  <a:pt x="329" y="104"/>
                                </a:lnTo>
                                <a:lnTo>
                                  <a:pt x="323" y="90"/>
                                </a:lnTo>
                                <a:lnTo>
                                  <a:pt x="315" y="77"/>
                                </a:lnTo>
                                <a:lnTo>
                                  <a:pt x="306" y="64"/>
                                </a:lnTo>
                                <a:lnTo>
                                  <a:pt x="296" y="53"/>
                                </a:lnTo>
                                <a:lnTo>
                                  <a:pt x="283" y="40"/>
                                </a:lnTo>
                                <a:lnTo>
                                  <a:pt x="269" y="30"/>
                                </a:lnTo>
                                <a:lnTo>
                                  <a:pt x="256" y="20"/>
                                </a:lnTo>
                                <a:lnTo>
                                  <a:pt x="239" y="14"/>
                                </a:lnTo>
                                <a:lnTo>
                                  <a:pt x="223" y="8"/>
                                </a:lnTo>
                                <a:lnTo>
                                  <a:pt x="207" y="4"/>
                                </a:lnTo>
                                <a:lnTo>
                                  <a:pt x="188" y="1"/>
                                </a:lnTo>
                                <a:lnTo>
                                  <a:pt x="170" y="0"/>
                                </a:lnTo>
                                <a:close/>
                                <a:moveTo>
                                  <a:pt x="170" y="78"/>
                                </a:moveTo>
                                <a:lnTo>
                                  <a:pt x="180" y="79"/>
                                </a:lnTo>
                                <a:lnTo>
                                  <a:pt x="187" y="80"/>
                                </a:lnTo>
                                <a:lnTo>
                                  <a:pt x="196" y="83"/>
                                </a:lnTo>
                                <a:lnTo>
                                  <a:pt x="205" y="85"/>
                                </a:lnTo>
                                <a:lnTo>
                                  <a:pt x="212" y="89"/>
                                </a:lnTo>
                                <a:lnTo>
                                  <a:pt x="218" y="93"/>
                                </a:lnTo>
                                <a:lnTo>
                                  <a:pt x="226" y="98"/>
                                </a:lnTo>
                                <a:lnTo>
                                  <a:pt x="232" y="104"/>
                                </a:lnTo>
                                <a:lnTo>
                                  <a:pt x="237" y="110"/>
                                </a:lnTo>
                                <a:lnTo>
                                  <a:pt x="242" y="117"/>
                                </a:lnTo>
                                <a:lnTo>
                                  <a:pt x="247" y="124"/>
                                </a:lnTo>
                                <a:lnTo>
                                  <a:pt x="249" y="132"/>
                                </a:lnTo>
                                <a:lnTo>
                                  <a:pt x="253" y="139"/>
                                </a:lnTo>
                                <a:lnTo>
                                  <a:pt x="256" y="148"/>
                                </a:lnTo>
                                <a:lnTo>
                                  <a:pt x="257" y="157"/>
                                </a:lnTo>
                                <a:lnTo>
                                  <a:pt x="257" y="166"/>
                                </a:lnTo>
                                <a:lnTo>
                                  <a:pt x="257" y="174"/>
                                </a:lnTo>
                                <a:lnTo>
                                  <a:pt x="256" y="183"/>
                                </a:lnTo>
                                <a:lnTo>
                                  <a:pt x="253" y="191"/>
                                </a:lnTo>
                                <a:lnTo>
                                  <a:pt x="249" y="199"/>
                                </a:lnTo>
                                <a:lnTo>
                                  <a:pt x="247" y="207"/>
                                </a:lnTo>
                                <a:lnTo>
                                  <a:pt x="242" y="213"/>
                                </a:lnTo>
                                <a:lnTo>
                                  <a:pt x="237" y="221"/>
                                </a:lnTo>
                                <a:lnTo>
                                  <a:pt x="232" y="227"/>
                                </a:lnTo>
                                <a:lnTo>
                                  <a:pt x="226" y="232"/>
                                </a:lnTo>
                                <a:lnTo>
                                  <a:pt x="218" y="237"/>
                                </a:lnTo>
                                <a:lnTo>
                                  <a:pt x="212" y="242"/>
                                </a:lnTo>
                                <a:lnTo>
                                  <a:pt x="203" y="246"/>
                                </a:lnTo>
                                <a:lnTo>
                                  <a:pt x="196" y="248"/>
                                </a:lnTo>
                                <a:lnTo>
                                  <a:pt x="187" y="251"/>
                                </a:lnTo>
                                <a:lnTo>
                                  <a:pt x="180" y="252"/>
                                </a:lnTo>
                                <a:lnTo>
                                  <a:pt x="170" y="252"/>
                                </a:lnTo>
                                <a:lnTo>
                                  <a:pt x="161" y="252"/>
                                </a:lnTo>
                                <a:lnTo>
                                  <a:pt x="152" y="251"/>
                                </a:lnTo>
                                <a:lnTo>
                                  <a:pt x="145" y="248"/>
                                </a:lnTo>
                                <a:lnTo>
                                  <a:pt x="136" y="246"/>
                                </a:lnTo>
                                <a:lnTo>
                                  <a:pt x="129" y="242"/>
                                </a:lnTo>
                                <a:lnTo>
                                  <a:pt x="121" y="237"/>
                                </a:lnTo>
                                <a:lnTo>
                                  <a:pt x="115" y="232"/>
                                </a:lnTo>
                                <a:lnTo>
                                  <a:pt x="109" y="227"/>
                                </a:lnTo>
                                <a:lnTo>
                                  <a:pt x="104" y="221"/>
                                </a:lnTo>
                                <a:lnTo>
                                  <a:pt x="99" y="213"/>
                                </a:lnTo>
                                <a:lnTo>
                                  <a:pt x="94" y="206"/>
                                </a:lnTo>
                                <a:lnTo>
                                  <a:pt x="90" y="198"/>
                                </a:lnTo>
                                <a:lnTo>
                                  <a:pt x="87" y="191"/>
                                </a:lnTo>
                                <a:lnTo>
                                  <a:pt x="85" y="182"/>
                                </a:lnTo>
                                <a:lnTo>
                                  <a:pt x="84" y="173"/>
                                </a:lnTo>
                                <a:lnTo>
                                  <a:pt x="84" y="164"/>
                                </a:lnTo>
                                <a:lnTo>
                                  <a:pt x="84" y="156"/>
                                </a:lnTo>
                                <a:lnTo>
                                  <a:pt x="85" y="147"/>
                                </a:lnTo>
                                <a:lnTo>
                                  <a:pt x="87" y="139"/>
                                </a:lnTo>
                                <a:lnTo>
                                  <a:pt x="90" y="130"/>
                                </a:lnTo>
                                <a:lnTo>
                                  <a:pt x="94" y="123"/>
                                </a:lnTo>
                                <a:lnTo>
                                  <a:pt x="99" y="117"/>
                                </a:lnTo>
                                <a:lnTo>
                                  <a:pt x="104" y="110"/>
                                </a:lnTo>
                                <a:lnTo>
                                  <a:pt x="109" y="104"/>
                                </a:lnTo>
                                <a:lnTo>
                                  <a:pt x="115" y="98"/>
                                </a:lnTo>
                                <a:lnTo>
                                  <a:pt x="122" y="93"/>
                                </a:lnTo>
                                <a:lnTo>
                                  <a:pt x="129" y="89"/>
                                </a:lnTo>
                                <a:lnTo>
                                  <a:pt x="136" y="85"/>
                                </a:lnTo>
                                <a:lnTo>
                                  <a:pt x="145" y="83"/>
                                </a:lnTo>
                                <a:lnTo>
                                  <a:pt x="152" y="80"/>
                                </a:lnTo>
                                <a:lnTo>
                                  <a:pt x="161" y="79"/>
                                </a:lnTo>
                                <a:lnTo>
                                  <a:pt x="170" y="78"/>
                                </a:lnTo>
                                <a:close/>
                                <a:moveTo>
                                  <a:pt x="557" y="78"/>
                                </a:moveTo>
                                <a:lnTo>
                                  <a:pt x="557" y="10"/>
                                </a:lnTo>
                                <a:lnTo>
                                  <a:pt x="380" y="10"/>
                                </a:lnTo>
                                <a:lnTo>
                                  <a:pt x="380" y="319"/>
                                </a:lnTo>
                                <a:lnTo>
                                  <a:pt x="460" y="319"/>
                                </a:lnTo>
                                <a:lnTo>
                                  <a:pt x="460" y="197"/>
                                </a:lnTo>
                                <a:lnTo>
                                  <a:pt x="548" y="197"/>
                                </a:lnTo>
                                <a:lnTo>
                                  <a:pt x="548" y="129"/>
                                </a:lnTo>
                                <a:lnTo>
                                  <a:pt x="460" y="129"/>
                                </a:lnTo>
                                <a:lnTo>
                                  <a:pt x="460" y="78"/>
                                </a:lnTo>
                                <a:lnTo>
                                  <a:pt x="557" y="78"/>
                                </a:lnTo>
                                <a:close/>
                                <a:moveTo>
                                  <a:pt x="785" y="78"/>
                                </a:moveTo>
                                <a:lnTo>
                                  <a:pt x="785" y="10"/>
                                </a:lnTo>
                                <a:lnTo>
                                  <a:pt x="608" y="10"/>
                                </a:lnTo>
                                <a:lnTo>
                                  <a:pt x="608" y="319"/>
                                </a:lnTo>
                                <a:lnTo>
                                  <a:pt x="688" y="319"/>
                                </a:lnTo>
                                <a:lnTo>
                                  <a:pt x="688" y="197"/>
                                </a:lnTo>
                                <a:lnTo>
                                  <a:pt x="776" y="197"/>
                                </a:lnTo>
                                <a:lnTo>
                                  <a:pt x="776" y="129"/>
                                </a:lnTo>
                                <a:lnTo>
                                  <a:pt x="688" y="129"/>
                                </a:lnTo>
                                <a:lnTo>
                                  <a:pt x="688" y="78"/>
                                </a:lnTo>
                                <a:lnTo>
                                  <a:pt x="785" y="78"/>
                                </a:lnTo>
                                <a:close/>
                                <a:moveTo>
                                  <a:pt x="917" y="10"/>
                                </a:moveTo>
                                <a:lnTo>
                                  <a:pt x="838" y="10"/>
                                </a:lnTo>
                                <a:lnTo>
                                  <a:pt x="838" y="319"/>
                                </a:lnTo>
                                <a:lnTo>
                                  <a:pt x="917" y="319"/>
                                </a:lnTo>
                                <a:lnTo>
                                  <a:pt x="917" y="10"/>
                                </a:lnTo>
                                <a:close/>
                                <a:moveTo>
                                  <a:pt x="1199" y="19"/>
                                </a:moveTo>
                                <a:lnTo>
                                  <a:pt x="1179" y="11"/>
                                </a:lnTo>
                                <a:lnTo>
                                  <a:pt x="1160" y="6"/>
                                </a:lnTo>
                                <a:lnTo>
                                  <a:pt x="1144" y="4"/>
                                </a:lnTo>
                                <a:lnTo>
                                  <a:pt x="1127" y="4"/>
                                </a:lnTo>
                                <a:lnTo>
                                  <a:pt x="1109" y="4"/>
                                </a:lnTo>
                                <a:lnTo>
                                  <a:pt x="1093" y="6"/>
                                </a:lnTo>
                                <a:lnTo>
                                  <a:pt x="1078" y="10"/>
                                </a:lnTo>
                                <a:lnTo>
                                  <a:pt x="1063" y="16"/>
                                </a:lnTo>
                                <a:lnTo>
                                  <a:pt x="1048" y="23"/>
                                </a:lnTo>
                                <a:lnTo>
                                  <a:pt x="1034" y="31"/>
                                </a:lnTo>
                                <a:lnTo>
                                  <a:pt x="1022" y="40"/>
                                </a:lnTo>
                                <a:lnTo>
                                  <a:pt x="1011" y="50"/>
                                </a:lnTo>
                                <a:lnTo>
                                  <a:pt x="1001" y="63"/>
                                </a:lnTo>
                                <a:lnTo>
                                  <a:pt x="991" y="75"/>
                                </a:lnTo>
                                <a:lnTo>
                                  <a:pt x="983" y="88"/>
                                </a:lnTo>
                                <a:lnTo>
                                  <a:pt x="976" y="103"/>
                                </a:lnTo>
                                <a:lnTo>
                                  <a:pt x="971" y="118"/>
                                </a:lnTo>
                                <a:lnTo>
                                  <a:pt x="967" y="134"/>
                                </a:lnTo>
                                <a:lnTo>
                                  <a:pt x="965" y="151"/>
                                </a:lnTo>
                                <a:lnTo>
                                  <a:pt x="963" y="167"/>
                                </a:lnTo>
                                <a:lnTo>
                                  <a:pt x="965" y="182"/>
                                </a:lnTo>
                                <a:lnTo>
                                  <a:pt x="966" y="197"/>
                                </a:lnTo>
                                <a:lnTo>
                                  <a:pt x="970" y="211"/>
                                </a:lnTo>
                                <a:lnTo>
                                  <a:pt x="973" y="225"/>
                                </a:lnTo>
                                <a:lnTo>
                                  <a:pt x="980" y="238"/>
                                </a:lnTo>
                                <a:lnTo>
                                  <a:pt x="987" y="251"/>
                                </a:lnTo>
                                <a:lnTo>
                                  <a:pt x="994" y="262"/>
                                </a:lnTo>
                                <a:lnTo>
                                  <a:pt x="1004" y="274"/>
                                </a:lnTo>
                                <a:lnTo>
                                  <a:pt x="1017" y="286"/>
                                </a:lnTo>
                                <a:lnTo>
                                  <a:pt x="1031" y="296"/>
                                </a:lnTo>
                                <a:lnTo>
                                  <a:pt x="1044" y="305"/>
                                </a:lnTo>
                                <a:lnTo>
                                  <a:pt x="1061" y="314"/>
                                </a:lnTo>
                                <a:lnTo>
                                  <a:pt x="1077" y="319"/>
                                </a:lnTo>
                                <a:lnTo>
                                  <a:pt x="1093" y="324"/>
                                </a:lnTo>
                                <a:lnTo>
                                  <a:pt x="1110" y="326"/>
                                </a:lnTo>
                                <a:lnTo>
                                  <a:pt x="1127" y="327"/>
                                </a:lnTo>
                                <a:lnTo>
                                  <a:pt x="1143" y="327"/>
                                </a:lnTo>
                                <a:lnTo>
                                  <a:pt x="1156" y="325"/>
                                </a:lnTo>
                                <a:lnTo>
                                  <a:pt x="1175" y="320"/>
                                </a:lnTo>
                                <a:lnTo>
                                  <a:pt x="1199" y="312"/>
                                </a:lnTo>
                                <a:lnTo>
                                  <a:pt x="1199" y="217"/>
                                </a:lnTo>
                                <a:lnTo>
                                  <a:pt x="1190" y="225"/>
                                </a:lnTo>
                                <a:lnTo>
                                  <a:pt x="1183" y="232"/>
                                </a:lnTo>
                                <a:lnTo>
                                  <a:pt x="1174" y="237"/>
                                </a:lnTo>
                                <a:lnTo>
                                  <a:pt x="1166" y="242"/>
                                </a:lnTo>
                                <a:lnTo>
                                  <a:pt x="1158" y="245"/>
                                </a:lnTo>
                                <a:lnTo>
                                  <a:pt x="1149" y="247"/>
                                </a:lnTo>
                                <a:lnTo>
                                  <a:pt x="1139" y="248"/>
                                </a:lnTo>
                                <a:lnTo>
                                  <a:pt x="1129" y="250"/>
                                </a:lnTo>
                                <a:lnTo>
                                  <a:pt x="1122" y="250"/>
                                </a:lnTo>
                                <a:lnTo>
                                  <a:pt x="1114" y="248"/>
                                </a:lnTo>
                                <a:lnTo>
                                  <a:pt x="1107" y="246"/>
                                </a:lnTo>
                                <a:lnTo>
                                  <a:pt x="1100" y="245"/>
                                </a:lnTo>
                                <a:lnTo>
                                  <a:pt x="1087" y="238"/>
                                </a:lnTo>
                                <a:lnTo>
                                  <a:pt x="1074" y="230"/>
                                </a:lnTo>
                                <a:lnTo>
                                  <a:pt x="1068" y="223"/>
                                </a:lnTo>
                                <a:lnTo>
                                  <a:pt x="1062" y="217"/>
                                </a:lnTo>
                                <a:lnTo>
                                  <a:pt x="1058" y="210"/>
                                </a:lnTo>
                                <a:lnTo>
                                  <a:pt x="1053" y="202"/>
                                </a:lnTo>
                                <a:lnTo>
                                  <a:pt x="1051" y="194"/>
                                </a:lnTo>
                                <a:lnTo>
                                  <a:pt x="1048" y="186"/>
                                </a:lnTo>
                                <a:lnTo>
                                  <a:pt x="1047" y="176"/>
                                </a:lnTo>
                                <a:lnTo>
                                  <a:pt x="1047" y="167"/>
                                </a:lnTo>
                                <a:lnTo>
                                  <a:pt x="1047" y="157"/>
                                </a:lnTo>
                                <a:lnTo>
                                  <a:pt x="1048" y="148"/>
                                </a:lnTo>
                                <a:lnTo>
                                  <a:pt x="1051" y="141"/>
                                </a:lnTo>
                                <a:lnTo>
                                  <a:pt x="1053" y="132"/>
                                </a:lnTo>
                                <a:lnTo>
                                  <a:pt x="1057" y="124"/>
                                </a:lnTo>
                                <a:lnTo>
                                  <a:pt x="1061" y="118"/>
                                </a:lnTo>
                                <a:lnTo>
                                  <a:pt x="1066" y="112"/>
                                </a:lnTo>
                                <a:lnTo>
                                  <a:pt x="1070" y="105"/>
                                </a:lnTo>
                                <a:lnTo>
                                  <a:pt x="1075" y="100"/>
                                </a:lnTo>
                                <a:lnTo>
                                  <a:pt x="1082" y="95"/>
                                </a:lnTo>
                                <a:lnTo>
                                  <a:pt x="1089" y="90"/>
                                </a:lnTo>
                                <a:lnTo>
                                  <a:pt x="1097" y="88"/>
                                </a:lnTo>
                                <a:lnTo>
                                  <a:pt x="1104" y="84"/>
                                </a:lnTo>
                                <a:lnTo>
                                  <a:pt x="1112" y="83"/>
                                </a:lnTo>
                                <a:lnTo>
                                  <a:pt x="1120" y="82"/>
                                </a:lnTo>
                                <a:lnTo>
                                  <a:pt x="1129" y="82"/>
                                </a:lnTo>
                                <a:lnTo>
                                  <a:pt x="1139" y="82"/>
                                </a:lnTo>
                                <a:lnTo>
                                  <a:pt x="1149" y="83"/>
                                </a:lnTo>
                                <a:lnTo>
                                  <a:pt x="1159" y="85"/>
                                </a:lnTo>
                                <a:lnTo>
                                  <a:pt x="1168" y="89"/>
                                </a:lnTo>
                                <a:lnTo>
                                  <a:pt x="1175" y="94"/>
                                </a:lnTo>
                                <a:lnTo>
                                  <a:pt x="1184" y="100"/>
                                </a:lnTo>
                                <a:lnTo>
                                  <a:pt x="1191" y="107"/>
                                </a:lnTo>
                                <a:lnTo>
                                  <a:pt x="1199" y="115"/>
                                </a:lnTo>
                                <a:lnTo>
                                  <a:pt x="1199" y="19"/>
                                </a:lnTo>
                                <a:close/>
                                <a:moveTo>
                                  <a:pt x="1436" y="78"/>
                                </a:moveTo>
                                <a:lnTo>
                                  <a:pt x="1436" y="10"/>
                                </a:lnTo>
                                <a:lnTo>
                                  <a:pt x="1261" y="10"/>
                                </a:lnTo>
                                <a:lnTo>
                                  <a:pt x="1261" y="319"/>
                                </a:lnTo>
                                <a:lnTo>
                                  <a:pt x="1436" y="319"/>
                                </a:lnTo>
                                <a:lnTo>
                                  <a:pt x="1436" y="251"/>
                                </a:lnTo>
                                <a:lnTo>
                                  <a:pt x="1341" y="251"/>
                                </a:lnTo>
                                <a:lnTo>
                                  <a:pt x="1341" y="197"/>
                                </a:lnTo>
                                <a:lnTo>
                                  <a:pt x="1431" y="197"/>
                                </a:lnTo>
                                <a:lnTo>
                                  <a:pt x="1431" y="129"/>
                                </a:lnTo>
                                <a:lnTo>
                                  <a:pt x="1341" y="129"/>
                                </a:lnTo>
                                <a:lnTo>
                                  <a:pt x="1341" y="78"/>
                                </a:lnTo>
                                <a:lnTo>
                                  <a:pt x="1436" y="78"/>
                                </a:lnTo>
                                <a:close/>
                              </a:path>
                            </a:pathLst>
                          </a:custGeom>
                          <a:solidFill>
                            <a:srgbClr val="BD1B21"/>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3" name="Freeform 9"/>
                        <wps:cNvSpPr>
                          <a:spLocks noEditPoints="1"/>
                        </wps:cNvSpPr>
                        <wps:spPr bwMode="auto">
                          <a:xfrm>
                            <a:off x="862012" y="147638"/>
                            <a:ext cx="808990" cy="102870"/>
                          </a:xfrm>
                          <a:custGeom>
                            <a:avLst/>
                            <a:gdLst>
                              <a:gd name="T0" fmla="*/ 45067 w 2549"/>
                              <a:gd name="T1" fmla="*/ 317 h 325"/>
                              <a:gd name="T2" fmla="*/ 20629 w 2549"/>
                              <a:gd name="T3" fmla="*/ 3482 h 325"/>
                              <a:gd name="T4" fmla="*/ 6348 w 2549"/>
                              <a:gd name="T5" fmla="*/ 19308 h 325"/>
                              <a:gd name="T6" fmla="*/ 5078 w 2549"/>
                              <a:gd name="T7" fmla="*/ 41465 h 325"/>
                              <a:gd name="T8" fmla="*/ 18408 w 2549"/>
                              <a:gd name="T9" fmla="*/ 56025 h 325"/>
                              <a:gd name="T10" fmla="*/ 44115 w 2549"/>
                              <a:gd name="T11" fmla="*/ 66153 h 325"/>
                              <a:gd name="T12" fmla="*/ 41894 w 2549"/>
                              <a:gd name="T13" fmla="*/ 78181 h 325"/>
                              <a:gd name="T14" fmla="*/ 25073 w 2549"/>
                              <a:gd name="T15" fmla="*/ 79764 h 325"/>
                              <a:gd name="T16" fmla="*/ 4126 w 2549"/>
                              <a:gd name="T17" fmla="*/ 94007 h 325"/>
                              <a:gd name="T18" fmla="*/ 33642 w 2549"/>
                              <a:gd name="T19" fmla="*/ 102237 h 325"/>
                              <a:gd name="T20" fmla="*/ 59349 w 2549"/>
                              <a:gd name="T21" fmla="*/ 95273 h 325"/>
                              <a:gd name="T22" fmla="*/ 71409 w 2549"/>
                              <a:gd name="T23" fmla="*/ 75649 h 325"/>
                              <a:gd name="T24" fmla="*/ 67601 w 2549"/>
                              <a:gd name="T25" fmla="*/ 52226 h 325"/>
                              <a:gd name="T26" fmla="*/ 47924 w 2549"/>
                              <a:gd name="T27" fmla="*/ 40515 h 325"/>
                              <a:gd name="T28" fmla="*/ 30468 w 2549"/>
                              <a:gd name="T29" fmla="*/ 31019 h 325"/>
                              <a:gd name="T30" fmla="*/ 36816 w 2549"/>
                              <a:gd name="T31" fmla="*/ 21524 h 325"/>
                              <a:gd name="T32" fmla="*/ 53954 w 2549"/>
                              <a:gd name="T33" fmla="*/ 24689 h 325"/>
                              <a:gd name="T34" fmla="*/ 79026 w 2549"/>
                              <a:gd name="T35" fmla="*/ 23739 h 325"/>
                              <a:gd name="T36" fmla="*/ 244379 w 2549"/>
                              <a:gd name="T37" fmla="*/ 100021 h 325"/>
                              <a:gd name="T38" fmla="*/ 204072 w 2549"/>
                              <a:gd name="T39" fmla="*/ 63621 h 325"/>
                              <a:gd name="T40" fmla="*/ 240571 w 2549"/>
                              <a:gd name="T41" fmla="*/ 1899 h 325"/>
                              <a:gd name="T42" fmla="*/ 320867 w 2549"/>
                              <a:gd name="T43" fmla="*/ 1899 h 325"/>
                              <a:gd name="T44" fmla="*/ 419888 w 2549"/>
                              <a:gd name="T45" fmla="*/ 2849 h 325"/>
                              <a:gd name="T46" fmla="*/ 393228 w 2549"/>
                              <a:gd name="T47" fmla="*/ 317 h 325"/>
                              <a:gd name="T48" fmla="*/ 374186 w 2549"/>
                              <a:gd name="T49" fmla="*/ 11078 h 325"/>
                              <a:gd name="T50" fmla="*/ 366886 w 2549"/>
                              <a:gd name="T51" fmla="*/ 32918 h 325"/>
                              <a:gd name="T52" fmla="*/ 372916 w 2549"/>
                              <a:gd name="T53" fmla="*/ 50327 h 325"/>
                              <a:gd name="T54" fmla="*/ 401163 w 2549"/>
                              <a:gd name="T55" fmla="*/ 62672 h 325"/>
                              <a:gd name="T56" fmla="*/ 408462 w 2549"/>
                              <a:gd name="T57" fmla="*/ 73433 h 325"/>
                              <a:gd name="T58" fmla="*/ 396402 w 2549"/>
                              <a:gd name="T59" fmla="*/ 81030 h 325"/>
                              <a:gd name="T60" fmla="*/ 377042 w 2549"/>
                              <a:gd name="T61" fmla="*/ 73433 h 325"/>
                              <a:gd name="T62" fmla="*/ 384024 w 2549"/>
                              <a:gd name="T63" fmla="*/ 100654 h 325"/>
                              <a:gd name="T64" fmla="*/ 412588 w 2549"/>
                              <a:gd name="T65" fmla="*/ 100021 h 325"/>
                              <a:gd name="T66" fmla="*/ 430996 w 2549"/>
                              <a:gd name="T67" fmla="*/ 85778 h 325"/>
                              <a:gd name="T68" fmla="*/ 433852 w 2549"/>
                              <a:gd name="T69" fmla="*/ 58240 h 325"/>
                              <a:gd name="T70" fmla="*/ 424331 w 2549"/>
                              <a:gd name="T71" fmla="*/ 45896 h 325"/>
                              <a:gd name="T72" fmla="*/ 395767 w 2549"/>
                              <a:gd name="T73" fmla="*/ 34184 h 325"/>
                              <a:gd name="T74" fmla="*/ 395450 w 2549"/>
                              <a:gd name="T75" fmla="*/ 24689 h 325"/>
                              <a:gd name="T76" fmla="*/ 408462 w 2549"/>
                              <a:gd name="T77" fmla="*/ 21524 h 325"/>
                              <a:gd name="T78" fmla="*/ 508435 w 2549"/>
                              <a:gd name="T79" fmla="*/ 23739 h 325"/>
                              <a:gd name="T80" fmla="*/ 487489 w 2549"/>
                              <a:gd name="T81" fmla="*/ 23739 h 325"/>
                              <a:gd name="T82" fmla="*/ 629673 w 2549"/>
                              <a:gd name="T83" fmla="*/ 2849 h 325"/>
                              <a:gd name="T84" fmla="*/ 592857 w 2549"/>
                              <a:gd name="T85" fmla="*/ 3798 h 325"/>
                              <a:gd name="T86" fmla="*/ 567785 w 2549"/>
                              <a:gd name="T87" fmla="*/ 26904 h 325"/>
                              <a:gd name="T88" fmla="*/ 562389 w 2549"/>
                              <a:gd name="T89" fmla="*/ 61405 h 325"/>
                              <a:gd name="T90" fmla="*/ 578575 w 2549"/>
                              <a:gd name="T91" fmla="*/ 89260 h 325"/>
                              <a:gd name="T92" fmla="*/ 613487 w 2549"/>
                              <a:gd name="T93" fmla="*/ 102870 h 325"/>
                              <a:gd name="T94" fmla="*/ 631260 w 2549"/>
                              <a:gd name="T95" fmla="*/ 72167 h 325"/>
                              <a:gd name="T96" fmla="*/ 611900 w 2549"/>
                              <a:gd name="T97" fmla="*/ 77865 h 325"/>
                              <a:gd name="T98" fmla="*/ 596666 w 2549"/>
                              <a:gd name="T99" fmla="*/ 71534 h 325"/>
                              <a:gd name="T100" fmla="*/ 588097 w 2549"/>
                              <a:gd name="T101" fmla="*/ 54758 h 325"/>
                              <a:gd name="T102" fmla="*/ 592540 w 2549"/>
                              <a:gd name="T103" fmla="*/ 36400 h 325"/>
                              <a:gd name="T104" fmla="*/ 606187 w 2549"/>
                              <a:gd name="T105" fmla="*/ 25638 h 325"/>
                              <a:gd name="T106" fmla="*/ 626499 w 2549"/>
                              <a:gd name="T107" fmla="*/ 27221 h 325"/>
                              <a:gd name="T108" fmla="*/ 717268 w 2549"/>
                              <a:gd name="T109" fmla="*/ 100021 h 325"/>
                              <a:gd name="T110" fmla="*/ 710921 w 2549"/>
                              <a:gd name="T111" fmla="*/ 82929 h 325"/>
                              <a:gd name="T112" fmla="*/ 753767 w 2549"/>
                              <a:gd name="T113" fmla="*/ 100021 h 325"/>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2549" h="325">
                                <a:moveTo>
                                  <a:pt x="215" y="24"/>
                                </a:moveTo>
                                <a:lnTo>
                                  <a:pt x="203" y="19"/>
                                </a:lnTo>
                                <a:lnTo>
                                  <a:pt x="191" y="14"/>
                                </a:lnTo>
                                <a:lnTo>
                                  <a:pt x="178" y="9"/>
                                </a:lnTo>
                                <a:lnTo>
                                  <a:pt x="166" y="6"/>
                                </a:lnTo>
                                <a:lnTo>
                                  <a:pt x="154" y="2"/>
                                </a:lnTo>
                                <a:lnTo>
                                  <a:pt x="142" y="1"/>
                                </a:lnTo>
                                <a:lnTo>
                                  <a:pt x="130" y="0"/>
                                </a:lnTo>
                                <a:lnTo>
                                  <a:pt x="117" y="0"/>
                                </a:lnTo>
                                <a:lnTo>
                                  <a:pt x="106" y="0"/>
                                </a:lnTo>
                                <a:lnTo>
                                  <a:pt x="95" y="1"/>
                                </a:lnTo>
                                <a:lnTo>
                                  <a:pt x="85" y="4"/>
                                </a:lnTo>
                                <a:lnTo>
                                  <a:pt x="75" y="7"/>
                                </a:lnTo>
                                <a:lnTo>
                                  <a:pt x="65" y="11"/>
                                </a:lnTo>
                                <a:lnTo>
                                  <a:pt x="56" y="16"/>
                                </a:lnTo>
                                <a:lnTo>
                                  <a:pt x="49" y="21"/>
                                </a:lnTo>
                                <a:lnTo>
                                  <a:pt x="41" y="29"/>
                                </a:lnTo>
                                <a:lnTo>
                                  <a:pt x="35" y="35"/>
                                </a:lnTo>
                                <a:lnTo>
                                  <a:pt x="29" y="44"/>
                                </a:lnTo>
                                <a:lnTo>
                                  <a:pt x="24" y="51"/>
                                </a:lnTo>
                                <a:lnTo>
                                  <a:pt x="20" y="61"/>
                                </a:lnTo>
                                <a:lnTo>
                                  <a:pt x="16" y="71"/>
                                </a:lnTo>
                                <a:lnTo>
                                  <a:pt x="15" y="81"/>
                                </a:lnTo>
                                <a:lnTo>
                                  <a:pt x="13" y="93"/>
                                </a:lnTo>
                                <a:lnTo>
                                  <a:pt x="13" y="104"/>
                                </a:lnTo>
                                <a:lnTo>
                                  <a:pt x="13" y="114"/>
                                </a:lnTo>
                                <a:lnTo>
                                  <a:pt x="14" y="123"/>
                                </a:lnTo>
                                <a:lnTo>
                                  <a:pt x="16" y="131"/>
                                </a:lnTo>
                                <a:lnTo>
                                  <a:pt x="19" y="139"/>
                                </a:lnTo>
                                <a:lnTo>
                                  <a:pt x="23" y="147"/>
                                </a:lnTo>
                                <a:lnTo>
                                  <a:pt x="26" y="153"/>
                                </a:lnTo>
                                <a:lnTo>
                                  <a:pt x="31" y="159"/>
                                </a:lnTo>
                                <a:lnTo>
                                  <a:pt x="38" y="165"/>
                                </a:lnTo>
                                <a:lnTo>
                                  <a:pt x="46" y="172"/>
                                </a:lnTo>
                                <a:lnTo>
                                  <a:pt x="58" y="177"/>
                                </a:lnTo>
                                <a:lnTo>
                                  <a:pt x="74" y="183"/>
                                </a:lnTo>
                                <a:lnTo>
                                  <a:pt x="96" y="190"/>
                                </a:lnTo>
                                <a:lnTo>
                                  <a:pt x="109" y="194"/>
                                </a:lnTo>
                                <a:lnTo>
                                  <a:pt x="119" y="198"/>
                                </a:lnTo>
                                <a:lnTo>
                                  <a:pt x="127" y="202"/>
                                </a:lnTo>
                                <a:lnTo>
                                  <a:pt x="134" y="206"/>
                                </a:lnTo>
                                <a:lnTo>
                                  <a:pt x="139" y="209"/>
                                </a:lnTo>
                                <a:lnTo>
                                  <a:pt x="141" y="214"/>
                                </a:lnTo>
                                <a:lnTo>
                                  <a:pt x="144" y="219"/>
                                </a:lnTo>
                                <a:lnTo>
                                  <a:pt x="144" y="226"/>
                                </a:lnTo>
                                <a:lnTo>
                                  <a:pt x="142" y="232"/>
                                </a:lnTo>
                                <a:lnTo>
                                  <a:pt x="141" y="238"/>
                                </a:lnTo>
                                <a:lnTo>
                                  <a:pt x="137" y="243"/>
                                </a:lnTo>
                                <a:lnTo>
                                  <a:pt x="132" y="247"/>
                                </a:lnTo>
                                <a:lnTo>
                                  <a:pt x="127" y="251"/>
                                </a:lnTo>
                                <a:lnTo>
                                  <a:pt x="121" y="253"/>
                                </a:lnTo>
                                <a:lnTo>
                                  <a:pt x="114" y="256"/>
                                </a:lnTo>
                                <a:lnTo>
                                  <a:pt x="105" y="256"/>
                                </a:lnTo>
                                <a:lnTo>
                                  <a:pt x="96" y="256"/>
                                </a:lnTo>
                                <a:lnTo>
                                  <a:pt x="87" y="254"/>
                                </a:lnTo>
                                <a:lnTo>
                                  <a:pt x="79" y="252"/>
                                </a:lnTo>
                                <a:lnTo>
                                  <a:pt x="70" y="248"/>
                                </a:lnTo>
                                <a:lnTo>
                                  <a:pt x="61" y="243"/>
                                </a:lnTo>
                                <a:lnTo>
                                  <a:pt x="53" y="238"/>
                                </a:lnTo>
                                <a:lnTo>
                                  <a:pt x="44" y="232"/>
                                </a:lnTo>
                                <a:lnTo>
                                  <a:pt x="34" y="224"/>
                                </a:lnTo>
                                <a:lnTo>
                                  <a:pt x="0" y="290"/>
                                </a:lnTo>
                                <a:lnTo>
                                  <a:pt x="13" y="297"/>
                                </a:lnTo>
                                <a:lnTo>
                                  <a:pt x="25" y="305"/>
                                </a:lnTo>
                                <a:lnTo>
                                  <a:pt x="39" y="310"/>
                                </a:lnTo>
                                <a:lnTo>
                                  <a:pt x="53" y="315"/>
                                </a:lnTo>
                                <a:lnTo>
                                  <a:pt x="65" y="318"/>
                                </a:lnTo>
                                <a:lnTo>
                                  <a:pt x="79" y="322"/>
                                </a:lnTo>
                                <a:lnTo>
                                  <a:pt x="92" y="323"/>
                                </a:lnTo>
                                <a:lnTo>
                                  <a:pt x="106" y="323"/>
                                </a:lnTo>
                                <a:lnTo>
                                  <a:pt x="120" y="323"/>
                                </a:lnTo>
                                <a:lnTo>
                                  <a:pt x="132" y="322"/>
                                </a:lnTo>
                                <a:lnTo>
                                  <a:pt x="145" y="320"/>
                                </a:lnTo>
                                <a:lnTo>
                                  <a:pt x="156" y="316"/>
                                </a:lnTo>
                                <a:lnTo>
                                  <a:pt x="167" y="312"/>
                                </a:lnTo>
                                <a:lnTo>
                                  <a:pt x="177" y="307"/>
                                </a:lnTo>
                                <a:lnTo>
                                  <a:pt x="187" y="301"/>
                                </a:lnTo>
                                <a:lnTo>
                                  <a:pt x="196" y="295"/>
                                </a:lnTo>
                                <a:lnTo>
                                  <a:pt x="203" y="287"/>
                                </a:lnTo>
                                <a:lnTo>
                                  <a:pt x="210" y="280"/>
                                </a:lnTo>
                                <a:lnTo>
                                  <a:pt x="215" y="271"/>
                                </a:lnTo>
                                <a:lnTo>
                                  <a:pt x="220" y="261"/>
                                </a:lnTo>
                                <a:lnTo>
                                  <a:pt x="222" y="251"/>
                                </a:lnTo>
                                <a:lnTo>
                                  <a:pt x="225" y="239"/>
                                </a:lnTo>
                                <a:lnTo>
                                  <a:pt x="227" y="227"/>
                                </a:lnTo>
                                <a:lnTo>
                                  <a:pt x="227" y="214"/>
                                </a:lnTo>
                                <a:lnTo>
                                  <a:pt x="226" y="198"/>
                                </a:lnTo>
                                <a:lnTo>
                                  <a:pt x="222" y="184"/>
                                </a:lnTo>
                                <a:lnTo>
                                  <a:pt x="220" y="177"/>
                                </a:lnTo>
                                <a:lnTo>
                                  <a:pt x="217" y="170"/>
                                </a:lnTo>
                                <a:lnTo>
                                  <a:pt x="213" y="165"/>
                                </a:lnTo>
                                <a:lnTo>
                                  <a:pt x="210" y="160"/>
                                </a:lnTo>
                                <a:lnTo>
                                  <a:pt x="205" y="154"/>
                                </a:lnTo>
                                <a:lnTo>
                                  <a:pt x="198" y="150"/>
                                </a:lnTo>
                                <a:lnTo>
                                  <a:pt x="192" y="145"/>
                                </a:lnTo>
                                <a:lnTo>
                                  <a:pt x="186" y="142"/>
                                </a:lnTo>
                                <a:lnTo>
                                  <a:pt x="170" y="134"/>
                                </a:lnTo>
                                <a:lnTo>
                                  <a:pt x="151" y="128"/>
                                </a:lnTo>
                                <a:lnTo>
                                  <a:pt x="130" y="121"/>
                                </a:lnTo>
                                <a:lnTo>
                                  <a:pt x="117" y="116"/>
                                </a:lnTo>
                                <a:lnTo>
                                  <a:pt x="110" y="113"/>
                                </a:lnTo>
                                <a:lnTo>
                                  <a:pt x="104" y="108"/>
                                </a:lnTo>
                                <a:lnTo>
                                  <a:pt x="100" y="105"/>
                                </a:lnTo>
                                <a:lnTo>
                                  <a:pt x="97" y="101"/>
                                </a:lnTo>
                                <a:lnTo>
                                  <a:pt x="96" y="98"/>
                                </a:lnTo>
                                <a:lnTo>
                                  <a:pt x="96" y="93"/>
                                </a:lnTo>
                                <a:lnTo>
                                  <a:pt x="96" y="88"/>
                                </a:lnTo>
                                <a:lnTo>
                                  <a:pt x="99" y="83"/>
                                </a:lnTo>
                                <a:lnTo>
                                  <a:pt x="101" y="78"/>
                                </a:lnTo>
                                <a:lnTo>
                                  <a:pt x="106" y="74"/>
                                </a:lnTo>
                                <a:lnTo>
                                  <a:pt x="111" y="70"/>
                                </a:lnTo>
                                <a:lnTo>
                                  <a:pt x="116" y="68"/>
                                </a:lnTo>
                                <a:lnTo>
                                  <a:pt x="124" y="66"/>
                                </a:lnTo>
                                <a:lnTo>
                                  <a:pt x="130" y="66"/>
                                </a:lnTo>
                                <a:lnTo>
                                  <a:pt x="137" y="66"/>
                                </a:lnTo>
                                <a:lnTo>
                                  <a:pt x="144" y="68"/>
                                </a:lnTo>
                                <a:lnTo>
                                  <a:pt x="150" y="69"/>
                                </a:lnTo>
                                <a:lnTo>
                                  <a:pt x="156" y="71"/>
                                </a:lnTo>
                                <a:lnTo>
                                  <a:pt x="170" y="78"/>
                                </a:lnTo>
                                <a:lnTo>
                                  <a:pt x="182" y="86"/>
                                </a:lnTo>
                                <a:lnTo>
                                  <a:pt x="215" y="24"/>
                                </a:lnTo>
                                <a:close/>
                                <a:moveTo>
                                  <a:pt x="394" y="75"/>
                                </a:moveTo>
                                <a:lnTo>
                                  <a:pt x="460" y="75"/>
                                </a:lnTo>
                                <a:lnTo>
                                  <a:pt x="460" y="6"/>
                                </a:lnTo>
                                <a:lnTo>
                                  <a:pt x="249" y="6"/>
                                </a:lnTo>
                                <a:lnTo>
                                  <a:pt x="249" y="75"/>
                                </a:lnTo>
                                <a:lnTo>
                                  <a:pt x="314" y="75"/>
                                </a:lnTo>
                                <a:lnTo>
                                  <a:pt x="314" y="316"/>
                                </a:lnTo>
                                <a:lnTo>
                                  <a:pt x="394" y="316"/>
                                </a:lnTo>
                                <a:lnTo>
                                  <a:pt x="394" y="75"/>
                                </a:lnTo>
                                <a:close/>
                                <a:moveTo>
                                  <a:pt x="666" y="262"/>
                                </a:moveTo>
                                <a:lnTo>
                                  <a:pt x="684" y="316"/>
                                </a:lnTo>
                                <a:lnTo>
                                  <a:pt x="770" y="316"/>
                                </a:lnTo>
                                <a:lnTo>
                                  <a:pt x="654" y="6"/>
                                </a:lnTo>
                                <a:lnTo>
                                  <a:pt x="567" y="6"/>
                                </a:lnTo>
                                <a:lnTo>
                                  <a:pt x="450" y="316"/>
                                </a:lnTo>
                                <a:lnTo>
                                  <a:pt x="534" y="316"/>
                                </a:lnTo>
                                <a:lnTo>
                                  <a:pt x="555" y="262"/>
                                </a:lnTo>
                                <a:lnTo>
                                  <a:pt x="666" y="262"/>
                                </a:lnTo>
                                <a:close/>
                                <a:moveTo>
                                  <a:pt x="643" y="201"/>
                                </a:moveTo>
                                <a:lnTo>
                                  <a:pt x="577" y="201"/>
                                </a:lnTo>
                                <a:lnTo>
                                  <a:pt x="611" y="103"/>
                                </a:lnTo>
                                <a:lnTo>
                                  <a:pt x="643" y="201"/>
                                </a:lnTo>
                                <a:close/>
                                <a:moveTo>
                                  <a:pt x="902" y="75"/>
                                </a:moveTo>
                                <a:lnTo>
                                  <a:pt x="970" y="75"/>
                                </a:lnTo>
                                <a:lnTo>
                                  <a:pt x="970" y="6"/>
                                </a:lnTo>
                                <a:lnTo>
                                  <a:pt x="758" y="6"/>
                                </a:lnTo>
                                <a:lnTo>
                                  <a:pt x="758" y="75"/>
                                </a:lnTo>
                                <a:lnTo>
                                  <a:pt x="823" y="75"/>
                                </a:lnTo>
                                <a:lnTo>
                                  <a:pt x="823" y="316"/>
                                </a:lnTo>
                                <a:lnTo>
                                  <a:pt x="902" y="316"/>
                                </a:lnTo>
                                <a:lnTo>
                                  <a:pt x="902" y="75"/>
                                </a:lnTo>
                                <a:close/>
                                <a:moveTo>
                                  <a:pt x="1090" y="6"/>
                                </a:moveTo>
                                <a:lnTo>
                                  <a:pt x="1011" y="6"/>
                                </a:lnTo>
                                <a:lnTo>
                                  <a:pt x="1011" y="316"/>
                                </a:lnTo>
                                <a:lnTo>
                                  <a:pt x="1090" y="316"/>
                                </a:lnTo>
                                <a:lnTo>
                                  <a:pt x="1090" y="6"/>
                                </a:lnTo>
                                <a:close/>
                                <a:moveTo>
                                  <a:pt x="1358" y="24"/>
                                </a:moveTo>
                                <a:lnTo>
                                  <a:pt x="1347" y="19"/>
                                </a:lnTo>
                                <a:lnTo>
                                  <a:pt x="1335" y="14"/>
                                </a:lnTo>
                                <a:lnTo>
                                  <a:pt x="1323" y="9"/>
                                </a:lnTo>
                                <a:lnTo>
                                  <a:pt x="1311" y="6"/>
                                </a:lnTo>
                                <a:lnTo>
                                  <a:pt x="1298" y="2"/>
                                </a:lnTo>
                                <a:lnTo>
                                  <a:pt x="1286" y="1"/>
                                </a:lnTo>
                                <a:lnTo>
                                  <a:pt x="1274" y="0"/>
                                </a:lnTo>
                                <a:lnTo>
                                  <a:pt x="1261" y="0"/>
                                </a:lnTo>
                                <a:lnTo>
                                  <a:pt x="1250" y="0"/>
                                </a:lnTo>
                                <a:lnTo>
                                  <a:pt x="1239" y="1"/>
                                </a:lnTo>
                                <a:lnTo>
                                  <a:pt x="1229" y="4"/>
                                </a:lnTo>
                                <a:lnTo>
                                  <a:pt x="1219" y="7"/>
                                </a:lnTo>
                                <a:lnTo>
                                  <a:pt x="1210" y="11"/>
                                </a:lnTo>
                                <a:lnTo>
                                  <a:pt x="1201" y="16"/>
                                </a:lnTo>
                                <a:lnTo>
                                  <a:pt x="1193" y="21"/>
                                </a:lnTo>
                                <a:lnTo>
                                  <a:pt x="1186" y="29"/>
                                </a:lnTo>
                                <a:lnTo>
                                  <a:pt x="1179" y="35"/>
                                </a:lnTo>
                                <a:lnTo>
                                  <a:pt x="1174" y="44"/>
                                </a:lnTo>
                                <a:lnTo>
                                  <a:pt x="1169" y="51"/>
                                </a:lnTo>
                                <a:lnTo>
                                  <a:pt x="1164" y="61"/>
                                </a:lnTo>
                                <a:lnTo>
                                  <a:pt x="1161" y="71"/>
                                </a:lnTo>
                                <a:lnTo>
                                  <a:pt x="1159" y="81"/>
                                </a:lnTo>
                                <a:lnTo>
                                  <a:pt x="1158" y="93"/>
                                </a:lnTo>
                                <a:lnTo>
                                  <a:pt x="1156" y="104"/>
                                </a:lnTo>
                                <a:lnTo>
                                  <a:pt x="1158" y="114"/>
                                </a:lnTo>
                                <a:lnTo>
                                  <a:pt x="1159" y="123"/>
                                </a:lnTo>
                                <a:lnTo>
                                  <a:pt x="1160" y="131"/>
                                </a:lnTo>
                                <a:lnTo>
                                  <a:pt x="1163" y="139"/>
                                </a:lnTo>
                                <a:lnTo>
                                  <a:pt x="1166" y="147"/>
                                </a:lnTo>
                                <a:lnTo>
                                  <a:pt x="1170" y="153"/>
                                </a:lnTo>
                                <a:lnTo>
                                  <a:pt x="1175" y="159"/>
                                </a:lnTo>
                                <a:lnTo>
                                  <a:pt x="1181" y="165"/>
                                </a:lnTo>
                                <a:lnTo>
                                  <a:pt x="1190" y="172"/>
                                </a:lnTo>
                                <a:lnTo>
                                  <a:pt x="1201" y="177"/>
                                </a:lnTo>
                                <a:lnTo>
                                  <a:pt x="1218" y="183"/>
                                </a:lnTo>
                                <a:lnTo>
                                  <a:pt x="1240" y="190"/>
                                </a:lnTo>
                                <a:lnTo>
                                  <a:pt x="1252" y="194"/>
                                </a:lnTo>
                                <a:lnTo>
                                  <a:pt x="1264" y="198"/>
                                </a:lnTo>
                                <a:lnTo>
                                  <a:pt x="1271" y="202"/>
                                </a:lnTo>
                                <a:lnTo>
                                  <a:pt x="1277" y="206"/>
                                </a:lnTo>
                                <a:lnTo>
                                  <a:pt x="1282" y="209"/>
                                </a:lnTo>
                                <a:lnTo>
                                  <a:pt x="1286" y="214"/>
                                </a:lnTo>
                                <a:lnTo>
                                  <a:pt x="1287" y="219"/>
                                </a:lnTo>
                                <a:lnTo>
                                  <a:pt x="1287" y="226"/>
                                </a:lnTo>
                                <a:lnTo>
                                  <a:pt x="1287" y="232"/>
                                </a:lnTo>
                                <a:lnTo>
                                  <a:pt x="1285" y="238"/>
                                </a:lnTo>
                                <a:lnTo>
                                  <a:pt x="1281" y="243"/>
                                </a:lnTo>
                                <a:lnTo>
                                  <a:pt x="1277" y="247"/>
                                </a:lnTo>
                                <a:lnTo>
                                  <a:pt x="1271" y="251"/>
                                </a:lnTo>
                                <a:lnTo>
                                  <a:pt x="1265" y="253"/>
                                </a:lnTo>
                                <a:lnTo>
                                  <a:pt x="1257" y="256"/>
                                </a:lnTo>
                                <a:lnTo>
                                  <a:pt x="1249" y="256"/>
                                </a:lnTo>
                                <a:lnTo>
                                  <a:pt x="1240" y="256"/>
                                </a:lnTo>
                                <a:lnTo>
                                  <a:pt x="1231" y="254"/>
                                </a:lnTo>
                                <a:lnTo>
                                  <a:pt x="1222" y="252"/>
                                </a:lnTo>
                                <a:lnTo>
                                  <a:pt x="1214" y="248"/>
                                </a:lnTo>
                                <a:lnTo>
                                  <a:pt x="1205" y="243"/>
                                </a:lnTo>
                                <a:lnTo>
                                  <a:pt x="1196" y="238"/>
                                </a:lnTo>
                                <a:lnTo>
                                  <a:pt x="1188" y="232"/>
                                </a:lnTo>
                                <a:lnTo>
                                  <a:pt x="1179" y="224"/>
                                </a:lnTo>
                                <a:lnTo>
                                  <a:pt x="1144" y="290"/>
                                </a:lnTo>
                                <a:lnTo>
                                  <a:pt x="1156" y="297"/>
                                </a:lnTo>
                                <a:lnTo>
                                  <a:pt x="1170" y="305"/>
                                </a:lnTo>
                                <a:lnTo>
                                  <a:pt x="1183" y="310"/>
                                </a:lnTo>
                                <a:lnTo>
                                  <a:pt x="1196" y="315"/>
                                </a:lnTo>
                                <a:lnTo>
                                  <a:pt x="1210" y="318"/>
                                </a:lnTo>
                                <a:lnTo>
                                  <a:pt x="1224" y="322"/>
                                </a:lnTo>
                                <a:lnTo>
                                  <a:pt x="1237" y="323"/>
                                </a:lnTo>
                                <a:lnTo>
                                  <a:pt x="1251" y="323"/>
                                </a:lnTo>
                                <a:lnTo>
                                  <a:pt x="1264" y="323"/>
                                </a:lnTo>
                                <a:lnTo>
                                  <a:pt x="1276" y="322"/>
                                </a:lnTo>
                                <a:lnTo>
                                  <a:pt x="1289" y="320"/>
                                </a:lnTo>
                                <a:lnTo>
                                  <a:pt x="1300" y="316"/>
                                </a:lnTo>
                                <a:lnTo>
                                  <a:pt x="1311" y="312"/>
                                </a:lnTo>
                                <a:lnTo>
                                  <a:pt x="1321" y="307"/>
                                </a:lnTo>
                                <a:lnTo>
                                  <a:pt x="1331" y="301"/>
                                </a:lnTo>
                                <a:lnTo>
                                  <a:pt x="1340" y="295"/>
                                </a:lnTo>
                                <a:lnTo>
                                  <a:pt x="1347" y="287"/>
                                </a:lnTo>
                                <a:lnTo>
                                  <a:pt x="1353" y="280"/>
                                </a:lnTo>
                                <a:lnTo>
                                  <a:pt x="1358" y="271"/>
                                </a:lnTo>
                                <a:lnTo>
                                  <a:pt x="1363" y="261"/>
                                </a:lnTo>
                                <a:lnTo>
                                  <a:pt x="1367" y="251"/>
                                </a:lnTo>
                                <a:lnTo>
                                  <a:pt x="1370" y="239"/>
                                </a:lnTo>
                                <a:lnTo>
                                  <a:pt x="1371" y="227"/>
                                </a:lnTo>
                                <a:lnTo>
                                  <a:pt x="1371" y="214"/>
                                </a:lnTo>
                                <a:lnTo>
                                  <a:pt x="1370" y="198"/>
                                </a:lnTo>
                                <a:lnTo>
                                  <a:pt x="1367" y="184"/>
                                </a:lnTo>
                                <a:lnTo>
                                  <a:pt x="1365" y="177"/>
                                </a:lnTo>
                                <a:lnTo>
                                  <a:pt x="1361" y="170"/>
                                </a:lnTo>
                                <a:lnTo>
                                  <a:pt x="1357" y="165"/>
                                </a:lnTo>
                                <a:lnTo>
                                  <a:pt x="1353" y="160"/>
                                </a:lnTo>
                                <a:lnTo>
                                  <a:pt x="1348" y="154"/>
                                </a:lnTo>
                                <a:lnTo>
                                  <a:pt x="1343" y="150"/>
                                </a:lnTo>
                                <a:lnTo>
                                  <a:pt x="1337" y="145"/>
                                </a:lnTo>
                                <a:lnTo>
                                  <a:pt x="1330" y="142"/>
                                </a:lnTo>
                                <a:lnTo>
                                  <a:pt x="1315" y="134"/>
                                </a:lnTo>
                                <a:lnTo>
                                  <a:pt x="1296" y="128"/>
                                </a:lnTo>
                                <a:lnTo>
                                  <a:pt x="1274" y="121"/>
                                </a:lnTo>
                                <a:lnTo>
                                  <a:pt x="1261" y="116"/>
                                </a:lnTo>
                                <a:lnTo>
                                  <a:pt x="1254" y="113"/>
                                </a:lnTo>
                                <a:lnTo>
                                  <a:pt x="1247" y="108"/>
                                </a:lnTo>
                                <a:lnTo>
                                  <a:pt x="1245" y="105"/>
                                </a:lnTo>
                                <a:lnTo>
                                  <a:pt x="1242" y="101"/>
                                </a:lnTo>
                                <a:lnTo>
                                  <a:pt x="1241" y="98"/>
                                </a:lnTo>
                                <a:lnTo>
                                  <a:pt x="1240" y="93"/>
                                </a:lnTo>
                                <a:lnTo>
                                  <a:pt x="1241" y="88"/>
                                </a:lnTo>
                                <a:lnTo>
                                  <a:pt x="1242" y="83"/>
                                </a:lnTo>
                                <a:lnTo>
                                  <a:pt x="1246" y="78"/>
                                </a:lnTo>
                                <a:lnTo>
                                  <a:pt x="1250" y="74"/>
                                </a:lnTo>
                                <a:lnTo>
                                  <a:pt x="1255" y="70"/>
                                </a:lnTo>
                                <a:lnTo>
                                  <a:pt x="1261" y="68"/>
                                </a:lnTo>
                                <a:lnTo>
                                  <a:pt x="1267" y="66"/>
                                </a:lnTo>
                                <a:lnTo>
                                  <a:pt x="1275" y="66"/>
                                </a:lnTo>
                                <a:lnTo>
                                  <a:pt x="1281" y="66"/>
                                </a:lnTo>
                                <a:lnTo>
                                  <a:pt x="1287" y="68"/>
                                </a:lnTo>
                                <a:lnTo>
                                  <a:pt x="1295" y="69"/>
                                </a:lnTo>
                                <a:lnTo>
                                  <a:pt x="1301" y="71"/>
                                </a:lnTo>
                                <a:lnTo>
                                  <a:pt x="1313" y="78"/>
                                </a:lnTo>
                                <a:lnTo>
                                  <a:pt x="1327" y="86"/>
                                </a:lnTo>
                                <a:lnTo>
                                  <a:pt x="1358" y="24"/>
                                </a:lnTo>
                                <a:close/>
                                <a:moveTo>
                                  <a:pt x="1536" y="75"/>
                                </a:moveTo>
                                <a:lnTo>
                                  <a:pt x="1602" y="75"/>
                                </a:lnTo>
                                <a:lnTo>
                                  <a:pt x="1602" y="6"/>
                                </a:lnTo>
                                <a:lnTo>
                                  <a:pt x="1392" y="6"/>
                                </a:lnTo>
                                <a:lnTo>
                                  <a:pt x="1392" y="75"/>
                                </a:lnTo>
                                <a:lnTo>
                                  <a:pt x="1457" y="75"/>
                                </a:lnTo>
                                <a:lnTo>
                                  <a:pt x="1457" y="316"/>
                                </a:lnTo>
                                <a:lnTo>
                                  <a:pt x="1536" y="316"/>
                                </a:lnTo>
                                <a:lnTo>
                                  <a:pt x="1536" y="75"/>
                                </a:lnTo>
                                <a:close/>
                                <a:moveTo>
                                  <a:pt x="1723" y="6"/>
                                </a:moveTo>
                                <a:lnTo>
                                  <a:pt x="1644" y="6"/>
                                </a:lnTo>
                                <a:lnTo>
                                  <a:pt x="1644" y="316"/>
                                </a:lnTo>
                                <a:lnTo>
                                  <a:pt x="1723" y="316"/>
                                </a:lnTo>
                                <a:lnTo>
                                  <a:pt x="1723" y="6"/>
                                </a:lnTo>
                                <a:close/>
                                <a:moveTo>
                                  <a:pt x="2005" y="16"/>
                                </a:moveTo>
                                <a:lnTo>
                                  <a:pt x="1984" y="9"/>
                                </a:lnTo>
                                <a:lnTo>
                                  <a:pt x="1966" y="4"/>
                                </a:lnTo>
                                <a:lnTo>
                                  <a:pt x="1950" y="1"/>
                                </a:lnTo>
                                <a:lnTo>
                                  <a:pt x="1933" y="0"/>
                                </a:lnTo>
                                <a:lnTo>
                                  <a:pt x="1915" y="1"/>
                                </a:lnTo>
                                <a:lnTo>
                                  <a:pt x="1899" y="4"/>
                                </a:lnTo>
                                <a:lnTo>
                                  <a:pt x="1884" y="7"/>
                                </a:lnTo>
                                <a:lnTo>
                                  <a:pt x="1868" y="12"/>
                                </a:lnTo>
                                <a:lnTo>
                                  <a:pt x="1854" y="20"/>
                                </a:lnTo>
                                <a:lnTo>
                                  <a:pt x="1840" y="27"/>
                                </a:lnTo>
                                <a:lnTo>
                                  <a:pt x="1828" y="37"/>
                                </a:lnTo>
                                <a:lnTo>
                                  <a:pt x="1817" y="47"/>
                                </a:lnTo>
                                <a:lnTo>
                                  <a:pt x="1807" y="59"/>
                                </a:lnTo>
                                <a:lnTo>
                                  <a:pt x="1797" y="71"/>
                                </a:lnTo>
                                <a:lnTo>
                                  <a:pt x="1789" y="85"/>
                                </a:lnTo>
                                <a:lnTo>
                                  <a:pt x="1782" y="100"/>
                                </a:lnTo>
                                <a:lnTo>
                                  <a:pt x="1777" y="115"/>
                                </a:lnTo>
                                <a:lnTo>
                                  <a:pt x="1773" y="130"/>
                                </a:lnTo>
                                <a:lnTo>
                                  <a:pt x="1771" y="147"/>
                                </a:lnTo>
                                <a:lnTo>
                                  <a:pt x="1769" y="164"/>
                                </a:lnTo>
                                <a:lnTo>
                                  <a:pt x="1771" y="179"/>
                                </a:lnTo>
                                <a:lnTo>
                                  <a:pt x="1772" y="194"/>
                                </a:lnTo>
                                <a:lnTo>
                                  <a:pt x="1776" y="208"/>
                                </a:lnTo>
                                <a:lnTo>
                                  <a:pt x="1779" y="222"/>
                                </a:lnTo>
                                <a:lnTo>
                                  <a:pt x="1786" y="236"/>
                                </a:lnTo>
                                <a:lnTo>
                                  <a:pt x="1792" y="248"/>
                                </a:lnTo>
                                <a:lnTo>
                                  <a:pt x="1801" y="259"/>
                                </a:lnTo>
                                <a:lnTo>
                                  <a:pt x="1811" y="271"/>
                                </a:lnTo>
                                <a:lnTo>
                                  <a:pt x="1823" y="282"/>
                                </a:lnTo>
                                <a:lnTo>
                                  <a:pt x="1837" y="293"/>
                                </a:lnTo>
                                <a:lnTo>
                                  <a:pt x="1850" y="302"/>
                                </a:lnTo>
                                <a:lnTo>
                                  <a:pt x="1867" y="310"/>
                                </a:lnTo>
                                <a:lnTo>
                                  <a:pt x="1883" y="316"/>
                                </a:lnTo>
                                <a:lnTo>
                                  <a:pt x="1899" y="321"/>
                                </a:lnTo>
                                <a:lnTo>
                                  <a:pt x="1916" y="323"/>
                                </a:lnTo>
                                <a:lnTo>
                                  <a:pt x="1933" y="325"/>
                                </a:lnTo>
                                <a:lnTo>
                                  <a:pt x="1949" y="323"/>
                                </a:lnTo>
                                <a:lnTo>
                                  <a:pt x="1963" y="322"/>
                                </a:lnTo>
                                <a:lnTo>
                                  <a:pt x="1980" y="317"/>
                                </a:lnTo>
                                <a:lnTo>
                                  <a:pt x="2005" y="310"/>
                                </a:lnTo>
                                <a:lnTo>
                                  <a:pt x="2005" y="214"/>
                                </a:lnTo>
                                <a:lnTo>
                                  <a:pt x="1996" y="222"/>
                                </a:lnTo>
                                <a:lnTo>
                                  <a:pt x="1989" y="228"/>
                                </a:lnTo>
                                <a:lnTo>
                                  <a:pt x="1980" y="234"/>
                                </a:lnTo>
                                <a:lnTo>
                                  <a:pt x="1973" y="238"/>
                                </a:lnTo>
                                <a:lnTo>
                                  <a:pt x="1964" y="242"/>
                                </a:lnTo>
                                <a:lnTo>
                                  <a:pt x="1954" y="244"/>
                                </a:lnTo>
                                <a:lnTo>
                                  <a:pt x="1945" y="246"/>
                                </a:lnTo>
                                <a:lnTo>
                                  <a:pt x="1935" y="247"/>
                                </a:lnTo>
                                <a:lnTo>
                                  <a:pt x="1928" y="246"/>
                                </a:lnTo>
                                <a:lnTo>
                                  <a:pt x="1920" y="246"/>
                                </a:lnTo>
                                <a:lnTo>
                                  <a:pt x="1913" y="243"/>
                                </a:lnTo>
                                <a:lnTo>
                                  <a:pt x="1906" y="241"/>
                                </a:lnTo>
                                <a:lnTo>
                                  <a:pt x="1899" y="238"/>
                                </a:lnTo>
                                <a:lnTo>
                                  <a:pt x="1893" y="234"/>
                                </a:lnTo>
                                <a:lnTo>
                                  <a:pt x="1887" y="231"/>
                                </a:lnTo>
                                <a:lnTo>
                                  <a:pt x="1880" y="226"/>
                                </a:lnTo>
                                <a:lnTo>
                                  <a:pt x="1874" y="221"/>
                                </a:lnTo>
                                <a:lnTo>
                                  <a:pt x="1868" y="213"/>
                                </a:lnTo>
                                <a:lnTo>
                                  <a:pt x="1863" y="207"/>
                                </a:lnTo>
                                <a:lnTo>
                                  <a:pt x="1859" y="199"/>
                                </a:lnTo>
                                <a:lnTo>
                                  <a:pt x="1857" y="190"/>
                                </a:lnTo>
                                <a:lnTo>
                                  <a:pt x="1854" y="182"/>
                                </a:lnTo>
                                <a:lnTo>
                                  <a:pt x="1853" y="173"/>
                                </a:lnTo>
                                <a:lnTo>
                                  <a:pt x="1853" y="163"/>
                                </a:lnTo>
                                <a:lnTo>
                                  <a:pt x="1853" y="154"/>
                                </a:lnTo>
                                <a:lnTo>
                                  <a:pt x="1854" y="145"/>
                                </a:lnTo>
                                <a:lnTo>
                                  <a:pt x="1857" y="137"/>
                                </a:lnTo>
                                <a:lnTo>
                                  <a:pt x="1859" y="129"/>
                                </a:lnTo>
                                <a:lnTo>
                                  <a:pt x="1863" y="121"/>
                                </a:lnTo>
                                <a:lnTo>
                                  <a:pt x="1867" y="115"/>
                                </a:lnTo>
                                <a:lnTo>
                                  <a:pt x="1872" y="108"/>
                                </a:lnTo>
                                <a:lnTo>
                                  <a:pt x="1877" y="103"/>
                                </a:lnTo>
                                <a:lnTo>
                                  <a:pt x="1882" y="96"/>
                                </a:lnTo>
                                <a:lnTo>
                                  <a:pt x="1888" y="91"/>
                                </a:lnTo>
                                <a:lnTo>
                                  <a:pt x="1895" y="88"/>
                                </a:lnTo>
                                <a:lnTo>
                                  <a:pt x="1903" y="84"/>
                                </a:lnTo>
                                <a:lnTo>
                                  <a:pt x="1910" y="81"/>
                                </a:lnTo>
                                <a:lnTo>
                                  <a:pt x="1918" y="80"/>
                                </a:lnTo>
                                <a:lnTo>
                                  <a:pt x="1926" y="79"/>
                                </a:lnTo>
                                <a:lnTo>
                                  <a:pt x="1935" y="78"/>
                                </a:lnTo>
                                <a:lnTo>
                                  <a:pt x="1945" y="79"/>
                                </a:lnTo>
                                <a:lnTo>
                                  <a:pt x="1955" y="80"/>
                                </a:lnTo>
                                <a:lnTo>
                                  <a:pt x="1965" y="83"/>
                                </a:lnTo>
                                <a:lnTo>
                                  <a:pt x="1974" y="86"/>
                                </a:lnTo>
                                <a:lnTo>
                                  <a:pt x="1981" y="91"/>
                                </a:lnTo>
                                <a:lnTo>
                                  <a:pt x="1990" y="98"/>
                                </a:lnTo>
                                <a:lnTo>
                                  <a:pt x="1997" y="104"/>
                                </a:lnTo>
                                <a:lnTo>
                                  <a:pt x="2005" y="111"/>
                                </a:lnTo>
                                <a:lnTo>
                                  <a:pt x="2005" y="16"/>
                                </a:lnTo>
                                <a:close/>
                                <a:moveTo>
                                  <a:pt x="2240" y="262"/>
                                </a:moveTo>
                                <a:lnTo>
                                  <a:pt x="2260" y="316"/>
                                </a:lnTo>
                                <a:lnTo>
                                  <a:pt x="2345" y="316"/>
                                </a:lnTo>
                                <a:lnTo>
                                  <a:pt x="2229" y="6"/>
                                </a:lnTo>
                                <a:lnTo>
                                  <a:pt x="2142" y="6"/>
                                </a:lnTo>
                                <a:lnTo>
                                  <a:pt x="2025" y="316"/>
                                </a:lnTo>
                                <a:lnTo>
                                  <a:pt x="2108" y="316"/>
                                </a:lnTo>
                                <a:lnTo>
                                  <a:pt x="2129" y="262"/>
                                </a:lnTo>
                                <a:lnTo>
                                  <a:pt x="2240" y="262"/>
                                </a:lnTo>
                                <a:close/>
                                <a:moveTo>
                                  <a:pt x="2218" y="201"/>
                                </a:moveTo>
                                <a:lnTo>
                                  <a:pt x="2152" y="201"/>
                                </a:lnTo>
                                <a:lnTo>
                                  <a:pt x="2186" y="103"/>
                                </a:lnTo>
                                <a:lnTo>
                                  <a:pt x="2218" y="201"/>
                                </a:lnTo>
                                <a:close/>
                                <a:moveTo>
                                  <a:pt x="2455" y="6"/>
                                </a:moveTo>
                                <a:lnTo>
                                  <a:pt x="2375" y="6"/>
                                </a:lnTo>
                                <a:lnTo>
                                  <a:pt x="2375" y="316"/>
                                </a:lnTo>
                                <a:lnTo>
                                  <a:pt x="2549" y="316"/>
                                </a:lnTo>
                                <a:lnTo>
                                  <a:pt x="2549" y="248"/>
                                </a:lnTo>
                                <a:lnTo>
                                  <a:pt x="2455" y="248"/>
                                </a:lnTo>
                                <a:lnTo>
                                  <a:pt x="2455" y="6"/>
                                </a:lnTo>
                                <a:close/>
                              </a:path>
                            </a:pathLst>
                          </a:custGeom>
                          <a:solidFill>
                            <a:srgbClr val="BD1B21"/>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4" name="Freeform 10"/>
                        <wps:cNvSpPr>
                          <a:spLocks noEditPoints="1"/>
                        </wps:cNvSpPr>
                        <wps:spPr bwMode="auto">
                          <a:xfrm>
                            <a:off x="862012" y="0"/>
                            <a:ext cx="421005" cy="102870"/>
                          </a:xfrm>
                          <a:custGeom>
                            <a:avLst/>
                            <a:gdLst>
                              <a:gd name="T0" fmla="*/ 57107 w 1327"/>
                              <a:gd name="T1" fmla="*/ 317 h 325"/>
                              <a:gd name="T2" fmla="*/ 36168 w 1327"/>
                              <a:gd name="T3" fmla="*/ 2532 h 325"/>
                              <a:gd name="T4" fmla="*/ 18718 w 1327"/>
                              <a:gd name="T5" fmla="*/ 12028 h 325"/>
                              <a:gd name="T6" fmla="*/ 6345 w 1327"/>
                              <a:gd name="T7" fmla="*/ 26904 h 325"/>
                              <a:gd name="T8" fmla="*/ 635 w 1327"/>
                              <a:gd name="T9" fmla="*/ 46529 h 325"/>
                              <a:gd name="T10" fmla="*/ 2221 w 1327"/>
                              <a:gd name="T11" fmla="*/ 65837 h 325"/>
                              <a:gd name="T12" fmla="*/ 9835 w 1327"/>
                              <a:gd name="T13" fmla="*/ 82296 h 325"/>
                              <a:gd name="T14" fmla="*/ 25698 w 1327"/>
                              <a:gd name="T15" fmla="*/ 95590 h 325"/>
                              <a:gd name="T16" fmla="*/ 46637 w 1327"/>
                              <a:gd name="T17" fmla="*/ 102553 h 325"/>
                              <a:gd name="T18" fmla="*/ 66942 w 1327"/>
                              <a:gd name="T19" fmla="*/ 100338 h 325"/>
                              <a:gd name="T20" fmla="*/ 69797 w 1327"/>
                              <a:gd name="T21" fmla="*/ 72167 h 325"/>
                              <a:gd name="T22" fmla="*/ 58693 w 1327"/>
                              <a:gd name="T23" fmla="*/ 77548 h 325"/>
                              <a:gd name="T24" fmla="*/ 47906 w 1327"/>
                              <a:gd name="T25" fmla="*/ 77548 h 325"/>
                              <a:gd name="T26" fmla="*/ 39340 w 1327"/>
                              <a:gd name="T27" fmla="*/ 74383 h 325"/>
                              <a:gd name="T28" fmla="*/ 31409 w 1327"/>
                              <a:gd name="T29" fmla="*/ 67419 h 325"/>
                              <a:gd name="T30" fmla="*/ 26967 w 1327"/>
                              <a:gd name="T31" fmla="*/ 57607 h 325"/>
                              <a:gd name="T32" fmla="*/ 26967 w 1327"/>
                              <a:gd name="T33" fmla="*/ 46212 h 325"/>
                              <a:gd name="T34" fmla="*/ 30774 w 1327"/>
                              <a:gd name="T35" fmla="*/ 36084 h 325"/>
                              <a:gd name="T36" fmla="*/ 37754 w 1327"/>
                              <a:gd name="T37" fmla="*/ 29120 h 325"/>
                              <a:gd name="T38" fmla="*/ 47272 w 1327"/>
                              <a:gd name="T39" fmla="*/ 25005 h 325"/>
                              <a:gd name="T40" fmla="*/ 59010 w 1327"/>
                              <a:gd name="T41" fmla="*/ 25322 h 325"/>
                              <a:gd name="T42" fmla="*/ 70115 w 1327"/>
                              <a:gd name="T43" fmla="*/ 30703 h 325"/>
                              <a:gd name="T44" fmla="*/ 123732 w 1327"/>
                              <a:gd name="T45" fmla="*/ 78181 h 325"/>
                              <a:gd name="T46" fmla="*/ 127222 w 1327"/>
                              <a:gd name="T47" fmla="*/ 23739 h 325"/>
                              <a:gd name="T48" fmla="*/ 123732 w 1327"/>
                              <a:gd name="T49" fmla="*/ 78181 h 325"/>
                              <a:gd name="T50" fmla="*/ 179570 w 1327"/>
                              <a:gd name="T51" fmla="*/ 100021 h 325"/>
                              <a:gd name="T52" fmla="*/ 204950 w 1327"/>
                              <a:gd name="T53" fmla="*/ 61405 h 325"/>
                              <a:gd name="T54" fmla="*/ 204950 w 1327"/>
                              <a:gd name="T55" fmla="*/ 23739 h 325"/>
                              <a:gd name="T56" fmla="*/ 308060 w 1327"/>
                              <a:gd name="T57" fmla="*/ 1266 h 325"/>
                              <a:gd name="T58" fmla="*/ 286804 w 1327"/>
                              <a:gd name="T59" fmla="*/ 1266 h 325"/>
                              <a:gd name="T60" fmla="*/ 268085 w 1327"/>
                              <a:gd name="T61" fmla="*/ 8863 h 325"/>
                              <a:gd name="T62" fmla="*/ 254126 w 1327"/>
                              <a:gd name="T63" fmla="*/ 22790 h 325"/>
                              <a:gd name="T64" fmla="*/ 246194 w 1327"/>
                              <a:gd name="T65" fmla="*/ 41148 h 325"/>
                              <a:gd name="T66" fmla="*/ 246194 w 1327"/>
                              <a:gd name="T67" fmla="*/ 61405 h 325"/>
                              <a:gd name="T68" fmla="*/ 252540 w 1327"/>
                              <a:gd name="T69" fmla="*/ 78181 h 325"/>
                              <a:gd name="T70" fmla="*/ 266499 w 1327"/>
                              <a:gd name="T71" fmla="*/ 93058 h 325"/>
                              <a:gd name="T72" fmla="*/ 286169 w 1327"/>
                              <a:gd name="T73" fmla="*/ 101604 h 325"/>
                              <a:gd name="T74" fmla="*/ 306791 w 1327"/>
                              <a:gd name="T75" fmla="*/ 101604 h 325"/>
                              <a:gd name="T76" fmla="*/ 317578 w 1327"/>
                              <a:gd name="T77" fmla="*/ 70268 h 325"/>
                              <a:gd name="T78" fmla="*/ 306791 w 1327"/>
                              <a:gd name="T79" fmla="*/ 76599 h 325"/>
                              <a:gd name="T80" fmla="*/ 295687 w 1327"/>
                              <a:gd name="T81" fmla="*/ 77865 h 325"/>
                              <a:gd name="T82" fmla="*/ 286804 w 1327"/>
                              <a:gd name="T83" fmla="*/ 75332 h 325"/>
                              <a:gd name="T84" fmla="*/ 278238 w 1327"/>
                              <a:gd name="T85" fmla="*/ 69635 h 325"/>
                              <a:gd name="T86" fmla="*/ 272844 w 1327"/>
                              <a:gd name="T87" fmla="*/ 60456 h 325"/>
                              <a:gd name="T88" fmla="*/ 271892 w 1327"/>
                              <a:gd name="T89" fmla="*/ 48745 h 325"/>
                              <a:gd name="T90" fmla="*/ 274748 w 1327"/>
                              <a:gd name="T91" fmla="*/ 38616 h 325"/>
                              <a:gd name="T92" fmla="*/ 281093 w 1327"/>
                              <a:gd name="T93" fmla="*/ 30703 h 325"/>
                              <a:gd name="T94" fmla="*/ 289976 w 1327"/>
                              <a:gd name="T95" fmla="*/ 25955 h 325"/>
                              <a:gd name="T96" fmla="*/ 301398 w 1327"/>
                              <a:gd name="T97" fmla="*/ 25005 h 325"/>
                              <a:gd name="T98" fmla="*/ 312819 w 1327"/>
                              <a:gd name="T99" fmla="*/ 29120 h 325"/>
                              <a:gd name="T100" fmla="*/ 319799 w 1327"/>
                              <a:gd name="T101" fmla="*/ 5064 h 325"/>
                              <a:gd name="T102" fmla="*/ 333758 w 1327"/>
                              <a:gd name="T103" fmla="*/ 100021 h 325"/>
                              <a:gd name="T104" fmla="*/ 395624 w 1327"/>
                              <a:gd name="T105" fmla="*/ 100021 h 325"/>
                              <a:gd name="T106" fmla="*/ 395624 w 1327"/>
                              <a:gd name="T107" fmla="*/ 40198 h 32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327" h="325">
                                <a:moveTo>
                                  <a:pt x="236" y="16"/>
                                </a:moveTo>
                                <a:lnTo>
                                  <a:pt x="215" y="9"/>
                                </a:lnTo>
                                <a:lnTo>
                                  <a:pt x="197" y="4"/>
                                </a:lnTo>
                                <a:lnTo>
                                  <a:pt x="180" y="1"/>
                                </a:lnTo>
                                <a:lnTo>
                                  <a:pt x="162" y="0"/>
                                </a:lnTo>
                                <a:lnTo>
                                  <a:pt x="146" y="1"/>
                                </a:lnTo>
                                <a:lnTo>
                                  <a:pt x="130" y="4"/>
                                </a:lnTo>
                                <a:lnTo>
                                  <a:pt x="114" y="8"/>
                                </a:lnTo>
                                <a:lnTo>
                                  <a:pt x="99" y="13"/>
                                </a:lnTo>
                                <a:lnTo>
                                  <a:pt x="85" y="20"/>
                                </a:lnTo>
                                <a:lnTo>
                                  <a:pt x="71" y="28"/>
                                </a:lnTo>
                                <a:lnTo>
                                  <a:pt x="59" y="38"/>
                                </a:lnTo>
                                <a:lnTo>
                                  <a:pt x="48" y="48"/>
                                </a:lnTo>
                                <a:lnTo>
                                  <a:pt x="38" y="59"/>
                                </a:lnTo>
                                <a:lnTo>
                                  <a:pt x="28" y="72"/>
                                </a:lnTo>
                                <a:lnTo>
                                  <a:pt x="20" y="85"/>
                                </a:lnTo>
                                <a:lnTo>
                                  <a:pt x="13" y="99"/>
                                </a:lnTo>
                                <a:lnTo>
                                  <a:pt x="8" y="114"/>
                                </a:lnTo>
                                <a:lnTo>
                                  <a:pt x="4" y="130"/>
                                </a:lnTo>
                                <a:lnTo>
                                  <a:pt x="2" y="147"/>
                                </a:lnTo>
                                <a:lnTo>
                                  <a:pt x="0" y="164"/>
                                </a:lnTo>
                                <a:lnTo>
                                  <a:pt x="0" y="179"/>
                                </a:lnTo>
                                <a:lnTo>
                                  <a:pt x="3" y="194"/>
                                </a:lnTo>
                                <a:lnTo>
                                  <a:pt x="7" y="208"/>
                                </a:lnTo>
                                <a:lnTo>
                                  <a:pt x="10" y="222"/>
                                </a:lnTo>
                                <a:lnTo>
                                  <a:pt x="16" y="235"/>
                                </a:lnTo>
                                <a:lnTo>
                                  <a:pt x="23" y="247"/>
                                </a:lnTo>
                                <a:lnTo>
                                  <a:pt x="31" y="260"/>
                                </a:lnTo>
                                <a:lnTo>
                                  <a:pt x="41" y="271"/>
                                </a:lnTo>
                                <a:lnTo>
                                  <a:pt x="53" y="282"/>
                                </a:lnTo>
                                <a:lnTo>
                                  <a:pt x="66" y="294"/>
                                </a:lnTo>
                                <a:lnTo>
                                  <a:pt x="81" y="302"/>
                                </a:lnTo>
                                <a:lnTo>
                                  <a:pt x="97" y="310"/>
                                </a:lnTo>
                                <a:lnTo>
                                  <a:pt x="114" y="316"/>
                                </a:lnTo>
                                <a:lnTo>
                                  <a:pt x="130" y="321"/>
                                </a:lnTo>
                                <a:lnTo>
                                  <a:pt x="147" y="324"/>
                                </a:lnTo>
                                <a:lnTo>
                                  <a:pt x="163" y="325"/>
                                </a:lnTo>
                                <a:lnTo>
                                  <a:pt x="178" y="324"/>
                                </a:lnTo>
                                <a:lnTo>
                                  <a:pt x="193" y="321"/>
                                </a:lnTo>
                                <a:lnTo>
                                  <a:pt x="211" y="317"/>
                                </a:lnTo>
                                <a:lnTo>
                                  <a:pt x="236" y="309"/>
                                </a:lnTo>
                                <a:lnTo>
                                  <a:pt x="236" y="215"/>
                                </a:lnTo>
                                <a:lnTo>
                                  <a:pt x="227" y="222"/>
                                </a:lnTo>
                                <a:lnTo>
                                  <a:pt x="220" y="228"/>
                                </a:lnTo>
                                <a:lnTo>
                                  <a:pt x="211" y="235"/>
                                </a:lnTo>
                                <a:lnTo>
                                  <a:pt x="202" y="238"/>
                                </a:lnTo>
                                <a:lnTo>
                                  <a:pt x="195" y="242"/>
                                </a:lnTo>
                                <a:lnTo>
                                  <a:pt x="185" y="245"/>
                                </a:lnTo>
                                <a:lnTo>
                                  <a:pt x="176" y="246"/>
                                </a:lnTo>
                                <a:lnTo>
                                  <a:pt x="166" y="246"/>
                                </a:lnTo>
                                <a:lnTo>
                                  <a:pt x="159" y="246"/>
                                </a:lnTo>
                                <a:lnTo>
                                  <a:pt x="151" y="245"/>
                                </a:lnTo>
                                <a:lnTo>
                                  <a:pt x="144" y="243"/>
                                </a:lnTo>
                                <a:lnTo>
                                  <a:pt x="137" y="241"/>
                                </a:lnTo>
                                <a:lnTo>
                                  <a:pt x="130" y="238"/>
                                </a:lnTo>
                                <a:lnTo>
                                  <a:pt x="124" y="235"/>
                                </a:lnTo>
                                <a:lnTo>
                                  <a:pt x="117" y="231"/>
                                </a:lnTo>
                                <a:lnTo>
                                  <a:pt x="111" y="226"/>
                                </a:lnTo>
                                <a:lnTo>
                                  <a:pt x="105" y="220"/>
                                </a:lnTo>
                                <a:lnTo>
                                  <a:pt x="99" y="213"/>
                                </a:lnTo>
                                <a:lnTo>
                                  <a:pt x="94" y="207"/>
                                </a:lnTo>
                                <a:lnTo>
                                  <a:pt x="90" y="198"/>
                                </a:lnTo>
                                <a:lnTo>
                                  <a:pt x="87" y="191"/>
                                </a:lnTo>
                                <a:lnTo>
                                  <a:pt x="85" y="182"/>
                                </a:lnTo>
                                <a:lnTo>
                                  <a:pt x="84" y="173"/>
                                </a:lnTo>
                                <a:lnTo>
                                  <a:pt x="84" y="163"/>
                                </a:lnTo>
                                <a:lnTo>
                                  <a:pt x="84" y="154"/>
                                </a:lnTo>
                                <a:lnTo>
                                  <a:pt x="85" y="146"/>
                                </a:lnTo>
                                <a:lnTo>
                                  <a:pt x="87" y="137"/>
                                </a:lnTo>
                                <a:lnTo>
                                  <a:pt x="90" y="129"/>
                                </a:lnTo>
                                <a:lnTo>
                                  <a:pt x="92" y="122"/>
                                </a:lnTo>
                                <a:lnTo>
                                  <a:pt x="97" y="114"/>
                                </a:lnTo>
                                <a:lnTo>
                                  <a:pt x="101" y="108"/>
                                </a:lnTo>
                                <a:lnTo>
                                  <a:pt x="107" y="102"/>
                                </a:lnTo>
                                <a:lnTo>
                                  <a:pt x="112" y="97"/>
                                </a:lnTo>
                                <a:lnTo>
                                  <a:pt x="119" y="92"/>
                                </a:lnTo>
                                <a:lnTo>
                                  <a:pt x="126" y="88"/>
                                </a:lnTo>
                                <a:lnTo>
                                  <a:pt x="134" y="84"/>
                                </a:lnTo>
                                <a:lnTo>
                                  <a:pt x="141" y="82"/>
                                </a:lnTo>
                                <a:lnTo>
                                  <a:pt x="149" y="79"/>
                                </a:lnTo>
                                <a:lnTo>
                                  <a:pt x="157" y="78"/>
                                </a:lnTo>
                                <a:lnTo>
                                  <a:pt x="166" y="78"/>
                                </a:lnTo>
                                <a:lnTo>
                                  <a:pt x="176" y="79"/>
                                </a:lnTo>
                                <a:lnTo>
                                  <a:pt x="186" y="80"/>
                                </a:lnTo>
                                <a:lnTo>
                                  <a:pt x="195" y="83"/>
                                </a:lnTo>
                                <a:lnTo>
                                  <a:pt x="203" y="87"/>
                                </a:lnTo>
                                <a:lnTo>
                                  <a:pt x="212" y="92"/>
                                </a:lnTo>
                                <a:lnTo>
                                  <a:pt x="221" y="97"/>
                                </a:lnTo>
                                <a:lnTo>
                                  <a:pt x="228" y="104"/>
                                </a:lnTo>
                                <a:lnTo>
                                  <a:pt x="236" y="112"/>
                                </a:lnTo>
                                <a:lnTo>
                                  <a:pt x="236" y="16"/>
                                </a:lnTo>
                                <a:close/>
                                <a:moveTo>
                                  <a:pt x="390" y="247"/>
                                </a:moveTo>
                                <a:lnTo>
                                  <a:pt x="535" y="6"/>
                                </a:lnTo>
                                <a:lnTo>
                                  <a:pt x="281" y="6"/>
                                </a:lnTo>
                                <a:lnTo>
                                  <a:pt x="281" y="75"/>
                                </a:lnTo>
                                <a:lnTo>
                                  <a:pt x="401" y="75"/>
                                </a:lnTo>
                                <a:lnTo>
                                  <a:pt x="257" y="316"/>
                                </a:lnTo>
                                <a:lnTo>
                                  <a:pt x="520" y="316"/>
                                </a:lnTo>
                                <a:lnTo>
                                  <a:pt x="520" y="247"/>
                                </a:lnTo>
                                <a:lnTo>
                                  <a:pt x="390" y="247"/>
                                </a:lnTo>
                                <a:close/>
                                <a:moveTo>
                                  <a:pt x="740" y="75"/>
                                </a:moveTo>
                                <a:lnTo>
                                  <a:pt x="740" y="6"/>
                                </a:lnTo>
                                <a:lnTo>
                                  <a:pt x="566" y="6"/>
                                </a:lnTo>
                                <a:lnTo>
                                  <a:pt x="566" y="316"/>
                                </a:lnTo>
                                <a:lnTo>
                                  <a:pt x="740" y="316"/>
                                </a:lnTo>
                                <a:lnTo>
                                  <a:pt x="740" y="247"/>
                                </a:lnTo>
                                <a:lnTo>
                                  <a:pt x="646" y="247"/>
                                </a:lnTo>
                                <a:lnTo>
                                  <a:pt x="646" y="194"/>
                                </a:lnTo>
                                <a:lnTo>
                                  <a:pt x="735" y="194"/>
                                </a:lnTo>
                                <a:lnTo>
                                  <a:pt x="735" y="127"/>
                                </a:lnTo>
                                <a:lnTo>
                                  <a:pt x="646" y="127"/>
                                </a:lnTo>
                                <a:lnTo>
                                  <a:pt x="646" y="75"/>
                                </a:lnTo>
                                <a:lnTo>
                                  <a:pt x="740" y="75"/>
                                </a:lnTo>
                                <a:close/>
                                <a:moveTo>
                                  <a:pt x="1008" y="16"/>
                                </a:moveTo>
                                <a:lnTo>
                                  <a:pt x="988" y="9"/>
                                </a:lnTo>
                                <a:lnTo>
                                  <a:pt x="971" y="4"/>
                                </a:lnTo>
                                <a:lnTo>
                                  <a:pt x="953" y="1"/>
                                </a:lnTo>
                                <a:lnTo>
                                  <a:pt x="936" y="0"/>
                                </a:lnTo>
                                <a:lnTo>
                                  <a:pt x="920" y="1"/>
                                </a:lnTo>
                                <a:lnTo>
                                  <a:pt x="904" y="4"/>
                                </a:lnTo>
                                <a:lnTo>
                                  <a:pt x="887" y="8"/>
                                </a:lnTo>
                                <a:lnTo>
                                  <a:pt x="872" y="13"/>
                                </a:lnTo>
                                <a:lnTo>
                                  <a:pt x="859" y="20"/>
                                </a:lnTo>
                                <a:lnTo>
                                  <a:pt x="845" y="28"/>
                                </a:lnTo>
                                <a:lnTo>
                                  <a:pt x="833" y="38"/>
                                </a:lnTo>
                                <a:lnTo>
                                  <a:pt x="820" y="48"/>
                                </a:lnTo>
                                <a:lnTo>
                                  <a:pt x="810" y="59"/>
                                </a:lnTo>
                                <a:lnTo>
                                  <a:pt x="801" y="72"/>
                                </a:lnTo>
                                <a:lnTo>
                                  <a:pt x="793" y="85"/>
                                </a:lnTo>
                                <a:lnTo>
                                  <a:pt x="786" y="99"/>
                                </a:lnTo>
                                <a:lnTo>
                                  <a:pt x="780" y="114"/>
                                </a:lnTo>
                                <a:lnTo>
                                  <a:pt x="776" y="130"/>
                                </a:lnTo>
                                <a:lnTo>
                                  <a:pt x="774" y="147"/>
                                </a:lnTo>
                                <a:lnTo>
                                  <a:pt x="774" y="164"/>
                                </a:lnTo>
                                <a:lnTo>
                                  <a:pt x="774" y="179"/>
                                </a:lnTo>
                                <a:lnTo>
                                  <a:pt x="776" y="194"/>
                                </a:lnTo>
                                <a:lnTo>
                                  <a:pt x="779" y="208"/>
                                </a:lnTo>
                                <a:lnTo>
                                  <a:pt x="784" y="222"/>
                                </a:lnTo>
                                <a:lnTo>
                                  <a:pt x="789" y="235"/>
                                </a:lnTo>
                                <a:lnTo>
                                  <a:pt x="796" y="247"/>
                                </a:lnTo>
                                <a:lnTo>
                                  <a:pt x="805" y="260"/>
                                </a:lnTo>
                                <a:lnTo>
                                  <a:pt x="814" y="271"/>
                                </a:lnTo>
                                <a:lnTo>
                                  <a:pt x="826" y="282"/>
                                </a:lnTo>
                                <a:lnTo>
                                  <a:pt x="840" y="294"/>
                                </a:lnTo>
                                <a:lnTo>
                                  <a:pt x="855" y="302"/>
                                </a:lnTo>
                                <a:lnTo>
                                  <a:pt x="870" y="310"/>
                                </a:lnTo>
                                <a:lnTo>
                                  <a:pt x="886" y="316"/>
                                </a:lnTo>
                                <a:lnTo>
                                  <a:pt x="902" y="321"/>
                                </a:lnTo>
                                <a:lnTo>
                                  <a:pt x="920" y="324"/>
                                </a:lnTo>
                                <a:lnTo>
                                  <a:pt x="937" y="325"/>
                                </a:lnTo>
                                <a:lnTo>
                                  <a:pt x="952" y="324"/>
                                </a:lnTo>
                                <a:lnTo>
                                  <a:pt x="967" y="321"/>
                                </a:lnTo>
                                <a:lnTo>
                                  <a:pt x="985" y="317"/>
                                </a:lnTo>
                                <a:lnTo>
                                  <a:pt x="1008" y="309"/>
                                </a:lnTo>
                                <a:lnTo>
                                  <a:pt x="1008" y="215"/>
                                </a:lnTo>
                                <a:lnTo>
                                  <a:pt x="1001" y="222"/>
                                </a:lnTo>
                                <a:lnTo>
                                  <a:pt x="992" y="228"/>
                                </a:lnTo>
                                <a:lnTo>
                                  <a:pt x="985" y="235"/>
                                </a:lnTo>
                                <a:lnTo>
                                  <a:pt x="976" y="238"/>
                                </a:lnTo>
                                <a:lnTo>
                                  <a:pt x="967" y="242"/>
                                </a:lnTo>
                                <a:lnTo>
                                  <a:pt x="958" y="245"/>
                                </a:lnTo>
                                <a:lnTo>
                                  <a:pt x="948" y="246"/>
                                </a:lnTo>
                                <a:lnTo>
                                  <a:pt x="940" y="246"/>
                                </a:lnTo>
                                <a:lnTo>
                                  <a:pt x="932" y="246"/>
                                </a:lnTo>
                                <a:lnTo>
                                  <a:pt x="925" y="245"/>
                                </a:lnTo>
                                <a:lnTo>
                                  <a:pt x="917" y="243"/>
                                </a:lnTo>
                                <a:lnTo>
                                  <a:pt x="910" y="241"/>
                                </a:lnTo>
                                <a:lnTo>
                                  <a:pt x="904" y="238"/>
                                </a:lnTo>
                                <a:lnTo>
                                  <a:pt x="896" y="235"/>
                                </a:lnTo>
                                <a:lnTo>
                                  <a:pt x="890" y="231"/>
                                </a:lnTo>
                                <a:lnTo>
                                  <a:pt x="884" y="226"/>
                                </a:lnTo>
                                <a:lnTo>
                                  <a:pt x="877" y="220"/>
                                </a:lnTo>
                                <a:lnTo>
                                  <a:pt x="872" y="213"/>
                                </a:lnTo>
                                <a:lnTo>
                                  <a:pt x="867" y="207"/>
                                </a:lnTo>
                                <a:lnTo>
                                  <a:pt x="864" y="198"/>
                                </a:lnTo>
                                <a:lnTo>
                                  <a:pt x="860" y="191"/>
                                </a:lnTo>
                                <a:lnTo>
                                  <a:pt x="859" y="182"/>
                                </a:lnTo>
                                <a:lnTo>
                                  <a:pt x="857" y="173"/>
                                </a:lnTo>
                                <a:lnTo>
                                  <a:pt x="856" y="163"/>
                                </a:lnTo>
                                <a:lnTo>
                                  <a:pt x="857" y="154"/>
                                </a:lnTo>
                                <a:lnTo>
                                  <a:pt x="859" y="146"/>
                                </a:lnTo>
                                <a:lnTo>
                                  <a:pt x="860" y="137"/>
                                </a:lnTo>
                                <a:lnTo>
                                  <a:pt x="862" y="129"/>
                                </a:lnTo>
                                <a:lnTo>
                                  <a:pt x="866" y="122"/>
                                </a:lnTo>
                                <a:lnTo>
                                  <a:pt x="870" y="114"/>
                                </a:lnTo>
                                <a:lnTo>
                                  <a:pt x="875" y="108"/>
                                </a:lnTo>
                                <a:lnTo>
                                  <a:pt x="880" y="102"/>
                                </a:lnTo>
                                <a:lnTo>
                                  <a:pt x="886" y="97"/>
                                </a:lnTo>
                                <a:lnTo>
                                  <a:pt x="892" y="92"/>
                                </a:lnTo>
                                <a:lnTo>
                                  <a:pt x="899" y="88"/>
                                </a:lnTo>
                                <a:lnTo>
                                  <a:pt x="906" y="84"/>
                                </a:lnTo>
                                <a:lnTo>
                                  <a:pt x="914" y="82"/>
                                </a:lnTo>
                                <a:lnTo>
                                  <a:pt x="922" y="79"/>
                                </a:lnTo>
                                <a:lnTo>
                                  <a:pt x="931" y="78"/>
                                </a:lnTo>
                                <a:lnTo>
                                  <a:pt x="940" y="78"/>
                                </a:lnTo>
                                <a:lnTo>
                                  <a:pt x="950" y="79"/>
                                </a:lnTo>
                                <a:lnTo>
                                  <a:pt x="960" y="80"/>
                                </a:lnTo>
                                <a:lnTo>
                                  <a:pt x="968" y="83"/>
                                </a:lnTo>
                                <a:lnTo>
                                  <a:pt x="977" y="87"/>
                                </a:lnTo>
                                <a:lnTo>
                                  <a:pt x="986" y="92"/>
                                </a:lnTo>
                                <a:lnTo>
                                  <a:pt x="993" y="97"/>
                                </a:lnTo>
                                <a:lnTo>
                                  <a:pt x="1001" y="104"/>
                                </a:lnTo>
                                <a:lnTo>
                                  <a:pt x="1008" y="112"/>
                                </a:lnTo>
                                <a:lnTo>
                                  <a:pt x="1008" y="16"/>
                                </a:lnTo>
                                <a:close/>
                                <a:moveTo>
                                  <a:pt x="1132" y="127"/>
                                </a:moveTo>
                                <a:lnTo>
                                  <a:pt x="1132" y="6"/>
                                </a:lnTo>
                                <a:lnTo>
                                  <a:pt x="1052" y="6"/>
                                </a:lnTo>
                                <a:lnTo>
                                  <a:pt x="1052" y="316"/>
                                </a:lnTo>
                                <a:lnTo>
                                  <a:pt x="1132" y="316"/>
                                </a:lnTo>
                                <a:lnTo>
                                  <a:pt x="1132" y="189"/>
                                </a:lnTo>
                                <a:lnTo>
                                  <a:pt x="1247" y="189"/>
                                </a:lnTo>
                                <a:lnTo>
                                  <a:pt x="1247" y="316"/>
                                </a:lnTo>
                                <a:lnTo>
                                  <a:pt x="1327" y="316"/>
                                </a:lnTo>
                                <a:lnTo>
                                  <a:pt x="1327" y="6"/>
                                </a:lnTo>
                                <a:lnTo>
                                  <a:pt x="1247" y="6"/>
                                </a:lnTo>
                                <a:lnTo>
                                  <a:pt x="1247" y="127"/>
                                </a:lnTo>
                                <a:lnTo>
                                  <a:pt x="1132" y="127"/>
                                </a:lnTo>
                                <a:close/>
                              </a:path>
                            </a:pathLst>
                          </a:custGeom>
                          <a:solidFill>
                            <a:srgbClr val="BD1B21"/>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B08FEEB" id="Skupina 37" o:spid="_x0000_s1026" style="position:absolute;margin-left:67.95pt;margin-top:42.4pt;width:171.8pt;height:40.55pt;z-index:251663872;mso-position-horizontal-relative:page;mso-position-vertical-relative:page;mso-width-relative:margin;mso-height-relative:margin" coordsize="16710,3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">
                <o:lock v:ext="edit" aspectratio="t"/>
                <v:rect id="Rectangle 5" o:spid="_x0000_s1027" style="position:absolute;left:3952;top:47;width:4191;height: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" fillcolor="#0071bc" stroked="f"/>
                <v:rect id="Rectangle 6" o:spid="_x0000_s1028" style="position:absolute;top:1476;width:8147;height: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" fillcolor="#0071bc" stroked="f"/>
                <v:rect id="Rectangle 7" o:spid="_x0000_s1029" style="position:absolute;left:3571;top:2952;width:4572;height: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" fillcolor="#0071bc" stroked="f"/>
                <v:shape id="Freeform 8" o:spid="_x0000_s1030" style="position:absolute;left:8620;top:2905;width:4553;height:1047;visibility:visible;mso-wrap-style:square;v-text-anchor:top" coordsize="143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" path="m170,l155,1,139,2,124,6r-15,4l95,16,81,23,69,30,58,39,45,51,34,65,24,79,15,95,9,112,4,128,2,146,,162r2,19l4,197r4,16l13,230r7,13l28,258r10,13l49,282r11,12l73,302r13,9l101,317r16,5l134,327r17,3l168,330r18,l201,327r16,-2l231,320r13,-5l258,309r13,-9l283,291r13,-12l307,265r10,-14l325,235r7,-17l337,201r2,-18l340,166r-1,-17l338,134r-4,-15l329,104,323,90,315,77,306,64,296,53,283,40,269,30,256,20,239,14,223,8,207,4,188,1,170,xm170,78r10,1l187,80r9,3l205,85r7,4l218,93r8,5l232,104r5,6l242,117r5,7l249,132r4,7l256,148r1,9l257,166r,8l256,183r-3,8l249,199r-2,8l242,213r-5,8l232,227r-6,5l218,237r-6,5l203,246r-7,2l187,251r-7,1l170,252r-9,l152,251r-7,-3l136,246r-7,-4l121,237r-6,-5l109,227r-5,-6l99,213r-5,-7l90,198r-3,-7l85,182r-1,-9l84,164r,-8l85,147r2,-8l90,130r4,-7l99,117r5,-7l109,104r6,-6l122,93r7,-4l136,85r9,-2l152,80r9,-1l170,78xm557,78r,-68l380,10r,309l460,319r,-122l548,197r,-68l460,129r,-51l557,78xm785,78r,-68l608,10r,309l688,319r,-122l776,197r,-68l688,129r,-51l785,78xm917,10r-79,l838,319r79,l917,10xm1199,19r-20,-8l1160,6,1144,4r-17,l1109,4r-16,2l1078,10r-15,6l1048,23r-14,8l1022,40r-11,10l1001,63,991,75r-8,13l976,103r-5,15l967,134r-2,17l963,167r2,15l966,197r4,14l973,225r7,13l987,251r7,11l1004,274r13,12l1031,296r13,9l1061,314r16,5l1093,324r17,2l1127,327r16,l1156,325r19,-5l1199,312r,-95l1190,225r-7,7l1174,237r-8,5l1158,245r-9,2l1139,248r-10,2l1122,250r-8,-2l1107,246r-7,-1l1087,238r-13,-8l1068,223r-6,-6l1058,210r-5,-8l1051,194r-3,-8l1047,176r,-9l1047,157r1,-9l1051,141r2,-9l1057,124r4,-6l1066,112r4,-7l1075,100r7,-5l1089,90r8,-2l1104,84r8,-1l1120,82r9,l1139,82r10,1l1159,85r9,4l1175,94r9,6l1191,107r8,8l1199,19xm1436,78r,-68l1261,10r,309l1436,319r,-68l1341,251r,-54l1431,197r,-68l1341,129r,-51l1436,78xe" fillcolor="#bd1b21" stroked="f">
                  <v:path arrowok="t" o:connecttype="custom" o:connectlocs="10957200,1008063;4523781,5141278;402029,12903200;804059,21471890;4925810,28427363;11761576,32459613;20205777,32963803;27242557,30241875;32670904,23689628;34078323,15020290;31665514,7762240;25734630,2016125;17089415,0;19702923,8367078;23321821,10483850;25433108,14012228;25734630,18447703;23824674,22278340;20406791,24798338;16184532,25403175;12163605,23891240;9449274,20766088;8444200,16532225;9449274,12399328;12264113,9375140;16184532,7963853;38199758,1008063;55088159,13004165;78912516,1008063;78007950,19858990;92182019,1008063;120530157,1915478;111482912,403225;103943595,3125153;98816770,8870950;96806307,16834803;98515248,23991888;103642073,29838650;111583420,32862838;120530157,31451550;117212781,24395113;112789825,25201563;107964522,23185438;105652536,19556413;105351014,14919325;107160463,11290300;110276507,8870950;114498766,8266113;119022230,10080625;144354831,1008063;134805050,25302528;134805050,7862888" o:connectangles="0,0,0,0,0,0,0,0,0,0,0,0,0,0,0,0,0,0,0,0,0,0,0,0,0,0,0,0,0,0,0,0,0,0,0,0,0,0,0,0,0,0,0,0,0,0,0,0,0,0,0,0"/>
                  <o:lock v:ext="edit" verticies="t"/>
                </v:shape>
                <v:shape id="Freeform 9" o:spid="_x0000_s1031" style="position:absolute;left:8620;top:1476;width:8090;height:1029;visibility:visible;mso-wrap-style:square;v-text-anchor:top" coordsize="2549,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" path="m215,24l203,19,191,14,178,9,166,6,154,2,142,1,130,,117,,106,,95,1,85,4,75,7,65,11r-9,5l49,21r-8,8l35,35r-6,9l24,51,20,61,16,71,15,81,13,93r,11l13,114r1,9l16,131r3,8l23,147r3,6l31,159r7,6l46,172r12,5l74,183r22,7l109,194r10,4l127,202r7,4l139,209r2,5l144,219r,7l142,232r-1,6l137,243r-5,4l127,251r-6,2l114,256r-9,l96,256r-9,-2l79,252r-9,-4l61,243r-8,-5l44,232,34,224,,290r13,7l25,305r14,5l53,315r12,3l79,322r13,1l106,323r14,l132,322r13,-2l156,316r11,-4l177,307r10,-6l196,295r7,-8l210,280r5,-9l220,261r2,-10l225,239r2,-12l227,214r-1,-16l222,184r-2,-7l217,170r-4,-5l210,160r-5,-6l198,150r-6,-5l186,142r-16,-8l151,128r-21,-7l117,116r-7,-3l104,108r-4,-3l97,101,96,98r,-5l96,88r3,-5l101,78r5,-4l111,70r5,-2l124,66r6,l137,66r7,2l150,69r6,2l170,78r12,8l215,24xm394,75r66,l460,6,249,6r,69l314,75r,241l394,316r,-241xm666,262r18,54l770,316,654,6r-87,l450,316r84,l555,262r111,xm643,201r-66,l611,103r32,98xm902,75r68,l970,6,758,6r,69l823,75r,241l902,316r,-241xm1090,6r-79,l1011,316r79,l1090,6xm1358,24r-11,-5l1335,14,1323,9,1311,6,1298,2,1286,1,1274,r-13,l1250,r-11,1l1229,4r-10,3l1210,11r-9,5l1193,21r-7,8l1179,35r-5,9l1169,51r-5,10l1161,71r-2,10l1158,93r-2,11l1158,114r1,9l1160,131r3,8l1166,147r4,6l1175,159r6,6l1190,172r11,5l1218,183r22,7l1252,194r12,4l1271,202r6,4l1282,209r4,5l1287,219r,7l1287,232r-2,6l1281,243r-4,4l1271,251r-6,2l1257,256r-8,l1240,256r-9,-2l1222,252r-8,-4l1205,243r-9,-5l1188,232r-9,-8l1144,290r12,7l1170,305r13,5l1196,315r14,3l1224,322r13,1l1251,323r13,l1276,322r13,-2l1300,316r11,-4l1321,307r10,-6l1340,295r7,-8l1353,280r5,-9l1363,261r4,-10l1370,239r1,-12l1371,214r-1,-16l1367,184r-2,-7l1361,170r-4,-5l1353,160r-5,-6l1343,150r-6,-5l1330,142r-15,-8l1296,128r-22,-7l1261,116r-7,-3l1247,108r-2,-3l1242,101r-1,-3l1240,93r1,-5l1242,83r4,-5l1250,74r5,-4l1261,68r6,-2l1275,66r6,l1287,68r8,1l1301,71r12,7l1327,86r31,-62xm1536,75r66,l1602,6r-210,l1392,75r65,l1457,316r79,l1536,75xm1723,6r-79,l1644,316r79,l1723,6xm2005,16l1984,9,1966,4,1950,1,1933,r-18,1l1899,4r-15,3l1868,12r-14,8l1840,27r-12,10l1817,47r-10,12l1797,71r-8,14l1782,100r-5,15l1773,130r-2,17l1769,164r2,15l1772,194r4,14l1779,222r7,14l1792,248r9,11l1811,271r12,11l1837,293r13,9l1867,310r16,6l1899,321r17,2l1933,325r16,-2l1963,322r17,-5l2005,310r,-96l1996,222r-7,6l1980,234r-7,4l1964,242r-10,2l1945,246r-10,1l1928,246r-8,l1913,243r-7,-2l1899,238r-6,-4l1887,231r-7,-5l1874,221r-6,-8l1863,207r-4,-8l1857,190r-3,-8l1853,173r,-10l1853,154r1,-9l1857,137r2,-8l1863,121r4,-6l1872,108r5,-5l1882,96r6,-5l1895,88r8,-4l1910,81r8,-1l1926,79r9,-1l1945,79r10,1l1965,83r9,3l1981,91r9,7l1997,104r8,7l2005,16xm2240,262r20,54l2345,316,2229,6r-87,l2025,316r83,l2129,262r111,xm2218,201r-66,l2186,103r32,98xm2455,6r-80,l2375,316r174,l2549,248r-94,l2455,6xe" fillcolor="#bd1b21" stroked="f">
                  <v:path arrowok="t" o:connecttype="custom" o:connectlocs="14303159,100338;6547138,1102133;2014699,6111428;1611632,13124629;5842247,17733205;14001018,20938951;13296127,24746091;7957554,25247147;1309491,29755385;10677145,32360370;18835915,30156103;22663463,23944654;21454897,16530734;15209901,12823932;9669795,9818229;11684494,6812843;17123675,7814638;25080912,7513941;77559893,31658955;64767441,20137515;76351327,601077;101835306,601077;133262139,901774;124800910,100338;118757447,3506443;116440606,10419307;118354380,15929657;127319284,19837134;129635808,23243239;125808260,25647865;119663871,23243239;121879786,31859314;130945299,31658955;136787546,27150716;137693970,18434304;134672238,14527143;125606726,10820025;125506118,7814638;129635808,6812843;161364783,7513941;154717037,7513941;199842746,901774;188158252,1202155;180201015,8515737;178488457,19436100;183625496,28252850;194705707,32560729;200346421,22842521;194202033,24646069;189367135,22642162;186647545,17332171;188057644,11521440;192388867,8115019;198835397,8616075;227643248,31658955;225628866,26248942;239227134,31658955" o:connectangles="0,0,0,0,0,0,0,0,0,0,0,0,0,0,0,0,0,0,0,0,0,0,0,0,0,0,0,0,0,0,0,0,0,0,0,0,0,0,0,0,0,0,0,0,0,0,0,0,0,0,0,0,0,0,0,0,0"/>
                  <o:lock v:ext="edit" verticies="t"/>
                </v:shape>
                <v:shape id="Freeform 10" o:spid="_x0000_s1032" style="position:absolute;left:8620;width:4210;height:1028;visibility:visible;mso-wrap-style:square;v-text-anchor:top" coordsize="1327,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" path="m236,16l215,9,197,4,180,1,162,,146,1,130,4,114,8,99,13,85,20,71,28,59,38,48,48,38,59,28,72,20,85,13,99,8,114,4,130,2,147,,164r,15l3,194r4,14l10,222r6,13l23,247r8,13l41,271r12,11l66,294r15,8l97,310r17,6l130,321r17,3l163,325r15,-1l193,321r18,-4l236,309r,-94l227,222r-7,6l211,235r-9,3l195,242r-10,3l176,246r-10,l159,246r-8,-1l144,243r-7,-2l130,238r-6,-3l117,231r-6,-5l105,220r-6,-7l94,207r-4,-9l87,191r-2,-9l84,173r,-10l84,154r1,-8l87,137r3,-8l92,122r5,-8l101,108r6,-6l112,97r7,-5l126,88r8,-4l141,82r8,-3l157,78r9,l176,79r10,1l195,83r8,4l212,92r9,5l228,104r8,8l236,16xm390,247l535,6,281,6r,69l401,75,257,316r263,l520,247r-130,xm740,75r,-69l566,6r,310l740,316r,-69l646,247r,-53l735,194r,-67l646,127r,-52l740,75xm1008,16l988,9,971,4,953,1,936,,920,1,904,4,887,8r-15,5l859,20r-14,8l833,38,820,48,810,59r-9,13l793,85r-7,14l780,114r-4,16l774,147r,17l774,179r2,15l779,208r5,14l789,235r7,12l805,260r9,11l826,282r14,12l855,302r15,8l886,316r16,5l920,324r17,1l952,324r15,-3l985,317r23,-8l1008,215r-7,7l992,228r-7,7l976,238r-9,4l958,245r-10,1l940,246r-8,l925,245r-8,-2l910,241r-6,-3l896,235r-6,-4l884,226r-7,-6l872,213r-5,-6l864,198r-4,-7l859,182r-2,-9l856,163r1,-9l859,146r1,-9l862,129r4,-7l870,114r5,-6l880,102r6,-5l892,92r7,-4l906,84r8,-2l922,79r9,-1l940,78r10,1l960,80r8,3l977,87r9,5l993,97r8,7l1008,112r,-96xm1132,127r,-121l1052,6r,310l1132,316r,-127l1247,189r,127l1327,316r,-310l1247,6r,121l1132,127xe" fillcolor="#bd1b21" stroked="f">
                  <v:path arrowok="t" o:connecttype="custom" o:connectlocs="18117809,100338;11474686,801436;5938487,3807140;2013019,8515737;201461,14727502;704636,20838930;3120259,26048583;8152966,30256441;14796089,32460391;21238068,31759292;22143848,22842521;18620985,24545732;15198693,24545732;12481037,23543936;9964843,21339669;8555570,18233945;8555570,14627164;9763382,11421419;11977862,9217152;14997550,7914660;18721556,8014997;22244737,9718208;39255306,24746091;40362546,7513941;39255306,24746091;56970511,31658955;65022588,19436100;65022588,7513941;97735343,400718;90991649,400718;85052845,2805344;80624202,7213561;78107690,13024292;78107690,19436100;80121027,24746091;84549670,29455004;90790188,32160011;97332739,32160011;100755031,22241444;97332739,24245351;93809876,24646069;90991649,23844316;88273993,22041084;86562689,19135719;86260657,15428917;87166753,12222855;89179773,9718208;91998000,8215356;95621752,7914660;99245187,9217152;101459667,1602873;105888310,31658955;125515962,31658955;125515962,12723595" o:connectangles="0,0,0,0,0,0,0,0,0,0,0,0,0,0,0,0,0,0,0,0,0,0,0,0,0,0,0,0,0,0,0,0,0,0,0,0,0,0,0,0,0,0,0,0,0,0,0,0,0,0,0,0,0,0"/>
                  <o:lock v:ext="edit" verticies="t"/>
                </v:shape>
                <w10:wrap type="square" anchorx="page" anchory="page"/>
                <w10:anchorlock/>
              </v:group>
            </w:pict>
          </mc:Fallback>
        </mc:AlternateContent>
      </w:r>
      <w:r w:rsidR="003D017F">
        <w:rPr>
          <w:noProof/>
        </w:rPr>
        <mc:AlternateContent>
          <mc:Choice Requires="wps">
            <w:drawing>
              <wp:anchor distT="0" distB="0" distL="114300" distR="114300" simplePos="0" relativeHeight="251656704" behindDoc="0" locked="1" layoutInCell="1" allowOverlap="1">
                <wp:simplePos x="0" y="0"/>
                <wp:positionH relativeFrom="page">
                  <wp:posOffset>1705610</wp:posOffset>
                </wp:positionH>
                <wp:positionV relativeFrom="page">
                  <wp:posOffset>8173085</wp:posOffset>
                </wp:positionV>
                <wp:extent cx="5130165" cy="925195"/>
                <wp:effectExtent l="0" t="0" r="13335" b="8255"/>
                <wp:wrapNone/>
                <wp:docPr id="1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925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404D76" w:rsidRDefault="00A91AF6" w:rsidP="004924DC">
                            <w:pPr>
                              <w:rPr>
                                <w:lang w:val="en-GB"/>
                              </w:rPr>
                            </w:pPr>
                            <w:r w:rsidRPr="00404D76">
                              <w:rPr>
                                <w:lang w:val="en-GB"/>
                              </w:rPr>
                              <w:t>Prepared by: Office of the President of the CZSO, Compen</w:t>
                            </w:r>
                            <w:r>
                              <w:rPr>
                                <w:lang w:val="en-GB"/>
                              </w:rPr>
                              <w:t>d</w:t>
                            </w:r>
                            <w:r w:rsidRPr="00404D76">
                              <w:rPr>
                                <w:lang w:val="en-GB"/>
                              </w:rPr>
                              <w:t>ious Analyses Unit</w:t>
                            </w:r>
                          </w:p>
                          <w:p w:rsidR="00A91AF6" w:rsidRPr="00404D76" w:rsidRDefault="00A91AF6" w:rsidP="004924DC">
                            <w:pPr>
                              <w:rPr>
                                <w:lang w:val="en-GB"/>
                              </w:rPr>
                            </w:pPr>
                            <w:r>
                              <w:rPr>
                                <w:lang w:val="en-GB"/>
                              </w:rPr>
                              <w:t>Director</w:t>
                            </w:r>
                            <w:r w:rsidRPr="00404D76">
                              <w:rPr>
                                <w:lang w:val="en-GB"/>
                              </w:rPr>
                              <w:t xml:space="preserve">: </w:t>
                            </w:r>
                            <w:proofErr w:type="spellStart"/>
                            <w:r w:rsidRPr="00404D76">
                              <w:rPr>
                                <w:lang w:val="en-GB"/>
                              </w:rPr>
                              <w:t>Egor</w:t>
                            </w:r>
                            <w:proofErr w:type="spellEnd"/>
                            <w:r w:rsidRPr="00404D76">
                              <w:rPr>
                                <w:lang w:val="en-GB"/>
                              </w:rPr>
                              <w:t xml:space="preserve"> </w:t>
                            </w:r>
                            <w:proofErr w:type="spellStart"/>
                            <w:r w:rsidRPr="00404D76">
                              <w:rPr>
                                <w:lang w:val="en-GB"/>
                              </w:rPr>
                              <w:t>Sidorov</w:t>
                            </w:r>
                            <w:proofErr w:type="spellEnd"/>
                            <w:r w:rsidRPr="00404D76">
                              <w:rPr>
                                <w:lang w:val="en-GB"/>
                              </w:rPr>
                              <w:t>, Ph.D.</w:t>
                            </w:r>
                          </w:p>
                          <w:p w:rsidR="00A91AF6" w:rsidRPr="00404D76" w:rsidRDefault="00A91AF6" w:rsidP="004924DC">
                            <w:pPr>
                              <w:rPr>
                                <w:lang w:val="en-GB"/>
                              </w:rPr>
                            </w:pPr>
                            <w:r>
                              <w:rPr>
                                <w:lang w:val="en-GB"/>
                              </w:rPr>
                              <w:t>Contact person</w:t>
                            </w:r>
                            <w:r w:rsidRPr="00404D76">
                              <w:rPr>
                                <w:lang w:val="en-GB"/>
                              </w:rPr>
                              <w:t xml:space="preserve">: </w:t>
                            </w:r>
                            <w:proofErr w:type="spellStart"/>
                            <w:r w:rsidRPr="00404D76">
                              <w:rPr>
                                <w:lang w:val="en-GB"/>
                              </w:rPr>
                              <w:t>Karolína</w:t>
                            </w:r>
                            <w:proofErr w:type="spellEnd"/>
                            <w:r w:rsidRPr="00404D76">
                              <w:rPr>
                                <w:lang w:val="en-GB"/>
                              </w:rPr>
                              <w:t xml:space="preserve"> </w:t>
                            </w:r>
                            <w:proofErr w:type="spellStart"/>
                            <w:r w:rsidRPr="00404D76">
                              <w:rPr>
                                <w:lang w:val="en-GB"/>
                              </w:rPr>
                              <w:t>Zábojníková</w:t>
                            </w:r>
                            <w:proofErr w:type="spellEnd"/>
                            <w:r w:rsidRPr="00404D76">
                              <w:rPr>
                                <w:lang w:val="en-GB"/>
                              </w:rPr>
                              <w:t>, e-mail: karolina.zabojnikova@czso.cz</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134.3pt;margin-top:643.55pt;width:403.95pt;height:72.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" filled="f" stroked="f">
                <v:textbox inset="0,0,0,0">
                  <w:txbxContent>
                    <w:p w:rsidR="00A91AF6" w:rsidRPr="00404D76" w:rsidRDefault="00A91AF6" w:rsidP="004924DC">
                      <w:pPr>
                        <w:rPr>
                          <w:lang w:val="en-GB"/>
                        </w:rPr>
                      </w:pPr>
                      <w:r w:rsidRPr="00404D76">
                        <w:rPr>
                          <w:lang w:val="en-GB"/>
                        </w:rPr>
                        <w:t>Prepared by: Office of the President of the CZSO, Compen</w:t>
                      </w:r>
                      <w:r>
                        <w:rPr>
                          <w:lang w:val="en-GB"/>
                        </w:rPr>
                        <w:t>d</w:t>
                      </w:r>
                      <w:r w:rsidRPr="00404D76">
                        <w:rPr>
                          <w:lang w:val="en-GB"/>
                        </w:rPr>
                        <w:t>ious Analyses Unit</w:t>
                      </w:r>
                    </w:p>
                    <w:p w:rsidR="00A91AF6" w:rsidRPr="00404D76" w:rsidRDefault="00A91AF6" w:rsidP="004924DC">
                      <w:pPr>
                        <w:rPr>
                          <w:lang w:val="en-GB"/>
                        </w:rPr>
                      </w:pPr>
                      <w:r>
                        <w:rPr>
                          <w:lang w:val="en-GB"/>
                        </w:rPr>
                        <w:t>Director</w:t>
                      </w:r>
                      <w:r w:rsidRPr="00404D76">
                        <w:rPr>
                          <w:lang w:val="en-GB"/>
                        </w:rPr>
                        <w:t xml:space="preserve">: </w:t>
                      </w:r>
                      <w:proofErr w:type="spellStart"/>
                      <w:r w:rsidRPr="00404D76">
                        <w:rPr>
                          <w:lang w:val="en-GB"/>
                        </w:rPr>
                        <w:t>Egor</w:t>
                      </w:r>
                      <w:proofErr w:type="spellEnd"/>
                      <w:r w:rsidRPr="00404D76">
                        <w:rPr>
                          <w:lang w:val="en-GB"/>
                        </w:rPr>
                        <w:t xml:space="preserve"> </w:t>
                      </w:r>
                      <w:proofErr w:type="spellStart"/>
                      <w:r w:rsidRPr="00404D76">
                        <w:rPr>
                          <w:lang w:val="en-GB"/>
                        </w:rPr>
                        <w:t>Sidorov</w:t>
                      </w:r>
                      <w:proofErr w:type="spellEnd"/>
                      <w:r w:rsidRPr="00404D76">
                        <w:rPr>
                          <w:lang w:val="en-GB"/>
                        </w:rPr>
                        <w:t>, Ph.D.</w:t>
                      </w:r>
                    </w:p>
                    <w:p w:rsidR="00A91AF6" w:rsidRPr="00404D76" w:rsidRDefault="00A91AF6" w:rsidP="004924DC">
                      <w:pPr>
                        <w:rPr>
                          <w:lang w:val="en-GB"/>
                        </w:rPr>
                      </w:pPr>
                      <w:r>
                        <w:rPr>
                          <w:lang w:val="en-GB"/>
                        </w:rPr>
                        <w:t>Contact person</w:t>
                      </w:r>
                      <w:r w:rsidRPr="00404D76">
                        <w:rPr>
                          <w:lang w:val="en-GB"/>
                        </w:rPr>
                        <w:t xml:space="preserve">: </w:t>
                      </w:r>
                      <w:proofErr w:type="spellStart"/>
                      <w:r w:rsidRPr="00404D76">
                        <w:rPr>
                          <w:lang w:val="en-GB"/>
                        </w:rPr>
                        <w:t>Karolína</w:t>
                      </w:r>
                      <w:proofErr w:type="spellEnd"/>
                      <w:r w:rsidRPr="00404D76">
                        <w:rPr>
                          <w:lang w:val="en-GB"/>
                        </w:rPr>
                        <w:t xml:space="preserve"> </w:t>
                      </w:r>
                      <w:proofErr w:type="spellStart"/>
                      <w:r w:rsidRPr="00404D76">
                        <w:rPr>
                          <w:lang w:val="en-GB"/>
                        </w:rPr>
                        <w:t>Zábojníková</w:t>
                      </w:r>
                      <w:proofErr w:type="spellEnd"/>
                      <w:r w:rsidRPr="00404D76">
                        <w:rPr>
                          <w:lang w:val="en-GB"/>
                        </w:rPr>
                        <w:t>, e-mail: karolina.zabojnikova@czso.cz</w:t>
                      </w:r>
                    </w:p>
                  </w:txbxContent>
                </v:textbox>
                <w10:wrap anchorx="page" anchory="page"/>
                <w10:anchorlock/>
              </v:shape>
            </w:pict>
          </mc:Fallback>
        </mc:AlternateContent>
      </w:r>
      <w:r w:rsidR="003D017F">
        <w:rPr>
          <w:noProof/>
        </w:rPr>
        <mc:AlternateContent>
          <mc:Choice Requires="wps">
            <w:drawing>
              <wp:anchor distT="0" distB="0" distL="114300" distR="114300" simplePos="0" relativeHeight="251655680" behindDoc="0" locked="1" layoutInCell="1" allowOverlap="1">
                <wp:simplePos x="0" y="0"/>
                <wp:positionH relativeFrom="page">
                  <wp:posOffset>1710055</wp:posOffset>
                </wp:positionH>
                <wp:positionV relativeFrom="page">
                  <wp:posOffset>4680585</wp:posOffset>
                </wp:positionV>
                <wp:extent cx="5129530" cy="1686560"/>
                <wp:effectExtent l="0" t="0" r="13970" b="8890"/>
                <wp:wrapNone/>
                <wp:docPr id="30"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686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A567D3" w:rsidRDefault="00A91AF6" w:rsidP="004924DC">
                            <w:pPr>
                              <w:pStyle w:val="TLIdentifikace-sted"/>
                              <w:rPr>
                                <w:lang w:val="en-GB"/>
                              </w:rPr>
                            </w:pPr>
                            <w:r w:rsidRPr="00A567D3">
                              <w:rPr>
                                <w:lang w:val="en-GB"/>
                              </w:rPr>
                              <w:t>Summary Data on the Czech Republic</w:t>
                            </w:r>
                          </w:p>
                          <w:p w:rsidR="00A91AF6" w:rsidRPr="00A567D3" w:rsidRDefault="00A91AF6" w:rsidP="004924DC">
                            <w:pPr>
                              <w:pStyle w:val="TLIdentifikace-sted"/>
                              <w:rPr>
                                <w:lang w:val="en-GB"/>
                              </w:rPr>
                            </w:pPr>
                            <w:r>
                              <w:rPr>
                                <w:lang w:val="en-GB"/>
                              </w:rPr>
                              <w:t>Prague, 13</w:t>
                            </w:r>
                            <w:r w:rsidRPr="00A567D3">
                              <w:rPr>
                                <w:vertAlign w:val="superscript"/>
                                <w:lang w:val="en-GB"/>
                              </w:rPr>
                              <w:t>th</w:t>
                            </w:r>
                            <w:r>
                              <w:rPr>
                                <w:lang w:val="en-GB"/>
                              </w:rPr>
                              <w:t xml:space="preserve"> May</w:t>
                            </w:r>
                            <w:r w:rsidRPr="00A567D3">
                              <w:rPr>
                                <w:lang w:val="en-GB"/>
                              </w:rPr>
                              <w:t xml:space="preserve"> 2019</w:t>
                            </w:r>
                          </w:p>
                          <w:p w:rsidR="00A91AF6" w:rsidRPr="00A567D3" w:rsidRDefault="00A91AF6" w:rsidP="004924DC">
                            <w:pPr>
                              <w:pStyle w:val="TLIdentifikace-sted"/>
                              <w:rPr>
                                <w:lang w:val="en-GB"/>
                              </w:rPr>
                            </w:pPr>
                            <w:r w:rsidRPr="00A567D3">
                              <w:rPr>
                                <w:lang w:val="en-GB"/>
                              </w:rPr>
                              <w:t>Publi</w:t>
                            </w:r>
                            <w:r w:rsidR="0092626B">
                              <w:rPr>
                                <w:lang w:val="en-GB"/>
                              </w:rPr>
                              <w:t>cation Code: 320194</w:t>
                            </w:r>
                            <w:r w:rsidRPr="00A567D3">
                              <w:rPr>
                                <w:lang w:val="en-GB"/>
                              </w:rPr>
                              <w:t>-18</w:t>
                            </w:r>
                          </w:p>
                          <w:p w:rsidR="00A91AF6" w:rsidRPr="00A567D3" w:rsidRDefault="00A91AF6" w:rsidP="004924DC">
                            <w:pPr>
                              <w:pStyle w:val="TLIdentifikace-sted"/>
                              <w:rPr>
                                <w:lang w:val="en-GB"/>
                              </w:rPr>
                            </w:pPr>
                            <w:r w:rsidRPr="00A567D3">
                              <w:rPr>
                                <w:lang w:val="en-GB"/>
                              </w:rPr>
                              <w:t>Reference No.: CSU – 01416/2019-01</w:t>
                            </w:r>
                          </w:p>
                          <w:p w:rsidR="00A91AF6" w:rsidRPr="00A567D3" w:rsidRDefault="00A91AF6" w:rsidP="004924DC">
                            <w:pPr>
                              <w:pStyle w:val="TLIdentifikace-sted"/>
                              <w:rPr>
                                <w:lang w:val="en-GB"/>
                              </w:rPr>
                            </w:pPr>
                            <w:r w:rsidRPr="00A567D3">
                              <w:rPr>
                                <w:lang w:val="en-GB"/>
                              </w:rPr>
                              <w:t>Yearly Publication Number: 4</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34.65pt;margin-top:368.55pt;width:403.9pt;height:132.8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" filled="f" stroked="f">
                <v:textbox style="mso-fit-shape-to-text:t" inset="0,0,0,0">
                  <w:txbxContent>
                    <w:p w:rsidR="00A91AF6" w:rsidRPr="00A567D3" w:rsidRDefault="00A91AF6" w:rsidP="004924DC">
                      <w:pPr>
                        <w:pStyle w:val="TLIdentifikace-sted"/>
                        <w:rPr>
                          <w:lang w:val="en-GB"/>
                        </w:rPr>
                      </w:pPr>
                      <w:r w:rsidRPr="00A567D3">
                        <w:rPr>
                          <w:lang w:val="en-GB"/>
                        </w:rPr>
                        <w:t>Summary Data on the Czech Republic</w:t>
                      </w:r>
                    </w:p>
                    <w:p w:rsidR="00A91AF6" w:rsidRPr="00A567D3" w:rsidRDefault="00A91AF6" w:rsidP="004924DC">
                      <w:pPr>
                        <w:pStyle w:val="TLIdentifikace-sted"/>
                        <w:rPr>
                          <w:lang w:val="en-GB"/>
                        </w:rPr>
                      </w:pPr>
                      <w:r>
                        <w:rPr>
                          <w:lang w:val="en-GB"/>
                        </w:rPr>
                        <w:t>Prague, 13</w:t>
                      </w:r>
                      <w:r w:rsidRPr="00A567D3">
                        <w:rPr>
                          <w:vertAlign w:val="superscript"/>
                          <w:lang w:val="en-GB"/>
                        </w:rPr>
                        <w:t>th</w:t>
                      </w:r>
                      <w:r>
                        <w:rPr>
                          <w:lang w:val="en-GB"/>
                        </w:rPr>
                        <w:t xml:space="preserve"> May</w:t>
                      </w:r>
                      <w:r w:rsidRPr="00A567D3">
                        <w:rPr>
                          <w:lang w:val="en-GB"/>
                        </w:rPr>
                        <w:t xml:space="preserve"> 2019</w:t>
                      </w:r>
                    </w:p>
                    <w:p w:rsidR="00A91AF6" w:rsidRPr="00A567D3" w:rsidRDefault="00A91AF6" w:rsidP="004924DC">
                      <w:pPr>
                        <w:pStyle w:val="TLIdentifikace-sted"/>
                        <w:rPr>
                          <w:lang w:val="en-GB"/>
                        </w:rPr>
                      </w:pPr>
                      <w:r w:rsidRPr="00A567D3">
                        <w:rPr>
                          <w:lang w:val="en-GB"/>
                        </w:rPr>
                        <w:t>Publi</w:t>
                      </w:r>
                      <w:r w:rsidR="0092626B">
                        <w:rPr>
                          <w:lang w:val="en-GB"/>
                        </w:rPr>
                        <w:t>cation Code: 320194</w:t>
                      </w:r>
                      <w:r w:rsidRPr="00A567D3">
                        <w:rPr>
                          <w:lang w:val="en-GB"/>
                        </w:rPr>
                        <w:t>-18</w:t>
                      </w:r>
                    </w:p>
                    <w:p w:rsidR="00A91AF6" w:rsidRPr="00A567D3" w:rsidRDefault="00A91AF6" w:rsidP="004924DC">
                      <w:pPr>
                        <w:pStyle w:val="TLIdentifikace-sted"/>
                        <w:rPr>
                          <w:lang w:val="en-GB"/>
                        </w:rPr>
                      </w:pPr>
                      <w:r w:rsidRPr="00A567D3">
                        <w:rPr>
                          <w:lang w:val="en-GB"/>
                        </w:rPr>
                        <w:t>Reference No.: CSU – 01416/2019-01</w:t>
                      </w:r>
                    </w:p>
                    <w:p w:rsidR="00A91AF6" w:rsidRPr="00A567D3" w:rsidRDefault="00A91AF6" w:rsidP="004924DC">
                      <w:pPr>
                        <w:pStyle w:val="TLIdentifikace-sted"/>
                        <w:rPr>
                          <w:lang w:val="en-GB"/>
                        </w:rPr>
                      </w:pPr>
                      <w:r w:rsidRPr="00A567D3">
                        <w:rPr>
                          <w:lang w:val="en-GB"/>
                        </w:rPr>
                        <w:t>Yearly Publication Number: 4</w:t>
                      </w:r>
                    </w:p>
                  </w:txbxContent>
                </v:textbox>
                <w10:wrap anchorx="page" anchory="page"/>
                <w10:anchorlock/>
              </v:shape>
            </w:pict>
          </mc:Fallback>
        </mc:AlternateContent>
      </w:r>
      <w:r w:rsidR="003D017F">
        <w:rPr>
          <w:noProof/>
        </w:rPr>
        <mc:AlternateContent>
          <mc:Choice Requires="wps">
            <w:drawing>
              <wp:anchor distT="0" distB="0" distL="114300" distR="114300" simplePos="0" relativeHeight="251654656" behindDoc="0" locked="1" layoutInCell="1" allowOverlap="1">
                <wp:simplePos x="0" y="0"/>
                <wp:positionH relativeFrom="page">
                  <wp:posOffset>1710055</wp:posOffset>
                </wp:positionH>
                <wp:positionV relativeFrom="page">
                  <wp:posOffset>1476375</wp:posOffset>
                </wp:positionV>
                <wp:extent cx="5129530" cy="1471930"/>
                <wp:effectExtent l="0" t="0" r="13970" b="13970"/>
                <wp:wrapNone/>
                <wp:docPr id="1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47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502129" w:rsidRDefault="00A91AF6" w:rsidP="000E6FBD">
                            <w:pPr>
                              <w:pStyle w:val="Nzev"/>
                              <w:rPr>
                                <w:lang w:val="en-GB"/>
                              </w:rPr>
                            </w:pPr>
                            <w:r w:rsidRPr="00502129">
                              <w:rPr>
                                <w:lang w:val="en-GB"/>
                              </w:rPr>
                              <w:t>THE CZECH ECONOMY DEVELOPMENT</w:t>
                            </w:r>
                          </w:p>
                          <w:p w:rsidR="00A91AF6" w:rsidRPr="00502129" w:rsidRDefault="00A91AF6" w:rsidP="0012192F">
                            <w:pPr>
                              <w:pStyle w:val="Podnadpis"/>
                              <w:rPr>
                                <w:lang w:val="en-GB"/>
                              </w:rPr>
                            </w:pPr>
                          </w:p>
                          <w:p w:rsidR="00A91AF6" w:rsidRPr="00502129" w:rsidRDefault="00A91AF6" w:rsidP="0012192F">
                            <w:pPr>
                              <w:pStyle w:val="Podnadpis"/>
                              <w:rPr>
                                <w:lang w:val="en-GB"/>
                              </w:rPr>
                            </w:pPr>
                            <w:r w:rsidRPr="00502129">
                              <w:rPr>
                                <w:lang w:val="en-GB"/>
                              </w:rPr>
                              <w:t>Year 2018</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34.65pt;margin-top:116.25pt;width:403.9pt;height:115.9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" filled="f" stroked="f">
                <v:textbox style="mso-fit-shape-to-text:t" inset="0,0,0,0">
                  <w:txbxContent>
                    <w:p w:rsidR="00A91AF6" w:rsidRPr="00502129" w:rsidRDefault="00A91AF6" w:rsidP="000E6FBD">
                      <w:pPr>
                        <w:pStyle w:val="Nzev"/>
                        <w:rPr>
                          <w:lang w:val="en-GB"/>
                        </w:rPr>
                      </w:pPr>
                      <w:r w:rsidRPr="00502129">
                        <w:rPr>
                          <w:lang w:val="en-GB"/>
                        </w:rPr>
                        <w:t>THE CZECH ECONOMY DEVELOPMENT</w:t>
                      </w:r>
                    </w:p>
                    <w:p w:rsidR="00A91AF6" w:rsidRPr="00502129" w:rsidRDefault="00A91AF6" w:rsidP="0012192F">
                      <w:pPr>
                        <w:pStyle w:val="Podnadpis"/>
                        <w:rPr>
                          <w:lang w:val="en-GB"/>
                        </w:rPr>
                      </w:pPr>
                    </w:p>
                    <w:p w:rsidR="00A91AF6" w:rsidRPr="00502129" w:rsidRDefault="00A91AF6" w:rsidP="0012192F">
                      <w:pPr>
                        <w:pStyle w:val="Podnadpis"/>
                        <w:rPr>
                          <w:lang w:val="en-GB"/>
                        </w:rPr>
                      </w:pPr>
                      <w:r w:rsidRPr="00502129">
                        <w:rPr>
                          <w:lang w:val="en-GB"/>
                        </w:rPr>
                        <w:t>Year 2018</w:t>
                      </w:r>
                    </w:p>
                  </w:txbxContent>
                </v:textbox>
                <w10:wrap anchorx="page" anchory="page"/>
                <w10:anchorlock/>
              </v:shape>
            </w:pict>
          </mc:Fallback>
        </mc:AlternateContent>
      </w:r>
      <w:r w:rsidR="003D017F">
        <w:rPr>
          <w:noProof/>
        </w:rPr>
        <mc:AlternateContent>
          <mc:Choice Requires="wps">
            <w:drawing>
              <wp:anchor distT="0" distB="0" distL="114300" distR="114300" simplePos="0" relativeHeight="251658752" behindDoc="0" locked="1" layoutInCell="1" allowOverlap="1">
                <wp:simplePos x="0" y="0"/>
                <wp:positionH relativeFrom="page">
                  <wp:posOffset>1710055</wp:posOffset>
                </wp:positionH>
                <wp:positionV relativeFrom="page">
                  <wp:posOffset>9649460</wp:posOffset>
                </wp:positionV>
                <wp:extent cx="5130165" cy="179705"/>
                <wp:effectExtent l="0" t="0" r="13335" b="10795"/>
                <wp:wrapNone/>
                <wp:docPr id="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404D76" w:rsidRDefault="00A91AF6" w:rsidP="004924DC">
                            <w:pPr>
                              <w:rPr>
                                <w:lang w:val="en-GB"/>
                              </w:rPr>
                            </w:pPr>
                            <w:r>
                              <w:t xml:space="preserve">© </w:t>
                            </w:r>
                            <w:r w:rsidRPr="00404D76">
                              <w:rPr>
                                <w:lang w:val="en-GB"/>
                              </w:rPr>
                              <w:t>Czech Statistical Office, Prague, 2019</w:t>
                            </w:r>
                          </w:p>
                          <w:p w:rsidR="00A91AF6" w:rsidRPr="005251DD" w:rsidRDefault="00A91AF6" w:rsidP="00665BA4"/>
                          <w:p w:rsidR="00A91AF6" w:rsidRPr="005251DD" w:rsidRDefault="00A91AF6" w:rsidP="00FC684B"/>
                          <w:p w:rsidR="00A91AF6" w:rsidRDefault="00A91AF6"/>
                          <w:p w:rsidR="00A91AF6" w:rsidRPr="00097407" w:rsidRDefault="00A91AF6" w:rsidP="00665BA4">
                            <w:r w:rsidRPr="00097407">
                              <w:t xml:space="preserve">© </w:t>
                            </w:r>
                            <w:r w:rsidRPr="005251DD">
                              <w:t>Český statistický úřad</w:t>
                            </w:r>
                            <w:r>
                              <w:t xml:space="preserve">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rsidRPr="00097407">
                              <w:t>, místo, rok vydání</w:t>
                            </w:r>
                          </w:p>
                          <w:p w:rsidR="00A91AF6" w:rsidRPr="005251DD" w:rsidRDefault="00A91AF6" w:rsidP="00665BA4"/>
                          <w:p w:rsidR="00A91AF6" w:rsidRPr="005251DD" w:rsidRDefault="00A91AF6" w:rsidP="00FC684B"/>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34.65pt;margin-top:759.8pt;width:403.95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" filled="f" stroked="f">
                <v:textbox inset="0,0,0,0">
                  <w:txbxContent>
                    <w:p w:rsidR="00A91AF6" w:rsidRPr="00404D76" w:rsidRDefault="00A91AF6" w:rsidP="004924DC">
                      <w:pPr>
                        <w:rPr>
                          <w:lang w:val="en-GB"/>
                        </w:rPr>
                      </w:pPr>
                      <w:r>
                        <w:t xml:space="preserve">© </w:t>
                      </w:r>
                      <w:r w:rsidRPr="00404D76">
                        <w:rPr>
                          <w:lang w:val="en-GB"/>
                        </w:rPr>
                        <w:t>Czech Statistical Office, Prague, 2019</w:t>
                      </w:r>
                    </w:p>
                    <w:p w:rsidR="00A91AF6" w:rsidRPr="005251DD" w:rsidRDefault="00A91AF6" w:rsidP="00665BA4"/>
                    <w:p w:rsidR="00A91AF6" w:rsidRPr="005251DD" w:rsidRDefault="00A91AF6" w:rsidP="00FC684B"/>
                    <w:p w:rsidR="00A91AF6" w:rsidRDefault="00A91AF6"/>
                    <w:p w:rsidR="00A91AF6" w:rsidRPr="00097407" w:rsidRDefault="00A91AF6" w:rsidP="00665BA4">
                      <w:r w:rsidRPr="00097407">
                        <w:t xml:space="preserve">© </w:t>
                      </w:r>
                      <w:r w:rsidRPr="005251DD">
                        <w:t>Český statistický úřad</w:t>
                      </w:r>
                      <w:r>
                        <w:t xml:space="preserve">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rsidRPr="00097407">
                        <w:t>, místo, rok vydání</w:t>
                      </w:r>
                    </w:p>
                    <w:p w:rsidR="00A91AF6" w:rsidRPr="005251DD" w:rsidRDefault="00A91AF6" w:rsidP="00665BA4"/>
                    <w:p w:rsidR="00A91AF6" w:rsidRPr="005251DD" w:rsidRDefault="00A91AF6" w:rsidP="00FC684B"/>
                  </w:txbxContent>
                </v:textbox>
                <w10:wrap anchorx="page" anchory="page"/>
                <w10:anchorlock/>
              </v:shape>
            </w:pict>
          </mc:Fallback>
        </mc:AlternateContent>
      </w:r>
      <w:r w:rsidR="003D017F">
        <w:rPr>
          <w:noProof/>
        </w:rPr>
        <mc:AlternateContent>
          <mc:Choice Requires="wps">
            <w:drawing>
              <wp:anchor distT="4294967293" distB="4294967293" distL="114300" distR="114300" simplePos="0" relativeHeight="251653632" behindDoc="0" locked="1" layoutInCell="0" allowOverlap="1">
                <wp:simplePos x="0" y="0"/>
                <wp:positionH relativeFrom="page">
                  <wp:posOffset>1710055</wp:posOffset>
                </wp:positionH>
                <wp:positionV relativeFrom="page">
                  <wp:posOffset>9361169</wp:posOffset>
                </wp:positionV>
                <wp:extent cx="5130165" cy="0"/>
                <wp:effectExtent l="0" t="0" r="13335" b="19050"/>
                <wp:wrapNone/>
                <wp:docPr id="8" name="Přímá spojnic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30165" cy="0"/>
                        </a:xfrm>
                        <a:prstGeom prst="line">
                          <a:avLst/>
                        </a:prstGeom>
                        <a:noFill/>
                        <a:ln w="127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C1AA31" id="Přímá spojnice 33" o:spid="_x0000_s1026" style="position:absolute;z-index:25165363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margin;mso-height-relative:margin" from="134.65pt,737.1pt" to="538.6pt,7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" o:allowincell="f" strokecolor="windowText" strokeweight="1pt">
                <o:lock v:ext="edit" shapetype="f"/>
                <w10:wrap anchorx="page" anchory="page"/>
                <w10:anchorlock/>
              </v:line>
            </w:pict>
          </mc:Fallback>
        </mc:AlternateContent>
      </w:r>
      <w:r w:rsidR="00F63FB7" w:rsidRPr="009110F7">
        <w:br w:type="page"/>
      </w:r>
      <w:r w:rsidR="00D57677" w:rsidRPr="009110F7">
        <w:lastRenderedPageBreak/>
        <w:br w:type="page"/>
      </w:r>
      <w:r w:rsidR="003D017F">
        <w:rPr>
          <w:noProof/>
        </w:rPr>
        <mc:AlternateContent>
          <mc:Choice Requires="wps">
            <w:drawing>
              <wp:anchor distT="0" distB="0" distL="114300" distR="114300" simplePos="0" relativeHeight="251659776" behindDoc="0" locked="1" layoutInCell="1" allowOverlap="1">
                <wp:simplePos x="0" y="0"/>
                <wp:positionH relativeFrom="page">
                  <wp:posOffset>723900</wp:posOffset>
                </wp:positionH>
                <wp:positionV relativeFrom="page">
                  <wp:posOffset>1440180</wp:posOffset>
                </wp:positionV>
                <wp:extent cx="6119495" cy="7673340"/>
                <wp:effectExtent l="0" t="0" r="14605" b="3810"/>
                <wp:wrapNone/>
                <wp:docPr id="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7673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6F5416" w:rsidRDefault="00A91AF6" w:rsidP="006F5416">
                            <w:pPr>
                              <w:pStyle w:val="TLKontaktyerven"/>
                            </w:pPr>
                            <w:r>
                              <w:t>contacts in the headquarters</w:t>
                            </w:r>
                          </w:p>
                          <w:p w:rsidR="00A91AF6" w:rsidRPr="00FC7132" w:rsidRDefault="00A91AF6" w:rsidP="00825C4D">
                            <w:pPr>
                              <w:pStyle w:val="TLKontakty"/>
                              <w:spacing w:after="80" w:line="240" w:lineRule="auto"/>
                              <w:contextualSpacing w:val="0"/>
                              <w:rPr>
                                <w:b w:val="0"/>
                                <w:color w:val="auto"/>
                                <w:lang w:val="en-GB"/>
                              </w:rPr>
                            </w:pPr>
                            <w:r w:rsidRPr="00FC7132">
                              <w:rPr>
                                <w:lang w:val="en-GB"/>
                              </w:rPr>
                              <w:t>Czech Statistical Office</w:t>
                            </w:r>
                            <w:r w:rsidRPr="00FC7132">
                              <w:rPr>
                                <w:b w:val="0"/>
                                <w:color w:val="auto"/>
                                <w:lang w:val="en-GB"/>
                              </w:rPr>
                              <w:t xml:space="preserve"> | Na </w:t>
                            </w:r>
                            <w:proofErr w:type="spellStart"/>
                            <w:r w:rsidRPr="00FC7132">
                              <w:rPr>
                                <w:b w:val="0"/>
                                <w:color w:val="auto"/>
                                <w:lang w:val="en-GB"/>
                              </w:rPr>
                              <w:t>padesátém</w:t>
                            </w:r>
                            <w:proofErr w:type="spellEnd"/>
                            <w:r w:rsidRPr="00FC7132">
                              <w:rPr>
                                <w:b w:val="0"/>
                                <w:color w:val="auto"/>
                                <w:lang w:val="en-GB"/>
                              </w:rPr>
                              <w:t> 81, 100 82 Praha 10, ph.: </w:t>
                            </w:r>
                            <w:r w:rsidR="00992AAE" w:rsidRPr="00D151BF">
                              <w:rPr>
                                <w:b w:val="0"/>
                                <w:color w:val="auto"/>
                              </w:rPr>
                              <w:t xml:space="preserve">(+420) </w:t>
                            </w:r>
                            <w:r w:rsidRPr="00FC7132">
                              <w:rPr>
                                <w:b w:val="0"/>
                                <w:color w:val="auto"/>
                                <w:lang w:val="en-GB"/>
                              </w:rPr>
                              <w:t>2</w:t>
                            </w:r>
                            <w:r w:rsidRPr="00FC7132">
                              <w:rPr>
                                <w:b w:val="0"/>
                                <w:color w:val="auto"/>
                                <w:lang w:val="en-GB"/>
                              </w:rPr>
                              <w:t xml:space="preserve">74 051 111 | </w:t>
                            </w:r>
                            <w:r w:rsidRPr="00FC7132">
                              <w:rPr>
                                <w:color w:val="auto"/>
                                <w:lang w:val="en-GB"/>
                              </w:rPr>
                              <w:t>www.czso.cz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Information Services </w:t>
                            </w:r>
                            <w:r w:rsidRPr="00FC7132">
                              <w:rPr>
                                <w:b w:val="0"/>
                                <w:color w:val="auto"/>
                                <w:lang w:val="en-GB"/>
                              </w:rPr>
                              <w:t xml:space="preserve">| ph.: </w:t>
                            </w:r>
                            <w:r w:rsidR="00992AAE" w:rsidRPr="00FC7132">
                              <w:rPr>
                                <w:b w:val="0"/>
                                <w:color w:val="auto"/>
                                <w:lang w:val="en-GB"/>
                              </w:rPr>
                              <w:t> </w:t>
                            </w:r>
                            <w:r w:rsidR="00992AAE" w:rsidRPr="00D151BF">
                              <w:rPr>
                                <w:b w:val="0"/>
                                <w:color w:val="auto"/>
                              </w:rPr>
                              <w:t xml:space="preserve">(+420) </w:t>
                            </w:r>
                            <w:r w:rsidRPr="00FC7132">
                              <w:rPr>
                                <w:b w:val="0"/>
                                <w:color w:val="auto"/>
                                <w:lang w:val="en-GB"/>
                              </w:rPr>
                              <w:t xml:space="preserve">274 052 304, </w:t>
                            </w:r>
                            <w:r w:rsidR="00992AAE" w:rsidRPr="00D151BF">
                              <w:rPr>
                                <w:b w:val="0"/>
                                <w:color w:val="auto"/>
                              </w:rPr>
                              <w:t xml:space="preserve">(+420) </w:t>
                            </w:r>
                            <w:r w:rsidRPr="00FC7132">
                              <w:rPr>
                                <w:b w:val="0"/>
                                <w:color w:val="auto"/>
                                <w:lang w:val="en-GB"/>
                              </w:rPr>
                              <w:t>274 052 451 | e-mail: infoservis@czso.cz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CZSO Publication Shop </w:t>
                            </w:r>
                            <w:r w:rsidRPr="00FC7132">
                              <w:rPr>
                                <w:b w:val="0"/>
                                <w:color w:val="auto"/>
                                <w:lang w:val="en-GB"/>
                              </w:rPr>
                              <w:t xml:space="preserve">| ph.: </w:t>
                            </w:r>
                            <w:r w:rsidR="00992AAE" w:rsidRPr="00D151BF">
                              <w:rPr>
                                <w:b w:val="0"/>
                                <w:color w:val="auto"/>
                              </w:rPr>
                              <w:t xml:space="preserve">(+420) </w:t>
                            </w:r>
                            <w:r w:rsidRPr="00FC7132">
                              <w:rPr>
                                <w:b w:val="0"/>
                                <w:color w:val="auto"/>
                                <w:lang w:val="en-GB"/>
                              </w:rPr>
                              <w:t>274 052 361 | e-mail: prodejna@czso.cz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European Data, international comparison</w:t>
                            </w:r>
                            <w:r w:rsidRPr="00FC7132">
                              <w:rPr>
                                <w:b w:val="0"/>
                                <w:color w:val="auto"/>
                                <w:lang w:val="en-GB"/>
                              </w:rPr>
                              <w:t xml:space="preserve"> | ph.: </w:t>
                            </w:r>
                            <w:r w:rsidR="00992AAE" w:rsidRPr="00D151BF">
                              <w:rPr>
                                <w:b w:val="0"/>
                                <w:color w:val="auto"/>
                              </w:rPr>
                              <w:t xml:space="preserve">(+420) </w:t>
                            </w:r>
                            <w:r w:rsidRPr="00FC7132">
                              <w:rPr>
                                <w:b w:val="0"/>
                                <w:color w:val="auto"/>
                                <w:lang w:val="en-GB"/>
                              </w:rPr>
                              <w:t>274 052 347 | e-mail: esds@czso.cz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Central Statistical Library </w:t>
                            </w:r>
                            <w:r w:rsidRPr="00FC7132">
                              <w:rPr>
                                <w:b w:val="0"/>
                                <w:color w:val="auto"/>
                                <w:lang w:val="en-GB"/>
                              </w:rPr>
                              <w:t xml:space="preserve">| ph.: </w:t>
                            </w:r>
                            <w:r w:rsidR="00992AAE" w:rsidRPr="00D151BF">
                              <w:rPr>
                                <w:b w:val="0"/>
                                <w:color w:val="auto"/>
                              </w:rPr>
                              <w:t xml:space="preserve">(+420) </w:t>
                            </w:r>
                            <w:r w:rsidRPr="00FC7132">
                              <w:rPr>
                                <w:b w:val="0"/>
                                <w:color w:val="auto"/>
                                <w:lang w:val="en-GB"/>
                              </w:rPr>
                              <w:t>274 052 361 | e-mail: knihovna@czso.cz</w:t>
                            </w:r>
                          </w:p>
                          <w:p w:rsidR="00A91AF6" w:rsidRPr="004A61C5" w:rsidRDefault="00A91AF6" w:rsidP="00825C4D">
                            <w:pPr>
                              <w:pStyle w:val="TLKontakty"/>
                              <w:spacing w:after="80" w:line="240" w:lineRule="auto"/>
                              <w:contextualSpacing w:val="0"/>
                              <w:rPr>
                                <w:color w:val="auto"/>
                              </w:rPr>
                            </w:pPr>
                          </w:p>
                          <w:p w:rsidR="00A91AF6" w:rsidRPr="00D66223" w:rsidRDefault="00A91AF6" w:rsidP="00D66223">
                            <w:pPr>
                              <w:pStyle w:val="TLKontaktyerven"/>
                            </w:pPr>
                            <w:r w:rsidRPr="00D66223">
                              <w:t>INFORMA</w:t>
                            </w:r>
                            <w:r>
                              <w:t xml:space="preserve">TION SERVICES IN THE REGIONS </w:t>
                            </w:r>
                          </w:p>
                          <w:p w:rsidR="00A91AF6" w:rsidRPr="00992CF3" w:rsidRDefault="00A91AF6" w:rsidP="00825C4D">
                            <w:pPr>
                              <w:pStyle w:val="TLKontakty"/>
                              <w:spacing w:after="80" w:line="240" w:lineRule="auto"/>
                              <w:rPr>
                                <w:b w:val="0"/>
                                <w:color w:val="auto"/>
                              </w:rPr>
                            </w:pPr>
                            <w:proofErr w:type="spellStart"/>
                            <w:r>
                              <w:t>Capital</w:t>
                            </w:r>
                            <w:proofErr w:type="spellEnd"/>
                            <w:r>
                              <w:t xml:space="preserve"> City Prague </w:t>
                            </w:r>
                            <w:r w:rsidRPr="00992CF3">
                              <w:rPr>
                                <w:b w:val="0"/>
                                <w:color w:val="auto"/>
                              </w:rPr>
                              <w:t>| Na</w:t>
                            </w:r>
                            <w:r>
                              <w:rPr>
                                <w:b w:val="0"/>
                                <w:color w:val="auto"/>
                              </w:rPr>
                              <w:t xml:space="preserve"> padesátém 81, 100 82 Praha 10, </w:t>
                            </w:r>
                            <w:proofErr w:type="spellStart"/>
                            <w:r>
                              <w:rPr>
                                <w:b w:val="0"/>
                                <w:color w:val="auto"/>
                              </w:rPr>
                              <w:t>ph</w:t>
                            </w:r>
                            <w:proofErr w:type="spellEnd"/>
                            <w:r w:rsidRPr="00992CF3">
                              <w:rPr>
                                <w:b w:val="0"/>
                                <w:color w:val="auto"/>
                              </w:rPr>
                              <w:t>.</w:t>
                            </w:r>
                            <w:r w:rsidRPr="007D40DF">
                              <w:rPr>
                                <w:b w:val="0"/>
                                <w:color w:val="auto"/>
                              </w:rPr>
                              <w:t>:</w:t>
                            </w:r>
                            <w:r>
                              <w:rPr>
                                <w:b w:val="0"/>
                                <w:color w:val="auto"/>
                              </w:rPr>
                              <w:t xml:space="preserve"> </w:t>
                            </w:r>
                            <w:r w:rsidR="00992AAE" w:rsidRPr="00D151BF">
                              <w:rPr>
                                <w:b w:val="0"/>
                                <w:color w:val="auto"/>
                              </w:rPr>
                              <w:t xml:space="preserve">(+420) </w:t>
                            </w:r>
                            <w:r>
                              <w:rPr>
                                <w:b w:val="0"/>
                                <w:color w:val="auto"/>
                              </w:rPr>
                              <w:t xml:space="preserve">274 052 673, </w:t>
                            </w:r>
                            <w:r w:rsidR="00992AAE" w:rsidRPr="00D151BF">
                              <w:rPr>
                                <w:b w:val="0"/>
                                <w:color w:val="auto"/>
                              </w:rPr>
                              <w:t xml:space="preserve">(+420)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rsidR="00A91AF6" w:rsidRPr="00992CF3" w:rsidRDefault="00A91AF6"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rsidR="00A91AF6" w:rsidRPr="004A61C5" w:rsidRDefault="00A91AF6" w:rsidP="00825C4D">
                            <w:pPr>
                              <w:pStyle w:val="TLKontakty"/>
                              <w:spacing w:after="80" w:line="240" w:lineRule="auto"/>
                              <w:rPr>
                                <w:color w:val="auto"/>
                              </w:rPr>
                            </w:pPr>
                          </w:p>
                          <w:p w:rsidR="00A91AF6" w:rsidRPr="00992CF3" w:rsidRDefault="00A91AF6" w:rsidP="00825C4D">
                            <w:pPr>
                              <w:pStyle w:val="TLKontakty"/>
                              <w:spacing w:after="80" w:line="240" w:lineRule="auto"/>
                              <w:rPr>
                                <w:b w:val="0"/>
                                <w:color w:val="auto"/>
                              </w:rPr>
                            </w:pPr>
                            <w:proofErr w:type="spellStart"/>
                            <w:r>
                              <w:t>Central</w:t>
                            </w:r>
                            <w:proofErr w:type="spellEnd"/>
                            <w:r>
                              <w:t xml:space="preserve"> Bohemia </w:t>
                            </w:r>
                            <w:r w:rsidRPr="00992CF3">
                              <w:rPr>
                                <w:b w:val="0"/>
                                <w:color w:val="auto"/>
                              </w:rPr>
                              <w:t>|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xml:space="preserve"> 10, </w:t>
                            </w:r>
                            <w:proofErr w:type="spellStart"/>
                            <w:r>
                              <w:rPr>
                                <w:b w:val="0"/>
                                <w:color w:val="auto"/>
                              </w:rPr>
                              <w:t>ph</w:t>
                            </w:r>
                            <w:proofErr w:type="spellEnd"/>
                            <w:r w:rsidRPr="00992CF3">
                              <w:rPr>
                                <w:b w:val="0"/>
                                <w:color w:val="auto"/>
                              </w:rPr>
                              <w:t>.</w:t>
                            </w:r>
                            <w:r>
                              <w:rPr>
                                <w:b w:val="0"/>
                                <w:color w:val="auto"/>
                              </w:rPr>
                              <w:t xml:space="preserve">: </w:t>
                            </w:r>
                            <w:r w:rsidR="00992AAE" w:rsidRPr="00D151BF">
                              <w:rPr>
                                <w:b w:val="0"/>
                                <w:color w:val="auto"/>
                              </w:rPr>
                              <w:t xml:space="preserve">(+420) </w:t>
                            </w:r>
                            <w:r w:rsidRPr="00992CF3">
                              <w:rPr>
                                <w:b w:val="0"/>
                                <w:color w:val="auto"/>
                              </w:rPr>
                              <w:t>274</w:t>
                            </w:r>
                            <w:r>
                              <w:rPr>
                                <w:b w:val="0"/>
                                <w:color w:val="auto"/>
                              </w:rPr>
                              <w:t> </w:t>
                            </w:r>
                            <w:r w:rsidRPr="00992CF3">
                              <w:rPr>
                                <w:b w:val="0"/>
                                <w:color w:val="auto"/>
                              </w:rPr>
                              <w:t>054 175</w:t>
                            </w:r>
                          </w:p>
                          <w:p w:rsidR="00A91AF6" w:rsidRPr="00992CF3" w:rsidRDefault="00A91AF6"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rsidR="00A91AF6" w:rsidRPr="004A61C5" w:rsidRDefault="00A91AF6" w:rsidP="00825C4D">
                            <w:pPr>
                              <w:pStyle w:val="TLKontakty"/>
                              <w:spacing w:after="80" w:line="240" w:lineRule="auto"/>
                              <w:rPr>
                                <w:color w:val="auto"/>
                              </w:rPr>
                            </w:pPr>
                          </w:p>
                          <w:p w:rsidR="00A91AF6" w:rsidRPr="00992CF3" w:rsidRDefault="00A91AF6"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xml:space="preserve">, </w:t>
                            </w:r>
                            <w:proofErr w:type="spellStart"/>
                            <w:r>
                              <w:rPr>
                                <w:b w:val="0"/>
                                <w:color w:val="auto"/>
                              </w:rPr>
                              <w:t>ph</w:t>
                            </w:r>
                            <w:proofErr w:type="spellEnd"/>
                            <w:r w:rsidRPr="00992CF3">
                              <w:rPr>
                                <w:b w:val="0"/>
                                <w:color w:val="auto"/>
                              </w:rPr>
                              <w:t>.</w:t>
                            </w:r>
                            <w:r>
                              <w:rPr>
                                <w:b w:val="0"/>
                                <w:color w:val="auto"/>
                              </w:rPr>
                              <w:t xml:space="preserve">: </w:t>
                            </w:r>
                            <w:r w:rsidR="00992AAE" w:rsidRPr="00D151BF">
                              <w:rPr>
                                <w:b w:val="0"/>
                                <w:color w:val="auto"/>
                              </w:rPr>
                              <w:t xml:space="preserve">(+420) </w:t>
                            </w:r>
                            <w:r w:rsidRPr="00992CF3">
                              <w:rPr>
                                <w:b w:val="0"/>
                                <w:color w:val="auto"/>
                              </w:rPr>
                              <w:t>386</w:t>
                            </w:r>
                            <w:r>
                              <w:rPr>
                                <w:b w:val="0"/>
                                <w:color w:val="auto"/>
                              </w:rPr>
                              <w:t> </w:t>
                            </w:r>
                            <w:r w:rsidRPr="00992CF3">
                              <w:rPr>
                                <w:b w:val="0"/>
                                <w:color w:val="auto"/>
                              </w:rPr>
                              <w:t>718 440</w:t>
                            </w:r>
                          </w:p>
                          <w:p w:rsidR="00A91AF6" w:rsidRPr="00992CF3" w:rsidRDefault="00A91AF6"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rsidR="00A91AF6" w:rsidRPr="004A61C5" w:rsidRDefault="00A91AF6" w:rsidP="00825C4D">
                            <w:pPr>
                              <w:pStyle w:val="TLKontakty"/>
                              <w:spacing w:after="80" w:line="240" w:lineRule="auto"/>
                              <w:rPr>
                                <w:color w:val="auto"/>
                              </w:rPr>
                            </w:pPr>
                          </w:p>
                          <w:p w:rsidR="00A91AF6" w:rsidRPr="00BC731E" w:rsidRDefault="00A91AF6"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xml:space="preserve">, </w:t>
                            </w:r>
                            <w:r w:rsidR="00992AAE" w:rsidRPr="00D151BF">
                              <w:rPr>
                                <w:b w:val="0"/>
                                <w:color w:val="auto"/>
                              </w:rPr>
                              <w:t xml:space="preserve">(+420) </w:t>
                            </w:r>
                            <w:r w:rsidRPr="00BC731E">
                              <w:rPr>
                                <w:b w:val="0"/>
                                <w:color w:val="auto"/>
                              </w:rPr>
                              <w:t>377 612 145</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 xml:space="preserve">529, </w:t>
                            </w:r>
                            <w:r w:rsidR="00992AAE" w:rsidRPr="00D151BF">
                              <w:rPr>
                                <w:b w:val="0"/>
                                <w:color w:val="auto"/>
                              </w:rPr>
                              <w:t xml:space="preserve">(+420) </w:t>
                            </w:r>
                            <w:r w:rsidRPr="004A61C5">
                              <w:rPr>
                                <w:b w:val="0"/>
                                <w:color w:val="auto"/>
                              </w:rPr>
                              <w:t>353</w:t>
                            </w:r>
                            <w:r>
                              <w:rPr>
                                <w:b w:val="0"/>
                                <w:color w:val="auto"/>
                              </w:rPr>
                              <w:t> </w:t>
                            </w:r>
                            <w:r w:rsidRPr="004A61C5">
                              <w:rPr>
                                <w:b w:val="0"/>
                                <w:color w:val="auto"/>
                              </w:rPr>
                              <w:t>114 525</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00992AAE" w:rsidRPr="00D151BF">
                              <w:rPr>
                                <w:b w:val="0"/>
                                <w:color w:val="auto"/>
                              </w:rPr>
                              <w:t xml:space="preserve">(+420) </w:t>
                            </w:r>
                            <w:r w:rsidRPr="004A61C5">
                              <w:rPr>
                                <w:b w:val="0"/>
                                <w:color w:val="auto"/>
                              </w:rPr>
                              <w:t>472</w:t>
                            </w:r>
                            <w:r>
                              <w:rPr>
                                <w:b w:val="0"/>
                                <w:color w:val="auto"/>
                              </w:rPr>
                              <w:t> </w:t>
                            </w:r>
                            <w:r w:rsidRPr="004A61C5">
                              <w:rPr>
                                <w:b w:val="0"/>
                                <w:color w:val="auto"/>
                              </w:rPr>
                              <w:t>706 121</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xml:space="preserve"> 1,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485</w:t>
                            </w:r>
                            <w:r>
                              <w:rPr>
                                <w:b w:val="0"/>
                                <w:color w:val="auto"/>
                              </w:rPr>
                              <w:t> </w:t>
                            </w:r>
                            <w:r w:rsidRPr="004A61C5">
                              <w:rPr>
                                <w:b w:val="0"/>
                                <w:color w:val="auto"/>
                              </w:rPr>
                              <w:t>238 811</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rsidR="00A91AF6" w:rsidRPr="004A61C5" w:rsidRDefault="00A91AF6" w:rsidP="00825C4D">
                            <w:pPr>
                              <w:pStyle w:val="TLKontakty"/>
                              <w:spacing w:after="80" w:line="240" w:lineRule="auto"/>
                              <w:rPr>
                                <w:b w:val="0"/>
                                <w:color w:val="auto"/>
                              </w:rPr>
                            </w:pPr>
                          </w:p>
                          <w:p w:rsidR="00A91AF6" w:rsidRPr="004A61C5" w:rsidRDefault="00A91AF6" w:rsidP="00825C4D">
                            <w:pPr>
                              <w:pStyle w:val="TLKontakty"/>
                              <w:spacing w:after="80" w:line="240" w:lineRule="auto"/>
                              <w:rPr>
                                <w:b w:val="0"/>
                                <w:color w:val="auto"/>
                              </w:rPr>
                            </w:pPr>
                            <w:r w:rsidRPr="00D66223">
                              <w:t>Hradec Králové</w:t>
                            </w:r>
                            <w:r w:rsidRPr="004A61C5">
                              <w:rPr>
                                <w:b w:val="0"/>
                                <w:color w:val="auto"/>
                              </w:rPr>
                              <w:t xml:space="preserve"> | </w:t>
                            </w:r>
                            <w:r w:rsidRPr="00992AAE">
                              <w:rPr>
                                <w:b w:val="0"/>
                                <w:color w:val="auto"/>
                                <w:spacing w:val="-2"/>
                              </w:rPr>
                              <w:t xml:space="preserve">Myslivečkova 914, 500 03 Hradec Králové 3, </w:t>
                            </w:r>
                            <w:proofErr w:type="spellStart"/>
                            <w:r w:rsidRPr="00992AAE">
                              <w:rPr>
                                <w:b w:val="0"/>
                                <w:color w:val="auto"/>
                                <w:spacing w:val="-2"/>
                              </w:rPr>
                              <w:t>ph</w:t>
                            </w:r>
                            <w:proofErr w:type="spellEnd"/>
                            <w:r w:rsidRPr="00992AAE">
                              <w:rPr>
                                <w:b w:val="0"/>
                                <w:color w:val="auto"/>
                                <w:spacing w:val="-2"/>
                              </w:rPr>
                              <w:t xml:space="preserve">.: </w:t>
                            </w:r>
                            <w:r w:rsidR="00992AAE" w:rsidRPr="00992AAE">
                              <w:rPr>
                                <w:b w:val="0"/>
                                <w:color w:val="auto"/>
                                <w:spacing w:val="-2"/>
                              </w:rPr>
                              <w:t xml:space="preserve">(+420) </w:t>
                            </w:r>
                            <w:r w:rsidRPr="00992AAE">
                              <w:rPr>
                                <w:b w:val="0"/>
                                <w:color w:val="auto"/>
                                <w:spacing w:val="-2"/>
                              </w:rPr>
                              <w:t xml:space="preserve">495 762 322, </w:t>
                            </w:r>
                            <w:r w:rsidR="00992AAE" w:rsidRPr="00992AAE">
                              <w:rPr>
                                <w:b w:val="0"/>
                                <w:color w:val="auto"/>
                                <w:spacing w:val="-2"/>
                              </w:rPr>
                              <w:t xml:space="preserve">(+420) </w:t>
                            </w:r>
                            <w:r w:rsidRPr="00992AAE">
                              <w:rPr>
                                <w:b w:val="0"/>
                                <w:color w:val="auto"/>
                                <w:spacing w:val="-2"/>
                              </w:rPr>
                              <w:t>495 762 317</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xml:space="preserve">, </w:t>
                            </w:r>
                            <w:proofErr w:type="spellStart"/>
                            <w:r>
                              <w:rPr>
                                <w:b w:val="0"/>
                                <w:color w:val="auto"/>
                              </w:rPr>
                              <w:t>ph</w:t>
                            </w:r>
                            <w:proofErr w:type="spellEnd"/>
                            <w:r w:rsidRPr="004A61C5">
                              <w:rPr>
                                <w:b w:val="0"/>
                                <w:color w:val="auto"/>
                              </w:rPr>
                              <w:t>.</w:t>
                            </w:r>
                            <w:r>
                              <w:rPr>
                                <w:b w:val="0"/>
                                <w:color w:val="auto"/>
                              </w:rPr>
                              <w:t>:</w:t>
                            </w:r>
                            <w:r w:rsidRPr="004A61C5">
                              <w:rPr>
                                <w:b w:val="0"/>
                                <w:color w:val="auto"/>
                              </w:rPr>
                              <w:t xml:space="preserve"> </w:t>
                            </w:r>
                            <w:r w:rsidR="00992AAE" w:rsidRPr="00D151BF">
                              <w:rPr>
                                <w:b w:val="0"/>
                                <w:color w:val="auto"/>
                              </w:rPr>
                              <w:t xml:space="preserve">(+420) </w:t>
                            </w:r>
                            <w:r w:rsidRPr="004A61C5">
                              <w:rPr>
                                <w:b w:val="0"/>
                                <w:color w:val="auto"/>
                              </w:rPr>
                              <w:t>466</w:t>
                            </w:r>
                            <w:r>
                              <w:rPr>
                                <w:b w:val="0"/>
                                <w:color w:val="auto"/>
                              </w:rPr>
                              <w:t> </w:t>
                            </w:r>
                            <w:r w:rsidRPr="004A61C5">
                              <w:rPr>
                                <w:b w:val="0"/>
                                <w:color w:val="auto"/>
                              </w:rPr>
                              <w:t>743</w:t>
                            </w:r>
                            <w:r>
                              <w:rPr>
                                <w:b w:val="0"/>
                                <w:color w:val="auto"/>
                              </w:rPr>
                              <w:t> </w:t>
                            </w:r>
                            <w:r w:rsidRPr="004A61C5">
                              <w:rPr>
                                <w:b w:val="0"/>
                                <w:color w:val="auto"/>
                              </w:rPr>
                              <w:t xml:space="preserve">480, </w:t>
                            </w:r>
                            <w:r w:rsidR="00992AAE" w:rsidRPr="00D151BF">
                              <w:rPr>
                                <w:b w:val="0"/>
                                <w:color w:val="auto"/>
                              </w:rPr>
                              <w:t xml:space="preserve">(+420) </w:t>
                            </w:r>
                            <w:r w:rsidRPr="004A61C5">
                              <w:rPr>
                                <w:b w:val="0"/>
                                <w:color w:val="auto"/>
                              </w:rPr>
                              <w:t>466</w:t>
                            </w:r>
                            <w:r>
                              <w:rPr>
                                <w:b w:val="0"/>
                                <w:color w:val="auto"/>
                              </w:rPr>
                              <w:t> </w:t>
                            </w:r>
                            <w:r w:rsidRPr="004A61C5">
                              <w:rPr>
                                <w:b w:val="0"/>
                                <w:color w:val="auto"/>
                              </w:rPr>
                              <w:t>743 418</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rsidR="00A91AF6" w:rsidRPr="004A61C5" w:rsidRDefault="00A91AF6" w:rsidP="00825C4D">
                            <w:pPr>
                              <w:pStyle w:val="TLKontakty"/>
                              <w:spacing w:after="80" w:line="240" w:lineRule="auto"/>
                              <w:rPr>
                                <w:b w:val="0"/>
                                <w:color w:val="auto"/>
                              </w:rPr>
                            </w:pPr>
                          </w:p>
                          <w:p w:rsidR="00A91AF6" w:rsidRPr="004A61C5" w:rsidRDefault="00A91AF6" w:rsidP="00825C4D">
                            <w:pPr>
                              <w:pStyle w:val="TLKontakty"/>
                              <w:spacing w:after="80" w:line="240" w:lineRule="auto"/>
                              <w:rPr>
                                <w:b w:val="0"/>
                                <w:color w:val="auto"/>
                              </w:rPr>
                            </w:pPr>
                            <w:r w:rsidRPr="00D66223">
                              <w:t>Jihlava</w:t>
                            </w:r>
                            <w:r w:rsidRPr="004A61C5">
                              <w:rPr>
                                <w:b w:val="0"/>
                                <w:color w:val="auto"/>
                              </w:rPr>
                              <w:t xml:space="preserve"> | Ke</w:t>
                            </w:r>
                            <w:r>
                              <w:rPr>
                                <w:b w:val="0"/>
                                <w:color w:val="auto"/>
                              </w:rPr>
                              <w:t> </w:t>
                            </w:r>
                            <w:r w:rsidRPr="004A61C5">
                              <w:rPr>
                                <w:b w:val="0"/>
                                <w:color w:val="auto"/>
                              </w:rPr>
                              <w:t>Skalce</w:t>
                            </w:r>
                            <w:r>
                              <w:rPr>
                                <w:b w:val="0"/>
                                <w:color w:val="auto"/>
                              </w:rPr>
                              <w:t> </w:t>
                            </w:r>
                            <w:r w:rsidRPr="004A61C5">
                              <w:rPr>
                                <w:b w:val="0"/>
                                <w:color w:val="auto"/>
                              </w:rPr>
                              <w:t>30,</w:t>
                            </w:r>
                            <w:r>
                              <w:rPr>
                                <w:b w:val="0"/>
                                <w:color w:val="auto"/>
                              </w:rPr>
                              <w:t xml:space="preserve"> 586 01 Jihlava,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 xml:space="preserve">062, </w:t>
                            </w:r>
                            <w:r w:rsidR="00992AAE" w:rsidRPr="00D151BF">
                              <w:rPr>
                                <w:b w:val="0"/>
                                <w:color w:val="auto"/>
                              </w:rPr>
                              <w:t xml:space="preserve">(+420) </w:t>
                            </w:r>
                            <w:r w:rsidRPr="00BC731E">
                              <w:rPr>
                                <w:b w:val="0"/>
                                <w:color w:val="auto"/>
                              </w:rPr>
                              <w:t>567</w:t>
                            </w:r>
                            <w:r>
                              <w:rPr>
                                <w:b w:val="0"/>
                                <w:color w:val="auto"/>
                              </w:rPr>
                              <w:t> </w:t>
                            </w:r>
                            <w:r w:rsidRPr="00BC731E">
                              <w:rPr>
                                <w:b w:val="0"/>
                                <w:color w:val="auto"/>
                              </w:rPr>
                              <w:t>109 073</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rsidR="00A91AF6" w:rsidRDefault="00A91AF6" w:rsidP="00825C4D">
                            <w:pPr>
                              <w:pStyle w:val="TLKontakty"/>
                              <w:spacing w:after="80" w:line="240" w:lineRule="auto"/>
                            </w:pPr>
                          </w:p>
                          <w:p w:rsidR="00A91AF6" w:rsidRPr="00BC731E" w:rsidRDefault="00A91AF6"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 xml:space="preserve">115, </w:t>
                            </w:r>
                            <w:r w:rsidR="00992AAE" w:rsidRPr="00D151BF">
                              <w:rPr>
                                <w:b w:val="0"/>
                                <w:color w:val="auto"/>
                              </w:rPr>
                              <w:t xml:space="preserve">(+420) </w:t>
                            </w:r>
                            <w:r w:rsidRPr="00BC731E">
                              <w:rPr>
                                <w:b w:val="0"/>
                                <w:color w:val="auto"/>
                              </w:rPr>
                              <w:t>542</w:t>
                            </w:r>
                            <w:r>
                              <w:rPr>
                                <w:b w:val="0"/>
                                <w:color w:val="auto"/>
                              </w:rPr>
                              <w:t> </w:t>
                            </w:r>
                            <w:r w:rsidRPr="00BC731E">
                              <w:rPr>
                                <w:b w:val="0"/>
                                <w:color w:val="auto"/>
                              </w:rPr>
                              <w:t>528 200</w:t>
                            </w:r>
                          </w:p>
                          <w:p w:rsidR="00A91AF6" w:rsidRPr="004A61C5" w:rsidRDefault="00A91AF6"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rsidR="00A91AF6" w:rsidRPr="004A61C5" w:rsidRDefault="00A91AF6" w:rsidP="00825C4D">
                            <w:pPr>
                              <w:pStyle w:val="TLKontakty"/>
                              <w:spacing w:after="80" w:line="240" w:lineRule="auto"/>
                              <w:rPr>
                                <w:b w:val="0"/>
                                <w:color w:val="auto"/>
                              </w:rPr>
                            </w:pPr>
                          </w:p>
                          <w:p w:rsidR="00A91AF6" w:rsidRPr="005E7C78" w:rsidRDefault="00A91AF6"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 xml:space="preserve">516, </w:t>
                            </w:r>
                            <w:r w:rsidR="00992AAE" w:rsidRPr="00D151BF">
                              <w:rPr>
                                <w:b w:val="0"/>
                                <w:color w:val="auto"/>
                              </w:rPr>
                              <w:t xml:space="preserve">(+420) </w:t>
                            </w:r>
                            <w:r w:rsidRPr="00BC731E">
                              <w:rPr>
                                <w:b w:val="0"/>
                                <w:color w:val="auto"/>
                              </w:rPr>
                              <w:t>585</w:t>
                            </w:r>
                            <w:r>
                              <w:rPr>
                                <w:b w:val="0"/>
                                <w:color w:val="auto"/>
                              </w:rPr>
                              <w:t> </w:t>
                            </w:r>
                            <w:r w:rsidRPr="00BC731E">
                              <w:rPr>
                                <w:b w:val="0"/>
                                <w:color w:val="auto"/>
                              </w:rPr>
                              <w:t>731 511</w:t>
                            </w:r>
                          </w:p>
                          <w:p w:rsidR="00A91AF6" w:rsidRPr="005E7C78" w:rsidRDefault="00A91AF6"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rsidR="00A91AF6" w:rsidRPr="005E7C78" w:rsidRDefault="00A91AF6" w:rsidP="00825C4D">
                            <w:pPr>
                              <w:pStyle w:val="TLKontakty"/>
                              <w:spacing w:after="80" w:line="240" w:lineRule="auto"/>
                              <w:rPr>
                                <w:b w:val="0"/>
                                <w:color w:val="auto"/>
                              </w:rPr>
                            </w:pPr>
                          </w:p>
                          <w:p w:rsidR="00A91AF6" w:rsidRPr="005E7C78" w:rsidRDefault="00A91AF6"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proofErr w:type="spellStart"/>
                            <w:r>
                              <w:rPr>
                                <w:b w:val="0"/>
                                <w:color w:val="auto"/>
                              </w:rPr>
                              <w:t>ph</w:t>
                            </w:r>
                            <w:proofErr w:type="spellEnd"/>
                            <w:r w:rsidRPr="00BC731E">
                              <w:rPr>
                                <w:b w:val="0"/>
                                <w:color w:val="auto"/>
                              </w:rPr>
                              <w:t xml:space="preserve">.: </w:t>
                            </w:r>
                            <w:r w:rsidR="00992AAE" w:rsidRPr="00D151BF">
                              <w:rPr>
                                <w:b w:val="0"/>
                                <w:color w:val="auto"/>
                              </w:rPr>
                              <w:t xml:space="preserve">(+420) </w:t>
                            </w:r>
                            <w:r w:rsidRPr="00BC731E">
                              <w:rPr>
                                <w:b w:val="0"/>
                                <w:color w:val="auto"/>
                              </w:rPr>
                              <w:t>577</w:t>
                            </w:r>
                            <w:r>
                              <w:rPr>
                                <w:b w:val="0"/>
                                <w:color w:val="auto"/>
                              </w:rPr>
                              <w:t> </w:t>
                            </w:r>
                            <w:r w:rsidRPr="00BC731E">
                              <w:rPr>
                                <w:b w:val="0"/>
                                <w:color w:val="auto"/>
                              </w:rPr>
                              <w:t xml:space="preserve">004 932, </w:t>
                            </w:r>
                            <w:r w:rsidR="00992AAE" w:rsidRPr="00D151BF">
                              <w:rPr>
                                <w:b w:val="0"/>
                                <w:color w:val="auto"/>
                              </w:rPr>
                              <w:t xml:space="preserve">(+420) </w:t>
                            </w:r>
                            <w:r w:rsidRPr="00BC731E">
                              <w:rPr>
                                <w:b w:val="0"/>
                                <w:color w:val="auto"/>
                              </w:rPr>
                              <w:t>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rsidR="00A91AF6" w:rsidRDefault="00A91AF6"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rsidR="00A91AF6" w:rsidRPr="005E7C78" w:rsidRDefault="00A91AF6" w:rsidP="00095135">
                            <w:pPr>
                              <w:pStyle w:val="TLKontakty"/>
                              <w:spacing w:after="80" w:line="240" w:lineRule="auto"/>
                              <w:rPr>
                                <w:b w:val="0"/>
                                <w:color w:val="auto"/>
                              </w:rPr>
                            </w:pPr>
                          </w:p>
                          <w:p w:rsidR="00A91AF6" w:rsidRPr="005E7C78" w:rsidRDefault="00A91AF6"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 xml:space="preserve">230, </w:t>
                            </w:r>
                            <w:r w:rsidR="00992AAE" w:rsidRPr="00D151BF">
                              <w:rPr>
                                <w:b w:val="0"/>
                                <w:color w:val="auto"/>
                              </w:rPr>
                              <w:t xml:space="preserve">(+420)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232</w:t>
                            </w:r>
                          </w:p>
                          <w:p w:rsidR="00A91AF6" w:rsidRPr="00095135" w:rsidRDefault="00A91AF6"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p w:rsidR="00A91AF6" w:rsidRDefault="00A91AF6"/>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57pt;margin-top:113.4pt;width:481.85pt;height:604.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" filled="f" stroked="f">
                <v:textbox style="mso-fit-shape-to-text:t" inset="0,0,0,0">
                  <w:txbxContent>
                    <w:p w:rsidR="00A91AF6" w:rsidRPr="006F5416" w:rsidRDefault="00A91AF6" w:rsidP="006F5416">
                      <w:pPr>
                        <w:pStyle w:val="TLKontaktyerven"/>
                      </w:pPr>
                      <w:r>
                        <w:t>contacts in the headquarters</w:t>
                      </w:r>
                    </w:p>
                    <w:p w:rsidR="00A91AF6" w:rsidRPr="00FC7132" w:rsidRDefault="00A91AF6" w:rsidP="00825C4D">
                      <w:pPr>
                        <w:pStyle w:val="TLKontakty"/>
                        <w:spacing w:after="80" w:line="240" w:lineRule="auto"/>
                        <w:contextualSpacing w:val="0"/>
                        <w:rPr>
                          <w:b w:val="0"/>
                          <w:color w:val="auto"/>
                          <w:lang w:val="en-GB"/>
                        </w:rPr>
                      </w:pPr>
                      <w:r w:rsidRPr="00FC7132">
                        <w:rPr>
                          <w:lang w:val="en-GB"/>
                        </w:rPr>
                        <w:t>Czech Statistical Office</w:t>
                      </w:r>
                      <w:r w:rsidRPr="00FC7132">
                        <w:rPr>
                          <w:b w:val="0"/>
                          <w:color w:val="auto"/>
                          <w:lang w:val="en-GB"/>
                        </w:rPr>
                        <w:t xml:space="preserve"> | Na </w:t>
                      </w:r>
                      <w:proofErr w:type="spellStart"/>
                      <w:r w:rsidRPr="00FC7132">
                        <w:rPr>
                          <w:b w:val="0"/>
                          <w:color w:val="auto"/>
                          <w:lang w:val="en-GB"/>
                        </w:rPr>
                        <w:t>padesátém</w:t>
                      </w:r>
                      <w:proofErr w:type="spellEnd"/>
                      <w:r w:rsidRPr="00FC7132">
                        <w:rPr>
                          <w:b w:val="0"/>
                          <w:color w:val="auto"/>
                          <w:lang w:val="en-GB"/>
                        </w:rPr>
                        <w:t> 81, 100 82 Praha 10, ph.: </w:t>
                      </w:r>
                      <w:r w:rsidR="00992AAE" w:rsidRPr="00D151BF">
                        <w:rPr>
                          <w:b w:val="0"/>
                          <w:color w:val="auto"/>
                        </w:rPr>
                        <w:t xml:space="preserve">(+420) </w:t>
                      </w:r>
                      <w:r w:rsidRPr="00FC7132">
                        <w:rPr>
                          <w:b w:val="0"/>
                          <w:color w:val="auto"/>
                          <w:lang w:val="en-GB"/>
                        </w:rPr>
                        <w:t>2</w:t>
                      </w:r>
                      <w:r w:rsidRPr="00FC7132">
                        <w:rPr>
                          <w:b w:val="0"/>
                          <w:color w:val="auto"/>
                          <w:lang w:val="en-GB"/>
                        </w:rPr>
                        <w:t xml:space="preserve">74 051 111 | </w:t>
                      </w:r>
                      <w:r w:rsidRPr="00FC7132">
                        <w:rPr>
                          <w:color w:val="auto"/>
                          <w:lang w:val="en-GB"/>
                        </w:rPr>
                        <w:t>www.czso.cz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Information Services </w:t>
                      </w:r>
                      <w:r w:rsidRPr="00FC7132">
                        <w:rPr>
                          <w:b w:val="0"/>
                          <w:color w:val="auto"/>
                          <w:lang w:val="en-GB"/>
                        </w:rPr>
                        <w:t xml:space="preserve">| ph.: </w:t>
                      </w:r>
                      <w:r w:rsidR="00992AAE" w:rsidRPr="00FC7132">
                        <w:rPr>
                          <w:b w:val="0"/>
                          <w:color w:val="auto"/>
                          <w:lang w:val="en-GB"/>
                        </w:rPr>
                        <w:t> </w:t>
                      </w:r>
                      <w:r w:rsidR="00992AAE" w:rsidRPr="00D151BF">
                        <w:rPr>
                          <w:b w:val="0"/>
                          <w:color w:val="auto"/>
                        </w:rPr>
                        <w:t xml:space="preserve">(+420) </w:t>
                      </w:r>
                      <w:r w:rsidRPr="00FC7132">
                        <w:rPr>
                          <w:b w:val="0"/>
                          <w:color w:val="auto"/>
                          <w:lang w:val="en-GB"/>
                        </w:rPr>
                        <w:t xml:space="preserve">274 052 304, </w:t>
                      </w:r>
                      <w:r w:rsidR="00992AAE" w:rsidRPr="00D151BF">
                        <w:rPr>
                          <w:b w:val="0"/>
                          <w:color w:val="auto"/>
                        </w:rPr>
                        <w:t xml:space="preserve">(+420) </w:t>
                      </w:r>
                      <w:r w:rsidRPr="00FC7132">
                        <w:rPr>
                          <w:b w:val="0"/>
                          <w:color w:val="auto"/>
                          <w:lang w:val="en-GB"/>
                        </w:rPr>
                        <w:t>274 052 451 | e-mail: infoservis@czso.cz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CZSO Publication Shop </w:t>
                      </w:r>
                      <w:r w:rsidRPr="00FC7132">
                        <w:rPr>
                          <w:b w:val="0"/>
                          <w:color w:val="auto"/>
                          <w:lang w:val="en-GB"/>
                        </w:rPr>
                        <w:t xml:space="preserve">| ph.: </w:t>
                      </w:r>
                      <w:r w:rsidR="00992AAE" w:rsidRPr="00D151BF">
                        <w:rPr>
                          <w:b w:val="0"/>
                          <w:color w:val="auto"/>
                        </w:rPr>
                        <w:t xml:space="preserve">(+420) </w:t>
                      </w:r>
                      <w:r w:rsidRPr="00FC7132">
                        <w:rPr>
                          <w:b w:val="0"/>
                          <w:color w:val="auto"/>
                          <w:lang w:val="en-GB"/>
                        </w:rPr>
                        <w:t>274 052 361 | e-mail: prodejna@czso.cz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European Data, international comparison</w:t>
                      </w:r>
                      <w:r w:rsidRPr="00FC7132">
                        <w:rPr>
                          <w:b w:val="0"/>
                          <w:color w:val="auto"/>
                          <w:lang w:val="en-GB"/>
                        </w:rPr>
                        <w:t xml:space="preserve"> | ph.: </w:t>
                      </w:r>
                      <w:r w:rsidR="00992AAE" w:rsidRPr="00D151BF">
                        <w:rPr>
                          <w:b w:val="0"/>
                          <w:color w:val="auto"/>
                        </w:rPr>
                        <w:t xml:space="preserve">(+420) </w:t>
                      </w:r>
                      <w:r w:rsidRPr="00FC7132">
                        <w:rPr>
                          <w:b w:val="0"/>
                          <w:color w:val="auto"/>
                          <w:lang w:val="en-GB"/>
                        </w:rPr>
                        <w:t>274 052 347 | e-mail: esds@czso.cz</w:t>
                      </w:r>
                    </w:p>
                    <w:p w:rsidR="00A91AF6" w:rsidRPr="00FC7132" w:rsidRDefault="00A91AF6" w:rsidP="00825C4D">
                      <w:pPr>
                        <w:pStyle w:val="TLKontakty"/>
                        <w:spacing w:after="80" w:line="240" w:lineRule="auto"/>
                        <w:contextualSpacing w:val="0"/>
                        <w:rPr>
                          <w:b w:val="0"/>
                          <w:color w:val="auto"/>
                          <w:lang w:val="en-GB"/>
                        </w:rPr>
                      </w:pPr>
                      <w:r w:rsidRPr="00FC7132">
                        <w:rPr>
                          <w:color w:val="auto"/>
                          <w:lang w:val="en-GB"/>
                        </w:rPr>
                        <w:t xml:space="preserve">Central Statistical Library </w:t>
                      </w:r>
                      <w:r w:rsidRPr="00FC7132">
                        <w:rPr>
                          <w:b w:val="0"/>
                          <w:color w:val="auto"/>
                          <w:lang w:val="en-GB"/>
                        </w:rPr>
                        <w:t xml:space="preserve">| ph.: </w:t>
                      </w:r>
                      <w:r w:rsidR="00992AAE" w:rsidRPr="00D151BF">
                        <w:rPr>
                          <w:b w:val="0"/>
                          <w:color w:val="auto"/>
                        </w:rPr>
                        <w:t xml:space="preserve">(+420) </w:t>
                      </w:r>
                      <w:r w:rsidRPr="00FC7132">
                        <w:rPr>
                          <w:b w:val="0"/>
                          <w:color w:val="auto"/>
                          <w:lang w:val="en-GB"/>
                        </w:rPr>
                        <w:t>274 052 361 | e-mail: knihovna@czso.cz</w:t>
                      </w:r>
                    </w:p>
                    <w:p w:rsidR="00A91AF6" w:rsidRPr="004A61C5" w:rsidRDefault="00A91AF6" w:rsidP="00825C4D">
                      <w:pPr>
                        <w:pStyle w:val="TLKontakty"/>
                        <w:spacing w:after="80" w:line="240" w:lineRule="auto"/>
                        <w:contextualSpacing w:val="0"/>
                        <w:rPr>
                          <w:color w:val="auto"/>
                        </w:rPr>
                      </w:pPr>
                    </w:p>
                    <w:p w:rsidR="00A91AF6" w:rsidRPr="00D66223" w:rsidRDefault="00A91AF6" w:rsidP="00D66223">
                      <w:pPr>
                        <w:pStyle w:val="TLKontaktyerven"/>
                      </w:pPr>
                      <w:r w:rsidRPr="00D66223">
                        <w:t>INFORMA</w:t>
                      </w:r>
                      <w:r>
                        <w:t xml:space="preserve">TION SERVICES IN THE REGIONS </w:t>
                      </w:r>
                    </w:p>
                    <w:p w:rsidR="00A91AF6" w:rsidRPr="00992CF3" w:rsidRDefault="00A91AF6" w:rsidP="00825C4D">
                      <w:pPr>
                        <w:pStyle w:val="TLKontakty"/>
                        <w:spacing w:after="80" w:line="240" w:lineRule="auto"/>
                        <w:rPr>
                          <w:b w:val="0"/>
                          <w:color w:val="auto"/>
                        </w:rPr>
                      </w:pPr>
                      <w:proofErr w:type="spellStart"/>
                      <w:r>
                        <w:t>Capital</w:t>
                      </w:r>
                      <w:proofErr w:type="spellEnd"/>
                      <w:r>
                        <w:t xml:space="preserve"> City Prague </w:t>
                      </w:r>
                      <w:r w:rsidRPr="00992CF3">
                        <w:rPr>
                          <w:b w:val="0"/>
                          <w:color w:val="auto"/>
                        </w:rPr>
                        <w:t>| Na</w:t>
                      </w:r>
                      <w:r>
                        <w:rPr>
                          <w:b w:val="0"/>
                          <w:color w:val="auto"/>
                        </w:rPr>
                        <w:t xml:space="preserve"> padesátém 81, 100 82 Praha 10, </w:t>
                      </w:r>
                      <w:proofErr w:type="spellStart"/>
                      <w:r>
                        <w:rPr>
                          <w:b w:val="0"/>
                          <w:color w:val="auto"/>
                        </w:rPr>
                        <w:t>ph</w:t>
                      </w:r>
                      <w:proofErr w:type="spellEnd"/>
                      <w:r w:rsidRPr="00992CF3">
                        <w:rPr>
                          <w:b w:val="0"/>
                          <w:color w:val="auto"/>
                        </w:rPr>
                        <w:t>.</w:t>
                      </w:r>
                      <w:r w:rsidRPr="007D40DF">
                        <w:rPr>
                          <w:b w:val="0"/>
                          <w:color w:val="auto"/>
                        </w:rPr>
                        <w:t>:</w:t>
                      </w:r>
                      <w:r>
                        <w:rPr>
                          <w:b w:val="0"/>
                          <w:color w:val="auto"/>
                        </w:rPr>
                        <w:t xml:space="preserve"> </w:t>
                      </w:r>
                      <w:r w:rsidR="00992AAE" w:rsidRPr="00D151BF">
                        <w:rPr>
                          <w:b w:val="0"/>
                          <w:color w:val="auto"/>
                        </w:rPr>
                        <w:t xml:space="preserve">(+420) </w:t>
                      </w:r>
                      <w:r>
                        <w:rPr>
                          <w:b w:val="0"/>
                          <w:color w:val="auto"/>
                        </w:rPr>
                        <w:t xml:space="preserve">274 052 673, </w:t>
                      </w:r>
                      <w:r w:rsidR="00992AAE" w:rsidRPr="00D151BF">
                        <w:rPr>
                          <w:b w:val="0"/>
                          <w:color w:val="auto"/>
                        </w:rPr>
                        <w:t xml:space="preserve">(+420)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rsidR="00A91AF6" w:rsidRPr="00992CF3" w:rsidRDefault="00A91AF6"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rsidR="00A91AF6" w:rsidRPr="004A61C5" w:rsidRDefault="00A91AF6" w:rsidP="00825C4D">
                      <w:pPr>
                        <w:pStyle w:val="TLKontakty"/>
                        <w:spacing w:after="80" w:line="240" w:lineRule="auto"/>
                        <w:rPr>
                          <w:color w:val="auto"/>
                        </w:rPr>
                      </w:pPr>
                    </w:p>
                    <w:p w:rsidR="00A91AF6" w:rsidRPr="00992CF3" w:rsidRDefault="00A91AF6" w:rsidP="00825C4D">
                      <w:pPr>
                        <w:pStyle w:val="TLKontakty"/>
                        <w:spacing w:after="80" w:line="240" w:lineRule="auto"/>
                        <w:rPr>
                          <w:b w:val="0"/>
                          <w:color w:val="auto"/>
                        </w:rPr>
                      </w:pPr>
                      <w:proofErr w:type="spellStart"/>
                      <w:r>
                        <w:t>Central</w:t>
                      </w:r>
                      <w:proofErr w:type="spellEnd"/>
                      <w:r>
                        <w:t xml:space="preserve"> Bohemia </w:t>
                      </w:r>
                      <w:r w:rsidRPr="00992CF3">
                        <w:rPr>
                          <w:b w:val="0"/>
                          <w:color w:val="auto"/>
                        </w:rPr>
                        <w:t>|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xml:space="preserve"> 10, </w:t>
                      </w:r>
                      <w:proofErr w:type="spellStart"/>
                      <w:r>
                        <w:rPr>
                          <w:b w:val="0"/>
                          <w:color w:val="auto"/>
                        </w:rPr>
                        <w:t>ph</w:t>
                      </w:r>
                      <w:proofErr w:type="spellEnd"/>
                      <w:r w:rsidRPr="00992CF3">
                        <w:rPr>
                          <w:b w:val="0"/>
                          <w:color w:val="auto"/>
                        </w:rPr>
                        <w:t>.</w:t>
                      </w:r>
                      <w:r>
                        <w:rPr>
                          <w:b w:val="0"/>
                          <w:color w:val="auto"/>
                        </w:rPr>
                        <w:t xml:space="preserve">: </w:t>
                      </w:r>
                      <w:r w:rsidR="00992AAE" w:rsidRPr="00D151BF">
                        <w:rPr>
                          <w:b w:val="0"/>
                          <w:color w:val="auto"/>
                        </w:rPr>
                        <w:t xml:space="preserve">(+420) </w:t>
                      </w:r>
                      <w:r w:rsidRPr="00992CF3">
                        <w:rPr>
                          <w:b w:val="0"/>
                          <w:color w:val="auto"/>
                        </w:rPr>
                        <w:t>274</w:t>
                      </w:r>
                      <w:r>
                        <w:rPr>
                          <w:b w:val="0"/>
                          <w:color w:val="auto"/>
                        </w:rPr>
                        <w:t> </w:t>
                      </w:r>
                      <w:r w:rsidRPr="00992CF3">
                        <w:rPr>
                          <w:b w:val="0"/>
                          <w:color w:val="auto"/>
                        </w:rPr>
                        <w:t>054 175</w:t>
                      </w:r>
                    </w:p>
                    <w:p w:rsidR="00A91AF6" w:rsidRPr="00992CF3" w:rsidRDefault="00A91AF6"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rsidR="00A91AF6" w:rsidRPr="004A61C5" w:rsidRDefault="00A91AF6" w:rsidP="00825C4D">
                      <w:pPr>
                        <w:pStyle w:val="TLKontakty"/>
                        <w:spacing w:after="80" w:line="240" w:lineRule="auto"/>
                        <w:rPr>
                          <w:color w:val="auto"/>
                        </w:rPr>
                      </w:pPr>
                    </w:p>
                    <w:p w:rsidR="00A91AF6" w:rsidRPr="00992CF3" w:rsidRDefault="00A91AF6"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xml:space="preserve">, </w:t>
                      </w:r>
                      <w:proofErr w:type="spellStart"/>
                      <w:r>
                        <w:rPr>
                          <w:b w:val="0"/>
                          <w:color w:val="auto"/>
                        </w:rPr>
                        <w:t>ph</w:t>
                      </w:r>
                      <w:proofErr w:type="spellEnd"/>
                      <w:r w:rsidRPr="00992CF3">
                        <w:rPr>
                          <w:b w:val="0"/>
                          <w:color w:val="auto"/>
                        </w:rPr>
                        <w:t>.</w:t>
                      </w:r>
                      <w:r>
                        <w:rPr>
                          <w:b w:val="0"/>
                          <w:color w:val="auto"/>
                        </w:rPr>
                        <w:t xml:space="preserve">: </w:t>
                      </w:r>
                      <w:r w:rsidR="00992AAE" w:rsidRPr="00D151BF">
                        <w:rPr>
                          <w:b w:val="0"/>
                          <w:color w:val="auto"/>
                        </w:rPr>
                        <w:t xml:space="preserve">(+420) </w:t>
                      </w:r>
                      <w:r w:rsidRPr="00992CF3">
                        <w:rPr>
                          <w:b w:val="0"/>
                          <w:color w:val="auto"/>
                        </w:rPr>
                        <w:t>386</w:t>
                      </w:r>
                      <w:r>
                        <w:rPr>
                          <w:b w:val="0"/>
                          <w:color w:val="auto"/>
                        </w:rPr>
                        <w:t> </w:t>
                      </w:r>
                      <w:r w:rsidRPr="00992CF3">
                        <w:rPr>
                          <w:b w:val="0"/>
                          <w:color w:val="auto"/>
                        </w:rPr>
                        <w:t>718 440</w:t>
                      </w:r>
                    </w:p>
                    <w:p w:rsidR="00A91AF6" w:rsidRPr="00992CF3" w:rsidRDefault="00A91AF6"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rsidR="00A91AF6" w:rsidRPr="004A61C5" w:rsidRDefault="00A91AF6" w:rsidP="00825C4D">
                      <w:pPr>
                        <w:pStyle w:val="TLKontakty"/>
                        <w:spacing w:after="80" w:line="240" w:lineRule="auto"/>
                        <w:rPr>
                          <w:color w:val="auto"/>
                        </w:rPr>
                      </w:pPr>
                    </w:p>
                    <w:p w:rsidR="00A91AF6" w:rsidRPr="00BC731E" w:rsidRDefault="00A91AF6"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xml:space="preserve">, </w:t>
                      </w:r>
                      <w:r w:rsidR="00992AAE" w:rsidRPr="00D151BF">
                        <w:rPr>
                          <w:b w:val="0"/>
                          <w:color w:val="auto"/>
                        </w:rPr>
                        <w:t xml:space="preserve">(+420) </w:t>
                      </w:r>
                      <w:r w:rsidRPr="00BC731E">
                        <w:rPr>
                          <w:b w:val="0"/>
                          <w:color w:val="auto"/>
                        </w:rPr>
                        <w:t>377 612 145</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 xml:space="preserve">529, </w:t>
                      </w:r>
                      <w:r w:rsidR="00992AAE" w:rsidRPr="00D151BF">
                        <w:rPr>
                          <w:b w:val="0"/>
                          <w:color w:val="auto"/>
                        </w:rPr>
                        <w:t xml:space="preserve">(+420) </w:t>
                      </w:r>
                      <w:r w:rsidRPr="004A61C5">
                        <w:rPr>
                          <w:b w:val="0"/>
                          <w:color w:val="auto"/>
                        </w:rPr>
                        <w:t>353</w:t>
                      </w:r>
                      <w:r>
                        <w:rPr>
                          <w:b w:val="0"/>
                          <w:color w:val="auto"/>
                        </w:rPr>
                        <w:t> </w:t>
                      </w:r>
                      <w:r w:rsidRPr="004A61C5">
                        <w:rPr>
                          <w:b w:val="0"/>
                          <w:color w:val="auto"/>
                        </w:rPr>
                        <w:t>114 525</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xml:space="preserve">,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00992AAE" w:rsidRPr="00D151BF">
                        <w:rPr>
                          <w:b w:val="0"/>
                          <w:color w:val="auto"/>
                        </w:rPr>
                        <w:t xml:space="preserve">(+420) </w:t>
                      </w:r>
                      <w:r w:rsidRPr="004A61C5">
                        <w:rPr>
                          <w:b w:val="0"/>
                          <w:color w:val="auto"/>
                        </w:rPr>
                        <w:t>472</w:t>
                      </w:r>
                      <w:r>
                        <w:rPr>
                          <w:b w:val="0"/>
                          <w:color w:val="auto"/>
                        </w:rPr>
                        <w:t> </w:t>
                      </w:r>
                      <w:r w:rsidRPr="004A61C5">
                        <w:rPr>
                          <w:b w:val="0"/>
                          <w:color w:val="auto"/>
                        </w:rPr>
                        <w:t>706 121</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xml:space="preserve"> 1, </w:t>
                      </w:r>
                      <w:proofErr w:type="spellStart"/>
                      <w:r>
                        <w:rPr>
                          <w:b w:val="0"/>
                          <w:color w:val="auto"/>
                        </w:rPr>
                        <w:t>ph</w:t>
                      </w:r>
                      <w:proofErr w:type="spellEnd"/>
                      <w:r w:rsidRPr="004A61C5">
                        <w:rPr>
                          <w:b w:val="0"/>
                          <w:color w:val="auto"/>
                        </w:rPr>
                        <w:t>.</w:t>
                      </w:r>
                      <w:r>
                        <w:rPr>
                          <w:b w:val="0"/>
                          <w:color w:val="auto"/>
                        </w:rPr>
                        <w:t xml:space="preserve">: </w:t>
                      </w:r>
                      <w:r w:rsidR="00992AAE" w:rsidRPr="00D151BF">
                        <w:rPr>
                          <w:b w:val="0"/>
                          <w:color w:val="auto"/>
                        </w:rPr>
                        <w:t xml:space="preserve">(+420) </w:t>
                      </w:r>
                      <w:r w:rsidRPr="004A61C5">
                        <w:rPr>
                          <w:b w:val="0"/>
                          <w:color w:val="auto"/>
                        </w:rPr>
                        <w:t>485</w:t>
                      </w:r>
                      <w:r>
                        <w:rPr>
                          <w:b w:val="0"/>
                          <w:color w:val="auto"/>
                        </w:rPr>
                        <w:t> </w:t>
                      </w:r>
                      <w:r w:rsidRPr="004A61C5">
                        <w:rPr>
                          <w:b w:val="0"/>
                          <w:color w:val="auto"/>
                        </w:rPr>
                        <w:t>238 811</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rsidR="00A91AF6" w:rsidRPr="004A61C5" w:rsidRDefault="00A91AF6" w:rsidP="00825C4D">
                      <w:pPr>
                        <w:pStyle w:val="TLKontakty"/>
                        <w:spacing w:after="80" w:line="240" w:lineRule="auto"/>
                        <w:rPr>
                          <w:b w:val="0"/>
                          <w:color w:val="auto"/>
                        </w:rPr>
                      </w:pPr>
                    </w:p>
                    <w:p w:rsidR="00A91AF6" w:rsidRPr="004A61C5" w:rsidRDefault="00A91AF6" w:rsidP="00825C4D">
                      <w:pPr>
                        <w:pStyle w:val="TLKontakty"/>
                        <w:spacing w:after="80" w:line="240" w:lineRule="auto"/>
                        <w:rPr>
                          <w:b w:val="0"/>
                          <w:color w:val="auto"/>
                        </w:rPr>
                      </w:pPr>
                      <w:r w:rsidRPr="00D66223">
                        <w:t>Hradec Králové</w:t>
                      </w:r>
                      <w:r w:rsidRPr="004A61C5">
                        <w:rPr>
                          <w:b w:val="0"/>
                          <w:color w:val="auto"/>
                        </w:rPr>
                        <w:t xml:space="preserve"> | </w:t>
                      </w:r>
                      <w:r w:rsidRPr="00992AAE">
                        <w:rPr>
                          <w:b w:val="0"/>
                          <w:color w:val="auto"/>
                          <w:spacing w:val="-2"/>
                        </w:rPr>
                        <w:t xml:space="preserve">Myslivečkova 914, 500 03 Hradec Králové 3, </w:t>
                      </w:r>
                      <w:proofErr w:type="spellStart"/>
                      <w:r w:rsidRPr="00992AAE">
                        <w:rPr>
                          <w:b w:val="0"/>
                          <w:color w:val="auto"/>
                          <w:spacing w:val="-2"/>
                        </w:rPr>
                        <w:t>ph</w:t>
                      </w:r>
                      <w:proofErr w:type="spellEnd"/>
                      <w:r w:rsidRPr="00992AAE">
                        <w:rPr>
                          <w:b w:val="0"/>
                          <w:color w:val="auto"/>
                          <w:spacing w:val="-2"/>
                        </w:rPr>
                        <w:t xml:space="preserve">.: </w:t>
                      </w:r>
                      <w:r w:rsidR="00992AAE" w:rsidRPr="00992AAE">
                        <w:rPr>
                          <w:b w:val="0"/>
                          <w:color w:val="auto"/>
                          <w:spacing w:val="-2"/>
                        </w:rPr>
                        <w:t xml:space="preserve">(+420) </w:t>
                      </w:r>
                      <w:r w:rsidRPr="00992AAE">
                        <w:rPr>
                          <w:b w:val="0"/>
                          <w:color w:val="auto"/>
                          <w:spacing w:val="-2"/>
                        </w:rPr>
                        <w:t xml:space="preserve">495 762 322, </w:t>
                      </w:r>
                      <w:r w:rsidR="00992AAE" w:rsidRPr="00992AAE">
                        <w:rPr>
                          <w:b w:val="0"/>
                          <w:color w:val="auto"/>
                          <w:spacing w:val="-2"/>
                        </w:rPr>
                        <w:t xml:space="preserve">(+420) </w:t>
                      </w:r>
                      <w:r w:rsidRPr="00992AAE">
                        <w:rPr>
                          <w:b w:val="0"/>
                          <w:color w:val="auto"/>
                          <w:spacing w:val="-2"/>
                        </w:rPr>
                        <w:t>495 762 317</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rsidR="00A91AF6" w:rsidRPr="004A61C5" w:rsidRDefault="00A91AF6" w:rsidP="00825C4D">
                      <w:pPr>
                        <w:pStyle w:val="TLKontakty"/>
                        <w:spacing w:after="80" w:line="240" w:lineRule="auto"/>
                        <w:rPr>
                          <w:color w:val="auto"/>
                        </w:rPr>
                      </w:pPr>
                    </w:p>
                    <w:p w:rsidR="00A91AF6" w:rsidRPr="004A61C5" w:rsidRDefault="00A91AF6"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xml:space="preserve">, </w:t>
                      </w:r>
                      <w:proofErr w:type="spellStart"/>
                      <w:r>
                        <w:rPr>
                          <w:b w:val="0"/>
                          <w:color w:val="auto"/>
                        </w:rPr>
                        <w:t>ph</w:t>
                      </w:r>
                      <w:proofErr w:type="spellEnd"/>
                      <w:r w:rsidRPr="004A61C5">
                        <w:rPr>
                          <w:b w:val="0"/>
                          <w:color w:val="auto"/>
                        </w:rPr>
                        <w:t>.</w:t>
                      </w:r>
                      <w:r>
                        <w:rPr>
                          <w:b w:val="0"/>
                          <w:color w:val="auto"/>
                        </w:rPr>
                        <w:t>:</w:t>
                      </w:r>
                      <w:r w:rsidRPr="004A61C5">
                        <w:rPr>
                          <w:b w:val="0"/>
                          <w:color w:val="auto"/>
                        </w:rPr>
                        <w:t xml:space="preserve"> </w:t>
                      </w:r>
                      <w:r w:rsidR="00992AAE" w:rsidRPr="00D151BF">
                        <w:rPr>
                          <w:b w:val="0"/>
                          <w:color w:val="auto"/>
                        </w:rPr>
                        <w:t xml:space="preserve">(+420) </w:t>
                      </w:r>
                      <w:r w:rsidRPr="004A61C5">
                        <w:rPr>
                          <w:b w:val="0"/>
                          <w:color w:val="auto"/>
                        </w:rPr>
                        <w:t>466</w:t>
                      </w:r>
                      <w:r>
                        <w:rPr>
                          <w:b w:val="0"/>
                          <w:color w:val="auto"/>
                        </w:rPr>
                        <w:t> </w:t>
                      </w:r>
                      <w:r w:rsidRPr="004A61C5">
                        <w:rPr>
                          <w:b w:val="0"/>
                          <w:color w:val="auto"/>
                        </w:rPr>
                        <w:t>743</w:t>
                      </w:r>
                      <w:r>
                        <w:rPr>
                          <w:b w:val="0"/>
                          <w:color w:val="auto"/>
                        </w:rPr>
                        <w:t> </w:t>
                      </w:r>
                      <w:r w:rsidRPr="004A61C5">
                        <w:rPr>
                          <w:b w:val="0"/>
                          <w:color w:val="auto"/>
                        </w:rPr>
                        <w:t xml:space="preserve">480, </w:t>
                      </w:r>
                      <w:r w:rsidR="00992AAE" w:rsidRPr="00D151BF">
                        <w:rPr>
                          <w:b w:val="0"/>
                          <w:color w:val="auto"/>
                        </w:rPr>
                        <w:t xml:space="preserve">(+420) </w:t>
                      </w:r>
                      <w:r w:rsidRPr="004A61C5">
                        <w:rPr>
                          <w:b w:val="0"/>
                          <w:color w:val="auto"/>
                        </w:rPr>
                        <w:t>466</w:t>
                      </w:r>
                      <w:r>
                        <w:rPr>
                          <w:b w:val="0"/>
                          <w:color w:val="auto"/>
                        </w:rPr>
                        <w:t> </w:t>
                      </w:r>
                      <w:r w:rsidRPr="004A61C5">
                        <w:rPr>
                          <w:b w:val="0"/>
                          <w:color w:val="auto"/>
                        </w:rPr>
                        <w:t>743 418</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rsidR="00A91AF6" w:rsidRPr="004A61C5" w:rsidRDefault="00A91AF6" w:rsidP="00825C4D">
                      <w:pPr>
                        <w:pStyle w:val="TLKontakty"/>
                        <w:spacing w:after="80" w:line="240" w:lineRule="auto"/>
                        <w:rPr>
                          <w:b w:val="0"/>
                          <w:color w:val="auto"/>
                        </w:rPr>
                      </w:pPr>
                    </w:p>
                    <w:p w:rsidR="00A91AF6" w:rsidRPr="004A61C5" w:rsidRDefault="00A91AF6" w:rsidP="00825C4D">
                      <w:pPr>
                        <w:pStyle w:val="TLKontakty"/>
                        <w:spacing w:after="80" w:line="240" w:lineRule="auto"/>
                        <w:rPr>
                          <w:b w:val="0"/>
                          <w:color w:val="auto"/>
                        </w:rPr>
                      </w:pPr>
                      <w:r w:rsidRPr="00D66223">
                        <w:t>Jihlava</w:t>
                      </w:r>
                      <w:r w:rsidRPr="004A61C5">
                        <w:rPr>
                          <w:b w:val="0"/>
                          <w:color w:val="auto"/>
                        </w:rPr>
                        <w:t xml:space="preserve"> | Ke</w:t>
                      </w:r>
                      <w:r>
                        <w:rPr>
                          <w:b w:val="0"/>
                          <w:color w:val="auto"/>
                        </w:rPr>
                        <w:t> </w:t>
                      </w:r>
                      <w:r w:rsidRPr="004A61C5">
                        <w:rPr>
                          <w:b w:val="0"/>
                          <w:color w:val="auto"/>
                        </w:rPr>
                        <w:t>Skalce</w:t>
                      </w:r>
                      <w:r>
                        <w:rPr>
                          <w:b w:val="0"/>
                          <w:color w:val="auto"/>
                        </w:rPr>
                        <w:t> </w:t>
                      </w:r>
                      <w:r w:rsidRPr="004A61C5">
                        <w:rPr>
                          <w:b w:val="0"/>
                          <w:color w:val="auto"/>
                        </w:rPr>
                        <w:t>30,</w:t>
                      </w:r>
                      <w:r>
                        <w:rPr>
                          <w:b w:val="0"/>
                          <w:color w:val="auto"/>
                        </w:rPr>
                        <w:t xml:space="preserve"> 586 01 Jihlava,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 xml:space="preserve">062, </w:t>
                      </w:r>
                      <w:r w:rsidR="00992AAE" w:rsidRPr="00D151BF">
                        <w:rPr>
                          <w:b w:val="0"/>
                          <w:color w:val="auto"/>
                        </w:rPr>
                        <w:t xml:space="preserve">(+420) </w:t>
                      </w:r>
                      <w:r w:rsidRPr="00BC731E">
                        <w:rPr>
                          <w:b w:val="0"/>
                          <w:color w:val="auto"/>
                        </w:rPr>
                        <w:t>567</w:t>
                      </w:r>
                      <w:r>
                        <w:rPr>
                          <w:b w:val="0"/>
                          <w:color w:val="auto"/>
                        </w:rPr>
                        <w:t> </w:t>
                      </w:r>
                      <w:r w:rsidRPr="00BC731E">
                        <w:rPr>
                          <w:b w:val="0"/>
                          <w:color w:val="auto"/>
                        </w:rPr>
                        <w:t>109 073</w:t>
                      </w:r>
                    </w:p>
                    <w:p w:rsidR="00A91AF6" w:rsidRPr="004A61C5" w:rsidRDefault="00A91AF6"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rsidR="00A91AF6" w:rsidRDefault="00A91AF6" w:rsidP="00825C4D">
                      <w:pPr>
                        <w:pStyle w:val="TLKontakty"/>
                        <w:spacing w:after="80" w:line="240" w:lineRule="auto"/>
                      </w:pPr>
                    </w:p>
                    <w:p w:rsidR="00A91AF6" w:rsidRPr="00BC731E" w:rsidRDefault="00A91AF6"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 xml:space="preserve">115, </w:t>
                      </w:r>
                      <w:r w:rsidR="00992AAE" w:rsidRPr="00D151BF">
                        <w:rPr>
                          <w:b w:val="0"/>
                          <w:color w:val="auto"/>
                        </w:rPr>
                        <w:t xml:space="preserve">(+420) </w:t>
                      </w:r>
                      <w:r w:rsidRPr="00BC731E">
                        <w:rPr>
                          <w:b w:val="0"/>
                          <w:color w:val="auto"/>
                        </w:rPr>
                        <w:t>542</w:t>
                      </w:r>
                      <w:r>
                        <w:rPr>
                          <w:b w:val="0"/>
                          <w:color w:val="auto"/>
                        </w:rPr>
                        <w:t> </w:t>
                      </w:r>
                      <w:r w:rsidRPr="00BC731E">
                        <w:rPr>
                          <w:b w:val="0"/>
                          <w:color w:val="auto"/>
                        </w:rPr>
                        <w:t>528 200</w:t>
                      </w:r>
                    </w:p>
                    <w:p w:rsidR="00A91AF6" w:rsidRPr="004A61C5" w:rsidRDefault="00A91AF6"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rsidR="00A91AF6" w:rsidRPr="004A61C5" w:rsidRDefault="00A91AF6" w:rsidP="00825C4D">
                      <w:pPr>
                        <w:pStyle w:val="TLKontakty"/>
                        <w:spacing w:after="80" w:line="240" w:lineRule="auto"/>
                        <w:rPr>
                          <w:b w:val="0"/>
                          <w:color w:val="auto"/>
                        </w:rPr>
                      </w:pPr>
                    </w:p>
                    <w:p w:rsidR="00A91AF6" w:rsidRPr="005E7C78" w:rsidRDefault="00A91AF6"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 xml:space="preserve">516, </w:t>
                      </w:r>
                      <w:r w:rsidR="00992AAE" w:rsidRPr="00D151BF">
                        <w:rPr>
                          <w:b w:val="0"/>
                          <w:color w:val="auto"/>
                        </w:rPr>
                        <w:t xml:space="preserve">(+420) </w:t>
                      </w:r>
                      <w:r w:rsidRPr="00BC731E">
                        <w:rPr>
                          <w:b w:val="0"/>
                          <w:color w:val="auto"/>
                        </w:rPr>
                        <w:t>585</w:t>
                      </w:r>
                      <w:r>
                        <w:rPr>
                          <w:b w:val="0"/>
                          <w:color w:val="auto"/>
                        </w:rPr>
                        <w:t> </w:t>
                      </w:r>
                      <w:r w:rsidRPr="00BC731E">
                        <w:rPr>
                          <w:b w:val="0"/>
                          <w:color w:val="auto"/>
                        </w:rPr>
                        <w:t>731 511</w:t>
                      </w:r>
                    </w:p>
                    <w:p w:rsidR="00A91AF6" w:rsidRPr="005E7C78" w:rsidRDefault="00A91AF6"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rsidR="00A91AF6" w:rsidRPr="005E7C78" w:rsidRDefault="00A91AF6" w:rsidP="00825C4D">
                      <w:pPr>
                        <w:pStyle w:val="TLKontakty"/>
                        <w:spacing w:after="80" w:line="240" w:lineRule="auto"/>
                        <w:rPr>
                          <w:b w:val="0"/>
                          <w:color w:val="auto"/>
                        </w:rPr>
                      </w:pPr>
                    </w:p>
                    <w:p w:rsidR="00A91AF6" w:rsidRPr="005E7C78" w:rsidRDefault="00A91AF6"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proofErr w:type="spellStart"/>
                      <w:r>
                        <w:rPr>
                          <w:b w:val="0"/>
                          <w:color w:val="auto"/>
                        </w:rPr>
                        <w:t>ph</w:t>
                      </w:r>
                      <w:proofErr w:type="spellEnd"/>
                      <w:r w:rsidRPr="00BC731E">
                        <w:rPr>
                          <w:b w:val="0"/>
                          <w:color w:val="auto"/>
                        </w:rPr>
                        <w:t xml:space="preserve">.: </w:t>
                      </w:r>
                      <w:r w:rsidR="00992AAE" w:rsidRPr="00D151BF">
                        <w:rPr>
                          <w:b w:val="0"/>
                          <w:color w:val="auto"/>
                        </w:rPr>
                        <w:t xml:space="preserve">(+420) </w:t>
                      </w:r>
                      <w:r w:rsidRPr="00BC731E">
                        <w:rPr>
                          <w:b w:val="0"/>
                          <w:color w:val="auto"/>
                        </w:rPr>
                        <w:t>577</w:t>
                      </w:r>
                      <w:r>
                        <w:rPr>
                          <w:b w:val="0"/>
                          <w:color w:val="auto"/>
                        </w:rPr>
                        <w:t> </w:t>
                      </w:r>
                      <w:r w:rsidRPr="00BC731E">
                        <w:rPr>
                          <w:b w:val="0"/>
                          <w:color w:val="auto"/>
                        </w:rPr>
                        <w:t xml:space="preserve">004 932, </w:t>
                      </w:r>
                      <w:r w:rsidR="00992AAE" w:rsidRPr="00D151BF">
                        <w:rPr>
                          <w:b w:val="0"/>
                          <w:color w:val="auto"/>
                        </w:rPr>
                        <w:t xml:space="preserve">(+420) </w:t>
                      </w:r>
                      <w:r w:rsidRPr="00BC731E">
                        <w:rPr>
                          <w:b w:val="0"/>
                          <w:color w:val="auto"/>
                        </w:rPr>
                        <w:t>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rsidR="00A91AF6" w:rsidRDefault="00A91AF6"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rsidR="00A91AF6" w:rsidRPr="005E7C78" w:rsidRDefault="00A91AF6" w:rsidP="00095135">
                      <w:pPr>
                        <w:pStyle w:val="TLKontakty"/>
                        <w:spacing w:after="80" w:line="240" w:lineRule="auto"/>
                        <w:rPr>
                          <w:b w:val="0"/>
                          <w:color w:val="auto"/>
                        </w:rPr>
                      </w:pPr>
                    </w:p>
                    <w:p w:rsidR="00A91AF6" w:rsidRPr="005E7C78" w:rsidRDefault="00A91AF6"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w:t>
                      </w:r>
                      <w:proofErr w:type="spellStart"/>
                      <w:r>
                        <w:rPr>
                          <w:b w:val="0"/>
                          <w:color w:val="auto"/>
                        </w:rPr>
                        <w:t>ph</w:t>
                      </w:r>
                      <w:proofErr w:type="spellEnd"/>
                      <w:r>
                        <w:rPr>
                          <w:b w:val="0"/>
                          <w:color w:val="auto"/>
                        </w:rPr>
                        <w:t xml:space="preserve">.: </w:t>
                      </w:r>
                      <w:r w:rsidR="00992AAE" w:rsidRPr="00D151BF">
                        <w:rPr>
                          <w:b w:val="0"/>
                          <w:color w:val="auto"/>
                        </w:rPr>
                        <w:t xml:space="preserve">(+420)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 xml:space="preserve">230, </w:t>
                      </w:r>
                      <w:r w:rsidR="00992AAE" w:rsidRPr="00D151BF">
                        <w:rPr>
                          <w:b w:val="0"/>
                          <w:color w:val="auto"/>
                        </w:rPr>
                        <w:t xml:space="preserve">(+420)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232</w:t>
                      </w:r>
                    </w:p>
                    <w:p w:rsidR="00A91AF6" w:rsidRPr="00095135" w:rsidRDefault="00A91AF6"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p w:rsidR="00A91AF6" w:rsidRDefault="00A91AF6"/>
                  </w:txbxContent>
                </v:textbox>
                <w10:wrap anchorx="page" anchory="page"/>
                <w10:anchorlock/>
              </v:shape>
            </w:pict>
          </mc:Fallback>
        </mc:AlternateContent>
      </w:r>
      <w:r w:rsidR="003D017F">
        <w:rPr>
          <w:noProof/>
        </w:rPr>
        <mc:AlternateContent>
          <mc:Choice Requires="wps">
            <w:drawing>
              <wp:anchor distT="0" distB="0" distL="114300" distR="114300" simplePos="0" relativeHeight="251661824" behindDoc="0" locked="1" layoutInCell="1" allowOverlap="1">
                <wp:simplePos x="0" y="0"/>
                <wp:positionH relativeFrom="page">
                  <wp:posOffset>720090</wp:posOffset>
                </wp:positionH>
                <wp:positionV relativeFrom="page">
                  <wp:posOffset>9486900</wp:posOffset>
                </wp:positionV>
                <wp:extent cx="6120130" cy="360045"/>
                <wp:effectExtent l="0" t="0" r="13970" b="1905"/>
                <wp:wrapNone/>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321924" w:rsidRDefault="00A91AF6" w:rsidP="00A16E1D">
                            <w:pPr>
                              <w:jc w:val="left"/>
                            </w:pPr>
                            <w:r>
                              <w:br/>
                              <w:t xml:space="preserve">© </w:t>
                            </w:r>
                            <w:r w:rsidRPr="00962DA7">
                              <w:rPr>
                                <w:lang w:val="en-GB"/>
                              </w:rPr>
                              <w:t>Czech Statistical Office,</w:t>
                            </w:r>
                            <w:r w:rsidRPr="00321924">
                              <w:t xml:space="preserve"> </w:t>
                            </w:r>
                            <w:r>
                              <w:t>Prague, 2019</w:t>
                            </w:r>
                          </w:p>
                          <w:p w:rsidR="00A91AF6" w:rsidRDefault="00A91AF6"/>
                          <w:p w:rsidR="00A91AF6" w:rsidRPr="00841D9F" w:rsidRDefault="00A91AF6" w:rsidP="000A3A2C">
                            <w:r w:rsidRPr="00841D9F">
                              <w:rPr>
                                <w:szCs w:val="26"/>
                              </w:rPr>
                              <w:t>ISBN XX-XXXX-XXX-X</w:t>
                            </w:r>
                            <w:r>
                              <w:rPr>
                                <w:szCs w:val="26"/>
                              </w:rPr>
                              <w:t> </w:t>
                            </w:r>
                            <w:r w:rsidRPr="00841D9F">
                              <w:rPr>
                                <w:szCs w:val="26"/>
                              </w:rPr>
                              <w:t xml:space="preserve"> </w:t>
                            </w:r>
                            <w:r w:rsidRPr="00841D9F">
                              <w:t>(pouze u</w:t>
                            </w:r>
                            <w:r>
                              <w:t> </w:t>
                            </w:r>
                            <w:r w:rsidRPr="00841D9F">
                              <w:t>nepravidelných a ročních publikací)</w:t>
                            </w:r>
                          </w:p>
                          <w:p w:rsidR="00A91AF6" w:rsidRPr="00AF2852" w:rsidRDefault="00A91AF6" w:rsidP="000A3A2C">
                            <w:r w:rsidRPr="00841D9F">
                              <w:t>© Český sta</w:t>
                            </w:r>
                            <w:r>
                              <w:t xml:space="preserve">tistický úřad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t>, místo, rok vydání</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56.7pt;margin-top:747pt;width:481.9pt;height:28.3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" filled="f" stroked="f">
                <v:textbox inset="0,0,0,0">
                  <w:txbxContent>
                    <w:p w:rsidR="00A91AF6" w:rsidRPr="00321924" w:rsidRDefault="00A91AF6" w:rsidP="00A16E1D">
                      <w:pPr>
                        <w:jc w:val="left"/>
                      </w:pPr>
                      <w:r>
                        <w:br/>
                        <w:t xml:space="preserve">© </w:t>
                      </w:r>
                      <w:r w:rsidRPr="00962DA7">
                        <w:rPr>
                          <w:lang w:val="en-GB"/>
                        </w:rPr>
                        <w:t>Czech Statistical Office,</w:t>
                      </w:r>
                      <w:r w:rsidRPr="00321924">
                        <w:t xml:space="preserve"> </w:t>
                      </w:r>
                      <w:r>
                        <w:t>Prague, 2019</w:t>
                      </w:r>
                    </w:p>
                    <w:p w:rsidR="00A91AF6" w:rsidRDefault="00A91AF6"/>
                    <w:p w:rsidR="00A91AF6" w:rsidRPr="00841D9F" w:rsidRDefault="00A91AF6" w:rsidP="000A3A2C">
                      <w:r w:rsidRPr="00841D9F">
                        <w:rPr>
                          <w:szCs w:val="26"/>
                        </w:rPr>
                        <w:t>ISBN XX-XXXX-XXX-X</w:t>
                      </w:r>
                      <w:r>
                        <w:rPr>
                          <w:szCs w:val="26"/>
                        </w:rPr>
                        <w:t> </w:t>
                      </w:r>
                      <w:r w:rsidRPr="00841D9F">
                        <w:rPr>
                          <w:szCs w:val="26"/>
                        </w:rPr>
                        <w:t xml:space="preserve"> </w:t>
                      </w:r>
                      <w:r w:rsidRPr="00841D9F">
                        <w:t>(pouze u</w:t>
                      </w:r>
                      <w:r>
                        <w:t> </w:t>
                      </w:r>
                      <w:r w:rsidRPr="00841D9F">
                        <w:t>nepravidelných a ročních publikací)</w:t>
                      </w:r>
                    </w:p>
                    <w:p w:rsidR="00A91AF6" w:rsidRPr="00AF2852" w:rsidRDefault="00A91AF6" w:rsidP="000A3A2C">
                      <w:r w:rsidRPr="00841D9F">
                        <w:t>© Český sta</w:t>
                      </w:r>
                      <w:r>
                        <w:t xml:space="preserve">tistický úřad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t>, místo, rok vydání</w:t>
                      </w:r>
                    </w:p>
                  </w:txbxContent>
                </v:textbox>
                <w10:wrap anchorx="page" anchory="page"/>
                <w10:anchorlock/>
              </v:shape>
            </w:pict>
          </mc:Fallback>
        </mc:AlternateContent>
      </w:r>
      <w:r w:rsidR="003D017F">
        <w:rPr>
          <w:noProof/>
        </w:rPr>
        <mc:AlternateContent>
          <mc:Choice Requires="wps">
            <w:drawing>
              <wp:anchor distT="0" distB="0" distL="114300" distR="114300" simplePos="0" relativeHeight="251660800" behindDoc="0" locked="1" layoutInCell="1" allowOverlap="1">
                <wp:simplePos x="0" y="0"/>
                <wp:positionH relativeFrom="page">
                  <wp:posOffset>723265</wp:posOffset>
                </wp:positionH>
                <wp:positionV relativeFrom="page">
                  <wp:posOffset>723265</wp:posOffset>
                </wp:positionV>
                <wp:extent cx="6119495" cy="555625"/>
                <wp:effectExtent l="0" t="0" r="14605" b="15875"/>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AF6" w:rsidRPr="009A1902" w:rsidRDefault="00A91AF6" w:rsidP="000A3A2C">
                            <w:pPr>
                              <w:rPr>
                                <w:b/>
                                <w:bCs/>
                                <w:i/>
                                <w:sz w:val="24"/>
                              </w:rPr>
                            </w:pPr>
                            <w:r w:rsidRPr="00CA4C36">
                              <w:rPr>
                                <w:b/>
                                <w:color w:val="0071BC"/>
                                <w:sz w:val="24"/>
                                <w:lang w:val="en-GB"/>
                              </w:rPr>
                              <w:t xml:space="preserve">Are you interested in the latest data connected with inflation, GDP, population, average wages and much more? You can find them on the CZSO web page: </w:t>
                            </w:r>
                            <w:r>
                              <w:rPr>
                                <w:b/>
                                <w:bCs/>
                                <w:sz w:val="24"/>
                              </w:rPr>
                              <w:t>www.czso.cz</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56.95pt;margin-top:56.95pt;width:481.85pt;height:43.7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" filled="f" stroked="f">
                <v:textbox style="mso-fit-shape-to-text:t" inset="0,0,0,0">
                  <w:txbxContent>
                    <w:p w:rsidR="00A91AF6" w:rsidRPr="009A1902" w:rsidRDefault="00A91AF6" w:rsidP="000A3A2C">
                      <w:pPr>
                        <w:rPr>
                          <w:b/>
                          <w:bCs/>
                          <w:i/>
                          <w:sz w:val="24"/>
                        </w:rPr>
                      </w:pPr>
                      <w:r w:rsidRPr="00CA4C36">
                        <w:rPr>
                          <w:b/>
                          <w:color w:val="0071BC"/>
                          <w:sz w:val="24"/>
                          <w:lang w:val="en-GB"/>
                        </w:rPr>
                        <w:t xml:space="preserve">Are you interested in the latest data connected with inflation, GDP, population, average wages and much more? You can find them on the CZSO web page: </w:t>
                      </w:r>
                      <w:r>
                        <w:rPr>
                          <w:b/>
                          <w:bCs/>
                          <w:sz w:val="24"/>
                        </w:rPr>
                        <w:t>www.czso.cz</w:t>
                      </w:r>
                    </w:p>
                  </w:txbxContent>
                </v:textbox>
                <w10:wrap anchorx="page" anchory="page"/>
                <w10:anchorlock/>
              </v:shape>
            </w:pict>
          </mc:Fallback>
        </mc:AlternateContent>
      </w:r>
    </w:p>
    <w:sdt>
      <w:sdtPr>
        <w:rPr>
          <w:b w:val="0"/>
          <w:color w:val="auto"/>
          <w:sz w:val="20"/>
        </w:rPr>
        <w:id w:val="5357999"/>
        <w:docPartObj>
          <w:docPartGallery w:val="Table of Contents"/>
          <w:docPartUnique/>
        </w:docPartObj>
      </w:sdtPr>
      <w:sdtContent>
        <w:p w:rsidR="00867DAB" w:rsidRPr="009110F7" w:rsidRDefault="00B34931" w:rsidP="00867DAB">
          <w:pPr>
            <w:pStyle w:val="Obsah"/>
          </w:pPr>
          <w:proofErr w:type="spellStart"/>
          <w:r>
            <w:t>Contents</w:t>
          </w:r>
          <w:proofErr w:type="spellEnd"/>
        </w:p>
        <w:p w:rsidR="001544A1" w:rsidRDefault="007D42E5">
          <w:pPr>
            <w:pStyle w:val="Obsah1"/>
            <w:rPr>
              <w:rFonts w:asciiTheme="minorHAnsi" w:eastAsiaTheme="minorEastAsia" w:hAnsiTheme="minorHAnsi" w:cstheme="minorBidi"/>
              <w:noProof/>
              <w:sz w:val="22"/>
              <w:szCs w:val="22"/>
            </w:rPr>
          </w:pPr>
          <w:r w:rsidRPr="009110F7">
            <w:fldChar w:fldCharType="begin"/>
          </w:r>
          <w:r w:rsidR="00867DAB" w:rsidRPr="009110F7">
            <w:instrText xml:space="preserve"> TOC \o "1-3" \h \z \u </w:instrText>
          </w:r>
          <w:r w:rsidRPr="009110F7">
            <w:fldChar w:fldCharType="separate"/>
          </w:r>
          <w:hyperlink w:anchor="_Toc5708389" w:history="1">
            <w:r w:rsidR="001544A1" w:rsidRPr="004B23F9">
              <w:rPr>
                <w:rStyle w:val="Hypertextovodkaz"/>
                <w:noProof/>
              </w:rPr>
              <w:t>1. S</w:t>
            </w:r>
            <w:r w:rsidR="00B34931">
              <w:rPr>
                <w:rStyle w:val="Hypertextovodkaz"/>
                <w:noProof/>
              </w:rPr>
              <w:t>ummary</w:t>
            </w:r>
            <w:r w:rsidR="001544A1">
              <w:rPr>
                <w:noProof/>
                <w:webHidden/>
              </w:rPr>
              <w:tab/>
            </w:r>
            <w:r>
              <w:rPr>
                <w:noProof/>
                <w:webHidden/>
              </w:rPr>
              <w:fldChar w:fldCharType="begin"/>
            </w:r>
            <w:r w:rsidR="001544A1">
              <w:rPr>
                <w:noProof/>
                <w:webHidden/>
              </w:rPr>
              <w:instrText xml:space="preserve"> PAGEREF _Toc5708389 \h </w:instrText>
            </w:r>
            <w:r>
              <w:rPr>
                <w:noProof/>
                <w:webHidden/>
              </w:rPr>
            </w:r>
            <w:r>
              <w:rPr>
                <w:noProof/>
                <w:webHidden/>
              </w:rPr>
              <w:fldChar w:fldCharType="separate"/>
            </w:r>
            <w:r w:rsidR="007B3622">
              <w:rPr>
                <w:noProof/>
                <w:webHidden/>
              </w:rPr>
              <w:t>4</w:t>
            </w:r>
            <w:r>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0" w:history="1">
            <w:r w:rsidR="00B34931">
              <w:rPr>
                <w:rStyle w:val="Hypertextovodkaz"/>
                <w:noProof/>
              </w:rPr>
              <w:t>2. Overall Economic Performance</w:t>
            </w:r>
            <w:r w:rsidR="001544A1">
              <w:rPr>
                <w:noProof/>
                <w:webHidden/>
              </w:rPr>
              <w:tab/>
            </w:r>
            <w:r w:rsidR="007D42E5">
              <w:rPr>
                <w:noProof/>
                <w:webHidden/>
              </w:rPr>
              <w:fldChar w:fldCharType="begin"/>
            </w:r>
            <w:r w:rsidR="001544A1">
              <w:rPr>
                <w:noProof/>
                <w:webHidden/>
              </w:rPr>
              <w:instrText xml:space="preserve"> PAGEREF _Toc5708390 \h </w:instrText>
            </w:r>
            <w:r w:rsidR="007D42E5">
              <w:rPr>
                <w:noProof/>
                <w:webHidden/>
              </w:rPr>
            </w:r>
            <w:r w:rsidR="007D42E5">
              <w:rPr>
                <w:noProof/>
                <w:webHidden/>
              </w:rPr>
              <w:fldChar w:fldCharType="separate"/>
            </w:r>
            <w:r w:rsidR="007B3622">
              <w:rPr>
                <w:noProof/>
                <w:webHidden/>
              </w:rPr>
              <w:t>5</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1" w:history="1">
            <w:r w:rsidR="00B34931">
              <w:rPr>
                <w:rStyle w:val="Hypertextovodkaz"/>
                <w:noProof/>
              </w:rPr>
              <w:t>3. Branches Performance</w:t>
            </w:r>
            <w:r w:rsidR="001544A1">
              <w:rPr>
                <w:noProof/>
                <w:webHidden/>
              </w:rPr>
              <w:tab/>
            </w:r>
            <w:r w:rsidR="007D42E5">
              <w:rPr>
                <w:noProof/>
                <w:webHidden/>
              </w:rPr>
              <w:fldChar w:fldCharType="begin"/>
            </w:r>
            <w:r w:rsidR="001544A1">
              <w:rPr>
                <w:noProof/>
                <w:webHidden/>
              </w:rPr>
              <w:instrText xml:space="preserve"> PAGEREF _Toc5708391 \h </w:instrText>
            </w:r>
            <w:r w:rsidR="007D42E5">
              <w:rPr>
                <w:noProof/>
                <w:webHidden/>
              </w:rPr>
            </w:r>
            <w:r w:rsidR="007D42E5">
              <w:rPr>
                <w:noProof/>
                <w:webHidden/>
              </w:rPr>
              <w:fldChar w:fldCharType="separate"/>
            </w:r>
            <w:r w:rsidR="007B3622">
              <w:rPr>
                <w:noProof/>
                <w:webHidden/>
              </w:rPr>
              <w:t>11</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2" w:history="1">
            <w:r w:rsidR="00B34931">
              <w:rPr>
                <w:rStyle w:val="Hypertextovodkaz"/>
                <w:noProof/>
              </w:rPr>
              <w:t>4. External Relations</w:t>
            </w:r>
            <w:r w:rsidR="001544A1">
              <w:rPr>
                <w:noProof/>
                <w:webHidden/>
              </w:rPr>
              <w:tab/>
            </w:r>
            <w:r w:rsidR="007D42E5">
              <w:rPr>
                <w:noProof/>
                <w:webHidden/>
              </w:rPr>
              <w:fldChar w:fldCharType="begin"/>
            </w:r>
            <w:r w:rsidR="001544A1">
              <w:rPr>
                <w:noProof/>
                <w:webHidden/>
              </w:rPr>
              <w:instrText xml:space="preserve"> PAGEREF _Toc5708392 \h </w:instrText>
            </w:r>
            <w:r w:rsidR="007D42E5">
              <w:rPr>
                <w:noProof/>
                <w:webHidden/>
              </w:rPr>
            </w:r>
            <w:r w:rsidR="007D42E5">
              <w:rPr>
                <w:noProof/>
                <w:webHidden/>
              </w:rPr>
              <w:fldChar w:fldCharType="separate"/>
            </w:r>
            <w:r w:rsidR="007B3622">
              <w:rPr>
                <w:noProof/>
                <w:webHidden/>
              </w:rPr>
              <w:t>18</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3" w:history="1">
            <w:r w:rsidR="00B34931">
              <w:rPr>
                <w:rStyle w:val="Hypertextovodkaz"/>
                <w:noProof/>
              </w:rPr>
              <w:t>5. Prices</w:t>
            </w:r>
            <w:r w:rsidR="001544A1">
              <w:rPr>
                <w:noProof/>
                <w:webHidden/>
              </w:rPr>
              <w:tab/>
            </w:r>
            <w:r w:rsidR="007D42E5">
              <w:rPr>
                <w:noProof/>
                <w:webHidden/>
              </w:rPr>
              <w:fldChar w:fldCharType="begin"/>
            </w:r>
            <w:r w:rsidR="001544A1">
              <w:rPr>
                <w:noProof/>
                <w:webHidden/>
              </w:rPr>
              <w:instrText xml:space="preserve"> PAGEREF _Toc5708393 \h </w:instrText>
            </w:r>
            <w:r w:rsidR="007D42E5">
              <w:rPr>
                <w:noProof/>
                <w:webHidden/>
              </w:rPr>
            </w:r>
            <w:r w:rsidR="007D42E5">
              <w:rPr>
                <w:noProof/>
                <w:webHidden/>
              </w:rPr>
              <w:fldChar w:fldCharType="separate"/>
            </w:r>
            <w:r w:rsidR="007B3622">
              <w:rPr>
                <w:noProof/>
                <w:webHidden/>
              </w:rPr>
              <w:t>21</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4" w:history="1">
            <w:r w:rsidR="001544A1" w:rsidRPr="004B23F9">
              <w:rPr>
                <w:rStyle w:val="Hypertextovodkaz"/>
                <w:noProof/>
              </w:rPr>
              <w:t>6.</w:t>
            </w:r>
            <w:r w:rsidR="00B34931">
              <w:rPr>
                <w:rStyle w:val="Hypertextovodkaz"/>
                <w:noProof/>
              </w:rPr>
              <w:t xml:space="preserve"> Labour Market</w:t>
            </w:r>
            <w:r w:rsidR="001544A1">
              <w:rPr>
                <w:noProof/>
                <w:webHidden/>
              </w:rPr>
              <w:tab/>
            </w:r>
            <w:r w:rsidR="007D42E5">
              <w:rPr>
                <w:noProof/>
                <w:webHidden/>
              </w:rPr>
              <w:fldChar w:fldCharType="begin"/>
            </w:r>
            <w:r w:rsidR="001544A1">
              <w:rPr>
                <w:noProof/>
                <w:webHidden/>
              </w:rPr>
              <w:instrText xml:space="preserve"> PAGEREF _Toc5708394 \h </w:instrText>
            </w:r>
            <w:r w:rsidR="007D42E5">
              <w:rPr>
                <w:noProof/>
                <w:webHidden/>
              </w:rPr>
            </w:r>
            <w:r w:rsidR="007D42E5">
              <w:rPr>
                <w:noProof/>
                <w:webHidden/>
              </w:rPr>
              <w:fldChar w:fldCharType="separate"/>
            </w:r>
            <w:r w:rsidR="007B3622">
              <w:rPr>
                <w:noProof/>
                <w:webHidden/>
              </w:rPr>
              <w:t>27</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5" w:history="1">
            <w:r w:rsidR="001544A1" w:rsidRPr="004B23F9">
              <w:rPr>
                <w:rStyle w:val="Hypertextovodkaz"/>
                <w:noProof/>
              </w:rPr>
              <w:t>7. M</w:t>
            </w:r>
            <w:r w:rsidR="00B34931">
              <w:rPr>
                <w:rStyle w:val="Hypertextovodkaz"/>
                <w:noProof/>
              </w:rPr>
              <w:t>onetary Conditions</w:t>
            </w:r>
            <w:r w:rsidR="001544A1">
              <w:rPr>
                <w:noProof/>
                <w:webHidden/>
              </w:rPr>
              <w:tab/>
            </w:r>
            <w:r w:rsidR="007D42E5">
              <w:rPr>
                <w:noProof/>
                <w:webHidden/>
              </w:rPr>
              <w:fldChar w:fldCharType="begin"/>
            </w:r>
            <w:r w:rsidR="001544A1">
              <w:rPr>
                <w:noProof/>
                <w:webHidden/>
              </w:rPr>
              <w:instrText xml:space="preserve"> PAGEREF _Toc5708395 \h </w:instrText>
            </w:r>
            <w:r w:rsidR="007D42E5">
              <w:rPr>
                <w:noProof/>
                <w:webHidden/>
              </w:rPr>
            </w:r>
            <w:r w:rsidR="007D42E5">
              <w:rPr>
                <w:noProof/>
                <w:webHidden/>
              </w:rPr>
              <w:fldChar w:fldCharType="separate"/>
            </w:r>
            <w:r w:rsidR="007B3622">
              <w:rPr>
                <w:noProof/>
                <w:webHidden/>
              </w:rPr>
              <w:t>32</w:t>
            </w:r>
            <w:r w:rsidR="007D42E5">
              <w:rPr>
                <w:noProof/>
                <w:webHidden/>
              </w:rPr>
              <w:fldChar w:fldCharType="end"/>
            </w:r>
          </w:hyperlink>
        </w:p>
        <w:p w:rsidR="001544A1" w:rsidRDefault="00A91AF6">
          <w:pPr>
            <w:pStyle w:val="Obsah1"/>
            <w:rPr>
              <w:rFonts w:asciiTheme="minorHAnsi" w:eastAsiaTheme="minorEastAsia" w:hAnsiTheme="minorHAnsi" w:cstheme="minorBidi"/>
              <w:noProof/>
              <w:sz w:val="22"/>
              <w:szCs w:val="22"/>
            </w:rPr>
          </w:pPr>
          <w:hyperlink w:anchor="_Toc5708396" w:history="1">
            <w:r w:rsidR="00B34931">
              <w:rPr>
                <w:rStyle w:val="Hypertextovodkaz"/>
                <w:noProof/>
              </w:rPr>
              <w:t>8. State Budget</w:t>
            </w:r>
            <w:r w:rsidR="001544A1">
              <w:rPr>
                <w:noProof/>
                <w:webHidden/>
              </w:rPr>
              <w:tab/>
            </w:r>
            <w:r w:rsidR="007D42E5">
              <w:rPr>
                <w:noProof/>
                <w:webHidden/>
              </w:rPr>
              <w:fldChar w:fldCharType="begin"/>
            </w:r>
            <w:r w:rsidR="001544A1">
              <w:rPr>
                <w:noProof/>
                <w:webHidden/>
              </w:rPr>
              <w:instrText xml:space="preserve"> PAGEREF _Toc5708396 \h </w:instrText>
            </w:r>
            <w:r w:rsidR="007D42E5">
              <w:rPr>
                <w:noProof/>
                <w:webHidden/>
              </w:rPr>
            </w:r>
            <w:r w:rsidR="007D42E5">
              <w:rPr>
                <w:noProof/>
                <w:webHidden/>
              </w:rPr>
              <w:fldChar w:fldCharType="separate"/>
            </w:r>
            <w:r w:rsidR="007B3622">
              <w:rPr>
                <w:noProof/>
                <w:webHidden/>
              </w:rPr>
              <w:t>34</w:t>
            </w:r>
            <w:r w:rsidR="007D42E5">
              <w:rPr>
                <w:noProof/>
                <w:webHidden/>
              </w:rPr>
              <w:fldChar w:fldCharType="end"/>
            </w:r>
          </w:hyperlink>
        </w:p>
        <w:p w:rsidR="00867DAB" w:rsidRPr="009110F7" w:rsidRDefault="007D42E5">
          <w:r w:rsidRPr="009110F7">
            <w:fldChar w:fldCharType="end"/>
          </w:r>
        </w:p>
      </w:sdtContent>
    </w:sdt>
    <w:p w:rsidR="00003F5C" w:rsidRPr="009110F7" w:rsidRDefault="00003F5C" w:rsidP="00003F5C">
      <w:pPr>
        <w:pStyle w:val="Textpoznpodarou"/>
        <w:jc w:val="both"/>
        <w:rPr>
          <w:rFonts w:cs="Arial"/>
          <w:color w:val="000000"/>
        </w:rPr>
      </w:pPr>
    </w:p>
    <w:p w:rsidR="00003F5C" w:rsidRPr="009110F7" w:rsidRDefault="00003F5C" w:rsidP="00003F5C">
      <w:pPr>
        <w:pStyle w:val="Textpoznpodarou"/>
        <w:jc w:val="both"/>
        <w:rPr>
          <w:rFonts w:cs="Arial"/>
          <w:color w:val="000000"/>
        </w:rPr>
      </w:pPr>
    </w:p>
    <w:p w:rsidR="00003F5C" w:rsidRPr="009110F7" w:rsidRDefault="00003F5C" w:rsidP="00003F5C">
      <w:pPr>
        <w:pStyle w:val="Textpoznpodarou"/>
        <w:jc w:val="both"/>
        <w:rPr>
          <w:rFonts w:cs="Arial"/>
          <w:color w:val="000000"/>
        </w:rPr>
      </w:pPr>
    </w:p>
    <w:p w:rsidR="00003F5C" w:rsidRPr="009110F7" w:rsidRDefault="00003F5C" w:rsidP="00003F5C">
      <w:pPr>
        <w:pStyle w:val="Textpoznpodarou"/>
        <w:jc w:val="both"/>
        <w:rPr>
          <w:rFonts w:cs="Arial"/>
          <w:color w:val="000000"/>
        </w:rPr>
      </w:pPr>
    </w:p>
    <w:p w:rsidR="00003F5C" w:rsidRPr="009110F7" w:rsidRDefault="00003F5C" w:rsidP="00003F5C">
      <w:pPr>
        <w:pStyle w:val="Textpoznpodarou"/>
        <w:jc w:val="both"/>
        <w:rPr>
          <w:rFonts w:cs="Arial"/>
          <w:color w:val="000000"/>
        </w:rPr>
      </w:pPr>
    </w:p>
    <w:p w:rsidR="00003F5C" w:rsidRPr="009110F7" w:rsidRDefault="00003F5C" w:rsidP="00003F5C">
      <w:pPr>
        <w:pStyle w:val="Textpoznpodarou"/>
        <w:jc w:val="both"/>
        <w:rPr>
          <w:rFonts w:cs="Arial"/>
          <w:color w:val="000000"/>
        </w:rPr>
      </w:pPr>
    </w:p>
    <w:p w:rsidR="00003F5C" w:rsidRPr="001659F7" w:rsidRDefault="00C43D63" w:rsidP="00003F5C">
      <w:pPr>
        <w:pStyle w:val="Textpoznpodarou"/>
        <w:jc w:val="both"/>
        <w:rPr>
          <w:rFonts w:cs="Arial"/>
          <w:color w:val="000000"/>
          <w:lang w:val="en-GB"/>
        </w:rPr>
      </w:pPr>
      <w:r w:rsidRPr="001659F7">
        <w:rPr>
          <w:rFonts w:cs="Arial"/>
          <w:color w:val="000000"/>
          <w:lang w:val="en-GB"/>
        </w:rPr>
        <w:t xml:space="preserve">Sources of data in the whole analysis: </w:t>
      </w:r>
      <w:r w:rsidR="002F6A9F">
        <w:rPr>
          <w:rFonts w:cs="Arial"/>
          <w:color w:val="000000"/>
          <w:lang w:val="en-GB"/>
        </w:rPr>
        <w:t>Czech Statistical Office (</w:t>
      </w:r>
      <w:r w:rsidRPr="001659F7">
        <w:rPr>
          <w:rFonts w:cs="Arial"/>
          <w:color w:val="000000"/>
          <w:lang w:val="en-GB"/>
        </w:rPr>
        <w:t>CZSO</w:t>
      </w:r>
      <w:r w:rsidR="002F6A9F">
        <w:rPr>
          <w:rFonts w:cs="Arial"/>
          <w:color w:val="000000"/>
          <w:lang w:val="en-GB"/>
        </w:rPr>
        <w:t>)</w:t>
      </w:r>
      <w:r w:rsidR="00003F5C" w:rsidRPr="001659F7">
        <w:rPr>
          <w:rFonts w:cs="Arial"/>
          <w:color w:val="000000"/>
          <w:lang w:val="en-GB"/>
        </w:rPr>
        <w:t xml:space="preserve">, </w:t>
      </w:r>
      <w:r w:rsidR="002F6A9F">
        <w:rPr>
          <w:rFonts w:cs="Arial"/>
          <w:color w:val="000000"/>
          <w:lang w:val="en-GB"/>
        </w:rPr>
        <w:t>Ministry of Finance (</w:t>
      </w:r>
      <w:r w:rsidR="00003F5C" w:rsidRPr="001659F7">
        <w:rPr>
          <w:rFonts w:cs="Arial"/>
          <w:color w:val="000000"/>
          <w:lang w:val="en-GB"/>
        </w:rPr>
        <w:t>MF</w:t>
      </w:r>
      <w:r w:rsidR="00A45489" w:rsidRPr="001659F7">
        <w:rPr>
          <w:rFonts w:cs="Arial"/>
          <w:color w:val="000000"/>
          <w:lang w:val="en-GB"/>
        </w:rPr>
        <w:t> </w:t>
      </w:r>
      <w:r w:rsidRPr="001659F7">
        <w:rPr>
          <w:rFonts w:cs="Arial"/>
          <w:color w:val="000000"/>
          <w:lang w:val="en-GB"/>
        </w:rPr>
        <w:t>C</w:t>
      </w:r>
      <w:r w:rsidR="00003F5C" w:rsidRPr="001659F7">
        <w:rPr>
          <w:rFonts w:cs="Arial"/>
          <w:color w:val="000000"/>
          <w:lang w:val="en-GB"/>
        </w:rPr>
        <w:t>R</w:t>
      </w:r>
      <w:r w:rsidR="002F6A9F">
        <w:rPr>
          <w:rFonts w:cs="Arial"/>
          <w:color w:val="000000"/>
          <w:lang w:val="en-GB"/>
        </w:rPr>
        <w:t>)</w:t>
      </w:r>
      <w:r w:rsidR="00003F5C" w:rsidRPr="001659F7">
        <w:rPr>
          <w:rFonts w:cs="Arial"/>
          <w:color w:val="000000"/>
          <w:lang w:val="en-GB"/>
        </w:rPr>
        <w:t xml:space="preserve">, </w:t>
      </w:r>
      <w:r w:rsidR="002F6A9F">
        <w:rPr>
          <w:rFonts w:cs="Arial"/>
          <w:color w:val="000000"/>
          <w:lang w:val="en-GB"/>
        </w:rPr>
        <w:t>Czech National Bank (</w:t>
      </w:r>
      <w:r w:rsidRPr="001659F7">
        <w:rPr>
          <w:rFonts w:cs="Arial"/>
          <w:color w:val="000000"/>
          <w:lang w:val="en-GB"/>
        </w:rPr>
        <w:t>C</w:t>
      </w:r>
      <w:r w:rsidR="00003F5C" w:rsidRPr="001659F7">
        <w:rPr>
          <w:rFonts w:cs="Arial"/>
          <w:color w:val="000000"/>
          <w:lang w:val="en-GB"/>
        </w:rPr>
        <w:t>NB</w:t>
      </w:r>
      <w:r w:rsidR="002F6A9F">
        <w:rPr>
          <w:rFonts w:cs="Arial"/>
          <w:color w:val="000000"/>
          <w:lang w:val="en-GB"/>
        </w:rPr>
        <w:t>)</w:t>
      </w:r>
      <w:r w:rsidR="00003F5C" w:rsidRPr="001659F7">
        <w:rPr>
          <w:rFonts w:cs="Arial"/>
          <w:color w:val="000000"/>
          <w:lang w:val="en-GB"/>
        </w:rPr>
        <w:t xml:space="preserve">, </w:t>
      </w:r>
      <w:r w:rsidR="002F6A9F">
        <w:rPr>
          <w:rFonts w:cs="Arial"/>
          <w:color w:val="000000"/>
          <w:lang w:val="en-GB"/>
        </w:rPr>
        <w:t>Ministry of Labour and Social Affairs (</w:t>
      </w:r>
      <w:r w:rsidR="00003F5C" w:rsidRPr="001659F7">
        <w:rPr>
          <w:rFonts w:cs="Arial"/>
          <w:color w:val="000000"/>
          <w:lang w:val="en-GB"/>
        </w:rPr>
        <w:t>M</w:t>
      </w:r>
      <w:r w:rsidRPr="001659F7">
        <w:rPr>
          <w:rFonts w:cs="Arial"/>
          <w:color w:val="000000"/>
          <w:lang w:val="en-GB"/>
        </w:rPr>
        <w:t>LSA</w:t>
      </w:r>
      <w:r w:rsidR="002F6A9F">
        <w:rPr>
          <w:rFonts w:cs="Arial"/>
          <w:color w:val="000000"/>
          <w:lang w:val="en-GB"/>
        </w:rPr>
        <w:t>)</w:t>
      </w:r>
      <w:r w:rsidR="00003F5C" w:rsidRPr="001659F7">
        <w:rPr>
          <w:rFonts w:cs="Arial"/>
          <w:color w:val="000000"/>
          <w:lang w:val="en-GB"/>
        </w:rPr>
        <w:t xml:space="preserve">, Eurostat, </w:t>
      </w:r>
      <w:r w:rsidRPr="001659F7">
        <w:rPr>
          <w:rFonts w:cs="Arial"/>
          <w:color w:val="000000"/>
          <w:lang w:val="en-GB"/>
        </w:rPr>
        <w:t>CZSO calculations</w:t>
      </w:r>
      <w:r w:rsidR="00003F5C" w:rsidRPr="001659F7">
        <w:rPr>
          <w:rFonts w:cs="Arial"/>
          <w:color w:val="000000"/>
          <w:lang w:val="en-GB"/>
        </w:rPr>
        <w:t>.</w:t>
      </w:r>
    </w:p>
    <w:p w:rsidR="00003F5C" w:rsidRPr="001659F7" w:rsidRDefault="001659F7" w:rsidP="00003F5C">
      <w:pPr>
        <w:pStyle w:val="Textpoznpodarou"/>
        <w:jc w:val="both"/>
        <w:rPr>
          <w:rFonts w:cs="Arial"/>
          <w:color w:val="000000"/>
          <w:lang w:val="en-GB"/>
        </w:rPr>
      </w:pPr>
      <w:r w:rsidRPr="001659F7">
        <w:rPr>
          <w:rFonts w:cs="Arial"/>
          <w:color w:val="000000"/>
          <w:lang w:val="en-GB"/>
        </w:rPr>
        <w:t xml:space="preserve">Latest information provided in this report has been dated the </w:t>
      </w:r>
      <w:r w:rsidR="00A90F2C" w:rsidRPr="001659F7">
        <w:rPr>
          <w:rFonts w:cs="Arial"/>
          <w:color w:val="000000"/>
          <w:lang w:val="en-GB"/>
        </w:rPr>
        <w:t>3</w:t>
      </w:r>
      <w:r w:rsidRPr="001659F7">
        <w:rPr>
          <w:rFonts w:cs="Arial"/>
          <w:color w:val="000000"/>
          <w:lang w:val="en-GB"/>
        </w:rPr>
        <w:t xml:space="preserve">rd April </w:t>
      </w:r>
      <w:r w:rsidR="00F37EDC" w:rsidRPr="001659F7">
        <w:rPr>
          <w:rFonts w:cs="Arial"/>
          <w:color w:val="000000"/>
          <w:lang w:val="en-GB"/>
        </w:rPr>
        <w:t>2019</w:t>
      </w:r>
      <w:r w:rsidR="00003F5C" w:rsidRPr="001659F7">
        <w:rPr>
          <w:rFonts w:cs="Arial"/>
          <w:color w:val="000000"/>
          <w:lang w:val="en-GB"/>
        </w:rPr>
        <w:t>.</w:t>
      </w:r>
    </w:p>
    <w:p w:rsidR="00EE4B1B" w:rsidRPr="009C0696" w:rsidRDefault="00087F2B" w:rsidP="001554C2">
      <w:pPr>
        <w:pStyle w:val="Nadpis11"/>
        <w:rPr>
          <w:lang w:val="en-GB"/>
        </w:rPr>
      </w:pPr>
      <w:r w:rsidRPr="009110F7">
        <w:br w:type="page"/>
      </w:r>
      <w:bookmarkStart w:id="1" w:name="_Toc444112494"/>
      <w:bookmarkStart w:id="2" w:name="_Toc511215208"/>
      <w:r w:rsidR="001554C2" w:rsidRPr="009110F7">
        <w:lastRenderedPageBreak/>
        <w:t xml:space="preserve"> </w:t>
      </w:r>
      <w:bookmarkStart w:id="3" w:name="_Toc5708389"/>
      <w:r w:rsidR="001554C2" w:rsidRPr="000350C8">
        <w:t xml:space="preserve">1. </w:t>
      </w:r>
      <w:r w:rsidR="001554C2" w:rsidRPr="009C0696">
        <w:rPr>
          <w:lang w:val="en-GB"/>
        </w:rPr>
        <w:t>S</w:t>
      </w:r>
      <w:r w:rsidR="00FD7AFE" w:rsidRPr="009C0696">
        <w:rPr>
          <w:lang w:val="en-GB"/>
        </w:rPr>
        <w:t>ummary</w:t>
      </w:r>
      <w:bookmarkEnd w:id="1"/>
      <w:bookmarkEnd w:id="2"/>
      <w:bookmarkEnd w:id="3"/>
    </w:p>
    <w:p w:rsidR="00AE30BE" w:rsidRPr="009C0696" w:rsidRDefault="00347E18" w:rsidP="00AE30BE">
      <w:pPr>
        <w:pStyle w:val="Normalodrka"/>
        <w:spacing w:after="100"/>
        <w:rPr>
          <w:spacing w:val="2"/>
          <w:lang w:val="en-GB"/>
        </w:rPr>
      </w:pPr>
      <w:r w:rsidRPr="009C0696">
        <w:rPr>
          <w:spacing w:val="2"/>
          <w:lang w:val="en-GB"/>
        </w:rPr>
        <w:t>The Gross domestic product grew by 2.9%</w:t>
      </w:r>
      <w:r w:rsidR="00FB5302" w:rsidRPr="009C0696">
        <w:rPr>
          <w:rStyle w:val="Znakapoznpodarou"/>
          <w:spacing w:val="-4"/>
          <w:szCs w:val="20"/>
          <w:lang w:val="en-GB"/>
        </w:rPr>
        <w:footnoteReference w:id="1"/>
      </w:r>
      <w:r w:rsidRPr="009C0696">
        <w:rPr>
          <w:spacing w:val="2"/>
          <w:lang w:val="en-GB"/>
        </w:rPr>
        <w:t xml:space="preserve"> in 2018. The year-on-year dynamics thus contracted in comparison to the preceding year. The domestic demand was the main driver of GDP growth, in that especially consumption, which grew by 3.3%. Simultaneously, the investment activity of households, non-financial businesses as well as the government institutions increased. Total gross fixed capital expenditure grew by 10.4% last year. Foreign demand contributed to the growth less than in the previous year, mostly due to the weakened growth dynamics of some of the important business partners. GDP grew by 2.6% year-on-year and by 0.8% quarter-on-quarter in Q4. </w:t>
      </w:r>
      <w:r w:rsidR="00AE30BE" w:rsidRPr="009C0696">
        <w:rPr>
          <w:spacing w:val="2"/>
          <w:lang w:val="en-GB"/>
        </w:rPr>
        <w:t xml:space="preserve"> </w:t>
      </w:r>
    </w:p>
    <w:p w:rsidR="00C32631" w:rsidRPr="009C0696" w:rsidRDefault="00347E18" w:rsidP="00AE30BE">
      <w:pPr>
        <w:pStyle w:val="Normalodrka"/>
        <w:spacing w:after="100"/>
        <w:rPr>
          <w:spacing w:val="2"/>
          <w:lang w:val="en-GB"/>
        </w:rPr>
      </w:pPr>
      <w:r w:rsidRPr="009C0696">
        <w:rPr>
          <w:spacing w:val="2"/>
          <w:lang w:val="en-GB"/>
        </w:rPr>
        <w:t>The Gross value added increased by 3.0%</w:t>
      </w:r>
      <w:r w:rsidR="00486251">
        <w:rPr>
          <w:spacing w:val="2"/>
          <w:lang w:val="en-GB"/>
        </w:rPr>
        <w:t xml:space="preserve"> in 2018</w:t>
      </w:r>
      <w:r w:rsidRPr="009C0696">
        <w:rPr>
          <w:spacing w:val="2"/>
          <w:lang w:val="en-GB"/>
        </w:rPr>
        <w:t>. Domestic demand supported especially the services sector. The weight dominant grouping of trade, transportation, accommodation and restaurants contributed the most to the GVA growth last year. GVA growth reached a five-year maximum (6.9%) in</w:t>
      </w:r>
      <w:r w:rsidR="00433C00" w:rsidRPr="009C0696">
        <w:rPr>
          <w:spacing w:val="2"/>
          <w:lang w:val="en-GB"/>
        </w:rPr>
        <w:t xml:space="preserve"> financial and insurance activities</w:t>
      </w:r>
      <w:r w:rsidRPr="009C0696">
        <w:rPr>
          <w:spacing w:val="-4"/>
          <w:lang w:val="en-GB"/>
        </w:rPr>
        <w:t>.  Value added expanded by a similar rate also in information and communication</w:t>
      </w:r>
      <w:r w:rsidR="00433C00" w:rsidRPr="009C0696">
        <w:rPr>
          <w:spacing w:val="-4"/>
          <w:lang w:val="en-GB"/>
        </w:rPr>
        <w:t xml:space="preserve">. </w:t>
      </w:r>
      <w:r w:rsidRPr="009C0696">
        <w:rPr>
          <w:spacing w:val="2"/>
          <w:lang w:val="en-GB"/>
        </w:rPr>
        <w:t xml:space="preserve">On the other hand, the export-oriented manufacturing contributed to the GVA growth much less compared to the previous years. </w:t>
      </w:r>
      <w:r w:rsidR="002233D6" w:rsidRPr="009C0696">
        <w:rPr>
          <w:spacing w:val="2"/>
          <w:lang w:val="en-GB"/>
        </w:rPr>
        <w:t xml:space="preserve">  </w:t>
      </w:r>
    </w:p>
    <w:p w:rsidR="009E1120" w:rsidRPr="009C0696" w:rsidRDefault="0050648F" w:rsidP="00AE30BE">
      <w:pPr>
        <w:pStyle w:val="Normalodrka"/>
        <w:spacing w:after="100"/>
        <w:rPr>
          <w:spacing w:val="2"/>
          <w:lang w:val="en-GB"/>
        </w:rPr>
      </w:pPr>
      <w:r w:rsidRPr="009C0696">
        <w:rPr>
          <w:spacing w:val="2"/>
          <w:lang w:val="en-GB"/>
        </w:rPr>
        <w:t xml:space="preserve">The value of exported goods grew by 3.4% last year. Contraction of the year-on-year dynamics can be associated with the lower growth of export to Germany and also with the first fall of the value of motor vehicle exports since 2009. In contrast, the export into smaller destinations, as for example Netherlands, Spain or Sweden increased. Export of computers, electronic and optical appliances experienced a very strong growth (15.7%). Value of imported goods grew by 4.7%. The resulting surplus of the trade balance also due to the higher import dynamics shrank by 41.2 CZK bn year-on-year to 122.3 CZK bn. Domestic economy attained a negative balance of the primary income with the non-residents in the amount of 270.8 CZK bn. This deficit was affected the most by the outflow of direct investment profits of the foreign owners in total 414.6 CZK bn (7.8% of GDP). </w:t>
      </w:r>
    </w:p>
    <w:p w:rsidR="0050648F" w:rsidRPr="009C0696" w:rsidRDefault="0050648F" w:rsidP="0050648F">
      <w:pPr>
        <w:pStyle w:val="Normalodrka"/>
        <w:spacing w:after="100"/>
        <w:rPr>
          <w:spacing w:val="2"/>
          <w:lang w:val="en-GB"/>
        </w:rPr>
      </w:pPr>
      <w:r w:rsidRPr="009C0696">
        <w:rPr>
          <w:spacing w:val="2"/>
          <w:lang w:val="en-GB"/>
        </w:rPr>
        <w:t>Consumer prices increased by 2.1% year-on-year last year. Prices of housing and energies played the key role. Because the prices of rents (3.0%) as well as electricity, gas and energies (2.1%) increased.  The higher oil prices also resulted in higher growth of cost of transport vehicle operation (5.3%). Prices of food grew by 1.3% last year. Prices of industrial producers also pressed the oil prices up both in the domestic economy and abroad. Smaller harvest left its mark on the dynamics of plant production prices, especially grain (7.4%).</w:t>
      </w:r>
    </w:p>
    <w:p w:rsidR="002F1DCB" w:rsidRPr="00486251" w:rsidRDefault="00BC3816" w:rsidP="00AE30BE">
      <w:pPr>
        <w:pStyle w:val="Normalodrka"/>
        <w:spacing w:after="100"/>
        <w:rPr>
          <w:spacing w:val="-3"/>
          <w:lang w:val="en-GB"/>
        </w:rPr>
      </w:pPr>
      <w:r w:rsidRPr="00486251">
        <w:rPr>
          <w:spacing w:val="-3"/>
          <w:lang w:val="en-GB"/>
        </w:rPr>
        <w:t>Number of employees</w:t>
      </w:r>
      <w:r w:rsidR="00FB5302" w:rsidRPr="00486251">
        <w:rPr>
          <w:rStyle w:val="Znakapoznpodarou"/>
          <w:color w:val="0D0D0D" w:themeColor="text1" w:themeTint="F2"/>
          <w:spacing w:val="-3"/>
          <w:lang w:val="en-GB"/>
        </w:rPr>
        <w:footnoteReference w:id="2"/>
      </w:r>
      <w:r w:rsidR="00DF4ADF" w:rsidRPr="00486251">
        <w:rPr>
          <w:spacing w:val="-3"/>
          <w:lang w:val="en-GB"/>
        </w:rPr>
        <w:t xml:space="preserve"> </w:t>
      </w:r>
      <w:r w:rsidRPr="00486251">
        <w:rPr>
          <w:spacing w:val="-3"/>
          <w:lang w:val="en-GB"/>
        </w:rPr>
        <w:t xml:space="preserve">increased by 1.6% year-on-year last year, similarly to the previous three years. Still a certain </w:t>
      </w:r>
      <w:r w:rsidR="00337568" w:rsidRPr="00486251">
        <w:rPr>
          <w:spacing w:val="-3"/>
          <w:lang w:val="en-GB"/>
        </w:rPr>
        <w:t>slowdown</w:t>
      </w:r>
      <w:r w:rsidRPr="00486251">
        <w:rPr>
          <w:spacing w:val="-3"/>
          <w:lang w:val="en-GB"/>
        </w:rPr>
        <w:t xml:space="preserve"> of the quarter-on-quarter dynamics was apparent in the second half of the year. In Q</w:t>
      </w:r>
      <w:r w:rsidR="00DF4ADF" w:rsidRPr="00486251">
        <w:rPr>
          <w:spacing w:val="-3"/>
          <w:lang w:val="en-GB"/>
        </w:rPr>
        <w:t>4</w:t>
      </w:r>
      <w:r w:rsidR="00337568" w:rsidRPr="00486251">
        <w:rPr>
          <w:spacing w:val="-3"/>
          <w:lang w:val="en-GB"/>
        </w:rPr>
        <w:t>,</w:t>
      </w:r>
      <w:r w:rsidRPr="00486251">
        <w:rPr>
          <w:spacing w:val="-3"/>
          <w:lang w:val="en-GB"/>
        </w:rPr>
        <w:t xml:space="preserve"> </w:t>
      </w:r>
      <w:r w:rsidR="007A170B" w:rsidRPr="00486251">
        <w:rPr>
          <w:spacing w:val="-3"/>
          <w:lang w:val="en-GB"/>
        </w:rPr>
        <w:t>5</w:t>
      </w:r>
      <w:r w:rsidRPr="00486251">
        <w:rPr>
          <w:spacing w:val="-3"/>
          <w:lang w:val="en-GB"/>
        </w:rPr>
        <w:t>.</w:t>
      </w:r>
      <w:r w:rsidR="007A170B" w:rsidRPr="00486251">
        <w:rPr>
          <w:spacing w:val="-3"/>
          <w:lang w:val="en-GB"/>
        </w:rPr>
        <w:t>45 </w:t>
      </w:r>
      <w:r w:rsidR="00DF4ADF" w:rsidRPr="00486251">
        <w:rPr>
          <w:spacing w:val="-3"/>
          <w:lang w:val="en-GB"/>
        </w:rPr>
        <w:t>mil</w:t>
      </w:r>
      <w:r w:rsidRPr="00486251">
        <w:rPr>
          <w:spacing w:val="-3"/>
          <w:lang w:val="en-GB"/>
        </w:rPr>
        <w:t xml:space="preserve"> persons worked in the CR, the most in the contemporary history. </w:t>
      </w:r>
      <w:r w:rsidR="00337568" w:rsidRPr="00486251">
        <w:rPr>
          <w:spacing w:val="-3"/>
          <w:lang w:val="en-GB"/>
        </w:rPr>
        <w:t>Higher engagement of formerly economically inactive persons especially contributed to the year-on-year growth of employment</w:t>
      </w:r>
      <w:r w:rsidR="00486251" w:rsidRPr="00486251">
        <w:rPr>
          <w:spacing w:val="-3"/>
          <w:lang w:val="en-GB"/>
        </w:rPr>
        <w:t xml:space="preserve"> (</w:t>
      </w:r>
      <w:r w:rsidR="00486251" w:rsidRPr="00486251">
        <w:rPr>
          <w:spacing w:val="-3"/>
          <w:lang w:val="en-GB"/>
        </w:rPr>
        <w:t>by 83 thousand</w:t>
      </w:r>
      <w:r w:rsidR="00486251" w:rsidRPr="00486251">
        <w:rPr>
          <w:spacing w:val="-3"/>
          <w:lang w:val="en-GB"/>
        </w:rPr>
        <w:t>).</w:t>
      </w:r>
      <w:r w:rsidR="00337568" w:rsidRPr="00486251">
        <w:rPr>
          <w:spacing w:val="-3"/>
          <w:lang w:val="en-GB"/>
        </w:rPr>
        <w:t xml:space="preserve"> General unemployment rate was approaching </w:t>
      </w:r>
      <w:r w:rsidR="002F1DCB" w:rsidRPr="00486251">
        <w:rPr>
          <w:spacing w:val="-3"/>
          <w:lang w:val="en-GB"/>
        </w:rPr>
        <w:t>2%</w:t>
      </w:r>
      <w:proofErr w:type="gramStart"/>
      <w:r w:rsidR="002F1DCB" w:rsidRPr="00486251">
        <w:rPr>
          <w:spacing w:val="-3"/>
          <w:lang w:val="en-GB"/>
        </w:rPr>
        <w:t>,</w:t>
      </w:r>
      <w:proofErr w:type="gramEnd"/>
      <w:r w:rsidR="002F1DCB" w:rsidRPr="00486251">
        <w:rPr>
          <w:spacing w:val="-3"/>
          <w:lang w:val="en-GB"/>
        </w:rPr>
        <w:t xml:space="preserve"> </w:t>
      </w:r>
      <w:r w:rsidR="00E96BA3" w:rsidRPr="00486251">
        <w:rPr>
          <w:spacing w:val="-3"/>
          <w:lang w:val="en-GB"/>
        </w:rPr>
        <w:t>however it dropped only negligibly during the year 2</w:t>
      </w:r>
      <w:r w:rsidR="002F1DCB" w:rsidRPr="00486251">
        <w:rPr>
          <w:spacing w:val="-3"/>
          <w:lang w:val="en-GB"/>
        </w:rPr>
        <w:t>018</w:t>
      </w:r>
      <w:r w:rsidR="00E96BA3" w:rsidRPr="00486251">
        <w:rPr>
          <w:spacing w:val="-3"/>
          <w:lang w:val="en-GB"/>
        </w:rPr>
        <w:t>. Still the CR remained a country with the lowest unemployment in the EU</w:t>
      </w:r>
      <w:r w:rsidR="00B42D5F" w:rsidRPr="00486251">
        <w:rPr>
          <w:spacing w:val="-3"/>
          <w:lang w:val="en-GB"/>
        </w:rPr>
        <w:t>;</w:t>
      </w:r>
      <w:r w:rsidR="002F1DCB" w:rsidRPr="00486251">
        <w:rPr>
          <w:spacing w:val="-3"/>
          <w:lang w:val="en-GB"/>
        </w:rPr>
        <w:t xml:space="preserve"> </w:t>
      </w:r>
      <w:r w:rsidR="00E96BA3" w:rsidRPr="00486251">
        <w:rPr>
          <w:spacing w:val="-3"/>
          <w:lang w:val="en-GB"/>
        </w:rPr>
        <w:t xml:space="preserve">it held primacy also thanks to high rate of job vacancies. </w:t>
      </w:r>
      <w:r w:rsidR="00993AEB" w:rsidRPr="00486251">
        <w:rPr>
          <w:spacing w:val="-3"/>
          <w:lang w:val="en-GB"/>
        </w:rPr>
        <w:t xml:space="preserve">Unmet demand for workers led to further growth of the wage costs in the economy. Growth of the average wage strengthened already fifth year in a row </w:t>
      </w:r>
      <w:r w:rsidR="00AA4282" w:rsidRPr="00486251">
        <w:rPr>
          <w:rFonts w:cs="Arial"/>
          <w:color w:val="0D0D0D" w:themeColor="text1" w:themeTint="F2"/>
          <w:spacing w:val="-3"/>
          <w:lang w:val="en-GB"/>
        </w:rPr>
        <w:t>(</w:t>
      </w:r>
      <w:r w:rsidR="00993AEB" w:rsidRPr="00486251">
        <w:rPr>
          <w:rFonts w:cs="Arial"/>
          <w:color w:val="0D0D0D" w:themeColor="text1" w:themeTint="F2"/>
          <w:spacing w:val="-3"/>
          <w:lang w:val="en-GB"/>
        </w:rPr>
        <w:t xml:space="preserve">up to </w:t>
      </w:r>
      <w:r w:rsidR="00AA4282" w:rsidRPr="00486251">
        <w:rPr>
          <w:spacing w:val="-3"/>
          <w:lang w:val="en-GB"/>
        </w:rPr>
        <w:t>8</w:t>
      </w:r>
      <w:r w:rsidR="00993AEB" w:rsidRPr="00486251">
        <w:rPr>
          <w:spacing w:val="-3"/>
          <w:lang w:val="en-GB"/>
        </w:rPr>
        <w:t>.</w:t>
      </w:r>
      <w:r w:rsidR="00AA4282" w:rsidRPr="00486251">
        <w:rPr>
          <w:spacing w:val="-3"/>
          <w:lang w:val="en-GB"/>
        </w:rPr>
        <w:t>1%)</w:t>
      </w:r>
      <w:r w:rsidR="00AA4282" w:rsidRPr="00486251">
        <w:rPr>
          <w:rFonts w:cs="Arial"/>
          <w:color w:val="0D0D0D" w:themeColor="text1" w:themeTint="F2"/>
          <w:spacing w:val="-3"/>
          <w:lang w:val="en-GB"/>
        </w:rPr>
        <w:t xml:space="preserve">, </w:t>
      </w:r>
      <w:r w:rsidR="00993AEB" w:rsidRPr="00486251">
        <w:rPr>
          <w:rFonts w:cs="Arial"/>
          <w:color w:val="0D0D0D" w:themeColor="text1" w:themeTint="F2"/>
          <w:spacing w:val="-3"/>
          <w:lang w:val="en-GB"/>
        </w:rPr>
        <w:t>the rate slightly weakened in Q</w:t>
      </w:r>
      <w:r w:rsidR="00AA4282" w:rsidRPr="00486251">
        <w:rPr>
          <w:spacing w:val="-3"/>
          <w:lang w:val="en-GB"/>
        </w:rPr>
        <w:t>4</w:t>
      </w:r>
      <w:r w:rsidR="00993AEB" w:rsidRPr="00486251">
        <w:rPr>
          <w:spacing w:val="-3"/>
          <w:lang w:val="en-GB"/>
        </w:rPr>
        <w:t xml:space="preserve"> </w:t>
      </w:r>
      <w:r w:rsidR="00EB4BC5" w:rsidRPr="00486251">
        <w:rPr>
          <w:spacing w:val="-3"/>
          <w:lang w:val="en-GB"/>
        </w:rPr>
        <w:t>2018</w:t>
      </w:r>
      <w:r w:rsidR="00993AEB" w:rsidRPr="00486251">
        <w:rPr>
          <w:spacing w:val="-3"/>
          <w:lang w:val="en-GB"/>
        </w:rPr>
        <w:t xml:space="preserve"> </w:t>
      </w:r>
      <w:r w:rsidR="00AA4282" w:rsidRPr="00486251">
        <w:rPr>
          <w:spacing w:val="-3"/>
          <w:lang w:val="en-GB"/>
        </w:rPr>
        <w:t>(6</w:t>
      </w:r>
      <w:r w:rsidR="00993AEB" w:rsidRPr="00486251">
        <w:rPr>
          <w:spacing w:val="-3"/>
          <w:lang w:val="en-GB"/>
        </w:rPr>
        <w:t>.</w:t>
      </w:r>
      <w:r w:rsidR="00AA4282" w:rsidRPr="00486251">
        <w:rPr>
          <w:spacing w:val="-3"/>
          <w:lang w:val="en-GB"/>
        </w:rPr>
        <w:t xml:space="preserve">9%). </w:t>
      </w:r>
      <w:r w:rsidR="00993AEB" w:rsidRPr="00486251">
        <w:rPr>
          <w:spacing w:val="-3"/>
          <w:lang w:val="en-GB"/>
        </w:rPr>
        <w:t xml:space="preserve">It </w:t>
      </w:r>
      <w:proofErr w:type="gramStart"/>
      <w:r w:rsidR="00993AEB" w:rsidRPr="00486251">
        <w:rPr>
          <w:spacing w:val="-3"/>
          <w:lang w:val="en-GB"/>
        </w:rPr>
        <w:t xml:space="preserve">was </w:t>
      </w:r>
      <w:r w:rsidR="00516F6A" w:rsidRPr="00486251">
        <w:rPr>
          <w:spacing w:val="-3"/>
          <w:lang w:val="en-GB"/>
        </w:rPr>
        <w:t>connected</w:t>
      </w:r>
      <w:proofErr w:type="gramEnd"/>
      <w:r w:rsidR="00516F6A" w:rsidRPr="00486251">
        <w:rPr>
          <w:spacing w:val="-3"/>
          <w:lang w:val="en-GB"/>
        </w:rPr>
        <w:t xml:space="preserve"> mainly to the development in branches with the predominanc</w:t>
      </w:r>
      <w:r w:rsidR="00486251" w:rsidRPr="00486251">
        <w:rPr>
          <w:spacing w:val="-3"/>
          <w:lang w:val="en-GB"/>
        </w:rPr>
        <w:t>e of the public sector, slowing the pace</w:t>
      </w:r>
      <w:r w:rsidR="00516F6A" w:rsidRPr="00486251">
        <w:rPr>
          <w:spacing w:val="-3"/>
          <w:lang w:val="en-GB"/>
        </w:rPr>
        <w:t xml:space="preserve"> occurred </w:t>
      </w:r>
      <w:r w:rsidR="00486251" w:rsidRPr="00486251">
        <w:rPr>
          <w:spacing w:val="-3"/>
          <w:lang w:val="en-GB"/>
        </w:rPr>
        <w:t xml:space="preserve">also </w:t>
      </w:r>
      <w:r w:rsidR="00516F6A" w:rsidRPr="00486251">
        <w:rPr>
          <w:spacing w:val="-3"/>
          <w:lang w:val="en-GB"/>
        </w:rPr>
        <w:t xml:space="preserve">in the sector of non-financial businesses. </w:t>
      </w:r>
    </w:p>
    <w:p w:rsidR="00AE797C" w:rsidRPr="009C0696" w:rsidRDefault="006B39B8" w:rsidP="006B0514">
      <w:pPr>
        <w:pStyle w:val="Normalodrka"/>
        <w:spacing w:after="100"/>
        <w:rPr>
          <w:lang w:val="en-GB"/>
        </w:rPr>
      </w:pPr>
      <w:r w:rsidRPr="009C0696">
        <w:rPr>
          <w:lang w:val="en-GB"/>
        </w:rPr>
        <w:t xml:space="preserve">The two-week repo rate increased five times last year </w:t>
      </w:r>
      <w:r w:rsidR="00AE797C" w:rsidRPr="009C0696">
        <w:rPr>
          <w:lang w:val="en-GB"/>
        </w:rPr>
        <w:t>(</w:t>
      </w:r>
      <w:r w:rsidRPr="009C0696">
        <w:rPr>
          <w:lang w:val="en-GB"/>
        </w:rPr>
        <w:t xml:space="preserve">from </w:t>
      </w:r>
      <w:r w:rsidR="00AE797C" w:rsidRPr="009C0696">
        <w:rPr>
          <w:lang w:val="en-GB"/>
        </w:rPr>
        <w:t>0</w:t>
      </w:r>
      <w:r w:rsidRPr="009C0696">
        <w:rPr>
          <w:lang w:val="en-GB"/>
        </w:rPr>
        <w:t>.</w:t>
      </w:r>
      <w:r w:rsidR="00AE797C" w:rsidRPr="009C0696">
        <w:rPr>
          <w:lang w:val="en-GB"/>
        </w:rPr>
        <w:t>5%</w:t>
      </w:r>
      <w:r w:rsidRPr="009C0696">
        <w:rPr>
          <w:lang w:val="en-GB"/>
        </w:rPr>
        <w:t xml:space="preserve"> to </w:t>
      </w:r>
      <w:r w:rsidR="00AE797C" w:rsidRPr="009C0696">
        <w:rPr>
          <w:lang w:val="en-GB"/>
        </w:rPr>
        <w:t>1</w:t>
      </w:r>
      <w:r w:rsidRPr="009C0696">
        <w:rPr>
          <w:lang w:val="en-GB"/>
        </w:rPr>
        <w:t>.</w:t>
      </w:r>
      <w:r w:rsidR="00AE797C" w:rsidRPr="009C0696">
        <w:rPr>
          <w:lang w:val="en-GB"/>
        </w:rPr>
        <w:t>75%). T</w:t>
      </w:r>
      <w:r w:rsidRPr="009C0696">
        <w:rPr>
          <w:lang w:val="en-GB"/>
        </w:rPr>
        <w:t xml:space="preserve">his impulse apart from the interbank rates led to the movement also </w:t>
      </w:r>
      <w:r w:rsidR="00FB5302" w:rsidRPr="009C0696">
        <w:rPr>
          <w:lang w:val="en-GB"/>
        </w:rPr>
        <w:t xml:space="preserve">of </w:t>
      </w:r>
      <w:r w:rsidRPr="009C0696">
        <w:rPr>
          <w:lang w:val="en-GB"/>
        </w:rPr>
        <w:t xml:space="preserve">some interest rates on the client accounts. Interest rates on both credit to households and businesses were growing. </w:t>
      </w:r>
      <w:r w:rsidR="00AE797C" w:rsidRPr="009C0696">
        <w:rPr>
          <w:lang w:val="en-GB"/>
        </w:rPr>
        <w:t xml:space="preserve"> </w:t>
      </w:r>
    </w:p>
    <w:p w:rsidR="0060513F" w:rsidRPr="00D76025" w:rsidRDefault="00DB38E0" w:rsidP="00413026">
      <w:pPr>
        <w:pStyle w:val="Normalodrka"/>
        <w:spacing w:after="40"/>
        <w:rPr>
          <w:spacing w:val="-3"/>
          <w:lang w:val="en-GB"/>
        </w:rPr>
      </w:pPr>
      <w:r w:rsidRPr="00D76025">
        <w:rPr>
          <w:spacing w:val="-3"/>
          <w:lang w:val="en-GB"/>
        </w:rPr>
        <w:t xml:space="preserve">Even though the state budget (SB) balance achieved </w:t>
      </w:r>
      <w:r w:rsidR="00501171" w:rsidRPr="00D76025">
        <w:rPr>
          <w:spacing w:val="-3"/>
          <w:lang w:val="en-GB"/>
        </w:rPr>
        <w:t xml:space="preserve">in the cash fulfilment only a mild surplus </w:t>
      </w:r>
      <w:r w:rsidR="00715502" w:rsidRPr="00D76025">
        <w:rPr>
          <w:rFonts w:cs="Arial"/>
          <w:spacing w:val="-3"/>
          <w:szCs w:val="20"/>
          <w:lang w:val="en-GB"/>
        </w:rPr>
        <w:t>(</w:t>
      </w:r>
      <w:r w:rsidR="00715502" w:rsidRPr="00D76025">
        <w:rPr>
          <w:spacing w:val="-3"/>
          <w:lang w:val="en-GB"/>
        </w:rPr>
        <w:t>+2</w:t>
      </w:r>
      <w:r w:rsidR="00501171" w:rsidRPr="00D76025">
        <w:rPr>
          <w:spacing w:val="-3"/>
          <w:lang w:val="en-GB"/>
        </w:rPr>
        <w:t>.</w:t>
      </w:r>
      <w:r w:rsidR="00715502" w:rsidRPr="00D76025">
        <w:rPr>
          <w:spacing w:val="-3"/>
          <w:lang w:val="en-GB"/>
        </w:rPr>
        <w:t xml:space="preserve">9 </w:t>
      </w:r>
      <w:r w:rsidR="00501171" w:rsidRPr="00D76025">
        <w:rPr>
          <w:spacing w:val="-3"/>
          <w:lang w:val="en-GB"/>
        </w:rPr>
        <w:t>CZK bn</w:t>
      </w:r>
      <w:r w:rsidR="00715502" w:rsidRPr="00D76025">
        <w:rPr>
          <w:spacing w:val="-3"/>
          <w:lang w:val="en-GB"/>
        </w:rPr>
        <w:t>)</w:t>
      </w:r>
      <w:r w:rsidRPr="00D76025">
        <w:rPr>
          <w:spacing w:val="-3"/>
          <w:lang w:val="en-GB"/>
        </w:rPr>
        <w:t xml:space="preserve"> last year</w:t>
      </w:r>
      <w:r w:rsidR="00715502" w:rsidRPr="00D76025">
        <w:rPr>
          <w:spacing w:val="-3"/>
          <w:lang w:val="en-GB"/>
        </w:rPr>
        <w:t xml:space="preserve">, </w:t>
      </w:r>
      <w:r w:rsidRPr="00D76025">
        <w:rPr>
          <w:spacing w:val="-3"/>
          <w:lang w:val="en-GB"/>
        </w:rPr>
        <w:t xml:space="preserve">it depicted the second best result after year </w:t>
      </w:r>
      <w:r w:rsidR="00715502" w:rsidRPr="00D76025">
        <w:rPr>
          <w:spacing w:val="-3"/>
          <w:lang w:val="en-GB"/>
        </w:rPr>
        <w:t>1995.</w:t>
      </w:r>
      <w:r w:rsidR="00BB453F" w:rsidRPr="00D76025">
        <w:rPr>
          <w:spacing w:val="-3"/>
          <w:lang w:val="en-GB"/>
        </w:rPr>
        <w:t xml:space="preserve"> </w:t>
      </w:r>
      <w:r w:rsidR="00501171" w:rsidRPr="00D76025">
        <w:rPr>
          <w:spacing w:val="-3"/>
          <w:lang w:val="en-GB"/>
        </w:rPr>
        <w:t xml:space="preserve">Balance significantly exceeded the budget anticipations similarly to years </w:t>
      </w:r>
      <w:r w:rsidR="00BB453F" w:rsidRPr="00D76025">
        <w:rPr>
          <w:spacing w:val="-3"/>
          <w:lang w:val="en-GB"/>
        </w:rPr>
        <w:t xml:space="preserve">2016 </w:t>
      </w:r>
      <w:r w:rsidR="00501171" w:rsidRPr="00D76025">
        <w:rPr>
          <w:spacing w:val="-3"/>
          <w:lang w:val="en-GB"/>
        </w:rPr>
        <w:t>and</w:t>
      </w:r>
      <w:r w:rsidR="00BB453F" w:rsidRPr="00D76025">
        <w:rPr>
          <w:spacing w:val="-3"/>
          <w:lang w:val="en-GB"/>
        </w:rPr>
        <w:t> 2017</w:t>
      </w:r>
      <w:r w:rsidR="00501171" w:rsidRPr="00D76025">
        <w:rPr>
          <w:spacing w:val="-3"/>
          <w:lang w:val="en-GB"/>
        </w:rPr>
        <w:t xml:space="preserve">. State wide collection of tax revenues, driven mainly by the higher collection of social </w:t>
      </w:r>
      <w:r w:rsidR="00FB5302" w:rsidRPr="00D76025">
        <w:rPr>
          <w:spacing w:val="-3"/>
          <w:lang w:val="en-GB"/>
        </w:rPr>
        <w:t>s</w:t>
      </w:r>
      <w:r w:rsidR="00501171" w:rsidRPr="00D76025">
        <w:rPr>
          <w:spacing w:val="-3"/>
          <w:lang w:val="en-GB"/>
        </w:rPr>
        <w:t xml:space="preserve">ecurity insurance, grew the fastest since the business cycle peak year </w:t>
      </w:r>
      <w:r w:rsidR="00723435" w:rsidRPr="00D76025">
        <w:rPr>
          <w:spacing w:val="-3"/>
          <w:lang w:val="en-GB"/>
        </w:rPr>
        <w:t xml:space="preserve">2007. </w:t>
      </w:r>
      <w:r w:rsidR="00B405D1" w:rsidRPr="00D76025">
        <w:rPr>
          <w:spacing w:val="-3"/>
          <w:lang w:val="en-GB"/>
        </w:rPr>
        <w:lastRenderedPageBreak/>
        <w:t xml:space="preserve">Total SB expenditures however also sharply increased </w:t>
      </w:r>
      <w:r w:rsidR="00723435" w:rsidRPr="00D76025">
        <w:rPr>
          <w:rFonts w:cs="Arial"/>
          <w:color w:val="0D0D0D" w:themeColor="text1" w:themeTint="F2"/>
          <w:spacing w:val="-3"/>
          <w:lang w:val="en-GB"/>
        </w:rPr>
        <w:t>(+</w:t>
      </w:r>
      <w:r w:rsidR="00723435" w:rsidRPr="00D76025">
        <w:rPr>
          <w:spacing w:val="-3"/>
          <w:lang w:val="en-GB"/>
        </w:rPr>
        <w:t>9</w:t>
      </w:r>
      <w:r w:rsidR="00B405D1" w:rsidRPr="00D76025">
        <w:rPr>
          <w:spacing w:val="-3"/>
          <w:lang w:val="en-GB"/>
        </w:rPr>
        <w:t>.</w:t>
      </w:r>
      <w:r w:rsidR="00723435" w:rsidRPr="00D76025">
        <w:rPr>
          <w:spacing w:val="-3"/>
          <w:lang w:val="en-GB"/>
        </w:rPr>
        <w:t>5%)</w:t>
      </w:r>
      <w:r w:rsidR="00FB5302" w:rsidRPr="00D76025">
        <w:rPr>
          <w:spacing w:val="-3"/>
          <w:lang w:val="en-GB"/>
        </w:rPr>
        <w:t>,</w:t>
      </w:r>
      <w:r w:rsidR="00723435" w:rsidRPr="00D76025">
        <w:rPr>
          <w:spacing w:val="-3"/>
          <w:lang w:val="en-GB"/>
        </w:rPr>
        <w:t xml:space="preserve"> </w:t>
      </w:r>
      <w:r w:rsidR="00B405D1" w:rsidRPr="00D76025">
        <w:rPr>
          <w:spacing w:val="-3"/>
          <w:lang w:val="en-GB"/>
        </w:rPr>
        <w:t xml:space="preserve">supported in contrast to the previous two years also by stronger investments. Drawing of funds from the EU budget accelerated, nevertheless the expenditures on exclusively national projects, which were subdued in the first half of the year, also increased. </w:t>
      </w:r>
      <w:r w:rsidR="000C41FA" w:rsidRPr="00D76025">
        <w:rPr>
          <w:spacing w:val="-3"/>
          <w:lang w:val="en-GB"/>
        </w:rPr>
        <w:t xml:space="preserve">Expenditures on pensions rose the most in the last seven years </w:t>
      </w:r>
      <w:r w:rsidR="00723435" w:rsidRPr="00D76025">
        <w:rPr>
          <w:spacing w:val="-3"/>
          <w:szCs w:val="20"/>
          <w:lang w:val="en-GB"/>
        </w:rPr>
        <w:t>(</w:t>
      </w:r>
      <w:r w:rsidR="00D76025" w:rsidRPr="00D76025">
        <w:rPr>
          <w:spacing w:val="-3"/>
          <w:szCs w:val="20"/>
          <w:lang w:val="en-GB"/>
        </w:rPr>
        <w:t>+</w:t>
      </w:r>
      <w:r w:rsidR="00723435" w:rsidRPr="00D76025">
        <w:rPr>
          <w:spacing w:val="-3"/>
          <w:szCs w:val="20"/>
          <w:lang w:val="en-GB"/>
        </w:rPr>
        <w:t>4</w:t>
      </w:r>
      <w:r w:rsidR="000C41FA" w:rsidRPr="00D76025">
        <w:rPr>
          <w:spacing w:val="-3"/>
          <w:szCs w:val="20"/>
          <w:lang w:val="en-GB"/>
        </w:rPr>
        <w:t>.</w:t>
      </w:r>
      <w:r w:rsidR="00723435" w:rsidRPr="00D76025">
        <w:rPr>
          <w:spacing w:val="-3"/>
          <w:szCs w:val="20"/>
          <w:lang w:val="en-GB"/>
        </w:rPr>
        <w:t xml:space="preserve">7%), </w:t>
      </w:r>
      <w:r w:rsidR="000C41FA" w:rsidRPr="00D76025">
        <w:rPr>
          <w:spacing w:val="-3"/>
          <w:szCs w:val="20"/>
          <w:lang w:val="en-GB"/>
        </w:rPr>
        <w:t xml:space="preserve">still the pension account balance finished in surplus for the first time after year </w:t>
      </w:r>
      <w:r w:rsidR="00723435" w:rsidRPr="00D76025">
        <w:rPr>
          <w:spacing w:val="-3"/>
          <w:szCs w:val="20"/>
          <w:lang w:val="en-GB"/>
        </w:rPr>
        <w:t>2008</w:t>
      </w:r>
      <w:r w:rsidR="000C41FA" w:rsidRPr="00D76025">
        <w:rPr>
          <w:spacing w:val="-3"/>
          <w:szCs w:val="20"/>
          <w:lang w:val="en-GB"/>
        </w:rPr>
        <w:t xml:space="preserve">. </w:t>
      </w:r>
      <w:r w:rsidR="00F46F70" w:rsidRPr="00D76025">
        <w:rPr>
          <w:spacing w:val="-3"/>
          <w:szCs w:val="20"/>
          <w:lang w:val="en-GB"/>
        </w:rPr>
        <w:t xml:space="preserve">Government institutions sector recorded a positive budget balance </w:t>
      </w:r>
      <w:r w:rsidR="00FA7AEC" w:rsidRPr="00D76025">
        <w:rPr>
          <w:spacing w:val="-3"/>
          <w:szCs w:val="20"/>
          <w:lang w:val="en-GB"/>
        </w:rPr>
        <w:t>(0</w:t>
      </w:r>
      <w:r w:rsidR="00D76025" w:rsidRPr="00D76025">
        <w:rPr>
          <w:spacing w:val="-3"/>
          <w:szCs w:val="20"/>
          <w:lang w:val="en-GB"/>
        </w:rPr>
        <w:t>.8</w:t>
      </w:r>
      <w:r w:rsidR="00723435" w:rsidRPr="00D76025">
        <w:rPr>
          <w:spacing w:val="-3"/>
          <w:szCs w:val="20"/>
          <w:lang w:val="en-GB"/>
        </w:rPr>
        <w:t>9%</w:t>
      </w:r>
      <w:r w:rsidR="00F46F70" w:rsidRPr="00D76025">
        <w:rPr>
          <w:spacing w:val="-3"/>
          <w:szCs w:val="20"/>
          <w:lang w:val="en-GB"/>
        </w:rPr>
        <w:t xml:space="preserve"> of GDP</w:t>
      </w:r>
      <w:r w:rsidR="00723435" w:rsidRPr="00D76025">
        <w:rPr>
          <w:spacing w:val="-3"/>
          <w:szCs w:val="20"/>
          <w:lang w:val="en-GB"/>
        </w:rPr>
        <w:t xml:space="preserve">), </w:t>
      </w:r>
      <w:r w:rsidR="00F46F70" w:rsidRPr="00D76025">
        <w:rPr>
          <w:spacing w:val="-3"/>
          <w:szCs w:val="20"/>
          <w:lang w:val="en-GB"/>
        </w:rPr>
        <w:t xml:space="preserve">nevertheless nearly one half lower compared to year </w:t>
      </w:r>
      <w:r w:rsidR="00EB4BC5" w:rsidRPr="00D76025">
        <w:rPr>
          <w:spacing w:val="-3"/>
          <w:szCs w:val="20"/>
          <w:lang w:val="en-GB"/>
        </w:rPr>
        <w:t>2017</w:t>
      </w:r>
      <w:r w:rsidR="00723435" w:rsidRPr="00D76025">
        <w:rPr>
          <w:spacing w:val="-3"/>
          <w:szCs w:val="20"/>
          <w:lang w:val="en-GB"/>
        </w:rPr>
        <w:t>.</w:t>
      </w:r>
    </w:p>
    <w:p w:rsidR="00753122" w:rsidRPr="009C0696" w:rsidRDefault="00753122" w:rsidP="00753122">
      <w:pPr>
        <w:pStyle w:val="Normalodrka"/>
        <w:numPr>
          <w:ilvl w:val="0"/>
          <w:numId w:val="0"/>
        </w:numPr>
        <w:spacing w:after="100"/>
        <w:ind w:left="357"/>
        <w:rPr>
          <w:spacing w:val="-2"/>
          <w:lang w:val="en-GB"/>
        </w:rPr>
      </w:pPr>
    </w:p>
    <w:p w:rsidR="00C62828" w:rsidRPr="009C0696" w:rsidRDefault="006115B5" w:rsidP="00C62828">
      <w:pPr>
        <w:pStyle w:val="Nadpis11"/>
        <w:rPr>
          <w:lang w:val="en-GB"/>
        </w:rPr>
      </w:pPr>
      <w:bookmarkStart w:id="4" w:name="_Toc5708390"/>
      <w:r w:rsidRPr="009C0696">
        <w:rPr>
          <w:lang w:val="en-GB"/>
        </w:rPr>
        <w:t>2. Overall Economic Performance</w:t>
      </w:r>
      <w:bookmarkEnd w:id="4"/>
    </w:p>
    <w:tbl>
      <w:tblPr>
        <w:tblW w:w="9639" w:type="dxa"/>
        <w:tblInd w:w="-15" w:type="dxa"/>
        <w:tblCellMar>
          <w:left w:w="0" w:type="dxa"/>
          <w:right w:w="0" w:type="dxa"/>
        </w:tblCellMar>
        <w:tblLook w:val="00A0" w:firstRow="1" w:lastRow="0" w:firstColumn="1" w:lastColumn="0" w:noHBand="0" w:noVBand="0"/>
      </w:tblPr>
      <w:tblGrid>
        <w:gridCol w:w="1802"/>
        <w:gridCol w:w="227"/>
        <w:gridCol w:w="7610"/>
      </w:tblGrid>
      <w:tr w:rsidR="00A90F2C" w:rsidRPr="009C0696" w:rsidTr="00A74D81">
        <w:trPr>
          <w:trHeight w:val="145"/>
        </w:trPr>
        <w:tc>
          <w:tcPr>
            <w:tcW w:w="1802" w:type="dxa"/>
            <w:shd w:val="clear" w:color="auto" w:fill="auto"/>
            <w:tcMar>
              <w:left w:w="0" w:type="dxa"/>
            </w:tcMar>
          </w:tcPr>
          <w:p w:rsidR="00A90F2C" w:rsidRPr="009C0696" w:rsidRDefault="0050648F" w:rsidP="0050648F">
            <w:pPr>
              <w:pStyle w:val="Marginlie"/>
              <w:rPr>
                <w:lang w:val="en-GB"/>
              </w:rPr>
            </w:pPr>
            <w:r w:rsidRPr="009C0696">
              <w:rPr>
                <w:lang w:val="en-GB"/>
              </w:rPr>
              <w:t>Growth of Gross domestic product contracted last year…</w:t>
            </w:r>
            <w:r w:rsidR="00CE7483" w:rsidRPr="009C0696">
              <w:rPr>
                <w:lang w:val="en-GB"/>
              </w:rPr>
              <w:t xml:space="preserve"> </w:t>
            </w:r>
          </w:p>
        </w:tc>
        <w:tc>
          <w:tcPr>
            <w:tcW w:w="227" w:type="dxa"/>
            <w:shd w:val="clear" w:color="auto" w:fill="auto"/>
            <w:tcMar>
              <w:left w:w="0" w:type="dxa"/>
            </w:tcMar>
          </w:tcPr>
          <w:p w:rsidR="00A90F2C" w:rsidRPr="009C0696" w:rsidRDefault="00A90F2C" w:rsidP="0033709C">
            <w:pPr>
              <w:pStyle w:val="Textpoznpodarou"/>
              <w:jc w:val="both"/>
              <w:rPr>
                <w:spacing w:val="-4"/>
                <w:lang w:val="en-GB"/>
              </w:rPr>
            </w:pPr>
          </w:p>
        </w:tc>
        <w:tc>
          <w:tcPr>
            <w:tcW w:w="7610" w:type="dxa"/>
            <w:shd w:val="clear" w:color="auto" w:fill="auto"/>
            <w:tcMar>
              <w:left w:w="0" w:type="dxa"/>
            </w:tcMar>
          </w:tcPr>
          <w:p w:rsidR="00A90F2C" w:rsidRPr="009C0696" w:rsidRDefault="00D01462" w:rsidP="008532BF">
            <w:pPr>
              <w:spacing w:after="220"/>
              <w:rPr>
                <w:spacing w:val="-2"/>
                <w:lang w:val="en-GB"/>
              </w:rPr>
            </w:pPr>
            <w:r w:rsidRPr="009C0696">
              <w:rPr>
                <w:spacing w:val="-2"/>
                <w:lang w:val="en-GB"/>
              </w:rPr>
              <w:t>Gross domestic product (GDP) grew by 2.9%</w:t>
            </w:r>
            <w:r w:rsidR="00A90F2C" w:rsidRPr="009C0696">
              <w:rPr>
                <w:rStyle w:val="Znakapoznpodarou"/>
                <w:rFonts w:cs="Arial"/>
                <w:spacing w:val="-2"/>
                <w:lang w:val="en-GB"/>
              </w:rPr>
              <w:footnoteReference w:id="3"/>
            </w:r>
            <w:r w:rsidRPr="009C0696">
              <w:rPr>
                <w:spacing w:val="-2"/>
                <w:lang w:val="en-GB"/>
              </w:rPr>
              <w:t xml:space="preserve"> last year</w:t>
            </w:r>
            <w:r w:rsidR="00A90F2C" w:rsidRPr="009C0696">
              <w:rPr>
                <w:spacing w:val="-2"/>
                <w:lang w:val="en-GB"/>
              </w:rPr>
              <w:t xml:space="preserve">. </w:t>
            </w:r>
            <w:r w:rsidRPr="009C0696">
              <w:rPr>
                <w:spacing w:val="-2"/>
                <w:lang w:val="en-GB"/>
              </w:rPr>
              <w:t xml:space="preserve">That is by 1.6 p.p. less than in year 2017. It represented the third largest addition in the last ten years. </w:t>
            </w:r>
            <w:r w:rsidR="001853B1" w:rsidRPr="009C0696">
              <w:rPr>
                <w:spacing w:val="-2"/>
                <w:lang w:val="en-GB"/>
              </w:rPr>
              <w:t>Year-on-year dynamics during the year contracted at first (</w:t>
            </w:r>
            <w:r w:rsidR="00A90F2C" w:rsidRPr="009C0696">
              <w:rPr>
                <w:spacing w:val="-2"/>
                <w:lang w:val="en-GB"/>
              </w:rPr>
              <w:t>4</w:t>
            </w:r>
            <w:r w:rsidR="001853B1" w:rsidRPr="009C0696">
              <w:rPr>
                <w:spacing w:val="-2"/>
                <w:lang w:val="en-GB"/>
              </w:rPr>
              <w:t>.</w:t>
            </w:r>
            <w:r w:rsidR="00A90F2C" w:rsidRPr="009C0696">
              <w:rPr>
                <w:spacing w:val="-2"/>
                <w:lang w:val="en-GB"/>
              </w:rPr>
              <w:t>2%, 2</w:t>
            </w:r>
            <w:r w:rsidR="001853B1" w:rsidRPr="009C0696">
              <w:rPr>
                <w:spacing w:val="-2"/>
                <w:lang w:val="en-GB"/>
              </w:rPr>
              <w:t>.</w:t>
            </w:r>
            <w:r w:rsidR="00A90F2C" w:rsidRPr="009C0696">
              <w:rPr>
                <w:spacing w:val="-2"/>
                <w:lang w:val="en-GB"/>
              </w:rPr>
              <w:t>3%, 2</w:t>
            </w:r>
            <w:r w:rsidR="001853B1" w:rsidRPr="009C0696">
              <w:rPr>
                <w:spacing w:val="-2"/>
                <w:lang w:val="en-GB"/>
              </w:rPr>
              <w:t>.</w:t>
            </w:r>
            <w:r w:rsidR="00A90F2C" w:rsidRPr="009C0696">
              <w:rPr>
                <w:spacing w:val="-2"/>
                <w:lang w:val="en-GB"/>
              </w:rPr>
              <w:t xml:space="preserve">4% </w:t>
            </w:r>
            <w:r w:rsidR="001853B1" w:rsidRPr="009C0696">
              <w:rPr>
                <w:spacing w:val="-2"/>
                <w:lang w:val="en-GB"/>
              </w:rPr>
              <w:t>in Q1</w:t>
            </w:r>
            <w:r w:rsidR="00A90F2C" w:rsidRPr="009C0696">
              <w:rPr>
                <w:spacing w:val="-2"/>
                <w:lang w:val="en-GB"/>
              </w:rPr>
              <w:t>, 2</w:t>
            </w:r>
            <w:r w:rsidR="001853B1" w:rsidRPr="009C0696">
              <w:rPr>
                <w:spacing w:val="-2"/>
                <w:lang w:val="en-GB"/>
              </w:rPr>
              <w:t xml:space="preserve"> </w:t>
            </w:r>
            <w:r w:rsidR="00A90F2C" w:rsidRPr="009C0696">
              <w:rPr>
                <w:spacing w:val="-2"/>
                <w:lang w:val="en-GB"/>
              </w:rPr>
              <w:t>a</w:t>
            </w:r>
            <w:r w:rsidR="001853B1" w:rsidRPr="009C0696">
              <w:rPr>
                <w:spacing w:val="-2"/>
                <w:lang w:val="en-GB"/>
              </w:rPr>
              <w:t>nd 3</w:t>
            </w:r>
            <w:r w:rsidR="00A90F2C" w:rsidRPr="009C0696">
              <w:rPr>
                <w:spacing w:val="-2"/>
                <w:lang w:val="en-GB"/>
              </w:rPr>
              <w:t xml:space="preserve">), </w:t>
            </w:r>
            <w:r w:rsidR="00753122" w:rsidRPr="009C0696">
              <w:rPr>
                <w:spacing w:val="-2"/>
                <w:lang w:val="en-GB"/>
              </w:rPr>
              <w:t>the growth slightly increased again in Q</w:t>
            </w:r>
            <w:r w:rsidR="00A90F2C" w:rsidRPr="009C0696">
              <w:rPr>
                <w:spacing w:val="-2"/>
                <w:lang w:val="en-GB"/>
              </w:rPr>
              <w:t>4</w:t>
            </w:r>
            <w:r w:rsidR="00753122" w:rsidRPr="009C0696">
              <w:rPr>
                <w:spacing w:val="-2"/>
                <w:lang w:val="en-GB"/>
              </w:rPr>
              <w:t xml:space="preserve"> </w:t>
            </w:r>
            <w:r w:rsidR="00A90F2C" w:rsidRPr="009C0696">
              <w:rPr>
                <w:spacing w:val="-2"/>
                <w:lang w:val="en-GB"/>
              </w:rPr>
              <w:t>(2</w:t>
            </w:r>
            <w:r w:rsidR="00753122" w:rsidRPr="009C0696">
              <w:rPr>
                <w:spacing w:val="-2"/>
                <w:lang w:val="en-GB"/>
              </w:rPr>
              <w:t>.</w:t>
            </w:r>
            <w:r w:rsidR="00A90F2C" w:rsidRPr="009C0696">
              <w:rPr>
                <w:spacing w:val="-2"/>
                <w:lang w:val="en-GB"/>
              </w:rPr>
              <w:t xml:space="preserve">6%). </w:t>
            </w:r>
            <w:r w:rsidR="00822CDC" w:rsidRPr="009C0696">
              <w:rPr>
                <w:spacing w:val="-2"/>
                <w:lang w:val="en-GB"/>
              </w:rPr>
              <w:t>All its components supported the GDP growth relatively equally in 2018.</w:t>
            </w:r>
            <w:r w:rsidR="0025329C" w:rsidRPr="009C0696">
              <w:rPr>
                <w:spacing w:val="-2"/>
                <w:lang w:val="en-GB"/>
              </w:rPr>
              <w:t xml:space="preserve"> The domestic demand represented by the final consumption expenditure </w:t>
            </w:r>
            <w:r w:rsidR="00A90F2C" w:rsidRPr="009C0696">
              <w:rPr>
                <w:spacing w:val="-2"/>
                <w:lang w:val="en-GB"/>
              </w:rPr>
              <w:t>(1</w:t>
            </w:r>
            <w:r w:rsidR="0025329C" w:rsidRPr="009C0696">
              <w:rPr>
                <w:spacing w:val="-2"/>
                <w:lang w:val="en-GB"/>
              </w:rPr>
              <w:t>.</w:t>
            </w:r>
            <w:r w:rsidR="00A90F2C" w:rsidRPr="009C0696">
              <w:rPr>
                <w:spacing w:val="-2"/>
                <w:lang w:val="en-GB"/>
              </w:rPr>
              <w:t>7 p.</w:t>
            </w:r>
            <w:r w:rsidR="0025329C" w:rsidRPr="009C0696">
              <w:rPr>
                <w:spacing w:val="-2"/>
                <w:lang w:val="en-GB"/>
              </w:rPr>
              <w:t>p</w:t>
            </w:r>
            <w:r w:rsidR="00A90F2C" w:rsidRPr="009C0696">
              <w:rPr>
                <w:spacing w:val="-2"/>
                <w:lang w:val="en-GB"/>
              </w:rPr>
              <w:t>.</w:t>
            </w:r>
            <w:r w:rsidR="008532BF" w:rsidRPr="009C0696">
              <w:rPr>
                <w:spacing w:val="-2"/>
                <w:lang w:val="en-GB"/>
              </w:rPr>
              <w:t>)</w:t>
            </w:r>
            <w:r w:rsidR="00A90F2C" w:rsidRPr="009C0696">
              <w:rPr>
                <w:rStyle w:val="Znakapoznpodarou"/>
                <w:lang w:val="en-GB"/>
              </w:rPr>
              <w:footnoteReference w:id="4"/>
            </w:r>
            <w:r w:rsidR="00A90F2C" w:rsidRPr="009C0696">
              <w:rPr>
                <w:spacing w:val="-2"/>
                <w:lang w:val="en-GB"/>
              </w:rPr>
              <w:t xml:space="preserve"> a</w:t>
            </w:r>
            <w:r w:rsidR="0025329C" w:rsidRPr="009C0696">
              <w:rPr>
                <w:spacing w:val="-2"/>
                <w:lang w:val="en-GB"/>
              </w:rPr>
              <w:t xml:space="preserve">nd gross capital formation </w:t>
            </w:r>
            <w:r w:rsidR="00A90F2C" w:rsidRPr="009C0696">
              <w:rPr>
                <w:spacing w:val="-2"/>
                <w:lang w:val="en-GB"/>
              </w:rPr>
              <w:t>(0</w:t>
            </w:r>
            <w:r w:rsidR="0025329C" w:rsidRPr="009C0696">
              <w:rPr>
                <w:spacing w:val="-2"/>
                <w:lang w:val="en-GB"/>
              </w:rPr>
              <w:t>.</w:t>
            </w:r>
            <w:r w:rsidR="00A90F2C" w:rsidRPr="009C0696">
              <w:rPr>
                <w:spacing w:val="-2"/>
                <w:lang w:val="en-GB"/>
              </w:rPr>
              <w:t>8 p.</w:t>
            </w:r>
            <w:r w:rsidR="0025329C" w:rsidRPr="009C0696">
              <w:rPr>
                <w:spacing w:val="-2"/>
                <w:lang w:val="en-GB"/>
              </w:rPr>
              <w:t>p</w:t>
            </w:r>
            <w:r w:rsidR="00A90F2C" w:rsidRPr="009C0696">
              <w:rPr>
                <w:spacing w:val="-2"/>
                <w:lang w:val="en-GB"/>
              </w:rPr>
              <w:t>.)</w:t>
            </w:r>
            <w:r w:rsidR="0025329C" w:rsidRPr="009C0696">
              <w:rPr>
                <w:spacing w:val="-2"/>
                <w:lang w:val="en-GB"/>
              </w:rPr>
              <w:t xml:space="preserve"> dominated</w:t>
            </w:r>
            <w:r w:rsidR="00A90F2C" w:rsidRPr="009C0696">
              <w:rPr>
                <w:spacing w:val="-2"/>
                <w:lang w:val="en-GB"/>
              </w:rPr>
              <w:t xml:space="preserve">. </w:t>
            </w:r>
            <w:r w:rsidR="00065190" w:rsidRPr="009C0696">
              <w:rPr>
                <w:spacing w:val="-2"/>
                <w:lang w:val="en-GB"/>
              </w:rPr>
              <w:t xml:space="preserve">The effect of the foreign demand strengthened especially at the end of the year. The foreign trade balance contributed 0.4 p.p. to the GDP growth. </w:t>
            </w:r>
            <w:r w:rsidR="00000820" w:rsidRPr="009C0696">
              <w:rPr>
                <w:spacing w:val="-2"/>
                <w:lang w:val="en-GB"/>
              </w:rPr>
              <w:t>The quarter-on-quarter dynamics of GDP attained rather solid levels during the year and accelerated in its second half</w:t>
            </w:r>
            <w:r w:rsidR="00D41ED8" w:rsidRPr="009C0696">
              <w:rPr>
                <w:spacing w:val="-2"/>
                <w:lang w:val="en-GB"/>
              </w:rPr>
              <w:t xml:space="preserve"> </w:t>
            </w:r>
            <w:r w:rsidR="00A90F2C" w:rsidRPr="009C0696">
              <w:rPr>
                <w:spacing w:val="-2"/>
                <w:lang w:val="en-GB"/>
              </w:rPr>
              <w:t>(0</w:t>
            </w:r>
            <w:r w:rsidR="00D41ED8" w:rsidRPr="009C0696">
              <w:rPr>
                <w:spacing w:val="-2"/>
                <w:lang w:val="en-GB"/>
              </w:rPr>
              <w:t>.</w:t>
            </w:r>
            <w:r w:rsidR="00A90F2C" w:rsidRPr="009C0696">
              <w:rPr>
                <w:spacing w:val="-2"/>
                <w:lang w:val="en-GB"/>
              </w:rPr>
              <w:t>6%, 0</w:t>
            </w:r>
            <w:r w:rsidR="00D41ED8" w:rsidRPr="009C0696">
              <w:rPr>
                <w:spacing w:val="-2"/>
                <w:lang w:val="en-GB"/>
              </w:rPr>
              <w:t>.</w:t>
            </w:r>
            <w:r w:rsidR="00A90F2C" w:rsidRPr="009C0696">
              <w:rPr>
                <w:spacing w:val="-2"/>
                <w:lang w:val="en-GB"/>
              </w:rPr>
              <w:t>5%, 0</w:t>
            </w:r>
            <w:r w:rsidR="00D41ED8" w:rsidRPr="009C0696">
              <w:rPr>
                <w:spacing w:val="-2"/>
                <w:lang w:val="en-GB"/>
              </w:rPr>
              <w:t>.</w:t>
            </w:r>
            <w:r w:rsidR="00A90F2C" w:rsidRPr="009C0696">
              <w:rPr>
                <w:spacing w:val="-2"/>
                <w:lang w:val="en-GB"/>
              </w:rPr>
              <w:t>7% a</w:t>
            </w:r>
            <w:r w:rsidR="00D41ED8" w:rsidRPr="009C0696">
              <w:rPr>
                <w:spacing w:val="-2"/>
                <w:lang w:val="en-GB"/>
              </w:rPr>
              <w:t>nd</w:t>
            </w:r>
            <w:r w:rsidR="00A90F2C" w:rsidRPr="009C0696">
              <w:rPr>
                <w:spacing w:val="-2"/>
                <w:lang w:val="en-GB"/>
              </w:rPr>
              <w:t xml:space="preserve"> 0</w:t>
            </w:r>
            <w:r w:rsidR="00D41ED8" w:rsidRPr="009C0696">
              <w:rPr>
                <w:spacing w:val="-2"/>
                <w:lang w:val="en-GB"/>
              </w:rPr>
              <w:t>.</w:t>
            </w:r>
            <w:r w:rsidR="00A90F2C" w:rsidRPr="009C0696">
              <w:rPr>
                <w:spacing w:val="-2"/>
                <w:lang w:val="en-GB"/>
              </w:rPr>
              <w:t xml:space="preserve">8% </w:t>
            </w:r>
            <w:r w:rsidR="00D41ED8" w:rsidRPr="009C0696">
              <w:rPr>
                <w:spacing w:val="-2"/>
                <w:lang w:val="en-GB"/>
              </w:rPr>
              <w:t>in individual quarters</w:t>
            </w:r>
            <w:r w:rsidR="00A90F2C" w:rsidRPr="009C0696">
              <w:rPr>
                <w:spacing w:val="-2"/>
                <w:lang w:val="en-GB"/>
              </w:rPr>
              <w:t xml:space="preserve">). </w:t>
            </w:r>
            <w:r w:rsidR="00D41ED8" w:rsidRPr="009C0696">
              <w:rPr>
                <w:spacing w:val="-2"/>
                <w:lang w:val="en-GB"/>
              </w:rPr>
              <w:t xml:space="preserve">Gross value added (GVA) grew by 3.0% last year. </w:t>
            </w:r>
            <w:r w:rsidR="00CE7483" w:rsidRPr="009C0696">
              <w:rPr>
                <w:spacing w:val="-2"/>
                <w:lang w:val="en-GB"/>
              </w:rPr>
              <w:t xml:space="preserve">Especially the services sector, benefiting from the strong domestic demand, supported the growth. Weight dominant manufacturing further prospered, however its contribution to the GVA growth was lower compared to the preceding year. The year-on-year addition </w:t>
            </w:r>
            <w:r w:rsidR="00841C18" w:rsidRPr="009C0696">
              <w:rPr>
                <w:spacing w:val="-2"/>
                <w:lang w:val="en-GB"/>
              </w:rPr>
              <w:t xml:space="preserve">of GVA </w:t>
            </w:r>
            <w:r w:rsidR="00CE7483" w:rsidRPr="009C0696">
              <w:rPr>
                <w:spacing w:val="-2"/>
                <w:lang w:val="en-GB"/>
              </w:rPr>
              <w:t>was</w:t>
            </w:r>
            <w:r w:rsidR="00841C18" w:rsidRPr="009C0696">
              <w:rPr>
                <w:spacing w:val="-2"/>
                <w:lang w:val="en-GB"/>
              </w:rPr>
              <w:t xml:space="preserve"> 2.9% in Q</w:t>
            </w:r>
            <w:r w:rsidR="00413026">
              <w:rPr>
                <w:spacing w:val="-2"/>
                <w:lang w:val="en-GB"/>
              </w:rPr>
              <w:t>4.</w:t>
            </w:r>
          </w:p>
        </w:tc>
      </w:tr>
      <w:tr w:rsidR="00A90F2C" w:rsidRPr="009C0696" w:rsidTr="00A74D81">
        <w:trPr>
          <w:trHeight w:val="170"/>
        </w:trPr>
        <w:tc>
          <w:tcPr>
            <w:tcW w:w="1802" w:type="dxa"/>
            <w:vMerge w:val="restart"/>
            <w:shd w:val="clear" w:color="auto" w:fill="auto"/>
            <w:tcMar>
              <w:left w:w="0" w:type="dxa"/>
            </w:tcMar>
          </w:tcPr>
          <w:p w:rsidR="00A90F2C" w:rsidRPr="009C0696" w:rsidRDefault="00A90F2C" w:rsidP="0033709C">
            <w:pPr>
              <w:pStyle w:val="Marginlie"/>
              <w:rPr>
                <w:lang w:val="en-GB"/>
              </w:rPr>
            </w:pPr>
          </w:p>
        </w:tc>
        <w:tc>
          <w:tcPr>
            <w:tcW w:w="227" w:type="dxa"/>
            <w:vMerge w:val="restart"/>
            <w:shd w:val="clear" w:color="auto" w:fill="auto"/>
            <w:tcMar>
              <w:left w:w="0" w:type="dxa"/>
            </w:tcMar>
          </w:tcPr>
          <w:p w:rsidR="00A90F2C" w:rsidRPr="009C0696" w:rsidRDefault="00A90F2C" w:rsidP="0033709C">
            <w:pPr>
              <w:pStyle w:val="Textpoznpodarou"/>
              <w:jc w:val="both"/>
              <w:rPr>
                <w:spacing w:val="-4"/>
                <w:lang w:val="en-GB"/>
              </w:rPr>
            </w:pPr>
          </w:p>
        </w:tc>
        <w:tc>
          <w:tcPr>
            <w:tcW w:w="7610" w:type="dxa"/>
            <w:shd w:val="clear" w:color="auto" w:fill="auto"/>
            <w:tcMar>
              <w:left w:w="0" w:type="dxa"/>
            </w:tcMar>
          </w:tcPr>
          <w:p w:rsidR="00A90F2C" w:rsidRPr="009F7FC7" w:rsidRDefault="001A7D4E" w:rsidP="001A7D4E">
            <w:pPr>
              <w:spacing w:after="0"/>
              <w:rPr>
                <w:b/>
                <w:szCs w:val="20"/>
                <w:lang w:val="en-GB"/>
              </w:rPr>
            </w:pPr>
            <w:r w:rsidRPr="009F7FC7">
              <w:rPr>
                <w:rFonts w:cs="Arial"/>
                <w:b/>
                <w:bCs/>
                <w:color w:val="000000"/>
                <w:szCs w:val="20"/>
                <w:lang w:val="en-GB"/>
              </w:rPr>
              <w:t xml:space="preserve">Chart </w:t>
            </w:r>
            <w:proofErr w:type="gramStart"/>
            <w:r w:rsidR="00A90F2C" w:rsidRPr="009F7FC7">
              <w:rPr>
                <w:rFonts w:cs="Arial"/>
                <w:b/>
                <w:bCs/>
                <w:color w:val="000000"/>
                <w:szCs w:val="20"/>
                <w:lang w:val="en-GB"/>
              </w:rPr>
              <w:t xml:space="preserve">1  </w:t>
            </w:r>
            <w:r w:rsidRPr="009F7FC7">
              <w:rPr>
                <w:rFonts w:cs="Arial"/>
                <w:b/>
                <w:szCs w:val="20"/>
                <w:lang w:val="en-GB" w:eastAsia="en-US"/>
              </w:rPr>
              <w:t>GDP</w:t>
            </w:r>
            <w:proofErr w:type="gramEnd"/>
            <w:r w:rsidR="00A90F2C" w:rsidRPr="009F7FC7">
              <w:rPr>
                <w:rFonts w:cs="Arial"/>
                <w:b/>
                <w:szCs w:val="20"/>
                <w:lang w:val="en-GB" w:eastAsia="en-US"/>
              </w:rPr>
              <w:t xml:space="preserve"> </w:t>
            </w:r>
            <w:r w:rsidR="00A90F2C" w:rsidRPr="009F7FC7">
              <w:rPr>
                <w:rFonts w:cs="Arial"/>
                <w:szCs w:val="20"/>
                <w:lang w:val="en-GB" w:eastAsia="en-US"/>
              </w:rPr>
              <w:t>(</w:t>
            </w:r>
            <w:r w:rsidRPr="009F7FC7">
              <w:rPr>
                <w:rFonts w:cs="Arial"/>
                <w:szCs w:val="20"/>
                <w:lang w:val="en-GB" w:eastAsia="en-US"/>
              </w:rPr>
              <w:t>volume indices</w:t>
            </w:r>
            <w:r w:rsidR="00A90F2C" w:rsidRPr="009F7FC7">
              <w:rPr>
                <w:rFonts w:cs="Arial"/>
                <w:szCs w:val="20"/>
                <w:lang w:val="en-GB" w:eastAsia="en-US"/>
              </w:rPr>
              <w:t xml:space="preserve">, </w:t>
            </w:r>
            <w:r w:rsidRPr="009F7FC7">
              <w:rPr>
                <w:rFonts w:cs="Arial"/>
                <w:szCs w:val="20"/>
                <w:lang w:val="en-GB" w:eastAsia="en-US"/>
              </w:rPr>
              <w:t>adjusted for seasonal and calendar effects</w:t>
            </w:r>
            <w:r w:rsidR="00A90F2C" w:rsidRPr="009F7FC7">
              <w:rPr>
                <w:rFonts w:cs="Arial"/>
                <w:szCs w:val="20"/>
                <w:lang w:val="en-GB" w:eastAsia="en-US"/>
              </w:rPr>
              <w:t xml:space="preserve">, </w:t>
            </w:r>
            <w:r w:rsidRPr="009F7FC7">
              <w:rPr>
                <w:rFonts w:cs="Arial"/>
                <w:szCs w:val="20"/>
                <w:lang w:val="en-GB" w:eastAsia="en-US"/>
              </w:rPr>
              <w:t>in</w:t>
            </w:r>
            <w:r w:rsidR="00A90F2C" w:rsidRPr="009F7FC7">
              <w:rPr>
                <w:rFonts w:cs="Arial"/>
                <w:szCs w:val="20"/>
                <w:lang w:val="en-GB" w:eastAsia="en-US"/>
              </w:rPr>
              <w:t> %)</w:t>
            </w:r>
          </w:p>
        </w:tc>
      </w:tr>
      <w:tr w:rsidR="00A90F2C" w:rsidRPr="009C0696" w:rsidTr="00A74D81">
        <w:tblPrEx>
          <w:tblCellMar>
            <w:left w:w="70" w:type="dxa"/>
            <w:right w:w="70" w:type="dxa"/>
          </w:tblCellMar>
        </w:tblPrEx>
        <w:trPr>
          <w:trHeight w:val="170"/>
        </w:trPr>
        <w:tc>
          <w:tcPr>
            <w:tcW w:w="1802" w:type="dxa"/>
            <w:vMerge/>
            <w:shd w:val="clear" w:color="auto" w:fill="auto"/>
          </w:tcPr>
          <w:p w:rsidR="00A90F2C" w:rsidRPr="009C0696" w:rsidRDefault="00A90F2C" w:rsidP="00965797">
            <w:pPr>
              <w:pStyle w:val="Marginlie"/>
              <w:rPr>
                <w:lang w:val="en-GB"/>
              </w:rPr>
            </w:pPr>
          </w:p>
        </w:tc>
        <w:tc>
          <w:tcPr>
            <w:tcW w:w="227" w:type="dxa"/>
            <w:vMerge/>
            <w:shd w:val="clear" w:color="auto" w:fill="auto"/>
          </w:tcPr>
          <w:p w:rsidR="00A90F2C" w:rsidRPr="009C0696" w:rsidRDefault="00A90F2C" w:rsidP="00965797">
            <w:pPr>
              <w:pStyle w:val="Textpoznpodarou"/>
              <w:jc w:val="both"/>
              <w:rPr>
                <w:spacing w:val="-4"/>
                <w:lang w:val="en-GB"/>
              </w:rPr>
            </w:pPr>
          </w:p>
        </w:tc>
        <w:tc>
          <w:tcPr>
            <w:tcW w:w="7610" w:type="dxa"/>
            <w:shd w:val="clear" w:color="auto" w:fill="auto"/>
          </w:tcPr>
          <w:p w:rsidR="00A90F2C" w:rsidRPr="009C0696" w:rsidRDefault="00C44A31" w:rsidP="00965797">
            <w:pPr>
              <w:spacing w:after="0"/>
              <w:rPr>
                <w:lang w:val="en-GB"/>
              </w:rPr>
            </w:pPr>
            <w:r>
              <w:rPr>
                <w:noProof/>
              </w:rPr>
              <w:drawing>
                <wp:inline distT="0" distB="0" distL="0" distR="0" wp14:anchorId="1D29AB40" wp14:editId="17D8E8D5">
                  <wp:extent cx="4737600" cy="3553200"/>
                  <wp:effectExtent l="0" t="0" r="6350" b="0"/>
                  <wp:docPr id="39" name="Graf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A90F2C" w:rsidRPr="009C0696" w:rsidTr="00A74D81">
        <w:trPr>
          <w:trHeight w:val="170"/>
        </w:trPr>
        <w:tc>
          <w:tcPr>
            <w:tcW w:w="1802" w:type="dxa"/>
            <w:vMerge/>
            <w:shd w:val="clear" w:color="auto" w:fill="auto"/>
            <w:tcMar>
              <w:left w:w="0" w:type="dxa"/>
            </w:tcMar>
          </w:tcPr>
          <w:p w:rsidR="00A90F2C" w:rsidRPr="009C0696" w:rsidRDefault="00A90F2C" w:rsidP="00965797">
            <w:pPr>
              <w:pStyle w:val="Marginlie"/>
              <w:rPr>
                <w:lang w:val="en-GB"/>
              </w:rPr>
            </w:pPr>
          </w:p>
        </w:tc>
        <w:tc>
          <w:tcPr>
            <w:tcW w:w="227" w:type="dxa"/>
            <w:vMerge/>
            <w:shd w:val="clear" w:color="auto" w:fill="auto"/>
            <w:tcMar>
              <w:left w:w="0" w:type="dxa"/>
            </w:tcMar>
          </w:tcPr>
          <w:p w:rsidR="00A90F2C" w:rsidRPr="009C0696" w:rsidRDefault="00A90F2C" w:rsidP="00965797">
            <w:pPr>
              <w:pStyle w:val="Textpoznpodarou"/>
              <w:jc w:val="both"/>
              <w:rPr>
                <w:spacing w:val="-4"/>
                <w:lang w:val="en-GB"/>
              </w:rPr>
            </w:pPr>
          </w:p>
        </w:tc>
        <w:tc>
          <w:tcPr>
            <w:tcW w:w="7610" w:type="dxa"/>
            <w:shd w:val="clear" w:color="auto" w:fill="auto"/>
            <w:tcMar>
              <w:left w:w="0" w:type="dxa"/>
            </w:tcMar>
          </w:tcPr>
          <w:p w:rsidR="003D444C" w:rsidRPr="009C0696" w:rsidRDefault="007B35A5" w:rsidP="00413026">
            <w:pPr>
              <w:spacing w:after="200"/>
              <w:rPr>
                <w:sz w:val="14"/>
                <w:szCs w:val="14"/>
                <w:lang w:val="en-GB"/>
              </w:rPr>
            </w:pPr>
            <w:r w:rsidRPr="009C0696">
              <w:rPr>
                <w:sz w:val="14"/>
                <w:szCs w:val="14"/>
                <w:lang w:val="en-GB"/>
              </w:rPr>
              <w:t>Source</w:t>
            </w:r>
            <w:r w:rsidR="00A90F2C" w:rsidRPr="009C0696">
              <w:rPr>
                <w:sz w:val="14"/>
                <w:szCs w:val="14"/>
                <w:lang w:val="en-GB"/>
              </w:rPr>
              <w:t xml:space="preserve">: </w:t>
            </w:r>
            <w:r w:rsidRPr="009C0696">
              <w:rPr>
                <w:sz w:val="14"/>
                <w:szCs w:val="14"/>
                <w:lang w:val="en-GB"/>
              </w:rPr>
              <w:t>CZSO</w:t>
            </w:r>
            <w:r w:rsidR="00A90F2C" w:rsidRPr="009C0696">
              <w:rPr>
                <w:sz w:val="14"/>
                <w:szCs w:val="14"/>
                <w:lang w:val="en-GB"/>
              </w:rPr>
              <w:t>, Eurostat</w:t>
            </w:r>
          </w:p>
        </w:tc>
      </w:tr>
      <w:tr w:rsidR="00A90F2C" w:rsidRPr="009C0696" w:rsidTr="00A74D81">
        <w:trPr>
          <w:trHeight w:val="145"/>
        </w:trPr>
        <w:tc>
          <w:tcPr>
            <w:tcW w:w="1802" w:type="dxa"/>
            <w:shd w:val="clear" w:color="auto" w:fill="auto"/>
            <w:tcMar>
              <w:left w:w="0" w:type="dxa"/>
            </w:tcMar>
          </w:tcPr>
          <w:p w:rsidR="00A90F2C" w:rsidRPr="009C0696" w:rsidRDefault="0050648F" w:rsidP="0033709C">
            <w:pPr>
              <w:pStyle w:val="Marginlie"/>
              <w:rPr>
                <w:lang w:val="en-GB"/>
              </w:rPr>
            </w:pPr>
            <w:r w:rsidRPr="009C0696">
              <w:rPr>
                <w:lang w:val="en-GB"/>
              </w:rPr>
              <w:t xml:space="preserve">… </w:t>
            </w:r>
            <w:proofErr w:type="gramStart"/>
            <w:r w:rsidRPr="009C0696">
              <w:rPr>
                <w:lang w:val="en-GB"/>
              </w:rPr>
              <w:t>similarly</w:t>
            </w:r>
            <w:proofErr w:type="gramEnd"/>
            <w:r w:rsidRPr="009C0696">
              <w:rPr>
                <w:lang w:val="en-GB"/>
              </w:rPr>
              <w:t xml:space="preserve"> to the EU.</w:t>
            </w:r>
          </w:p>
        </w:tc>
        <w:tc>
          <w:tcPr>
            <w:tcW w:w="227" w:type="dxa"/>
            <w:shd w:val="clear" w:color="auto" w:fill="auto"/>
            <w:tcMar>
              <w:left w:w="0" w:type="dxa"/>
            </w:tcMar>
          </w:tcPr>
          <w:p w:rsidR="00A90F2C" w:rsidRPr="009C0696" w:rsidRDefault="00A90F2C" w:rsidP="0033709C">
            <w:pPr>
              <w:pStyle w:val="Textpoznpodarou"/>
              <w:jc w:val="both"/>
              <w:rPr>
                <w:spacing w:val="-4"/>
                <w:lang w:val="en-GB"/>
              </w:rPr>
            </w:pPr>
          </w:p>
        </w:tc>
        <w:tc>
          <w:tcPr>
            <w:tcW w:w="7610" w:type="dxa"/>
            <w:shd w:val="clear" w:color="auto" w:fill="auto"/>
            <w:tcMar>
              <w:left w:w="0" w:type="dxa"/>
            </w:tcMar>
          </w:tcPr>
          <w:p w:rsidR="00A90F2C" w:rsidRPr="009C0696" w:rsidRDefault="007B35A5" w:rsidP="00623321">
            <w:pPr>
              <w:rPr>
                <w:lang w:val="en-GB"/>
              </w:rPr>
            </w:pPr>
            <w:r w:rsidRPr="009C0696">
              <w:rPr>
                <w:lang w:val="en-GB"/>
              </w:rPr>
              <w:t xml:space="preserve">Total GDP growth in the European Union arrived at </w:t>
            </w:r>
            <w:r w:rsidR="00A90F2C" w:rsidRPr="009C0696">
              <w:rPr>
                <w:lang w:val="en-GB"/>
              </w:rPr>
              <w:t>1</w:t>
            </w:r>
            <w:r w:rsidRPr="009C0696">
              <w:rPr>
                <w:lang w:val="en-GB"/>
              </w:rPr>
              <w:t>.</w:t>
            </w:r>
            <w:r w:rsidR="00A90F2C" w:rsidRPr="009C0696">
              <w:rPr>
                <w:lang w:val="en-GB"/>
              </w:rPr>
              <w:t>9%</w:t>
            </w:r>
            <w:r w:rsidRPr="009C0696">
              <w:rPr>
                <w:lang w:val="en-GB"/>
              </w:rPr>
              <w:t xml:space="preserve"> in 2018 and it slowed down </w:t>
            </w:r>
            <w:r w:rsidRPr="009C0696">
              <w:rPr>
                <w:lang w:val="en-GB"/>
              </w:rPr>
              <w:lastRenderedPageBreak/>
              <w:t xml:space="preserve">by 0.5 p.p. compared to year </w:t>
            </w:r>
            <w:r w:rsidR="00A90F2C" w:rsidRPr="009C0696">
              <w:rPr>
                <w:lang w:val="en-GB"/>
              </w:rPr>
              <w:t>2017</w:t>
            </w:r>
            <w:r w:rsidRPr="009C0696">
              <w:rPr>
                <w:lang w:val="en-GB"/>
              </w:rPr>
              <w:t xml:space="preserve">. While the dynamics of the final consumption expenditure in the EU </w:t>
            </w:r>
            <w:r w:rsidR="00A90F2C" w:rsidRPr="009C0696">
              <w:rPr>
                <w:lang w:val="en-GB"/>
              </w:rPr>
              <w:t>(1</w:t>
            </w:r>
            <w:r w:rsidRPr="009C0696">
              <w:rPr>
                <w:lang w:val="en-GB"/>
              </w:rPr>
              <w:t>.</w:t>
            </w:r>
            <w:r w:rsidR="00A90F2C" w:rsidRPr="009C0696">
              <w:rPr>
                <w:lang w:val="en-GB"/>
              </w:rPr>
              <w:t xml:space="preserve">5%) </w:t>
            </w:r>
            <w:r w:rsidRPr="009C0696">
              <w:rPr>
                <w:lang w:val="en-GB"/>
              </w:rPr>
              <w:t xml:space="preserve">was weaker than the total GDP growth, growth of the capital expenditure was relatively strong </w:t>
            </w:r>
            <w:r w:rsidR="00A90F2C" w:rsidRPr="009C0696">
              <w:rPr>
                <w:lang w:val="en-GB"/>
              </w:rPr>
              <w:t>(3</w:t>
            </w:r>
            <w:r w:rsidR="000901B9" w:rsidRPr="009C0696">
              <w:rPr>
                <w:lang w:val="en-GB"/>
              </w:rPr>
              <w:t>.</w:t>
            </w:r>
            <w:r w:rsidR="00A90F2C" w:rsidRPr="009C0696">
              <w:rPr>
                <w:lang w:val="en-GB"/>
              </w:rPr>
              <w:t xml:space="preserve">8%). </w:t>
            </w:r>
            <w:r w:rsidR="000901B9" w:rsidRPr="009C0696">
              <w:rPr>
                <w:lang w:val="en-GB"/>
              </w:rPr>
              <w:t xml:space="preserve">Investment activity was especially significant at the newer Union members. Combination of strong growth of investments and consumption expenditure caused, that only new members were placed on the second to thirteenth positions of the fastest growing EU economies. </w:t>
            </w:r>
            <w:r w:rsidR="00A90F2C" w:rsidRPr="009C0696">
              <w:rPr>
                <w:lang w:val="en-GB"/>
              </w:rPr>
              <w:t>Ir</w:t>
            </w:r>
            <w:r w:rsidR="000901B9" w:rsidRPr="009C0696">
              <w:rPr>
                <w:lang w:val="en-GB"/>
              </w:rPr>
              <w:t xml:space="preserve">eland </w:t>
            </w:r>
            <w:r w:rsidR="00A90F2C" w:rsidRPr="009C0696">
              <w:rPr>
                <w:lang w:val="en-GB"/>
              </w:rPr>
              <w:t>(6</w:t>
            </w:r>
            <w:r w:rsidR="000901B9" w:rsidRPr="009C0696">
              <w:rPr>
                <w:lang w:val="en-GB"/>
              </w:rPr>
              <w:t>.</w:t>
            </w:r>
            <w:r w:rsidR="00A90F2C" w:rsidRPr="009C0696">
              <w:rPr>
                <w:lang w:val="en-GB"/>
              </w:rPr>
              <w:t>7%)</w:t>
            </w:r>
            <w:r w:rsidR="000901B9" w:rsidRPr="009C0696">
              <w:rPr>
                <w:lang w:val="en-GB"/>
              </w:rPr>
              <w:t xml:space="preserve"> ranked the first similarly to year 2017</w:t>
            </w:r>
            <w:r w:rsidR="00A90F2C" w:rsidRPr="009C0696">
              <w:rPr>
                <w:lang w:val="en-GB"/>
              </w:rPr>
              <w:t xml:space="preserve">, </w:t>
            </w:r>
            <w:r w:rsidR="000901B9" w:rsidRPr="009C0696">
              <w:rPr>
                <w:lang w:val="en-GB"/>
              </w:rPr>
              <w:t xml:space="preserve">followed by Malta </w:t>
            </w:r>
            <w:r w:rsidR="00A90F2C" w:rsidRPr="009C0696">
              <w:rPr>
                <w:lang w:val="en-GB"/>
              </w:rPr>
              <w:t>(6</w:t>
            </w:r>
            <w:r w:rsidR="000901B9" w:rsidRPr="009C0696">
              <w:rPr>
                <w:lang w:val="en-GB"/>
              </w:rPr>
              <w:t>.</w:t>
            </w:r>
            <w:r w:rsidR="00A90F2C" w:rsidRPr="009C0696">
              <w:rPr>
                <w:lang w:val="en-GB"/>
              </w:rPr>
              <w:t>6%) a</w:t>
            </w:r>
            <w:r w:rsidR="000901B9" w:rsidRPr="009C0696">
              <w:rPr>
                <w:lang w:val="en-GB"/>
              </w:rPr>
              <w:t>nd Poland</w:t>
            </w:r>
            <w:r w:rsidR="00A90F2C" w:rsidRPr="009C0696">
              <w:rPr>
                <w:lang w:val="en-GB"/>
              </w:rPr>
              <w:t xml:space="preserve"> (5</w:t>
            </w:r>
            <w:r w:rsidR="000901B9" w:rsidRPr="009C0696">
              <w:rPr>
                <w:lang w:val="en-GB"/>
              </w:rPr>
              <w:t>.</w:t>
            </w:r>
            <w:r w:rsidR="00A90F2C" w:rsidRPr="009C0696">
              <w:rPr>
                <w:lang w:val="en-GB"/>
              </w:rPr>
              <w:t xml:space="preserve">1%). </w:t>
            </w:r>
            <w:r w:rsidR="00244807" w:rsidRPr="009C0696">
              <w:rPr>
                <w:lang w:val="en-GB"/>
              </w:rPr>
              <w:t xml:space="preserve">The GDP of the Union increased by 0.3% in Q4 compared to the previous quarter. Year-on-year addition reached </w:t>
            </w:r>
            <w:r w:rsidR="00A90F2C" w:rsidRPr="009C0696">
              <w:rPr>
                <w:lang w:val="en-GB"/>
              </w:rPr>
              <w:t>1</w:t>
            </w:r>
            <w:r w:rsidR="00244807" w:rsidRPr="009C0696">
              <w:rPr>
                <w:lang w:val="en-GB"/>
              </w:rPr>
              <w:t>.</w:t>
            </w:r>
            <w:r w:rsidR="00A90F2C" w:rsidRPr="009C0696">
              <w:rPr>
                <w:lang w:val="en-GB"/>
              </w:rPr>
              <w:t xml:space="preserve">4%. </w:t>
            </w:r>
            <w:r w:rsidR="00FB7473" w:rsidRPr="009C0696">
              <w:rPr>
                <w:lang w:val="en-GB"/>
              </w:rPr>
              <w:t xml:space="preserve">Relatively marked fall of the year-on-year rate of growth can also be linked to the stagnation of the largest EU economy – Germany. </w:t>
            </w:r>
            <w:r w:rsidR="00B26ED6" w:rsidRPr="009C0696">
              <w:rPr>
                <w:lang w:val="en-GB"/>
              </w:rPr>
              <w:t xml:space="preserve">Here, the year-on-year dynamics was </w:t>
            </w:r>
            <w:r w:rsidR="00A90F2C" w:rsidRPr="009C0696">
              <w:rPr>
                <w:lang w:val="en-GB"/>
              </w:rPr>
              <w:t>0</w:t>
            </w:r>
            <w:r w:rsidR="00B26ED6" w:rsidRPr="009C0696">
              <w:rPr>
                <w:lang w:val="en-GB"/>
              </w:rPr>
              <w:t>.</w:t>
            </w:r>
            <w:r w:rsidR="00A90F2C" w:rsidRPr="009C0696">
              <w:rPr>
                <w:lang w:val="en-GB"/>
              </w:rPr>
              <w:t xml:space="preserve">6%, </w:t>
            </w:r>
            <w:r w:rsidR="00244807" w:rsidRPr="009C0696">
              <w:rPr>
                <w:lang w:val="en-GB"/>
              </w:rPr>
              <w:t>economic growth was the second lowest in the Union</w:t>
            </w:r>
            <w:r w:rsidR="00A90F2C" w:rsidRPr="009C0696">
              <w:rPr>
                <w:lang w:val="en-GB"/>
              </w:rPr>
              <w:t xml:space="preserve">. </w:t>
            </w:r>
            <w:r w:rsidR="00B26ED6" w:rsidRPr="009C0696">
              <w:rPr>
                <w:lang w:val="en-GB"/>
              </w:rPr>
              <w:t>The GDP of Italy remained the same year-on-year</w:t>
            </w:r>
            <w:r w:rsidR="00A90F2C" w:rsidRPr="009C0696">
              <w:rPr>
                <w:lang w:val="en-GB"/>
              </w:rPr>
              <w:t xml:space="preserve">, </w:t>
            </w:r>
            <w:r w:rsidR="00244807" w:rsidRPr="009C0696">
              <w:rPr>
                <w:lang w:val="en-GB"/>
              </w:rPr>
              <w:t xml:space="preserve">the </w:t>
            </w:r>
            <w:r w:rsidR="00623321" w:rsidRPr="009C0696">
              <w:rPr>
                <w:lang w:val="en-GB"/>
              </w:rPr>
              <w:t xml:space="preserve">economy of </w:t>
            </w:r>
            <w:r w:rsidR="00244807" w:rsidRPr="009C0696">
              <w:rPr>
                <w:lang w:val="en-GB"/>
              </w:rPr>
              <w:t>France</w:t>
            </w:r>
            <w:r w:rsidR="00623321" w:rsidRPr="009C0696">
              <w:rPr>
                <w:lang w:val="en-GB"/>
              </w:rPr>
              <w:t xml:space="preserve"> </w:t>
            </w:r>
            <w:r w:rsidR="00244807" w:rsidRPr="009C0696">
              <w:rPr>
                <w:lang w:val="en-GB"/>
              </w:rPr>
              <w:t xml:space="preserve">expanded by </w:t>
            </w:r>
            <w:r w:rsidR="00A90F2C" w:rsidRPr="009C0696">
              <w:rPr>
                <w:lang w:val="en-GB"/>
              </w:rPr>
              <w:t>1</w:t>
            </w:r>
            <w:r w:rsidR="00244807" w:rsidRPr="009C0696">
              <w:rPr>
                <w:lang w:val="en-GB"/>
              </w:rPr>
              <w:t>.</w:t>
            </w:r>
            <w:r w:rsidR="00A90F2C" w:rsidRPr="009C0696">
              <w:rPr>
                <w:lang w:val="en-GB"/>
              </w:rPr>
              <w:t xml:space="preserve">0%. </w:t>
            </w:r>
            <w:r w:rsidR="00244807" w:rsidRPr="009C0696">
              <w:rPr>
                <w:lang w:val="en-GB"/>
              </w:rPr>
              <w:t xml:space="preserve">Malta (7.4%), </w:t>
            </w:r>
            <w:r w:rsidR="00230469" w:rsidRPr="009C0696">
              <w:rPr>
                <w:lang w:val="en-GB"/>
              </w:rPr>
              <w:t xml:space="preserve">Latvia (5.6%) and Hungary (4.9%) recorded the highest year-on-year addition in Q4. </w:t>
            </w:r>
            <w:r w:rsidR="00A90F2C" w:rsidRPr="009C0696">
              <w:rPr>
                <w:lang w:val="en-GB"/>
              </w:rPr>
              <w:t xml:space="preserve">  </w:t>
            </w:r>
          </w:p>
        </w:tc>
      </w:tr>
      <w:tr w:rsidR="00A90F2C" w:rsidRPr="009C0696" w:rsidTr="00A74D81">
        <w:trPr>
          <w:trHeight w:val="170"/>
        </w:trPr>
        <w:tc>
          <w:tcPr>
            <w:tcW w:w="1802" w:type="dxa"/>
            <w:vMerge w:val="restart"/>
            <w:shd w:val="clear" w:color="auto" w:fill="auto"/>
            <w:tcMar>
              <w:left w:w="0" w:type="dxa"/>
            </w:tcMar>
          </w:tcPr>
          <w:p w:rsidR="00A90F2C" w:rsidRPr="009C0696" w:rsidRDefault="00A90F2C" w:rsidP="0033709C">
            <w:pPr>
              <w:pStyle w:val="Marginlie"/>
              <w:rPr>
                <w:lang w:val="en-GB"/>
              </w:rPr>
            </w:pPr>
          </w:p>
        </w:tc>
        <w:tc>
          <w:tcPr>
            <w:tcW w:w="227" w:type="dxa"/>
            <w:vMerge w:val="restart"/>
            <w:shd w:val="clear" w:color="auto" w:fill="auto"/>
            <w:tcMar>
              <w:left w:w="0" w:type="dxa"/>
            </w:tcMar>
          </w:tcPr>
          <w:p w:rsidR="00A90F2C" w:rsidRPr="009C0696" w:rsidRDefault="00A90F2C" w:rsidP="0033709C">
            <w:pPr>
              <w:pStyle w:val="Textpoznpodarou"/>
              <w:jc w:val="both"/>
              <w:rPr>
                <w:spacing w:val="-4"/>
                <w:lang w:val="en-GB"/>
              </w:rPr>
            </w:pPr>
          </w:p>
        </w:tc>
        <w:tc>
          <w:tcPr>
            <w:tcW w:w="7610" w:type="dxa"/>
            <w:shd w:val="clear" w:color="auto" w:fill="auto"/>
            <w:tcMar>
              <w:left w:w="0" w:type="dxa"/>
            </w:tcMar>
          </w:tcPr>
          <w:p w:rsidR="00A90F2C" w:rsidRPr="009F7FC7" w:rsidRDefault="00D1316D" w:rsidP="00D1316D">
            <w:pPr>
              <w:spacing w:after="0"/>
              <w:rPr>
                <w:b/>
                <w:szCs w:val="20"/>
                <w:lang w:val="en-GB"/>
              </w:rPr>
            </w:pPr>
            <w:r w:rsidRPr="009F7FC7">
              <w:rPr>
                <w:b/>
                <w:spacing w:val="-4"/>
                <w:szCs w:val="20"/>
                <w:lang w:val="en-GB" w:eastAsia="en-US"/>
              </w:rPr>
              <w:t xml:space="preserve">Chart </w:t>
            </w:r>
            <w:r w:rsidR="00A90F2C" w:rsidRPr="009F7FC7">
              <w:rPr>
                <w:b/>
                <w:spacing w:val="-4"/>
                <w:szCs w:val="20"/>
                <w:lang w:val="en-GB" w:eastAsia="en-US"/>
              </w:rPr>
              <w:t xml:space="preserve">2  </w:t>
            </w:r>
            <w:r w:rsidRPr="009F7FC7">
              <w:rPr>
                <w:rFonts w:cs="Arial"/>
                <w:b/>
                <w:szCs w:val="20"/>
                <w:lang w:val="en-GB" w:eastAsia="en-US"/>
              </w:rPr>
              <w:t xml:space="preserve">GDP </w:t>
            </w:r>
            <w:r w:rsidRPr="009F7FC7">
              <w:rPr>
                <w:rFonts w:cs="Arial"/>
                <w:szCs w:val="20"/>
                <w:lang w:val="en-GB" w:eastAsia="en-US"/>
              </w:rPr>
              <w:t xml:space="preserve">(volume indices, adjusted for seasonal and calendar effects, year-on-year in </w:t>
            </w:r>
            <w:r w:rsidR="00A90F2C" w:rsidRPr="009F7FC7">
              <w:rPr>
                <w:rFonts w:cs="Arial"/>
                <w:szCs w:val="20"/>
                <w:lang w:val="en-GB" w:eastAsia="en-US"/>
              </w:rPr>
              <w:t xml:space="preserve">%, </w:t>
            </w:r>
            <w:r w:rsidRPr="009F7FC7">
              <w:rPr>
                <w:rFonts w:cs="Arial"/>
                <w:szCs w:val="20"/>
                <w:lang w:val="en-GB" w:eastAsia="en-US"/>
              </w:rPr>
              <w:t>right axis</w:t>
            </w:r>
            <w:r w:rsidR="00A90F2C" w:rsidRPr="009F7FC7">
              <w:rPr>
                <w:rFonts w:cs="Arial"/>
                <w:szCs w:val="20"/>
                <w:lang w:val="en-GB" w:eastAsia="en-US"/>
              </w:rPr>
              <w:t>)</w:t>
            </w:r>
            <w:r w:rsidR="00A90F2C" w:rsidRPr="009F7FC7">
              <w:rPr>
                <w:rFonts w:cs="Arial"/>
                <w:b/>
                <w:szCs w:val="20"/>
                <w:lang w:val="en-GB" w:eastAsia="en-US"/>
              </w:rPr>
              <w:t xml:space="preserve"> a</w:t>
            </w:r>
            <w:r w:rsidRPr="009F7FC7">
              <w:rPr>
                <w:rFonts w:cs="Arial"/>
                <w:b/>
                <w:szCs w:val="20"/>
                <w:lang w:val="en-GB" w:eastAsia="en-US"/>
              </w:rPr>
              <w:t xml:space="preserve">nd confidence indicators </w:t>
            </w:r>
            <w:r w:rsidR="00A90F2C" w:rsidRPr="009F7FC7">
              <w:rPr>
                <w:rFonts w:cs="Arial"/>
                <w:szCs w:val="20"/>
                <w:lang w:val="en-GB" w:eastAsia="en-US"/>
              </w:rPr>
              <w:t>(2005 = 100, l</w:t>
            </w:r>
            <w:r w:rsidRPr="009F7FC7">
              <w:rPr>
                <w:rFonts w:cs="Arial"/>
                <w:szCs w:val="20"/>
                <w:lang w:val="en-GB" w:eastAsia="en-US"/>
              </w:rPr>
              <w:t>eft axis</w:t>
            </w:r>
            <w:r w:rsidR="00A90F2C" w:rsidRPr="009F7FC7">
              <w:rPr>
                <w:rFonts w:cs="Arial"/>
                <w:szCs w:val="20"/>
                <w:lang w:val="en-GB" w:eastAsia="en-US"/>
              </w:rPr>
              <w:t>)</w:t>
            </w:r>
          </w:p>
        </w:tc>
      </w:tr>
      <w:tr w:rsidR="00A90F2C" w:rsidRPr="009C0696" w:rsidTr="00A74D81">
        <w:tblPrEx>
          <w:tblCellMar>
            <w:left w:w="70" w:type="dxa"/>
            <w:right w:w="70" w:type="dxa"/>
          </w:tblCellMar>
        </w:tblPrEx>
        <w:trPr>
          <w:trHeight w:val="170"/>
        </w:trPr>
        <w:tc>
          <w:tcPr>
            <w:tcW w:w="1802" w:type="dxa"/>
            <w:vMerge/>
            <w:shd w:val="clear" w:color="auto" w:fill="auto"/>
          </w:tcPr>
          <w:p w:rsidR="00A90F2C" w:rsidRPr="009C0696" w:rsidRDefault="00A90F2C" w:rsidP="00965797">
            <w:pPr>
              <w:pStyle w:val="Marginlie"/>
              <w:rPr>
                <w:lang w:val="en-GB"/>
              </w:rPr>
            </w:pPr>
          </w:p>
        </w:tc>
        <w:tc>
          <w:tcPr>
            <w:tcW w:w="227" w:type="dxa"/>
            <w:vMerge/>
            <w:shd w:val="clear" w:color="auto" w:fill="auto"/>
          </w:tcPr>
          <w:p w:rsidR="00A90F2C" w:rsidRPr="009C0696" w:rsidRDefault="00A90F2C" w:rsidP="00965797">
            <w:pPr>
              <w:pStyle w:val="Textpoznpodarou"/>
              <w:jc w:val="both"/>
              <w:rPr>
                <w:spacing w:val="-4"/>
                <w:lang w:val="en-GB"/>
              </w:rPr>
            </w:pPr>
          </w:p>
        </w:tc>
        <w:tc>
          <w:tcPr>
            <w:tcW w:w="7610" w:type="dxa"/>
            <w:shd w:val="clear" w:color="auto" w:fill="auto"/>
          </w:tcPr>
          <w:p w:rsidR="00A90F2C" w:rsidRPr="009C0696" w:rsidRDefault="0088419D" w:rsidP="00965797">
            <w:pPr>
              <w:spacing w:after="0"/>
              <w:rPr>
                <w:lang w:val="en-GB"/>
              </w:rPr>
            </w:pPr>
            <w:r>
              <w:rPr>
                <w:noProof/>
              </w:rPr>
              <w:drawing>
                <wp:inline distT="0" distB="0" distL="0" distR="0" wp14:anchorId="1F9F8428" wp14:editId="235C667B">
                  <wp:extent cx="4737600" cy="3553200"/>
                  <wp:effectExtent l="0" t="0" r="6350" b="0"/>
                  <wp:docPr id="40" name="Graf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A90F2C" w:rsidRPr="009C0696" w:rsidTr="00A74D81">
        <w:trPr>
          <w:trHeight w:val="170"/>
        </w:trPr>
        <w:tc>
          <w:tcPr>
            <w:tcW w:w="1802" w:type="dxa"/>
            <w:vMerge/>
            <w:shd w:val="clear" w:color="auto" w:fill="auto"/>
            <w:tcMar>
              <w:left w:w="0" w:type="dxa"/>
            </w:tcMar>
          </w:tcPr>
          <w:p w:rsidR="00A90F2C" w:rsidRPr="009C0696" w:rsidRDefault="00A90F2C" w:rsidP="00965797">
            <w:pPr>
              <w:pStyle w:val="Marginlie"/>
              <w:rPr>
                <w:lang w:val="en-GB"/>
              </w:rPr>
            </w:pPr>
          </w:p>
        </w:tc>
        <w:tc>
          <w:tcPr>
            <w:tcW w:w="227" w:type="dxa"/>
            <w:vMerge/>
            <w:shd w:val="clear" w:color="auto" w:fill="auto"/>
            <w:tcMar>
              <w:left w:w="0" w:type="dxa"/>
            </w:tcMar>
          </w:tcPr>
          <w:p w:rsidR="00A90F2C" w:rsidRPr="009C0696" w:rsidRDefault="00A90F2C" w:rsidP="00965797">
            <w:pPr>
              <w:pStyle w:val="Textpoznpodarou"/>
              <w:jc w:val="both"/>
              <w:rPr>
                <w:spacing w:val="-4"/>
                <w:lang w:val="en-GB"/>
              </w:rPr>
            </w:pPr>
          </w:p>
        </w:tc>
        <w:tc>
          <w:tcPr>
            <w:tcW w:w="7610" w:type="dxa"/>
            <w:shd w:val="clear" w:color="auto" w:fill="auto"/>
            <w:tcMar>
              <w:left w:w="0" w:type="dxa"/>
            </w:tcMar>
          </w:tcPr>
          <w:p w:rsidR="00D1316D" w:rsidRPr="009C0696" w:rsidRDefault="00441682" w:rsidP="00413026">
            <w:pPr>
              <w:spacing w:after="200"/>
              <w:rPr>
                <w:sz w:val="14"/>
                <w:szCs w:val="14"/>
                <w:lang w:val="en-GB"/>
              </w:rPr>
            </w:pPr>
            <w:r w:rsidRPr="009C0696">
              <w:rPr>
                <w:sz w:val="14"/>
                <w:szCs w:val="14"/>
                <w:lang w:val="en-GB"/>
              </w:rPr>
              <w:t>Source</w:t>
            </w:r>
            <w:r w:rsidR="00A90F2C" w:rsidRPr="009C0696">
              <w:rPr>
                <w:sz w:val="14"/>
                <w:szCs w:val="14"/>
                <w:lang w:val="en-GB"/>
              </w:rPr>
              <w:t xml:space="preserve">: </w:t>
            </w:r>
            <w:r w:rsidRPr="009C0696">
              <w:rPr>
                <w:sz w:val="14"/>
                <w:szCs w:val="14"/>
                <w:lang w:val="en-GB"/>
              </w:rPr>
              <w:t>CZSO</w:t>
            </w:r>
          </w:p>
        </w:tc>
      </w:tr>
      <w:tr w:rsidR="00D70289" w:rsidRPr="009C0696" w:rsidTr="00A74D81">
        <w:trPr>
          <w:trHeight w:val="145"/>
        </w:trPr>
        <w:tc>
          <w:tcPr>
            <w:tcW w:w="1802" w:type="dxa"/>
            <w:shd w:val="clear" w:color="auto" w:fill="auto"/>
            <w:tcMar>
              <w:left w:w="0" w:type="dxa"/>
            </w:tcMar>
          </w:tcPr>
          <w:p w:rsidR="00D70289" w:rsidRPr="009C0696" w:rsidRDefault="00441682" w:rsidP="00441682">
            <w:pPr>
              <w:pStyle w:val="Marginlie"/>
              <w:rPr>
                <w:lang w:val="en-GB"/>
              </w:rPr>
            </w:pPr>
            <w:r w:rsidRPr="009C0696">
              <w:rPr>
                <w:lang w:val="en-GB"/>
              </w:rPr>
              <w:t>Increase of the volume of paid out salaries and wages hit the highest value in the last twenty years last year</w:t>
            </w:r>
            <w:r w:rsidR="00D70289" w:rsidRPr="009C0696">
              <w:rPr>
                <w:lang w:val="en-GB"/>
              </w:rPr>
              <w:t xml:space="preserve">.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441682" w:rsidP="009F7FC7">
            <w:pPr>
              <w:spacing w:after="180"/>
              <w:rPr>
                <w:lang w:val="en-GB"/>
              </w:rPr>
            </w:pPr>
            <w:r w:rsidRPr="009C0696">
              <w:rPr>
                <w:lang w:val="en-GB"/>
              </w:rPr>
              <w:t xml:space="preserve">The volume of paid out salaries and wages increased by 9.3% last year compared to the year before. That is the most since year </w:t>
            </w:r>
            <w:r w:rsidR="00D70289" w:rsidRPr="009C0696">
              <w:rPr>
                <w:lang w:val="en-GB"/>
              </w:rPr>
              <w:t xml:space="preserve">1996. </w:t>
            </w:r>
            <w:r w:rsidRPr="009C0696">
              <w:rPr>
                <w:lang w:val="en-GB"/>
              </w:rPr>
              <w:t xml:space="preserve">Simultaneously, the employment increased by </w:t>
            </w:r>
            <w:r w:rsidR="00D70289" w:rsidRPr="009C0696">
              <w:rPr>
                <w:lang w:val="en-GB"/>
              </w:rPr>
              <w:t>1</w:t>
            </w:r>
            <w:r w:rsidRPr="009C0696">
              <w:rPr>
                <w:lang w:val="en-GB"/>
              </w:rPr>
              <w:t>.</w:t>
            </w:r>
            <w:r w:rsidR="00D70289" w:rsidRPr="009C0696">
              <w:rPr>
                <w:lang w:val="en-GB"/>
              </w:rPr>
              <w:t>6%</w:t>
            </w:r>
            <w:r w:rsidR="00D70289" w:rsidRPr="009C0696">
              <w:rPr>
                <w:rStyle w:val="Znakapoznpodarou"/>
                <w:spacing w:val="-2"/>
                <w:lang w:val="en-GB"/>
              </w:rPr>
              <w:footnoteReference w:id="5"/>
            </w:r>
            <w:r w:rsidR="00D70289" w:rsidRPr="009C0696">
              <w:rPr>
                <w:lang w:val="en-GB"/>
              </w:rPr>
              <w:t xml:space="preserve">, </w:t>
            </w:r>
            <w:r w:rsidRPr="009C0696">
              <w:rPr>
                <w:lang w:val="en-GB"/>
              </w:rPr>
              <w:t xml:space="preserve">the increase of the volume of paid out </w:t>
            </w:r>
            <w:r w:rsidR="00010600" w:rsidRPr="009C0696">
              <w:rPr>
                <w:lang w:val="en-GB"/>
              </w:rPr>
              <w:t>funds</w:t>
            </w:r>
            <w:r w:rsidRPr="009C0696">
              <w:rPr>
                <w:lang w:val="en-GB"/>
              </w:rPr>
              <w:t xml:space="preserve"> was thus reflected in</w:t>
            </w:r>
            <w:r w:rsidR="00010600" w:rsidRPr="009C0696">
              <w:rPr>
                <w:lang w:val="en-GB"/>
              </w:rPr>
              <w:t xml:space="preserve"> </w:t>
            </w:r>
            <w:r w:rsidRPr="009C0696">
              <w:rPr>
                <w:lang w:val="en-GB"/>
              </w:rPr>
              <w:t>the average wage.</w:t>
            </w:r>
            <w:r w:rsidR="00F97E48" w:rsidRPr="009C0696">
              <w:rPr>
                <w:lang w:val="en-GB"/>
              </w:rPr>
              <w:t xml:space="preserve"> The volume of salaries and wages grew by </w:t>
            </w:r>
            <w:r w:rsidR="00D70289" w:rsidRPr="009C0696">
              <w:rPr>
                <w:lang w:val="en-GB"/>
              </w:rPr>
              <w:t>6</w:t>
            </w:r>
            <w:r w:rsidR="00F97E48" w:rsidRPr="009C0696">
              <w:rPr>
                <w:lang w:val="en-GB"/>
              </w:rPr>
              <w:t>.</w:t>
            </w:r>
            <w:r w:rsidR="00D70289" w:rsidRPr="009C0696">
              <w:rPr>
                <w:lang w:val="en-GB"/>
              </w:rPr>
              <w:t>6%</w:t>
            </w:r>
            <w:r w:rsidR="00D70289" w:rsidRPr="009C0696">
              <w:rPr>
                <w:rStyle w:val="Znakapoznpodarou"/>
                <w:spacing w:val="-2"/>
                <w:lang w:val="en-GB"/>
              </w:rPr>
              <w:footnoteReference w:id="6"/>
            </w:r>
            <w:r w:rsidR="00F97E48" w:rsidRPr="009C0696">
              <w:rPr>
                <w:lang w:val="en-GB"/>
              </w:rPr>
              <w:t xml:space="preserve"> in real terms last year</w:t>
            </w:r>
            <w:r w:rsidR="00D70289" w:rsidRPr="009C0696">
              <w:rPr>
                <w:lang w:val="en-GB"/>
              </w:rPr>
              <w:t xml:space="preserve">. </w:t>
            </w:r>
            <w:r w:rsidR="00DF3613" w:rsidRPr="009C0696">
              <w:rPr>
                <w:lang w:val="en-GB"/>
              </w:rPr>
              <w:t xml:space="preserve">The year-on-year addition to the volume of salaries and wages amounted to </w:t>
            </w:r>
            <w:r w:rsidR="00D70289" w:rsidRPr="009C0696">
              <w:rPr>
                <w:lang w:val="en-GB"/>
              </w:rPr>
              <w:t>7</w:t>
            </w:r>
            <w:r w:rsidR="00DF3613" w:rsidRPr="009C0696">
              <w:rPr>
                <w:lang w:val="en-GB"/>
              </w:rPr>
              <w:t>.</w:t>
            </w:r>
            <w:r w:rsidR="00D70289" w:rsidRPr="009C0696">
              <w:rPr>
                <w:lang w:val="en-GB"/>
              </w:rPr>
              <w:t>5%</w:t>
            </w:r>
            <w:r w:rsidR="00DF3613" w:rsidRPr="009C0696">
              <w:rPr>
                <w:lang w:val="en-GB"/>
              </w:rPr>
              <w:t xml:space="preserve"> in Q4 only</w:t>
            </w:r>
            <w:r w:rsidR="00D70289" w:rsidRPr="009C0696">
              <w:rPr>
                <w:lang w:val="en-GB"/>
              </w:rPr>
              <w:t xml:space="preserve">, </w:t>
            </w:r>
            <w:r w:rsidR="00DF3613" w:rsidRPr="009C0696">
              <w:rPr>
                <w:lang w:val="en-GB"/>
              </w:rPr>
              <w:t xml:space="preserve">which is the least since Q1 </w:t>
            </w:r>
            <w:r w:rsidR="00D70289" w:rsidRPr="009C0696">
              <w:rPr>
                <w:lang w:val="en-GB"/>
              </w:rPr>
              <w:t xml:space="preserve">2017. </w:t>
            </w:r>
            <w:r w:rsidR="00DF3613" w:rsidRPr="009C0696">
              <w:rPr>
                <w:lang w:val="en-GB"/>
              </w:rPr>
              <w:t xml:space="preserve">Growth in real terms formed still solid </w:t>
            </w:r>
            <w:r w:rsidR="00D70289" w:rsidRPr="009C0696">
              <w:rPr>
                <w:lang w:val="en-GB"/>
              </w:rPr>
              <w:t>4</w:t>
            </w:r>
            <w:r w:rsidR="00DF3613" w:rsidRPr="009C0696">
              <w:rPr>
                <w:lang w:val="en-GB"/>
              </w:rPr>
              <w:t>.</w:t>
            </w:r>
            <w:r w:rsidR="00D70289" w:rsidRPr="009C0696">
              <w:rPr>
                <w:lang w:val="en-GB"/>
              </w:rPr>
              <w:t>8%.</w:t>
            </w:r>
            <w:r w:rsidR="00DF3613" w:rsidRPr="009C0696">
              <w:rPr>
                <w:lang w:val="en-GB"/>
              </w:rPr>
              <w:t xml:space="preserve"> Strong growth of salaries and wa</w:t>
            </w:r>
            <w:r w:rsidR="00E92118" w:rsidRPr="009C0696">
              <w:rPr>
                <w:lang w:val="en-GB"/>
              </w:rPr>
              <w:t xml:space="preserve">ges was experienced across the branches </w:t>
            </w:r>
            <w:r w:rsidR="00DF3613" w:rsidRPr="009C0696">
              <w:rPr>
                <w:lang w:val="en-GB"/>
              </w:rPr>
              <w:t xml:space="preserve">last year. Volume of wage resources increased by 8.1% in manufacturing, by 9.1% in trade, transportation, accommodation and restaurants; information and communication services experienced an acceleration to 10.6% (accompanied by simultaneous </w:t>
            </w:r>
            <w:r w:rsidR="00475407" w:rsidRPr="009C0696">
              <w:rPr>
                <w:lang w:val="en-GB"/>
              </w:rPr>
              <w:t xml:space="preserve">increase of employment by </w:t>
            </w:r>
            <w:r w:rsidR="00D70289" w:rsidRPr="009C0696">
              <w:rPr>
                <w:lang w:val="en-GB"/>
              </w:rPr>
              <w:t>4</w:t>
            </w:r>
            <w:r w:rsidR="00475407" w:rsidRPr="009C0696">
              <w:rPr>
                <w:lang w:val="en-GB"/>
              </w:rPr>
              <w:t>.</w:t>
            </w:r>
            <w:r w:rsidR="00D70289" w:rsidRPr="009C0696">
              <w:rPr>
                <w:lang w:val="en-GB"/>
              </w:rPr>
              <w:t>6%)</w:t>
            </w:r>
            <w:r w:rsidR="00475407" w:rsidRPr="009C0696">
              <w:rPr>
                <w:lang w:val="en-GB"/>
              </w:rPr>
              <w:t xml:space="preserve">. </w:t>
            </w:r>
            <w:r w:rsidR="005F57FA" w:rsidRPr="009C0696">
              <w:rPr>
                <w:lang w:val="en-GB"/>
              </w:rPr>
              <w:t>Real estate activities</w:t>
            </w:r>
            <w:r w:rsidR="00C255C4" w:rsidRPr="009C0696">
              <w:rPr>
                <w:lang w:val="en-GB"/>
              </w:rPr>
              <w:t xml:space="preserve"> </w:t>
            </w:r>
            <w:r w:rsidR="00A76F33" w:rsidRPr="009C0696">
              <w:rPr>
                <w:lang w:val="en-GB"/>
              </w:rPr>
              <w:t xml:space="preserve">waited to see a </w:t>
            </w:r>
            <w:r w:rsidR="00A76F33" w:rsidRPr="009C0696">
              <w:rPr>
                <w:lang w:val="en-GB"/>
              </w:rPr>
              <w:lastRenderedPageBreak/>
              <w:t>dou</w:t>
            </w:r>
            <w:r w:rsidR="00C255C4" w:rsidRPr="009C0696">
              <w:rPr>
                <w:lang w:val="en-GB"/>
              </w:rPr>
              <w:t xml:space="preserve">ble-digit growth of salaries </w:t>
            </w:r>
            <w:r w:rsidR="005F57FA" w:rsidRPr="009C0696">
              <w:rPr>
                <w:lang w:val="en-GB"/>
              </w:rPr>
              <w:t>and wages (12.3%) and the branches</w:t>
            </w:r>
            <w:r w:rsidR="00C255C4" w:rsidRPr="009C0696">
              <w:rPr>
                <w:lang w:val="en-GB"/>
              </w:rPr>
              <w:t xml:space="preserve"> with the predominant public sector</w:t>
            </w:r>
            <w:r w:rsidR="00C255C4" w:rsidRPr="009C0696">
              <w:rPr>
                <w:rStyle w:val="Znakapoznpodarou"/>
                <w:spacing w:val="-2"/>
                <w:lang w:val="en-GB"/>
              </w:rPr>
              <w:footnoteReference w:id="7"/>
            </w:r>
            <w:r w:rsidR="00C255C4" w:rsidRPr="009C0696">
              <w:rPr>
                <w:lang w:val="en-GB"/>
              </w:rPr>
              <w:t xml:space="preserve"> continued in the strong year 2017 (12.0%). The volume of paid out wages climbed to 6.9% in construction (given the fall of employment by </w:t>
            </w:r>
            <w:r w:rsidR="00D70289" w:rsidRPr="009C0696">
              <w:rPr>
                <w:lang w:val="en-GB"/>
              </w:rPr>
              <w:t>0</w:t>
            </w:r>
            <w:r w:rsidR="00C255C4" w:rsidRPr="009C0696">
              <w:rPr>
                <w:lang w:val="en-GB"/>
              </w:rPr>
              <w:t>.</w:t>
            </w:r>
            <w:r w:rsidR="00D70289" w:rsidRPr="009C0696">
              <w:rPr>
                <w:lang w:val="en-GB"/>
              </w:rPr>
              <w:t xml:space="preserve">4%). </w:t>
            </w:r>
            <w:r w:rsidR="00236552" w:rsidRPr="009C0696">
              <w:rPr>
                <w:lang w:val="en-GB"/>
              </w:rPr>
              <w:t xml:space="preserve">Salaries and wages grew the slowest in </w:t>
            </w:r>
            <w:r w:rsidR="008778F6" w:rsidRPr="009C0696">
              <w:rPr>
                <w:lang w:val="en-GB"/>
              </w:rPr>
              <w:t xml:space="preserve">financial and insurance activities </w:t>
            </w:r>
            <w:r w:rsidR="00D70289" w:rsidRPr="009C0696">
              <w:rPr>
                <w:lang w:val="en-GB"/>
              </w:rPr>
              <w:t>(5</w:t>
            </w:r>
            <w:r w:rsidR="00236552" w:rsidRPr="009C0696">
              <w:rPr>
                <w:lang w:val="en-GB"/>
              </w:rPr>
              <w:t>.</w:t>
            </w:r>
            <w:r w:rsidR="00D70289" w:rsidRPr="009C0696">
              <w:rPr>
                <w:lang w:val="en-GB"/>
              </w:rPr>
              <w:t>9</w:t>
            </w:r>
            <w:r w:rsidR="00BD59F1">
              <w:rPr>
                <w:lang w:val="en-GB"/>
              </w:rPr>
              <w:t> </w:t>
            </w:r>
            <w:r w:rsidR="00D70289" w:rsidRPr="009C0696">
              <w:rPr>
                <w:lang w:val="en-GB"/>
              </w:rPr>
              <w:t xml:space="preserve">%), </w:t>
            </w:r>
            <w:r w:rsidR="00236552" w:rsidRPr="009C0696">
              <w:rPr>
                <w:lang w:val="en-GB"/>
              </w:rPr>
              <w:t xml:space="preserve">the employment did not grow here at all in contrast to the rest of the economy. </w:t>
            </w:r>
            <w:r w:rsidR="00A76F33" w:rsidRPr="009C0696">
              <w:rPr>
                <w:lang w:val="en-GB"/>
              </w:rPr>
              <w:t>The year-on-year dynamics of the volume of salaries and wages slowed down across the</w:t>
            </w:r>
            <w:r w:rsidR="003934E5" w:rsidRPr="009C0696">
              <w:rPr>
                <w:lang w:val="en-GB"/>
              </w:rPr>
              <w:t xml:space="preserve"> branches </w:t>
            </w:r>
            <w:r w:rsidR="00A76F33" w:rsidRPr="009C0696">
              <w:rPr>
                <w:lang w:val="en-GB"/>
              </w:rPr>
              <w:t xml:space="preserve">(the most for the real estate </w:t>
            </w:r>
            <w:r w:rsidR="003934E5" w:rsidRPr="009C0696">
              <w:rPr>
                <w:lang w:val="en-GB"/>
              </w:rPr>
              <w:t xml:space="preserve">activities </w:t>
            </w:r>
            <w:r w:rsidR="00A76F33" w:rsidRPr="009C0696">
              <w:rPr>
                <w:lang w:val="en-GB"/>
              </w:rPr>
              <w:t xml:space="preserve">to 8.1%, to 7.4% for </w:t>
            </w:r>
            <w:r w:rsidR="003934E5" w:rsidRPr="009C0696">
              <w:rPr>
                <w:lang w:val="en-GB"/>
              </w:rPr>
              <w:t xml:space="preserve">branches </w:t>
            </w:r>
            <w:r w:rsidR="00A76F33" w:rsidRPr="009C0696">
              <w:rPr>
                <w:lang w:val="en-GB"/>
              </w:rPr>
              <w:t>with the predominance of the public sector) in Q</w:t>
            </w:r>
            <w:r w:rsidR="00D70289" w:rsidRPr="009C0696">
              <w:rPr>
                <w:lang w:val="en-GB"/>
              </w:rPr>
              <w:t>4</w:t>
            </w:r>
            <w:r w:rsidR="00A76F33" w:rsidRPr="009C0696">
              <w:rPr>
                <w:lang w:val="en-GB"/>
              </w:rPr>
              <w:t xml:space="preserve">. The grouping trade, transportation, accommodation and food service activities presented an exception, with the rate of growth accelerating to </w:t>
            </w:r>
            <w:r w:rsidR="00D70289" w:rsidRPr="009C0696">
              <w:rPr>
                <w:lang w:val="en-GB"/>
              </w:rPr>
              <w:t>9</w:t>
            </w:r>
            <w:r w:rsidR="00A76F33" w:rsidRPr="009C0696">
              <w:rPr>
                <w:lang w:val="en-GB"/>
              </w:rPr>
              <w:t>.</w:t>
            </w:r>
            <w:r w:rsidR="00D70289" w:rsidRPr="009C0696">
              <w:rPr>
                <w:lang w:val="en-GB"/>
              </w:rPr>
              <w:t>0%. Re</w:t>
            </w:r>
            <w:r w:rsidR="008F4632" w:rsidRPr="009C0696">
              <w:rPr>
                <w:lang w:val="en-GB"/>
              </w:rPr>
              <w:t>cord rate of growth of the volume of salaries and wages did not do without partial changes in the structure of distribution of created gross value added. Also for this reason, the profitability of non-financial</w:t>
            </w:r>
            <w:r w:rsidR="00E92118" w:rsidRPr="009C0696">
              <w:rPr>
                <w:lang w:val="en-GB"/>
              </w:rPr>
              <w:t xml:space="preserve"> businesses</w:t>
            </w:r>
            <w:r w:rsidR="00D70289" w:rsidRPr="009C0696">
              <w:rPr>
                <w:rStyle w:val="Znakapoznpodarou"/>
                <w:lang w:val="en-GB"/>
              </w:rPr>
              <w:footnoteReference w:id="8"/>
            </w:r>
            <w:r w:rsidR="00D70289" w:rsidRPr="009C0696">
              <w:rPr>
                <w:lang w:val="en-GB"/>
              </w:rPr>
              <w:t xml:space="preserve"> </w:t>
            </w:r>
            <w:r w:rsidR="008F4632" w:rsidRPr="009C0696">
              <w:rPr>
                <w:lang w:val="en-GB"/>
              </w:rPr>
              <w:t xml:space="preserve">fell to </w:t>
            </w:r>
            <w:r w:rsidR="00D70289" w:rsidRPr="009C0696">
              <w:rPr>
                <w:lang w:val="en-GB"/>
              </w:rPr>
              <w:t>47</w:t>
            </w:r>
            <w:r w:rsidR="008F4632" w:rsidRPr="009C0696">
              <w:rPr>
                <w:lang w:val="en-GB"/>
              </w:rPr>
              <w:t>.</w:t>
            </w:r>
            <w:r w:rsidR="00D70289" w:rsidRPr="009C0696">
              <w:rPr>
                <w:lang w:val="en-GB"/>
              </w:rPr>
              <w:t>0%</w:t>
            </w:r>
            <w:r w:rsidR="008F4632" w:rsidRPr="009C0696">
              <w:rPr>
                <w:lang w:val="en-GB"/>
              </w:rPr>
              <w:t xml:space="preserve"> last year</w:t>
            </w:r>
            <w:r w:rsidR="00D70289" w:rsidRPr="009C0696">
              <w:rPr>
                <w:lang w:val="en-GB"/>
              </w:rPr>
              <w:t xml:space="preserve">, </w:t>
            </w:r>
            <w:r w:rsidR="00F602CF" w:rsidRPr="009C0696">
              <w:rPr>
                <w:lang w:val="en-GB"/>
              </w:rPr>
              <w:t xml:space="preserve">the lowest </w:t>
            </w:r>
            <w:r w:rsidR="008F4632" w:rsidRPr="009C0696">
              <w:rPr>
                <w:lang w:val="en-GB"/>
              </w:rPr>
              <w:t xml:space="preserve">point </w:t>
            </w:r>
            <w:r w:rsidR="00F602CF" w:rsidRPr="009C0696">
              <w:rPr>
                <w:lang w:val="en-GB"/>
              </w:rPr>
              <w:t xml:space="preserve">in the available time series. Nevertheless, this </w:t>
            </w:r>
            <w:r w:rsidR="008F4632" w:rsidRPr="009C0696">
              <w:rPr>
                <w:lang w:val="en-GB"/>
              </w:rPr>
              <w:t>indicator</w:t>
            </w:r>
            <w:r w:rsidR="00F602CF" w:rsidRPr="009C0696">
              <w:rPr>
                <w:lang w:val="en-GB"/>
              </w:rPr>
              <w:t xml:space="preserve"> remains above average compared to the EU average (it fluctuates around </w:t>
            </w:r>
            <w:r w:rsidR="008F4632" w:rsidRPr="009C0696">
              <w:rPr>
                <w:lang w:val="en-GB"/>
              </w:rPr>
              <w:t xml:space="preserve">40% in the long-term). </w:t>
            </w:r>
          </w:p>
        </w:tc>
      </w:tr>
      <w:tr w:rsidR="00D70289" w:rsidRPr="009C0696" w:rsidTr="00A74D81">
        <w:trPr>
          <w:trHeight w:val="170"/>
        </w:trPr>
        <w:tc>
          <w:tcPr>
            <w:tcW w:w="1802" w:type="dxa"/>
            <w:vMerge w:val="restart"/>
            <w:shd w:val="clear" w:color="auto" w:fill="auto"/>
            <w:tcMar>
              <w:left w:w="0" w:type="dxa"/>
            </w:tcMar>
          </w:tcPr>
          <w:p w:rsidR="00D70289" w:rsidRPr="009C0696" w:rsidRDefault="00D70289" w:rsidP="0033709C">
            <w:pPr>
              <w:pStyle w:val="Marginlie"/>
              <w:rPr>
                <w:lang w:val="en-GB"/>
              </w:rPr>
            </w:pPr>
          </w:p>
        </w:tc>
        <w:tc>
          <w:tcPr>
            <w:tcW w:w="227" w:type="dxa"/>
            <w:vMerge w:val="restart"/>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F7FC7" w:rsidRDefault="00F602CF" w:rsidP="0053183A">
            <w:pPr>
              <w:spacing w:after="0"/>
              <w:rPr>
                <w:b/>
                <w:szCs w:val="20"/>
                <w:lang w:val="en-GB"/>
              </w:rPr>
            </w:pPr>
            <w:r w:rsidRPr="009F7FC7">
              <w:rPr>
                <w:b/>
                <w:szCs w:val="20"/>
                <w:lang w:val="en-GB"/>
              </w:rPr>
              <w:t xml:space="preserve">Chart </w:t>
            </w:r>
            <w:proofErr w:type="gramStart"/>
            <w:r w:rsidR="00D70289" w:rsidRPr="009F7FC7">
              <w:rPr>
                <w:b/>
                <w:szCs w:val="20"/>
                <w:lang w:val="en-GB"/>
              </w:rPr>
              <w:t xml:space="preserve">3  </w:t>
            </w:r>
            <w:r w:rsidR="0053183A" w:rsidRPr="009F7FC7">
              <w:rPr>
                <w:b/>
                <w:szCs w:val="20"/>
                <w:lang w:val="en-GB"/>
              </w:rPr>
              <w:t>Contribution</w:t>
            </w:r>
            <w:proofErr w:type="gramEnd"/>
            <w:r w:rsidR="0053183A" w:rsidRPr="009F7FC7">
              <w:rPr>
                <w:b/>
                <w:szCs w:val="20"/>
                <w:lang w:val="en-GB"/>
              </w:rPr>
              <w:t xml:space="preserve"> of expenditure items to real GDP change</w:t>
            </w:r>
            <w:r w:rsidR="00D70289" w:rsidRPr="009F7FC7">
              <w:rPr>
                <w:rFonts w:cs="Arial"/>
                <w:b/>
                <w:szCs w:val="20"/>
                <w:lang w:val="en-GB" w:eastAsia="en-US"/>
              </w:rPr>
              <w:t xml:space="preserve">* </w:t>
            </w:r>
            <w:r w:rsidR="00D70289" w:rsidRPr="009F7FC7">
              <w:rPr>
                <w:rFonts w:cs="Arial"/>
                <w:szCs w:val="20"/>
                <w:lang w:val="en-GB" w:eastAsia="en-US"/>
              </w:rPr>
              <w:t>(</w:t>
            </w:r>
            <w:r w:rsidR="0053183A" w:rsidRPr="009F7FC7">
              <w:rPr>
                <w:rFonts w:cs="Arial"/>
                <w:szCs w:val="20"/>
                <w:lang w:val="en-GB" w:eastAsia="en-US"/>
              </w:rPr>
              <w:t>volume indices, year-on-year growth</w:t>
            </w:r>
            <w:r w:rsidR="00D70289" w:rsidRPr="009F7FC7">
              <w:rPr>
                <w:rFonts w:cs="Arial"/>
                <w:szCs w:val="20"/>
                <w:lang w:val="en-GB" w:eastAsia="en-US"/>
              </w:rPr>
              <w:t xml:space="preserve">, </w:t>
            </w:r>
            <w:r w:rsidR="0053183A" w:rsidRPr="009F7FC7">
              <w:rPr>
                <w:rFonts w:cs="Arial"/>
                <w:szCs w:val="20"/>
                <w:lang w:val="en-GB" w:eastAsia="en-US"/>
              </w:rPr>
              <w:t xml:space="preserve">contributions in </w:t>
            </w:r>
            <w:r w:rsidR="00D70289" w:rsidRPr="009F7FC7">
              <w:rPr>
                <w:rFonts w:cs="Arial"/>
                <w:szCs w:val="20"/>
                <w:lang w:val="en-GB" w:eastAsia="en-US"/>
              </w:rPr>
              <w:t>p.</w:t>
            </w:r>
            <w:r w:rsidR="0053183A" w:rsidRPr="009F7FC7">
              <w:rPr>
                <w:rFonts w:cs="Arial"/>
                <w:szCs w:val="20"/>
                <w:lang w:val="en-GB" w:eastAsia="en-US"/>
              </w:rPr>
              <w:t>p.</w:t>
            </w:r>
            <w:r w:rsidR="00D70289" w:rsidRPr="009F7FC7">
              <w:rPr>
                <w:rFonts w:cs="Arial"/>
                <w:szCs w:val="20"/>
                <w:lang w:val="en-GB" w:eastAsia="en-US"/>
              </w:rPr>
              <w:t xml:space="preserve">, </w:t>
            </w:r>
            <w:r w:rsidR="0053183A" w:rsidRPr="009F7FC7">
              <w:rPr>
                <w:rFonts w:cs="Arial"/>
                <w:szCs w:val="20"/>
                <w:lang w:val="en-GB" w:eastAsia="en-US"/>
              </w:rPr>
              <w:t xml:space="preserve">GDP in </w:t>
            </w:r>
            <w:r w:rsidR="00D70289" w:rsidRPr="009F7FC7">
              <w:rPr>
                <w:rFonts w:cs="Arial"/>
                <w:szCs w:val="20"/>
                <w:lang w:val="en-GB" w:eastAsia="en-US"/>
              </w:rPr>
              <w:t>%)</w:t>
            </w:r>
          </w:p>
        </w:tc>
      </w:tr>
      <w:tr w:rsidR="00D70289" w:rsidRPr="009C0696" w:rsidTr="00A74D81">
        <w:tblPrEx>
          <w:tblCellMar>
            <w:left w:w="70" w:type="dxa"/>
            <w:right w:w="70" w:type="dxa"/>
          </w:tblCellMar>
        </w:tblPrEx>
        <w:trPr>
          <w:trHeight w:val="170"/>
        </w:trPr>
        <w:tc>
          <w:tcPr>
            <w:tcW w:w="1802" w:type="dxa"/>
            <w:vMerge/>
            <w:shd w:val="clear" w:color="auto" w:fill="auto"/>
          </w:tcPr>
          <w:p w:rsidR="00D70289" w:rsidRPr="009C0696" w:rsidRDefault="00D70289" w:rsidP="00965797">
            <w:pPr>
              <w:pStyle w:val="Marginlie"/>
              <w:rPr>
                <w:lang w:val="en-GB"/>
              </w:rPr>
            </w:pPr>
          </w:p>
        </w:tc>
        <w:tc>
          <w:tcPr>
            <w:tcW w:w="227" w:type="dxa"/>
            <w:vMerge/>
            <w:shd w:val="clear" w:color="auto" w:fill="auto"/>
          </w:tcPr>
          <w:p w:rsidR="00D70289" w:rsidRPr="009C0696" w:rsidRDefault="00D70289" w:rsidP="00965797">
            <w:pPr>
              <w:pStyle w:val="Textpoznpodarou"/>
              <w:jc w:val="both"/>
              <w:rPr>
                <w:spacing w:val="-4"/>
                <w:lang w:val="en-GB"/>
              </w:rPr>
            </w:pPr>
          </w:p>
        </w:tc>
        <w:tc>
          <w:tcPr>
            <w:tcW w:w="7610" w:type="dxa"/>
            <w:shd w:val="clear" w:color="auto" w:fill="auto"/>
          </w:tcPr>
          <w:p w:rsidR="00D70289" w:rsidRPr="009C0696" w:rsidRDefault="0088419D" w:rsidP="00965797">
            <w:pPr>
              <w:spacing w:after="0"/>
              <w:rPr>
                <w:lang w:val="en-GB"/>
              </w:rPr>
            </w:pPr>
            <w:r>
              <w:rPr>
                <w:noProof/>
              </w:rPr>
              <w:drawing>
                <wp:inline distT="0" distB="0" distL="0" distR="0" wp14:anchorId="623CAFAD" wp14:editId="71B3A223">
                  <wp:extent cx="4737100" cy="3354670"/>
                  <wp:effectExtent l="0" t="0" r="6350" b="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D70289" w:rsidRPr="009C0696" w:rsidTr="00A74D81">
        <w:trPr>
          <w:trHeight w:val="170"/>
        </w:trPr>
        <w:tc>
          <w:tcPr>
            <w:tcW w:w="1802" w:type="dxa"/>
            <w:vMerge/>
            <w:shd w:val="clear" w:color="auto" w:fill="auto"/>
            <w:tcMar>
              <w:left w:w="0" w:type="dxa"/>
            </w:tcMar>
          </w:tcPr>
          <w:p w:rsidR="00D70289" w:rsidRPr="009C0696" w:rsidRDefault="00D70289" w:rsidP="00965797">
            <w:pPr>
              <w:pStyle w:val="Marginlie"/>
              <w:rPr>
                <w:lang w:val="en-GB"/>
              </w:rPr>
            </w:pPr>
          </w:p>
        </w:tc>
        <w:tc>
          <w:tcPr>
            <w:tcW w:w="227" w:type="dxa"/>
            <w:vMerge/>
            <w:shd w:val="clear" w:color="auto" w:fill="auto"/>
            <w:tcMar>
              <w:left w:w="0" w:type="dxa"/>
            </w:tcMar>
          </w:tcPr>
          <w:p w:rsidR="00D70289" w:rsidRPr="009C0696" w:rsidRDefault="00D70289" w:rsidP="00965797">
            <w:pPr>
              <w:pStyle w:val="Textpoznpodarou"/>
              <w:jc w:val="both"/>
              <w:rPr>
                <w:spacing w:val="-4"/>
                <w:lang w:val="en-GB"/>
              </w:rPr>
            </w:pPr>
          </w:p>
        </w:tc>
        <w:tc>
          <w:tcPr>
            <w:tcW w:w="7610" w:type="dxa"/>
            <w:shd w:val="clear" w:color="auto" w:fill="auto"/>
            <w:tcMar>
              <w:left w:w="0" w:type="dxa"/>
            </w:tcMar>
          </w:tcPr>
          <w:p w:rsidR="00D70289" w:rsidRPr="009C0696" w:rsidRDefault="008F4632" w:rsidP="0033709C">
            <w:pPr>
              <w:spacing w:after="0"/>
              <w:rPr>
                <w:sz w:val="14"/>
                <w:szCs w:val="14"/>
                <w:lang w:val="en-GB"/>
              </w:rPr>
            </w:pPr>
            <w:r w:rsidRPr="009C0696">
              <w:rPr>
                <w:sz w:val="14"/>
                <w:szCs w:val="14"/>
                <w:lang w:val="en-GB"/>
              </w:rPr>
              <w:t>Source</w:t>
            </w:r>
            <w:r w:rsidR="00D70289" w:rsidRPr="009C0696">
              <w:rPr>
                <w:sz w:val="14"/>
                <w:szCs w:val="14"/>
                <w:lang w:val="en-GB"/>
              </w:rPr>
              <w:t xml:space="preserve">: </w:t>
            </w:r>
            <w:r w:rsidRPr="009C0696">
              <w:rPr>
                <w:sz w:val="14"/>
                <w:szCs w:val="14"/>
                <w:lang w:val="en-GB"/>
              </w:rPr>
              <w:t>CZSO</w:t>
            </w:r>
          </w:p>
          <w:p w:rsidR="00A54698" w:rsidRPr="009C0696" w:rsidRDefault="00A1575D" w:rsidP="009F7FC7">
            <w:pPr>
              <w:spacing w:after="180"/>
              <w:rPr>
                <w:sz w:val="14"/>
                <w:szCs w:val="14"/>
                <w:lang w:val="en-GB"/>
              </w:rPr>
            </w:pPr>
            <w:r w:rsidRPr="009C0696">
              <w:rPr>
                <w:sz w:val="14"/>
                <w:szCs w:val="14"/>
                <w:lang w:val="en-GB"/>
              </w:rPr>
              <w:t xml:space="preserve">*after </w:t>
            </w:r>
            <w:r w:rsidR="00A54698" w:rsidRPr="009C0696">
              <w:rPr>
                <w:sz w:val="14"/>
                <w:szCs w:val="14"/>
                <w:lang w:val="en-GB"/>
              </w:rPr>
              <w:t>exclusion of imports for final use</w:t>
            </w:r>
          </w:p>
        </w:tc>
      </w:tr>
      <w:tr w:rsidR="00D70289" w:rsidRPr="009C0696" w:rsidTr="00A74D81">
        <w:trPr>
          <w:trHeight w:val="145"/>
        </w:trPr>
        <w:tc>
          <w:tcPr>
            <w:tcW w:w="1802" w:type="dxa"/>
            <w:shd w:val="clear" w:color="auto" w:fill="auto"/>
            <w:tcMar>
              <w:left w:w="0" w:type="dxa"/>
            </w:tcMar>
          </w:tcPr>
          <w:p w:rsidR="00D70289" w:rsidRPr="009C0696" w:rsidRDefault="00200941" w:rsidP="00200941">
            <w:pPr>
              <w:pStyle w:val="Marginlie"/>
              <w:rPr>
                <w:lang w:val="en-GB"/>
              </w:rPr>
            </w:pPr>
            <w:r w:rsidRPr="009C0696">
              <w:rPr>
                <w:lang w:val="en-GB"/>
              </w:rPr>
              <w:t xml:space="preserve">Consumption remained the key pro-growth factor. Its year-on-year dynamics slowed down in case of households towards the end of the year.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200941" w:rsidP="00DA35CD">
            <w:pPr>
              <w:rPr>
                <w:spacing w:val="-2"/>
                <w:lang w:val="en-GB"/>
              </w:rPr>
            </w:pPr>
            <w:r w:rsidRPr="009C0696">
              <w:rPr>
                <w:lang w:val="en-GB"/>
              </w:rPr>
              <w:t xml:space="preserve">Total growth of final consumption expenditure attained 3.3% in </w:t>
            </w:r>
            <w:r w:rsidR="00D70289" w:rsidRPr="009C0696">
              <w:rPr>
                <w:lang w:val="en-GB"/>
              </w:rPr>
              <w:t xml:space="preserve">2018. </w:t>
            </w:r>
            <w:r w:rsidR="00B436C1" w:rsidRPr="009C0696">
              <w:rPr>
                <w:lang w:val="en-GB"/>
              </w:rPr>
              <w:t xml:space="preserve">The dynamics managed to stay above the </w:t>
            </w:r>
            <w:r w:rsidR="00D70289" w:rsidRPr="009C0696">
              <w:rPr>
                <w:lang w:val="en-GB"/>
              </w:rPr>
              <w:t xml:space="preserve">3% </w:t>
            </w:r>
            <w:r w:rsidR="00B436C1" w:rsidRPr="009C0696">
              <w:rPr>
                <w:lang w:val="en-GB"/>
              </w:rPr>
              <w:t>boundary already four years in a row.</w:t>
            </w:r>
            <w:r w:rsidR="00D70289" w:rsidRPr="009C0696">
              <w:rPr>
                <w:lang w:val="en-GB"/>
              </w:rPr>
              <w:t xml:space="preserve"> </w:t>
            </w:r>
            <w:r w:rsidR="004357AF" w:rsidRPr="009C0696">
              <w:rPr>
                <w:lang w:val="en-GB"/>
              </w:rPr>
              <w:t xml:space="preserve">Household consumption grew by </w:t>
            </w:r>
            <w:r w:rsidR="00D70289" w:rsidRPr="009C0696">
              <w:rPr>
                <w:lang w:val="en-GB"/>
              </w:rPr>
              <w:t>3</w:t>
            </w:r>
            <w:r w:rsidR="004357AF" w:rsidRPr="009C0696">
              <w:rPr>
                <w:lang w:val="en-GB"/>
              </w:rPr>
              <w:t>.</w:t>
            </w:r>
            <w:r w:rsidR="00D70289" w:rsidRPr="009C0696">
              <w:rPr>
                <w:lang w:val="en-GB"/>
              </w:rPr>
              <w:t>1% a</w:t>
            </w:r>
            <w:r w:rsidR="004357AF" w:rsidRPr="009C0696">
              <w:rPr>
                <w:lang w:val="en-GB"/>
              </w:rPr>
              <w:t xml:space="preserve">nd government institutions by </w:t>
            </w:r>
            <w:r w:rsidR="00D70289" w:rsidRPr="009C0696">
              <w:rPr>
                <w:lang w:val="en-GB"/>
              </w:rPr>
              <w:t>3</w:t>
            </w:r>
            <w:r w:rsidR="004357AF" w:rsidRPr="009C0696">
              <w:rPr>
                <w:lang w:val="en-GB"/>
              </w:rPr>
              <w:t>.</w:t>
            </w:r>
            <w:r w:rsidR="00D70289" w:rsidRPr="009C0696">
              <w:rPr>
                <w:lang w:val="en-GB"/>
              </w:rPr>
              <w:t>7% (</w:t>
            </w:r>
            <w:r w:rsidR="004357AF" w:rsidRPr="009C0696">
              <w:rPr>
                <w:lang w:val="en-GB"/>
              </w:rPr>
              <w:t xml:space="preserve">the most since </w:t>
            </w:r>
            <w:r w:rsidR="00D70289" w:rsidRPr="009C0696">
              <w:rPr>
                <w:lang w:val="en-GB"/>
              </w:rPr>
              <w:t xml:space="preserve">2003). </w:t>
            </w:r>
            <w:r w:rsidR="00B436C1" w:rsidRPr="009C0696">
              <w:rPr>
                <w:lang w:val="en-GB"/>
              </w:rPr>
              <w:t xml:space="preserve">Total consumption increased by 2.6% year-on-year in Q4 only </w:t>
            </w:r>
            <w:r w:rsidR="00D70289" w:rsidRPr="009C0696">
              <w:rPr>
                <w:lang w:val="en-GB"/>
              </w:rPr>
              <w:t>(</w:t>
            </w:r>
            <w:r w:rsidR="00B436C1" w:rsidRPr="009C0696">
              <w:rPr>
                <w:lang w:val="en-GB"/>
              </w:rPr>
              <w:t xml:space="preserve">the dynamics slid below </w:t>
            </w:r>
            <w:r w:rsidR="00D70289" w:rsidRPr="009C0696">
              <w:rPr>
                <w:lang w:val="en-GB"/>
              </w:rPr>
              <w:t xml:space="preserve">3% </w:t>
            </w:r>
            <w:r w:rsidR="00B436C1" w:rsidRPr="009C0696">
              <w:rPr>
                <w:lang w:val="en-GB"/>
              </w:rPr>
              <w:t xml:space="preserve">after </w:t>
            </w:r>
            <w:r w:rsidR="00D70289" w:rsidRPr="009C0696">
              <w:rPr>
                <w:lang w:val="en-GB"/>
              </w:rPr>
              <w:t>14 </w:t>
            </w:r>
            <w:r w:rsidR="00B436C1" w:rsidRPr="009C0696">
              <w:rPr>
                <w:lang w:val="en-GB"/>
              </w:rPr>
              <w:t>quarters</w:t>
            </w:r>
            <w:r w:rsidR="00D70289" w:rsidRPr="009C0696">
              <w:rPr>
                <w:lang w:val="en-GB"/>
              </w:rPr>
              <w:t xml:space="preserve">). </w:t>
            </w:r>
            <w:r w:rsidR="00952D37" w:rsidRPr="009C0696">
              <w:rPr>
                <w:lang w:val="en-GB"/>
              </w:rPr>
              <w:t xml:space="preserve">The smaller addition of household expenditure was mainly behind the weaker growth </w:t>
            </w:r>
            <w:r w:rsidR="00D70289" w:rsidRPr="009C0696">
              <w:rPr>
                <w:lang w:val="en-GB"/>
              </w:rPr>
              <w:t>(2</w:t>
            </w:r>
            <w:r w:rsidR="00952D37" w:rsidRPr="009C0696">
              <w:rPr>
                <w:lang w:val="en-GB"/>
              </w:rPr>
              <w:t>.</w:t>
            </w:r>
            <w:r w:rsidR="00D70289" w:rsidRPr="009C0696">
              <w:rPr>
                <w:lang w:val="en-GB"/>
              </w:rPr>
              <w:t xml:space="preserve">2%, </w:t>
            </w:r>
            <w:r w:rsidR="00952D37" w:rsidRPr="009C0696">
              <w:rPr>
                <w:lang w:val="en-GB"/>
              </w:rPr>
              <w:t>the least since Q</w:t>
            </w:r>
            <w:r w:rsidR="00D70289" w:rsidRPr="009C0696">
              <w:rPr>
                <w:lang w:val="en-GB"/>
              </w:rPr>
              <w:t>3</w:t>
            </w:r>
            <w:r w:rsidR="00952D37" w:rsidRPr="009C0696">
              <w:rPr>
                <w:lang w:val="en-GB"/>
              </w:rPr>
              <w:t xml:space="preserve"> </w:t>
            </w:r>
            <w:r w:rsidR="00D70289" w:rsidRPr="009C0696">
              <w:rPr>
                <w:lang w:val="en-GB"/>
              </w:rPr>
              <w:t xml:space="preserve">2014), </w:t>
            </w:r>
            <w:r w:rsidR="001A75B3" w:rsidRPr="009C0696">
              <w:rPr>
                <w:lang w:val="en-GB"/>
              </w:rPr>
              <w:t xml:space="preserve">resulting also in a lower addition to the GDP growth </w:t>
            </w:r>
            <w:r w:rsidR="00D70289" w:rsidRPr="009C0696">
              <w:rPr>
                <w:lang w:val="en-GB"/>
              </w:rPr>
              <w:t>(0</w:t>
            </w:r>
            <w:r w:rsidR="001A75B3" w:rsidRPr="009C0696">
              <w:rPr>
                <w:lang w:val="en-GB"/>
              </w:rPr>
              <w:t>.</w:t>
            </w:r>
            <w:r w:rsidR="00D70289" w:rsidRPr="009C0696">
              <w:rPr>
                <w:lang w:val="en-GB"/>
              </w:rPr>
              <w:t>6 p.</w:t>
            </w:r>
            <w:r w:rsidR="001A75B3" w:rsidRPr="009C0696">
              <w:rPr>
                <w:lang w:val="en-GB"/>
              </w:rPr>
              <w:t>p</w:t>
            </w:r>
            <w:r w:rsidR="00D70289" w:rsidRPr="009C0696">
              <w:rPr>
                <w:lang w:val="en-GB"/>
              </w:rPr>
              <w:t xml:space="preserve">.). </w:t>
            </w:r>
            <w:r w:rsidR="00B436C1" w:rsidRPr="009C0696">
              <w:rPr>
                <w:lang w:val="en-GB"/>
              </w:rPr>
              <w:t xml:space="preserve">On the contrary, the government institutions expended on consumption by 3.6% more year-on-year, which contributed 0.7 p.p. to the growth.   </w:t>
            </w:r>
            <w:r w:rsidR="00D70289" w:rsidRPr="009C0696">
              <w:rPr>
                <w:lang w:val="en-GB"/>
              </w:rPr>
              <w:t xml:space="preserve"> </w:t>
            </w:r>
          </w:p>
        </w:tc>
      </w:tr>
      <w:tr w:rsidR="00D70289" w:rsidRPr="009C0696" w:rsidTr="00A74D81">
        <w:trPr>
          <w:trHeight w:val="145"/>
        </w:trPr>
        <w:tc>
          <w:tcPr>
            <w:tcW w:w="1802" w:type="dxa"/>
            <w:shd w:val="clear" w:color="auto" w:fill="auto"/>
            <w:tcMar>
              <w:left w:w="0" w:type="dxa"/>
            </w:tcMar>
          </w:tcPr>
          <w:p w:rsidR="00D70289" w:rsidRPr="009C0696" w:rsidRDefault="001A75B3" w:rsidP="001A75B3">
            <w:pPr>
              <w:pStyle w:val="Marginlie"/>
              <w:rPr>
                <w:lang w:val="en-GB"/>
              </w:rPr>
            </w:pPr>
            <w:r w:rsidRPr="009C0696">
              <w:rPr>
                <w:lang w:val="en-GB"/>
              </w:rPr>
              <w:lastRenderedPageBreak/>
              <w:t xml:space="preserve">Households put more money aside last year.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1A75B3" w:rsidP="0088419D">
            <w:pPr>
              <w:rPr>
                <w:lang w:val="en-GB"/>
              </w:rPr>
            </w:pPr>
            <w:r w:rsidRPr="009C0696">
              <w:rPr>
                <w:lang w:val="en-GB"/>
              </w:rPr>
              <w:t xml:space="preserve">Slower dynamics of household consumption </w:t>
            </w:r>
            <w:r w:rsidR="00062C5C" w:rsidRPr="009C0696">
              <w:rPr>
                <w:lang w:val="en-GB"/>
              </w:rPr>
              <w:t xml:space="preserve">emerged </w:t>
            </w:r>
            <w:r w:rsidRPr="009C0696">
              <w:rPr>
                <w:lang w:val="en-GB"/>
              </w:rPr>
              <w:t>despite the record average wage growth last year</w:t>
            </w:r>
            <w:r w:rsidR="00062C5C" w:rsidRPr="009C0696">
              <w:rPr>
                <w:lang w:val="en-GB"/>
              </w:rPr>
              <w:t xml:space="preserve">. Households in fact saved a notable part of income. </w:t>
            </w:r>
            <w:r w:rsidR="001972B0" w:rsidRPr="009C0696">
              <w:rPr>
                <w:lang w:val="en-GB"/>
              </w:rPr>
              <w:t>The savings rate</w:t>
            </w:r>
            <w:r w:rsidR="00D70289" w:rsidRPr="009C0696">
              <w:rPr>
                <w:rStyle w:val="Znakapoznpodarou"/>
                <w:lang w:val="en-GB"/>
              </w:rPr>
              <w:footnoteReference w:id="9"/>
            </w:r>
            <w:r w:rsidR="00D70289" w:rsidRPr="009C0696">
              <w:rPr>
                <w:lang w:val="en-GB"/>
              </w:rPr>
              <w:t xml:space="preserve"> </w:t>
            </w:r>
            <w:r w:rsidR="00062C5C" w:rsidRPr="009C0696">
              <w:rPr>
                <w:lang w:val="en-GB"/>
              </w:rPr>
              <w:t xml:space="preserve">arrived at </w:t>
            </w:r>
            <w:r w:rsidR="00D70289" w:rsidRPr="009C0696">
              <w:rPr>
                <w:lang w:val="en-GB"/>
              </w:rPr>
              <w:t>10</w:t>
            </w:r>
            <w:r w:rsidR="00062C5C" w:rsidRPr="009C0696">
              <w:rPr>
                <w:lang w:val="en-GB"/>
              </w:rPr>
              <w:t>.</w:t>
            </w:r>
            <w:r w:rsidR="00D70289" w:rsidRPr="009C0696">
              <w:rPr>
                <w:lang w:val="en-GB"/>
              </w:rPr>
              <w:t>8%</w:t>
            </w:r>
            <w:r w:rsidR="00062C5C" w:rsidRPr="009C0696">
              <w:rPr>
                <w:lang w:val="en-GB"/>
              </w:rPr>
              <w:t xml:space="preserve"> last year</w:t>
            </w:r>
            <w:r w:rsidR="00D70289" w:rsidRPr="009C0696">
              <w:rPr>
                <w:lang w:val="en-GB"/>
              </w:rPr>
              <w:t xml:space="preserve">. </w:t>
            </w:r>
            <w:r w:rsidR="00062C5C" w:rsidRPr="009C0696">
              <w:rPr>
                <w:lang w:val="en-GB"/>
              </w:rPr>
              <w:t xml:space="preserve">Even though it presents a relatively low number in the long-term view </w:t>
            </w:r>
            <w:r w:rsidR="00D70289" w:rsidRPr="009C0696">
              <w:rPr>
                <w:lang w:val="en-GB"/>
              </w:rPr>
              <w:t>(</w:t>
            </w:r>
            <w:r w:rsidR="00062C5C" w:rsidRPr="009C0696">
              <w:rPr>
                <w:lang w:val="en-GB"/>
              </w:rPr>
              <w:t xml:space="preserve">the </w:t>
            </w:r>
            <w:r w:rsidR="001972B0" w:rsidRPr="009C0696">
              <w:rPr>
                <w:lang w:val="en-GB"/>
              </w:rPr>
              <w:t>savings rate g</w:t>
            </w:r>
            <w:r w:rsidR="00062C5C" w:rsidRPr="009C0696">
              <w:rPr>
                <w:lang w:val="en-GB"/>
              </w:rPr>
              <w:t xml:space="preserve">enerally exceeds </w:t>
            </w:r>
            <w:r w:rsidR="00D70289" w:rsidRPr="009C0696">
              <w:rPr>
                <w:lang w:val="en-GB"/>
              </w:rPr>
              <w:t xml:space="preserve">11%), </w:t>
            </w:r>
            <w:r w:rsidR="00062C5C" w:rsidRPr="009C0696">
              <w:rPr>
                <w:lang w:val="en-GB"/>
              </w:rPr>
              <w:t xml:space="preserve">it is a considerable increase compared to the record low value of year </w:t>
            </w:r>
            <w:r w:rsidR="00D70289" w:rsidRPr="009C0696">
              <w:rPr>
                <w:lang w:val="en-GB"/>
              </w:rPr>
              <w:t>2017 (9</w:t>
            </w:r>
            <w:r w:rsidR="00062C5C" w:rsidRPr="009C0696">
              <w:rPr>
                <w:lang w:val="en-GB"/>
              </w:rPr>
              <w:t>.</w:t>
            </w:r>
            <w:r w:rsidR="00D70289" w:rsidRPr="009C0696">
              <w:rPr>
                <w:lang w:val="en-GB"/>
              </w:rPr>
              <w:t xml:space="preserve">5%). </w:t>
            </w:r>
            <w:r w:rsidR="00091C64" w:rsidRPr="009C0696">
              <w:rPr>
                <w:lang w:val="en-GB"/>
              </w:rPr>
              <w:t xml:space="preserve">Average monthly household income per </w:t>
            </w:r>
            <w:r w:rsidR="00504812" w:rsidRPr="009C0696">
              <w:rPr>
                <w:lang w:val="en-GB"/>
              </w:rPr>
              <w:t>capita</w:t>
            </w:r>
            <w:r w:rsidR="00D70289" w:rsidRPr="009C0696">
              <w:rPr>
                <w:rStyle w:val="Znakapoznpodarou"/>
                <w:lang w:val="en-GB"/>
              </w:rPr>
              <w:footnoteReference w:id="10"/>
            </w:r>
            <w:r w:rsidR="00D70289" w:rsidRPr="009C0696">
              <w:rPr>
                <w:lang w:val="en-GB"/>
              </w:rPr>
              <w:t xml:space="preserve"> </w:t>
            </w:r>
            <w:r w:rsidR="00091C64" w:rsidRPr="009C0696">
              <w:rPr>
                <w:lang w:val="en-GB"/>
              </w:rPr>
              <w:t xml:space="preserve">was </w:t>
            </w:r>
            <w:r w:rsidR="00D70289" w:rsidRPr="009C0696">
              <w:rPr>
                <w:lang w:val="en-GB"/>
              </w:rPr>
              <w:t xml:space="preserve">26 389 </w:t>
            </w:r>
            <w:r w:rsidR="00091C64" w:rsidRPr="009C0696">
              <w:rPr>
                <w:lang w:val="en-GB"/>
              </w:rPr>
              <w:t xml:space="preserve">CZK last year and it grew by </w:t>
            </w:r>
            <w:r w:rsidR="00D70289" w:rsidRPr="009C0696">
              <w:rPr>
                <w:lang w:val="en-GB"/>
              </w:rPr>
              <w:t>1 810 </w:t>
            </w:r>
            <w:r w:rsidR="00091C64" w:rsidRPr="009C0696">
              <w:rPr>
                <w:lang w:val="en-GB"/>
              </w:rPr>
              <w:t>CZK year-on-year, which is the largest nominal increase in the whole available time series. Household income growth per capita in real terms attained 4.7% last year (</w:t>
            </w:r>
            <w:r w:rsidR="00D11C6C" w:rsidRPr="009C0696">
              <w:rPr>
                <w:lang w:val="en-GB"/>
              </w:rPr>
              <w:t xml:space="preserve">adjusted </w:t>
            </w:r>
            <w:r w:rsidR="00091C64" w:rsidRPr="009C0696">
              <w:rPr>
                <w:lang w:val="en-GB"/>
              </w:rPr>
              <w:t xml:space="preserve">by the deflator of household final consumption expenditure for year </w:t>
            </w:r>
            <w:r w:rsidR="00D70289" w:rsidRPr="009C0696">
              <w:rPr>
                <w:lang w:val="en-GB"/>
              </w:rPr>
              <w:t xml:space="preserve">2018). </w:t>
            </w:r>
            <w:r w:rsidR="0088419D">
              <w:rPr>
                <w:lang w:val="en-GB"/>
              </w:rPr>
              <w:t>S</w:t>
            </w:r>
            <w:r w:rsidR="00D11C6C" w:rsidRPr="009C0696">
              <w:rPr>
                <w:lang w:val="en-GB"/>
              </w:rPr>
              <w:t>ocial transfers</w:t>
            </w:r>
            <w:r w:rsidR="0088419D">
              <w:rPr>
                <w:lang w:val="en-GB"/>
              </w:rPr>
              <w:t xml:space="preserve"> in kind</w:t>
            </w:r>
            <w:r w:rsidR="00091C64" w:rsidRPr="009C0696">
              <w:rPr>
                <w:rStyle w:val="Znakapoznpodarou"/>
                <w:lang w:val="en-GB"/>
              </w:rPr>
              <w:footnoteReference w:id="11"/>
            </w:r>
            <w:r w:rsidR="00091C64" w:rsidRPr="009C0696">
              <w:rPr>
                <w:lang w:val="en-GB"/>
              </w:rPr>
              <w:t xml:space="preserve"> are also part of these incomes. </w:t>
            </w:r>
            <w:r w:rsidR="00FB662B" w:rsidRPr="009C0696">
              <w:rPr>
                <w:lang w:val="en-GB"/>
              </w:rPr>
              <w:t xml:space="preserve">Their average monthly value per capita amounted to </w:t>
            </w:r>
            <w:r w:rsidR="00D70289" w:rsidRPr="009C0696">
              <w:rPr>
                <w:lang w:val="en-GB"/>
              </w:rPr>
              <w:t xml:space="preserve">4 689 </w:t>
            </w:r>
            <w:r w:rsidR="00FB662B" w:rsidRPr="009C0696">
              <w:rPr>
                <w:lang w:val="en-GB"/>
              </w:rPr>
              <w:t xml:space="preserve">CZK last year </w:t>
            </w:r>
            <w:r w:rsidR="00D70289" w:rsidRPr="009C0696">
              <w:rPr>
                <w:lang w:val="en-GB"/>
              </w:rPr>
              <w:t>a</w:t>
            </w:r>
            <w:r w:rsidR="00A02D00" w:rsidRPr="009C0696">
              <w:rPr>
                <w:lang w:val="en-GB"/>
              </w:rPr>
              <w:t>nd it participated by 17.8% on total household inc</w:t>
            </w:r>
            <w:r w:rsidR="00FB662B" w:rsidRPr="009C0696">
              <w:rPr>
                <w:lang w:val="en-GB"/>
              </w:rPr>
              <w:t>o</w:t>
            </w:r>
            <w:r w:rsidR="00A02D00" w:rsidRPr="009C0696">
              <w:rPr>
                <w:lang w:val="en-GB"/>
              </w:rPr>
              <w:t xml:space="preserve">me. </w:t>
            </w:r>
          </w:p>
        </w:tc>
      </w:tr>
      <w:tr w:rsidR="00D70289" w:rsidRPr="009C0696" w:rsidTr="00A74D81">
        <w:trPr>
          <w:trHeight w:val="145"/>
        </w:trPr>
        <w:tc>
          <w:tcPr>
            <w:tcW w:w="1802" w:type="dxa"/>
            <w:shd w:val="clear" w:color="auto" w:fill="auto"/>
            <w:tcMar>
              <w:left w:w="0" w:type="dxa"/>
            </w:tcMar>
          </w:tcPr>
          <w:p w:rsidR="00D70289" w:rsidRPr="009C0696" w:rsidRDefault="00D70289" w:rsidP="008F0E4E">
            <w:pPr>
              <w:pStyle w:val="Marginlie"/>
              <w:rPr>
                <w:lang w:val="en-GB"/>
              </w:rPr>
            </w:pPr>
            <w:r w:rsidRPr="009C0696">
              <w:rPr>
                <w:lang w:val="en-GB"/>
              </w:rPr>
              <w:t>Invest</w:t>
            </w:r>
            <w:r w:rsidR="002715E1" w:rsidRPr="009C0696">
              <w:rPr>
                <w:lang w:val="en-GB"/>
              </w:rPr>
              <w:t xml:space="preserve">ment expenditure grew strongly for households, government institutions as well as non-financial </w:t>
            </w:r>
            <w:r w:rsidR="009C0696" w:rsidRPr="009C0696">
              <w:rPr>
                <w:lang w:val="en-GB"/>
              </w:rPr>
              <w:t>businesses</w:t>
            </w:r>
            <w:r w:rsidR="002715E1" w:rsidRPr="009C0696">
              <w:rPr>
                <w:lang w:val="en-GB"/>
              </w:rPr>
              <w:t xml:space="preserve"> last year.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2715E1" w:rsidP="00504812">
            <w:pPr>
              <w:rPr>
                <w:lang w:val="en-GB"/>
              </w:rPr>
            </w:pPr>
            <w:r w:rsidRPr="009C0696">
              <w:rPr>
                <w:lang w:val="en-GB"/>
              </w:rPr>
              <w:t xml:space="preserve">Gross fixed capital expenditure increased by </w:t>
            </w:r>
            <w:r w:rsidR="00D70289" w:rsidRPr="009C0696">
              <w:rPr>
                <w:lang w:val="en-GB"/>
              </w:rPr>
              <w:t>5</w:t>
            </w:r>
            <w:r w:rsidRPr="009C0696">
              <w:rPr>
                <w:lang w:val="en-GB"/>
              </w:rPr>
              <w:t>.</w:t>
            </w:r>
            <w:r w:rsidR="00D70289" w:rsidRPr="009C0696">
              <w:rPr>
                <w:lang w:val="en-GB"/>
              </w:rPr>
              <w:t>7%</w:t>
            </w:r>
            <w:r w:rsidRPr="009C0696">
              <w:rPr>
                <w:lang w:val="en-GB"/>
              </w:rPr>
              <w:t xml:space="preserve"> last year</w:t>
            </w:r>
            <w:r w:rsidR="00D70289" w:rsidRPr="009C0696">
              <w:rPr>
                <w:lang w:val="en-GB"/>
              </w:rPr>
              <w:t xml:space="preserve">. </w:t>
            </w:r>
            <w:r w:rsidRPr="009C0696">
              <w:rPr>
                <w:lang w:val="en-GB"/>
              </w:rPr>
              <w:t xml:space="preserve">Fixed capital expenditure, which is represented by investments in the national accounts, grew by </w:t>
            </w:r>
            <w:r w:rsidR="00D70289" w:rsidRPr="009C0696">
              <w:rPr>
                <w:lang w:val="en-GB"/>
              </w:rPr>
              <w:t>10</w:t>
            </w:r>
            <w:r w:rsidRPr="009C0696">
              <w:rPr>
                <w:lang w:val="en-GB"/>
              </w:rPr>
              <w:t>.</w:t>
            </w:r>
            <w:r w:rsidR="00D70289" w:rsidRPr="009C0696">
              <w:rPr>
                <w:lang w:val="en-GB"/>
              </w:rPr>
              <w:t>4% (a</w:t>
            </w:r>
            <w:r w:rsidRPr="009C0696">
              <w:rPr>
                <w:lang w:val="en-GB"/>
              </w:rPr>
              <w:t xml:space="preserve">nd their contribution to the GDP growth totalled </w:t>
            </w:r>
            <w:r w:rsidR="00D70289" w:rsidRPr="009C0696">
              <w:rPr>
                <w:lang w:val="en-GB"/>
              </w:rPr>
              <w:t>2</w:t>
            </w:r>
            <w:r w:rsidRPr="009C0696">
              <w:rPr>
                <w:lang w:val="en-GB"/>
              </w:rPr>
              <w:t>.</w:t>
            </w:r>
            <w:r w:rsidR="00D70289" w:rsidRPr="009C0696">
              <w:rPr>
                <w:lang w:val="en-GB"/>
              </w:rPr>
              <w:t>0 p.</w:t>
            </w:r>
            <w:r w:rsidRPr="009C0696">
              <w:rPr>
                <w:lang w:val="en-GB"/>
              </w:rPr>
              <w:t>p</w:t>
            </w:r>
            <w:r w:rsidR="00D70289" w:rsidRPr="009C0696">
              <w:rPr>
                <w:lang w:val="en-GB"/>
              </w:rPr>
              <w:t xml:space="preserve">.). </w:t>
            </w:r>
            <w:r w:rsidR="00D11C6C" w:rsidRPr="009C0696">
              <w:rPr>
                <w:lang w:val="en-GB"/>
              </w:rPr>
              <w:t xml:space="preserve">Change of stock of inventories </w:t>
            </w:r>
            <w:r w:rsidR="00BE3745" w:rsidRPr="009C0696">
              <w:rPr>
                <w:lang w:val="en-GB"/>
              </w:rPr>
              <w:t>had an adverse effect</w:t>
            </w:r>
            <w:r w:rsidR="00D70289" w:rsidRPr="009C0696">
              <w:rPr>
                <w:rStyle w:val="Znakapoznpodarou"/>
                <w:lang w:val="en-GB"/>
              </w:rPr>
              <w:footnoteReference w:id="12"/>
            </w:r>
            <w:r w:rsidR="00D70289" w:rsidRPr="009C0696">
              <w:rPr>
                <w:lang w:val="en-GB"/>
              </w:rPr>
              <w:t xml:space="preserve"> (-1</w:t>
            </w:r>
            <w:r w:rsidR="00BE3745" w:rsidRPr="009C0696">
              <w:rPr>
                <w:lang w:val="en-GB"/>
              </w:rPr>
              <w:t>.</w:t>
            </w:r>
            <w:r w:rsidR="00D70289" w:rsidRPr="009C0696">
              <w:rPr>
                <w:lang w:val="en-GB"/>
              </w:rPr>
              <w:t>2 p.</w:t>
            </w:r>
            <w:r w:rsidR="00BE3745" w:rsidRPr="009C0696">
              <w:rPr>
                <w:lang w:val="en-GB"/>
              </w:rPr>
              <w:t>p</w:t>
            </w:r>
            <w:r w:rsidR="00D70289" w:rsidRPr="009C0696">
              <w:rPr>
                <w:lang w:val="en-GB"/>
              </w:rPr>
              <w:t xml:space="preserve">.). </w:t>
            </w:r>
            <w:r w:rsidR="003F0D62" w:rsidRPr="009C0696">
              <w:rPr>
                <w:lang w:val="en-GB"/>
              </w:rPr>
              <w:t xml:space="preserve">Investment expenditure grew by </w:t>
            </w:r>
            <w:r w:rsidR="00D70289" w:rsidRPr="009C0696">
              <w:rPr>
                <w:lang w:val="en-GB"/>
              </w:rPr>
              <w:t>10</w:t>
            </w:r>
            <w:r w:rsidR="003F0D62" w:rsidRPr="009C0696">
              <w:rPr>
                <w:lang w:val="en-GB"/>
              </w:rPr>
              <w:t>.</w:t>
            </w:r>
            <w:r w:rsidR="00D70289" w:rsidRPr="009C0696">
              <w:rPr>
                <w:lang w:val="en-GB"/>
              </w:rPr>
              <w:t>4%</w:t>
            </w:r>
            <w:r w:rsidR="003F0D62" w:rsidRPr="009C0696">
              <w:rPr>
                <w:lang w:val="en-GB"/>
              </w:rPr>
              <w:t xml:space="preserve"> in Q4</w:t>
            </w:r>
            <w:r w:rsidR="00D70289" w:rsidRPr="009C0696">
              <w:rPr>
                <w:lang w:val="en-GB"/>
              </w:rPr>
              <w:t xml:space="preserve">. </w:t>
            </w:r>
            <w:r w:rsidR="003F0D62" w:rsidRPr="009C0696">
              <w:rPr>
                <w:lang w:val="en-GB"/>
              </w:rPr>
              <w:t xml:space="preserve">At the same time, the quarter-on-quarter decrease of 0.2% occurred for the first time since Q2 2016. </w:t>
            </w:r>
            <w:r w:rsidR="00935238" w:rsidRPr="009C0696">
              <w:rPr>
                <w:lang w:val="en-GB"/>
              </w:rPr>
              <w:t xml:space="preserve">Quarter-on-quarter dynamics of the gross fixed capital formation nevertheless reached a very high level in Q1 to 3 </w:t>
            </w:r>
            <w:r w:rsidR="00D70289" w:rsidRPr="009C0696">
              <w:rPr>
                <w:lang w:val="en-GB"/>
              </w:rPr>
              <w:t>(4</w:t>
            </w:r>
            <w:r w:rsidR="00935238" w:rsidRPr="009C0696">
              <w:rPr>
                <w:lang w:val="en-GB"/>
              </w:rPr>
              <w:t>.</w:t>
            </w:r>
            <w:r w:rsidR="00D70289" w:rsidRPr="009C0696">
              <w:rPr>
                <w:lang w:val="en-GB"/>
              </w:rPr>
              <w:t>6%, 2</w:t>
            </w:r>
            <w:r w:rsidR="00935238" w:rsidRPr="009C0696">
              <w:rPr>
                <w:lang w:val="en-GB"/>
              </w:rPr>
              <w:t>.</w:t>
            </w:r>
            <w:r w:rsidR="00D70289" w:rsidRPr="009C0696">
              <w:rPr>
                <w:lang w:val="en-GB"/>
              </w:rPr>
              <w:t>7% a</w:t>
            </w:r>
            <w:r w:rsidR="00935238" w:rsidRPr="009C0696">
              <w:rPr>
                <w:lang w:val="en-GB"/>
              </w:rPr>
              <w:t>nd</w:t>
            </w:r>
            <w:r w:rsidR="00D70289" w:rsidRPr="009C0696">
              <w:rPr>
                <w:lang w:val="en-GB"/>
              </w:rPr>
              <w:t xml:space="preserve"> 2</w:t>
            </w:r>
            <w:r w:rsidR="00935238" w:rsidRPr="009C0696">
              <w:rPr>
                <w:lang w:val="en-GB"/>
              </w:rPr>
              <w:t>.</w:t>
            </w:r>
            <w:r w:rsidR="00D70289" w:rsidRPr="009C0696">
              <w:rPr>
                <w:lang w:val="en-GB"/>
              </w:rPr>
              <w:t xml:space="preserve">9%). </w:t>
            </w:r>
            <w:r w:rsidR="0011755B" w:rsidRPr="009C0696">
              <w:rPr>
                <w:lang w:val="en-GB"/>
              </w:rPr>
              <w:t>From the point of view of individual sectors, non-financial businesses contributed to the growth of the gross fixed capital formation by more than one half last year and its investment grew by 9.7% in nominal terms. Investment rate</w:t>
            </w:r>
            <w:r w:rsidR="00D70289" w:rsidRPr="009C0696">
              <w:rPr>
                <w:rStyle w:val="Znakapoznpodarou"/>
                <w:lang w:val="en-GB"/>
              </w:rPr>
              <w:footnoteReference w:id="13"/>
            </w:r>
            <w:r w:rsidR="00D70289" w:rsidRPr="009C0696">
              <w:rPr>
                <w:lang w:val="en-GB"/>
              </w:rPr>
              <w:t xml:space="preserve"> </w:t>
            </w:r>
            <w:r w:rsidR="0011755B" w:rsidRPr="009C0696">
              <w:rPr>
                <w:lang w:val="en-GB"/>
              </w:rPr>
              <w:t xml:space="preserve">of non-financial businesses thus grew by 1.5 p.p. year-on-year to </w:t>
            </w:r>
            <w:r w:rsidR="00D70289" w:rsidRPr="009C0696">
              <w:rPr>
                <w:lang w:val="en-GB"/>
              </w:rPr>
              <w:t>29</w:t>
            </w:r>
            <w:r w:rsidR="0011755B" w:rsidRPr="009C0696">
              <w:rPr>
                <w:lang w:val="en-GB"/>
              </w:rPr>
              <w:t>.</w:t>
            </w:r>
            <w:r w:rsidR="00D70289" w:rsidRPr="009C0696">
              <w:rPr>
                <w:lang w:val="en-GB"/>
              </w:rPr>
              <w:t>6% (</w:t>
            </w:r>
            <w:r w:rsidR="0011755B" w:rsidRPr="009C0696">
              <w:rPr>
                <w:lang w:val="en-GB"/>
              </w:rPr>
              <w:t xml:space="preserve">the most since year </w:t>
            </w:r>
            <w:r w:rsidR="00D70289" w:rsidRPr="009C0696">
              <w:rPr>
                <w:lang w:val="en-GB"/>
              </w:rPr>
              <w:t xml:space="preserve">2013). </w:t>
            </w:r>
            <w:r w:rsidR="0011755B" w:rsidRPr="009C0696">
              <w:rPr>
                <w:lang w:val="en-GB"/>
              </w:rPr>
              <w:t xml:space="preserve">Government institution sector provided the second largest contribution. </w:t>
            </w:r>
            <w:r w:rsidR="00695EFF" w:rsidRPr="009C0696">
              <w:rPr>
                <w:lang w:val="en-GB"/>
              </w:rPr>
              <w:t xml:space="preserve">Its investment activity (nominal increase of </w:t>
            </w:r>
            <w:r w:rsidR="00D70289" w:rsidRPr="009C0696">
              <w:rPr>
                <w:lang w:val="en-GB"/>
              </w:rPr>
              <w:t>27</w:t>
            </w:r>
            <w:r w:rsidR="00695EFF" w:rsidRPr="009C0696">
              <w:rPr>
                <w:lang w:val="en-GB"/>
              </w:rPr>
              <w:t>.</w:t>
            </w:r>
            <w:r w:rsidR="00D70289" w:rsidRPr="009C0696">
              <w:rPr>
                <w:lang w:val="en-GB"/>
              </w:rPr>
              <w:t xml:space="preserve">7%) </w:t>
            </w:r>
            <w:r w:rsidR="00695EFF" w:rsidRPr="009C0696">
              <w:rPr>
                <w:lang w:val="en-GB"/>
              </w:rPr>
              <w:t>was among other things influenced by the cycle of European fund</w:t>
            </w:r>
            <w:r w:rsidR="00504812" w:rsidRPr="009C0696">
              <w:rPr>
                <w:lang w:val="en-GB"/>
              </w:rPr>
              <w:t>s</w:t>
            </w:r>
            <w:r w:rsidR="00695EFF" w:rsidRPr="009C0696">
              <w:rPr>
                <w:lang w:val="en-GB"/>
              </w:rPr>
              <w:t xml:space="preserve"> drawing (necessity to finalise drawing before the end of the year</w:t>
            </w:r>
            <w:r w:rsidR="00D70289" w:rsidRPr="009C0696">
              <w:rPr>
                <w:lang w:val="en-GB"/>
              </w:rPr>
              <w:t xml:space="preserve">). </w:t>
            </w:r>
            <w:r w:rsidR="00695EFF" w:rsidRPr="009C0696">
              <w:rPr>
                <w:lang w:val="en-GB"/>
              </w:rPr>
              <w:t xml:space="preserve">Households also provided a relatively high contribution, they invested by </w:t>
            </w:r>
            <w:r w:rsidR="00D70289" w:rsidRPr="009C0696">
              <w:rPr>
                <w:lang w:val="en-GB"/>
              </w:rPr>
              <w:t>9</w:t>
            </w:r>
            <w:r w:rsidR="00695EFF" w:rsidRPr="009C0696">
              <w:rPr>
                <w:lang w:val="en-GB"/>
              </w:rPr>
              <w:t>.</w:t>
            </w:r>
            <w:r w:rsidR="00D70289" w:rsidRPr="009C0696">
              <w:rPr>
                <w:lang w:val="en-GB"/>
              </w:rPr>
              <w:t xml:space="preserve">5% </w:t>
            </w:r>
            <w:r w:rsidR="00695EFF" w:rsidRPr="009C0696">
              <w:rPr>
                <w:lang w:val="en-GB"/>
              </w:rPr>
              <w:t xml:space="preserve">funds more compared to year </w:t>
            </w:r>
            <w:r w:rsidR="00D70289" w:rsidRPr="009C0696">
              <w:rPr>
                <w:lang w:val="en-GB"/>
              </w:rPr>
              <w:t>2017.</w:t>
            </w:r>
            <w:r w:rsidR="00695EFF" w:rsidRPr="009C0696">
              <w:rPr>
                <w:lang w:val="en-GB"/>
              </w:rPr>
              <w:t xml:space="preserve"> Their investment rate</w:t>
            </w:r>
            <w:r w:rsidR="00D70289" w:rsidRPr="009C0696">
              <w:rPr>
                <w:rStyle w:val="Znakapoznpodarou"/>
                <w:lang w:val="en-GB"/>
              </w:rPr>
              <w:footnoteReference w:id="14"/>
            </w:r>
            <w:r w:rsidR="00D70289" w:rsidRPr="009C0696">
              <w:rPr>
                <w:lang w:val="en-GB"/>
              </w:rPr>
              <w:t xml:space="preserve"> </w:t>
            </w:r>
            <w:r w:rsidR="00504812" w:rsidRPr="009C0696">
              <w:rPr>
                <w:lang w:val="en-GB"/>
              </w:rPr>
              <w:t>grew for the fifth</w:t>
            </w:r>
            <w:r w:rsidR="00695EFF" w:rsidRPr="009C0696">
              <w:rPr>
                <w:lang w:val="en-GB"/>
              </w:rPr>
              <w:t xml:space="preserve"> year in a row and arrived at </w:t>
            </w:r>
            <w:r w:rsidR="00D70289" w:rsidRPr="009C0696">
              <w:rPr>
                <w:lang w:val="en-GB"/>
              </w:rPr>
              <w:t>9</w:t>
            </w:r>
            <w:r w:rsidR="00695EFF" w:rsidRPr="009C0696">
              <w:rPr>
                <w:lang w:val="en-GB"/>
              </w:rPr>
              <w:t>.</w:t>
            </w:r>
            <w:r w:rsidR="00D70289" w:rsidRPr="009C0696">
              <w:rPr>
                <w:lang w:val="en-GB"/>
              </w:rPr>
              <w:t>4% (</w:t>
            </w:r>
            <w:r w:rsidR="00695EFF" w:rsidRPr="009C0696">
              <w:rPr>
                <w:lang w:val="en-GB"/>
              </w:rPr>
              <w:t xml:space="preserve">the most since year </w:t>
            </w:r>
            <w:r w:rsidR="00D70289" w:rsidRPr="009C0696">
              <w:rPr>
                <w:lang w:val="en-GB"/>
              </w:rPr>
              <w:t xml:space="preserve">2010). </w:t>
            </w:r>
            <w:r w:rsidR="00695EFF" w:rsidRPr="009C0696">
              <w:rPr>
                <w:lang w:val="en-GB"/>
              </w:rPr>
              <w:t>In contrast the financial institutions, which were considerably boosting their fixed capital formation expenditure during years 2</w:t>
            </w:r>
            <w:r w:rsidR="00D70289" w:rsidRPr="009C0696">
              <w:rPr>
                <w:lang w:val="en-GB"/>
              </w:rPr>
              <w:t xml:space="preserve">015 </w:t>
            </w:r>
            <w:r w:rsidR="00695EFF" w:rsidRPr="009C0696">
              <w:rPr>
                <w:lang w:val="en-GB"/>
              </w:rPr>
              <w:t xml:space="preserve">to </w:t>
            </w:r>
            <w:r w:rsidR="00D70289" w:rsidRPr="009C0696">
              <w:rPr>
                <w:lang w:val="en-GB"/>
              </w:rPr>
              <w:t xml:space="preserve">2017, </w:t>
            </w:r>
            <w:r w:rsidR="00695EFF" w:rsidRPr="009C0696">
              <w:rPr>
                <w:lang w:val="en-GB"/>
              </w:rPr>
              <w:t xml:space="preserve">did not </w:t>
            </w:r>
            <w:r w:rsidR="009C0696" w:rsidRPr="009C0696">
              <w:rPr>
                <w:lang w:val="en-GB"/>
              </w:rPr>
              <w:t>continue</w:t>
            </w:r>
            <w:r w:rsidR="00695EFF" w:rsidRPr="009C0696">
              <w:rPr>
                <w:lang w:val="en-GB"/>
              </w:rPr>
              <w:t xml:space="preserve"> in this trend last year </w:t>
            </w:r>
            <w:r w:rsidR="00D70289" w:rsidRPr="009C0696">
              <w:rPr>
                <w:lang w:val="en-GB"/>
              </w:rPr>
              <w:t>(</w:t>
            </w:r>
            <w:r w:rsidR="00695EFF" w:rsidRPr="009C0696">
              <w:rPr>
                <w:lang w:val="en-GB"/>
              </w:rPr>
              <w:t xml:space="preserve">slump of </w:t>
            </w:r>
            <w:r w:rsidR="00D70289" w:rsidRPr="009C0696">
              <w:rPr>
                <w:lang w:val="en-GB"/>
              </w:rPr>
              <w:t>15</w:t>
            </w:r>
            <w:r w:rsidR="007E79B4" w:rsidRPr="009C0696">
              <w:rPr>
                <w:lang w:val="en-GB"/>
              </w:rPr>
              <w:t>.</w:t>
            </w:r>
            <w:r w:rsidR="00D70289" w:rsidRPr="009C0696">
              <w:rPr>
                <w:lang w:val="en-GB"/>
              </w:rPr>
              <w:t>3%).</w:t>
            </w:r>
          </w:p>
        </w:tc>
      </w:tr>
      <w:tr w:rsidR="00D70289" w:rsidRPr="009C0696" w:rsidTr="00A74D81">
        <w:trPr>
          <w:trHeight w:val="145"/>
        </w:trPr>
        <w:tc>
          <w:tcPr>
            <w:tcW w:w="1802" w:type="dxa"/>
            <w:shd w:val="clear" w:color="auto" w:fill="auto"/>
            <w:tcMar>
              <w:left w:w="0" w:type="dxa"/>
            </w:tcMar>
          </w:tcPr>
          <w:p w:rsidR="00D70289" w:rsidRPr="009C0696" w:rsidRDefault="00633329" w:rsidP="00633329">
            <w:pPr>
              <w:pStyle w:val="Marginlie"/>
              <w:rPr>
                <w:lang w:val="en-GB"/>
              </w:rPr>
            </w:pPr>
            <w:r w:rsidRPr="009C0696">
              <w:rPr>
                <w:lang w:val="en-GB"/>
              </w:rPr>
              <w:t>Heightened activity of the government institution sector affected i</w:t>
            </w:r>
            <w:r w:rsidR="003D017F" w:rsidRPr="009C0696">
              <w:rPr>
                <w:lang w:val="en-GB"/>
              </w:rPr>
              <w:t xml:space="preserve">nvestment into </w:t>
            </w:r>
            <w:r w:rsidRPr="009C0696">
              <w:rPr>
                <w:lang w:val="en-GB"/>
              </w:rPr>
              <w:t xml:space="preserve">other </w:t>
            </w:r>
            <w:r w:rsidRPr="009C0696">
              <w:rPr>
                <w:lang w:val="en-GB"/>
              </w:rPr>
              <w:lastRenderedPageBreak/>
              <w:t xml:space="preserve">buildings and structures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0A3182" w:rsidP="00504812">
            <w:pPr>
              <w:rPr>
                <w:lang w:val="en-GB"/>
              </w:rPr>
            </w:pPr>
            <w:r w:rsidRPr="009C0696">
              <w:rPr>
                <w:lang w:val="en-GB"/>
              </w:rPr>
              <w:t>Investment into other buildings and structures</w:t>
            </w:r>
            <w:r w:rsidRPr="009C0696">
              <w:rPr>
                <w:rStyle w:val="Znakapoznpodarou"/>
                <w:lang w:val="en-GB"/>
              </w:rPr>
              <w:footnoteReference w:id="15"/>
            </w:r>
            <w:r w:rsidRPr="009C0696">
              <w:rPr>
                <w:lang w:val="en-GB"/>
              </w:rPr>
              <w:t xml:space="preserve"> grew the most in the last year </w:t>
            </w:r>
            <w:r w:rsidR="00D70289" w:rsidRPr="009C0696">
              <w:rPr>
                <w:lang w:val="en-GB"/>
              </w:rPr>
              <w:t>(14</w:t>
            </w:r>
            <w:r w:rsidRPr="009C0696">
              <w:rPr>
                <w:lang w:val="en-GB"/>
              </w:rPr>
              <w:t>.</w:t>
            </w:r>
            <w:r w:rsidR="00D70289" w:rsidRPr="009C0696">
              <w:rPr>
                <w:lang w:val="en-GB"/>
              </w:rPr>
              <w:t xml:space="preserve">4%). </w:t>
            </w:r>
            <w:r w:rsidRPr="009C0696">
              <w:rPr>
                <w:lang w:val="en-GB"/>
              </w:rPr>
              <w:t xml:space="preserve">Dynamics of component, where the government institution sector plays a significant role was accelerating since the beginning of the year. Mild slow down to </w:t>
            </w:r>
            <w:r w:rsidRPr="009C0696">
              <w:rPr>
                <w:lang w:val="en-GB"/>
              </w:rPr>
              <w:lastRenderedPageBreak/>
              <w:t xml:space="preserve">13.1% was recorded in Q4; </w:t>
            </w:r>
            <w:r w:rsidR="004364C1" w:rsidRPr="009C0696">
              <w:rPr>
                <w:lang w:val="en-GB"/>
              </w:rPr>
              <w:t xml:space="preserve">where </w:t>
            </w:r>
            <w:r w:rsidRPr="009C0696">
              <w:rPr>
                <w:lang w:val="en-GB"/>
              </w:rPr>
              <w:t xml:space="preserve">especially the high basis from the last year is behind this. </w:t>
            </w:r>
            <w:r w:rsidR="004364C1" w:rsidRPr="009C0696">
              <w:rPr>
                <w:lang w:val="en-GB"/>
              </w:rPr>
              <w:t xml:space="preserve">The results were mostly affected by the accelerated drawing of European funds. </w:t>
            </w:r>
            <w:r w:rsidR="00E44766" w:rsidRPr="009C0696">
              <w:rPr>
                <w:lang w:val="en-GB"/>
              </w:rPr>
              <w:t xml:space="preserve">Double digit growth of investment into housing continued </w:t>
            </w:r>
            <w:r w:rsidR="00D70289" w:rsidRPr="009C0696">
              <w:rPr>
                <w:lang w:val="en-GB"/>
              </w:rPr>
              <w:t>(12</w:t>
            </w:r>
            <w:r w:rsidR="00E44766" w:rsidRPr="009C0696">
              <w:rPr>
                <w:lang w:val="en-GB"/>
              </w:rPr>
              <w:t>.</w:t>
            </w:r>
            <w:r w:rsidR="00D70289" w:rsidRPr="009C0696">
              <w:rPr>
                <w:lang w:val="en-GB"/>
              </w:rPr>
              <w:t xml:space="preserve">8%). </w:t>
            </w:r>
            <w:r w:rsidR="00E44766" w:rsidRPr="009C0696">
              <w:rPr>
                <w:lang w:val="en-GB"/>
              </w:rPr>
              <w:t xml:space="preserve">The dynamics held up throughout the whole year. In Q4, investment into housing increased by 12.1% year-on-year. </w:t>
            </w:r>
            <w:r w:rsidR="00B95B92" w:rsidRPr="009C0696">
              <w:rPr>
                <w:lang w:val="en-GB"/>
              </w:rPr>
              <w:t>Strengthened</w:t>
            </w:r>
            <w:r w:rsidR="004364C1" w:rsidRPr="009C0696">
              <w:rPr>
                <w:lang w:val="en-GB"/>
              </w:rPr>
              <w:t xml:space="preserve"> investment activity involved the businesses as well. It is apparent especially on the increase of investment into ICT and other </w:t>
            </w:r>
            <w:r w:rsidR="00504812" w:rsidRPr="009C0696">
              <w:rPr>
                <w:lang w:val="en-GB"/>
              </w:rPr>
              <w:t xml:space="preserve">machinery and equipment </w:t>
            </w:r>
            <w:r w:rsidR="004364C1" w:rsidRPr="009C0696">
              <w:rPr>
                <w:lang w:val="en-GB"/>
              </w:rPr>
              <w:t xml:space="preserve">by </w:t>
            </w:r>
            <w:r w:rsidR="00D70289" w:rsidRPr="009C0696">
              <w:rPr>
                <w:lang w:val="en-GB"/>
              </w:rPr>
              <w:t>10</w:t>
            </w:r>
            <w:r w:rsidR="004364C1" w:rsidRPr="009C0696">
              <w:rPr>
                <w:lang w:val="en-GB"/>
              </w:rPr>
              <w:t>.</w:t>
            </w:r>
            <w:r w:rsidR="00D70289" w:rsidRPr="009C0696">
              <w:rPr>
                <w:lang w:val="en-GB"/>
              </w:rPr>
              <w:t>1% (</w:t>
            </w:r>
            <w:r w:rsidR="004364C1" w:rsidRPr="009C0696">
              <w:rPr>
                <w:lang w:val="en-GB"/>
              </w:rPr>
              <w:t xml:space="preserve">it was 3.3% in </w:t>
            </w:r>
            <w:r w:rsidR="00D70289" w:rsidRPr="009C0696">
              <w:rPr>
                <w:lang w:val="en-GB"/>
              </w:rPr>
              <w:t xml:space="preserve">2017). </w:t>
            </w:r>
            <w:r w:rsidR="00DB33D2" w:rsidRPr="009C0696">
              <w:rPr>
                <w:lang w:val="en-GB"/>
              </w:rPr>
              <w:t>The acceleration was 14.4% in Q</w:t>
            </w:r>
            <w:r w:rsidR="00D70289" w:rsidRPr="009C0696">
              <w:rPr>
                <w:lang w:val="en-GB"/>
              </w:rPr>
              <w:t>4.</w:t>
            </w:r>
            <w:r w:rsidR="00DB33D2" w:rsidRPr="009C0696">
              <w:rPr>
                <w:lang w:val="en-GB"/>
              </w:rPr>
              <w:t xml:space="preserve"> L</w:t>
            </w:r>
            <w:r w:rsidR="00BD305F" w:rsidRPr="009C0696">
              <w:rPr>
                <w:lang w:val="en-GB"/>
              </w:rPr>
              <w:t>ast year</w:t>
            </w:r>
            <w:r w:rsidR="00504812" w:rsidRPr="009C0696">
              <w:rPr>
                <w:lang w:val="en-GB"/>
              </w:rPr>
              <w:t xml:space="preserve">, the growth of expenditure on transportation vehicles </w:t>
            </w:r>
            <w:r w:rsidR="00BD305F" w:rsidRPr="009C0696">
              <w:rPr>
                <w:lang w:val="en-GB"/>
              </w:rPr>
              <w:t xml:space="preserve">accelerated as well to </w:t>
            </w:r>
            <w:r w:rsidR="00D70289" w:rsidRPr="009C0696">
              <w:rPr>
                <w:lang w:val="en-GB"/>
              </w:rPr>
              <w:t>8</w:t>
            </w:r>
            <w:r w:rsidR="00BD305F" w:rsidRPr="009C0696">
              <w:rPr>
                <w:lang w:val="en-GB"/>
              </w:rPr>
              <w:t>.</w:t>
            </w:r>
            <w:r w:rsidR="00D70289" w:rsidRPr="009C0696">
              <w:rPr>
                <w:lang w:val="en-GB"/>
              </w:rPr>
              <w:t xml:space="preserve">8%. </w:t>
            </w:r>
            <w:r w:rsidR="00BD305F" w:rsidRPr="009C0696">
              <w:rPr>
                <w:lang w:val="en-GB"/>
              </w:rPr>
              <w:t>Investments into the products of</w:t>
            </w:r>
            <w:r w:rsidR="00504812" w:rsidRPr="009C0696">
              <w:rPr>
                <w:lang w:val="en-GB"/>
              </w:rPr>
              <w:t xml:space="preserve"> intellectual property </w:t>
            </w:r>
            <w:r w:rsidR="00BD305F" w:rsidRPr="009C0696">
              <w:rPr>
                <w:lang w:val="en-GB"/>
              </w:rPr>
              <w:t xml:space="preserve">increased by </w:t>
            </w:r>
            <w:r w:rsidR="00D70289" w:rsidRPr="009C0696">
              <w:rPr>
                <w:lang w:val="en-GB"/>
              </w:rPr>
              <w:t>4</w:t>
            </w:r>
            <w:r w:rsidR="00BD305F" w:rsidRPr="009C0696">
              <w:rPr>
                <w:lang w:val="en-GB"/>
              </w:rPr>
              <w:t>.</w:t>
            </w:r>
            <w:r w:rsidR="00D70289" w:rsidRPr="009C0696">
              <w:rPr>
                <w:lang w:val="en-GB"/>
              </w:rPr>
              <w:t>8%</w:t>
            </w:r>
            <w:r w:rsidR="00BD305F" w:rsidRPr="009C0696">
              <w:rPr>
                <w:lang w:val="en-GB"/>
              </w:rPr>
              <w:t xml:space="preserve">. </w:t>
            </w:r>
            <w:r w:rsidR="00D70289" w:rsidRPr="009C0696">
              <w:rPr>
                <w:lang w:val="en-GB"/>
              </w:rPr>
              <w:t xml:space="preserve">         </w:t>
            </w:r>
          </w:p>
        </w:tc>
      </w:tr>
      <w:tr w:rsidR="00D70289" w:rsidRPr="009C0696" w:rsidTr="00A74D81">
        <w:trPr>
          <w:trHeight w:val="145"/>
        </w:trPr>
        <w:tc>
          <w:tcPr>
            <w:tcW w:w="1802" w:type="dxa"/>
            <w:shd w:val="clear" w:color="auto" w:fill="auto"/>
            <w:tcMar>
              <w:left w:w="0" w:type="dxa"/>
            </w:tcMar>
          </w:tcPr>
          <w:p w:rsidR="00D70289" w:rsidRPr="009C0696" w:rsidRDefault="0020789F" w:rsidP="0020789F">
            <w:pPr>
              <w:pStyle w:val="Marginlie"/>
              <w:rPr>
                <w:lang w:val="en-GB"/>
              </w:rPr>
            </w:pPr>
            <w:r w:rsidRPr="009C0696">
              <w:rPr>
                <w:lang w:val="en-GB"/>
              </w:rPr>
              <w:lastRenderedPageBreak/>
              <w:t xml:space="preserve">Contribution of the foreign trade balance to the GDP growth became stronger especially in the end of the year. </w:t>
            </w:r>
          </w:p>
        </w:tc>
        <w:tc>
          <w:tcPr>
            <w:tcW w:w="227" w:type="dxa"/>
            <w:shd w:val="clear" w:color="auto" w:fill="auto"/>
            <w:tcMar>
              <w:left w:w="0" w:type="dxa"/>
            </w:tcMar>
          </w:tcPr>
          <w:p w:rsidR="00D70289" w:rsidRPr="009C0696" w:rsidRDefault="00D70289" w:rsidP="0033709C">
            <w:pPr>
              <w:pStyle w:val="Textpoznpodarou"/>
              <w:jc w:val="both"/>
              <w:rPr>
                <w:spacing w:val="-4"/>
                <w:lang w:val="en-GB"/>
              </w:rPr>
            </w:pPr>
          </w:p>
        </w:tc>
        <w:tc>
          <w:tcPr>
            <w:tcW w:w="7610" w:type="dxa"/>
            <w:shd w:val="clear" w:color="auto" w:fill="auto"/>
            <w:tcMar>
              <w:left w:w="0" w:type="dxa"/>
            </w:tcMar>
          </w:tcPr>
          <w:p w:rsidR="00D70289" w:rsidRPr="009C0696" w:rsidRDefault="0020789F" w:rsidP="00CE2A6D">
            <w:pPr>
              <w:rPr>
                <w:lang w:val="en-GB"/>
              </w:rPr>
            </w:pPr>
            <w:r w:rsidRPr="009C0696">
              <w:rPr>
                <w:lang w:val="en-GB"/>
              </w:rPr>
              <w:t xml:space="preserve">Foreign trade balance with goods and services reached </w:t>
            </w:r>
            <w:r w:rsidR="00D70289" w:rsidRPr="009C0696">
              <w:rPr>
                <w:lang w:val="en-GB"/>
              </w:rPr>
              <w:t>331</w:t>
            </w:r>
            <w:r w:rsidRPr="009C0696">
              <w:rPr>
                <w:lang w:val="en-GB"/>
              </w:rPr>
              <w:t>.</w:t>
            </w:r>
            <w:r w:rsidR="00D70289" w:rsidRPr="009C0696">
              <w:rPr>
                <w:lang w:val="en-GB"/>
              </w:rPr>
              <w:t>9 </w:t>
            </w:r>
            <w:r w:rsidRPr="009C0696">
              <w:rPr>
                <w:lang w:val="en-GB"/>
              </w:rPr>
              <w:t>CZK bn</w:t>
            </w:r>
            <w:r w:rsidR="00D70289" w:rsidRPr="009C0696">
              <w:rPr>
                <w:rStyle w:val="Znakapoznpodarou"/>
                <w:lang w:val="en-GB"/>
              </w:rPr>
              <w:footnoteReference w:id="16"/>
            </w:r>
            <w:r w:rsidRPr="009C0696">
              <w:rPr>
                <w:lang w:val="en-GB"/>
              </w:rPr>
              <w:t xml:space="preserve"> in 2018</w:t>
            </w:r>
            <w:r w:rsidR="00D70289" w:rsidRPr="009C0696">
              <w:rPr>
                <w:lang w:val="en-GB"/>
              </w:rPr>
              <w:t xml:space="preserve">. </w:t>
            </w:r>
            <w:r w:rsidRPr="009C0696">
              <w:rPr>
                <w:lang w:val="en-GB"/>
              </w:rPr>
              <w:t>It</w:t>
            </w:r>
            <w:r w:rsidR="00CE2A6D" w:rsidRPr="009C0696">
              <w:rPr>
                <w:lang w:val="en-GB"/>
              </w:rPr>
              <w:t xml:space="preserve"> </w:t>
            </w:r>
            <w:r w:rsidRPr="009C0696">
              <w:rPr>
                <w:lang w:val="en-GB"/>
              </w:rPr>
              <w:t xml:space="preserve">is by </w:t>
            </w:r>
            <w:r w:rsidR="00D70289" w:rsidRPr="009C0696">
              <w:rPr>
                <w:lang w:val="en-GB"/>
              </w:rPr>
              <w:t>49</w:t>
            </w:r>
            <w:r w:rsidRPr="009C0696">
              <w:rPr>
                <w:lang w:val="en-GB"/>
              </w:rPr>
              <w:t>.</w:t>
            </w:r>
            <w:r w:rsidR="00D70289" w:rsidRPr="009C0696">
              <w:rPr>
                <w:lang w:val="en-GB"/>
              </w:rPr>
              <w:t xml:space="preserve">8 </w:t>
            </w:r>
            <w:r w:rsidRPr="009C0696">
              <w:rPr>
                <w:lang w:val="en-GB"/>
              </w:rPr>
              <w:t xml:space="preserve">bn less compared to the previous year. The slump </w:t>
            </w:r>
            <w:r w:rsidR="006A7808" w:rsidRPr="009C0696">
              <w:rPr>
                <w:lang w:val="en-GB"/>
              </w:rPr>
              <w:t>occurred</w:t>
            </w:r>
            <w:r w:rsidRPr="009C0696">
              <w:rPr>
                <w:lang w:val="en-GB"/>
              </w:rPr>
              <w:t xml:space="preserve"> nearly exclusively for the trade with goods (surplus of </w:t>
            </w:r>
            <w:r w:rsidR="00D70289" w:rsidRPr="009C0696">
              <w:rPr>
                <w:lang w:val="en-GB"/>
              </w:rPr>
              <w:t>205</w:t>
            </w:r>
            <w:r w:rsidRPr="009C0696">
              <w:rPr>
                <w:lang w:val="en-GB"/>
              </w:rPr>
              <w:t>.</w:t>
            </w:r>
            <w:r w:rsidR="00D70289" w:rsidRPr="009C0696">
              <w:rPr>
                <w:lang w:val="en-GB"/>
              </w:rPr>
              <w:t xml:space="preserve">4 </w:t>
            </w:r>
            <w:r w:rsidRPr="009C0696">
              <w:rPr>
                <w:lang w:val="en-GB"/>
              </w:rPr>
              <w:t>bn</w:t>
            </w:r>
            <w:r w:rsidR="00D70289" w:rsidRPr="009C0696">
              <w:rPr>
                <w:lang w:val="en-GB"/>
              </w:rPr>
              <w:t xml:space="preserve">). </w:t>
            </w:r>
            <w:r w:rsidRPr="009C0696">
              <w:rPr>
                <w:lang w:val="en-GB"/>
              </w:rPr>
              <w:t xml:space="preserve">Surplus of the trade with services remained practically unchanged </w:t>
            </w:r>
            <w:r w:rsidR="00D70289" w:rsidRPr="009C0696">
              <w:rPr>
                <w:lang w:val="en-GB"/>
              </w:rPr>
              <w:t>(126</w:t>
            </w:r>
            <w:r w:rsidRPr="009C0696">
              <w:rPr>
                <w:lang w:val="en-GB"/>
              </w:rPr>
              <w:t>.</w:t>
            </w:r>
            <w:r w:rsidR="00D70289" w:rsidRPr="009C0696">
              <w:rPr>
                <w:lang w:val="en-GB"/>
              </w:rPr>
              <w:t xml:space="preserve">6 </w:t>
            </w:r>
            <w:r w:rsidRPr="009C0696">
              <w:rPr>
                <w:lang w:val="en-GB"/>
              </w:rPr>
              <w:t>bn</w:t>
            </w:r>
            <w:r w:rsidR="00D70289" w:rsidRPr="009C0696">
              <w:rPr>
                <w:lang w:val="en-GB"/>
              </w:rPr>
              <w:t xml:space="preserve">). </w:t>
            </w:r>
            <w:r w:rsidR="006A7808" w:rsidRPr="009C0696">
              <w:rPr>
                <w:lang w:val="en-GB"/>
              </w:rPr>
              <w:t>Surplus</w:t>
            </w:r>
            <w:r w:rsidR="00441A7C" w:rsidRPr="009C0696">
              <w:rPr>
                <w:lang w:val="en-GB"/>
              </w:rPr>
              <w:t xml:space="preserve"> amounted to </w:t>
            </w:r>
            <w:r w:rsidR="00D70289" w:rsidRPr="009C0696">
              <w:rPr>
                <w:lang w:val="en-GB"/>
              </w:rPr>
              <w:t>87</w:t>
            </w:r>
            <w:r w:rsidR="00441A7C" w:rsidRPr="009C0696">
              <w:rPr>
                <w:lang w:val="en-GB"/>
              </w:rPr>
              <w:t>.</w:t>
            </w:r>
            <w:r w:rsidR="00D70289" w:rsidRPr="009C0696">
              <w:rPr>
                <w:lang w:val="en-GB"/>
              </w:rPr>
              <w:t>4 </w:t>
            </w:r>
            <w:r w:rsidR="00441A7C" w:rsidRPr="009C0696">
              <w:rPr>
                <w:lang w:val="en-GB"/>
              </w:rPr>
              <w:t xml:space="preserve">bn in Q4 and it fell by </w:t>
            </w:r>
            <w:r w:rsidR="00D70289" w:rsidRPr="009C0696">
              <w:rPr>
                <w:lang w:val="en-GB"/>
              </w:rPr>
              <w:t>8</w:t>
            </w:r>
            <w:r w:rsidR="00441A7C" w:rsidRPr="009C0696">
              <w:rPr>
                <w:lang w:val="en-GB"/>
              </w:rPr>
              <w:t>.</w:t>
            </w:r>
            <w:r w:rsidR="00D70289" w:rsidRPr="009C0696">
              <w:rPr>
                <w:lang w:val="en-GB"/>
              </w:rPr>
              <w:t xml:space="preserve">8 </w:t>
            </w:r>
            <w:r w:rsidR="00441A7C" w:rsidRPr="009C0696">
              <w:rPr>
                <w:lang w:val="en-GB"/>
              </w:rPr>
              <w:t>bn year-on-year</w:t>
            </w:r>
            <w:r w:rsidR="00D70289" w:rsidRPr="009C0696">
              <w:rPr>
                <w:lang w:val="en-GB"/>
              </w:rPr>
              <w:t xml:space="preserve">. </w:t>
            </w:r>
            <w:r w:rsidR="00630EE9" w:rsidRPr="009C0696">
              <w:rPr>
                <w:lang w:val="en-GB"/>
              </w:rPr>
              <w:t xml:space="preserve">Addition of the foreign trade balance to growth nevertheless strengthened towards the end of the year to </w:t>
            </w:r>
            <w:r w:rsidR="00D70289" w:rsidRPr="009C0696">
              <w:rPr>
                <w:lang w:val="en-GB"/>
              </w:rPr>
              <w:t>0</w:t>
            </w:r>
            <w:r w:rsidR="00630EE9" w:rsidRPr="009C0696">
              <w:rPr>
                <w:lang w:val="en-GB"/>
              </w:rPr>
              <w:t>.</w:t>
            </w:r>
            <w:r w:rsidR="00D70289" w:rsidRPr="009C0696">
              <w:rPr>
                <w:lang w:val="en-GB"/>
              </w:rPr>
              <w:t>9 p.</w:t>
            </w:r>
            <w:r w:rsidR="00630EE9" w:rsidRPr="009C0696">
              <w:rPr>
                <w:lang w:val="en-GB"/>
              </w:rPr>
              <w:t>p</w:t>
            </w:r>
            <w:r w:rsidR="00D70289" w:rsidRPr="009C0696">
              <w:rPr>
                <w:lang w:val="en-GB"/>
              </w:rPr>
              <w:t xml:space="preserve">. </w:t>
            </w:r>
            <w:r w:rsidR="00DA69EF" w:rsidRPr="009C0696">
              <w:rPr>
                <w:lang w:val="en-GB"/>
              </w:rPr>
              <w:t xml:space="preserve">Both export and import increased year-on-year last year. </w:t>
            </w:r>
            <w:r w:rsidR="00BE117B" w:rsidRPr="009C0696">
              <w:rPr>
                <w:lang w:val="en-GB"/>
              </w:rPr>
              <w:t xml:space="preserve">Resulting balance was however marked by the fact, that the higher demand was to a large extent saturated by imports. It was valid both for the household consumption </w:t>
            </w:r>
            <w:r w:rsidR="00D70289" w:rsidRPr="009C0696">
              <w:rPr>
                <w:lang w:val="en-GB"/>
              </w:rPr>
              <w:t>(</w:t>
            </w:r>
            <w:r w:rsidR="00BE117B" w:rsidRPr="009C0696">
              <w:rPr>
                <w:lang w:val="en-GB"/>
              </w:rPr>
              <w:t xml:space="preserve">contribution to the GDP growth </w:t>
            </w:r>
            <w:r w:rsidR="00D70289" w:rsidRPr="009C0696">
              <w:rPr>
                <w:lang w:val="en-GB"/>
              </w:rPr>
              <w:t>1</w:t>
            </w:r>
            <w:r w:rsidR="00BE117B" w:rsidRPr="009C0696">
              <w:rPr>
                <w:lang w:val="en-GB"/>
              </w:rPr>
              <w:t>.</w:t>
            </w:r>
            <w:r w:rsidR="00D70289" w:rsidRPr="009C0696">
              <w:rPr>
                <w:lang w:val="en-GB"/>
              </w:rPr>
              <w:t>5 p.</w:t>
            </w:r>
            <w:r w:rsidR="00BE117B" w:rsidRPr="009C0696">
              <w:rPr>
                <w:lang w:val="en-GB"/>
              </w:rPr>
              <w:t xml:space="preserve">p. </w:t>
            </w:r>
            <w:r w:rsidR="00A127B4" w:rsidRPr="009C0696">
              <w:rPr>
                <w:lang w:val="en-GB"/>
              </w:rPr>
              <w:t>without exclusion of import for final use,</w:t>
            </w:r>
            <w:r w:rsidR="00D70289" w:rsidRPr="009C0696">
              <w:rPr>
                <w:lang w:val="en-GB"/>
              </w:rPr>
              <w:t xml:space="preserve"> 1</w:t>
            </w:r>
            <w:r w:rsidR="00BE117B" w:rsidRPr="009C0696">
              <w:rPr>
                <w:lang w:val="en-GB"/>
              </w:rPr>
              <w:t>.</w:t>
            </w:r>
            <w:r w:rsidR="00D70289" w:rsidRPr="009C0696">
              <w:rPr>
                <w:lang w:val="en-GB"/>
              </w:rPr>
              <w:t>0 p.</w:t>
            </w:r>
            <w:r w:rsidR="00BE117B" w:rsidRPr="009C0696">
              <w:rPr>
                <w:lang w:val="en-GB"/>
              </w:rPr>
              <w:t>p.</w:t>
            </w:r>
            <w:r w:rsidR="00D70289" w:rsidRPr="009C0696">
              <w:rPr>
                <w:lang w:val="en-GB"/>
              </w:rPr>
              <w:t xml:space="preserve"> </w:t>
            </w:r>
            <w:r w:rsidR="00A127B4" w:rsidRPr="009C0696">
              <w:rPr>
                <w:lang w:val="en-GB"/>
              </w:rPr>
              <w:t>after exclusion</w:t>
            </w:r>
            <w:r w:rsidR="00D70289" w:rsidRPr="009C0696">
              <w:rPr>
                <w:lang w:val="en-GB"/>
              </w:rPr>
              <w:t xml:space="preserve">) </w:t>
            </w:r>
            <w:r w:rsidR="00671D05" w:rsidRPr="009C0696">
              <w:rPr>
                <w:lang w:val="en-GB"/>
              </w:rPr>
              <w:t xml:space="preserve">and the investment activity </w:t>
            </w:r>
            <w:r w:rsidR="00D70289" w:rsidRPr="009C0696">
              <w:rPr>
                <w:lang w:val="en-GB"/>
              </w:rPr>
              <w:t>(2</w:t>
            </w:r>
            <w:r w:rsidR="00671D05" w:rsidRPr="009C0696">
              <w:rPr>
                <w:lang w:val="en-GB"/>
              </w:rPr>
              <w:t>.</w:t>
            </w:r>
            <w:r w:rsidR="00D70289" w:rsidRPr="009C0696">
              <w:rPr>
                <w:lang w:val="en-GB"/>
              </w:rPr>
              <w:t>6 p.</w:t>
            </w:r>
            <w:r w:rsidR="00671D05" w:rsidRPr="009C0696">
              <w:rPr>
                <w:lang w:val="en-GB"/>
              </w:rPr>
              <w:t xml:space="preserve">p. </w:t>
            </w:r>
            <w:r w:rsidR="00A127B4" w:rsidRPr="009C0696">
              <w:rPr>
                <w:lang w:val="en-GB"/>
              </w:rPr>
              <w:t>without exclusion, 2.0 p.p. after exclusion).</w:t>
            </w:r>
          </w:p>
        </w:tc>
      </w:tr>
      <w:tr w:rsidR="00A74D81" w:rsidRPr="009C0696" w:rsidTr="00A74D81">
        <w:trPr>
          <w:trHeight w:val="154"/>
        </w:trPr>
        <w:tc>
          <w:tcPr>
            <w:tcW w:w="1802" w:type="dxa"/>
            <w:vMerge w:val="restart"/>
            <w:shd w:val="clear" w:color="auto" w:fill="auto"/>
            <w:tcMar>
              <w:left w:w="0" w:type="dxa"/>
            </w:tcMar>
          </w:tcPr>
          <w:p w:rsidR="00A74D81" w:rsidRPr="009C0696" w:rsidRDefault="00A74D81" w:rsidP="00A74D81">
            <w:pPr>
              <w:pStyle w:val="Marginlie"/>
              <w:rPr>
                <w:lang w:val="en-GB"/>
              </w:rPr>
            </w:pPr>
          </w:p>
        </w:tc>
        <w:tc>
          <w:tcPr>
            <w:tcW w:w="227" w:type="dxa"/>
            <w:vMerge w:val="restart"/>
            <w:shd w:val="clear" w:color="auto" w:fill="auto"/>
            <w:tcMar>
              <w:left w:w="0" w:type="dxa"/>
            </w:tcMar>
          </w:tcPr>
          <w:p w:rsidR="00A74D81" w:rsidRPr="009C0696" w:rsidRDefault="00A74D81" w:rsidP="00A74D81">
            <w:pPr>
              <w:pStyle w:val="Textpoznpodarou"/>
              <w:jc w:val="both"/>
              <w:rPr>
                <w:spacing w:val="-4"/>
                <w:lang w:val="en-GB"/>
              </w:rPr>
            </w:pPr>
          </w:p>
        </w:tc>
        <w:tc>
          <w:tcPr>
            <w:tcW w:w="7610" w:type="dxa"/>
            <w:shd w:val="clear" w:color="auto" w:fill="auto"/>
            <w:tcMar>
              <w:left w:w="0" w:type="dxa"/>
            </w:tcMar>
          </w:tcPr>
          <w:p w:rsidR="00A74D81" w:rsidRPr="009F7FC7" w:rsidRDefault="00A74D81" w:rsidP="00A74D81">
            <w:pPr>
              <w:spacing w:after="0"/>
              <w:rPr>
                <w:szCs w:val="20"/>
                <w:lang w:val="en-GB"/>
              </w:rPr>
            </w:pPr>
            <w:r w:rsidRPr="009F7FC7">
              <w:rPr>
                <w:b/>
                <w:szCs w:val="20"/>
                <w:lang w:val="en-GB"/>
              </w:rPr>
              <w:t xml:space="preserve">Chart </w:t>
            </w:r>
            <w:proofErr w:type="gramStart"/>
            <w:r w:rsidRPr="009F7FC7">
              <w:rPr>
                <w:b/>
                <w:szCs w:val="20"/>
                <w:lang w:val="en-GB"/>
              </w:rPr>
              <w:t>4  Contributions</w:t>
            </w:r>
            <w:proofErr w:type="gramEnd"/>
            <w:r w:rsidRPr="009F7FC7">
              <w:rPr>
                <w:b/>
                <w:szCs w:val="20"/>
                <w:lang w:val="en-GB" w:eastAsia="en-US"/>
              </w:rPr>
              <w:t xml:space="preserve"> of branches to real change in GVA</w:t>
            </w:r>
            <w:r w:rsidRPr="009F7FC7">
              <w:rPr>
                <w:rFonts w:cs="Arial"/>
                <w:b/>
                <w:szCs w:val="20"/>
                <w:lang w:val="en-GB" w:eastAsia="en-US"/>
              </w:rPr>
              <w:t xml:space="preserve"> </w:t>
            </w:r>
            <w:r w:rsidRPr="009F7FC7">
              <w:rPr>
                <w:rFonts w:cs="Arial"/>
                <w:szCs w:val="20"/>
                <w:lang w:val="en-GB" w:eastAsia="en-US"/>
              </w:rPr>
              <w:t>(volume indices, year-on-year contributions in p.p., GVA in %)</w:t>
            </w:r>
          </w:p>
        </w:tc>
      </w:tr>
      <w:tr w:rsidR="00A74D81" w:rsidRPr="009C0696" w:rsidTr="00A74D81">
        <w:trPr>
          <w:trHeight w:val="154"/>
        </w:trPr>
        <w:tc>
          <w:tcPr>
            <w:tcW w:w="1802" w:type="dxa"/>
            <w:vMerge/>
            <w:shd w:val="clear" w:color="auto" w:fill="auto"/>
            <w:tcMar>
              <w:left w:w="0" w:type="dxa"/>
            </w:tcMar>
          </w:tcPr>
          <w:p w:rsidR="00A74D81" w:rsidRPr="009C0696" w:rsidRDefault="00A74D81" w:rsidP="00A74D81">
            <w:pPr>
              <w:pStyle w:val="Marginlie"/>
              <w:rPr>
                <w:lang w:val="en-GB"/>
              </w:rPr>
            </w:pPr>
          </w:p>
        </w:tc>
        <w:tc>
          <w:tcPr>
            <w:tcW w:w="227" w:type="dxa"/>
            <w:vMerge/>
            <w:shd w:val="clear" w:color="auto" w:fill="auto"/>
            <w:tcMar>
              <w:left w:w="0" w:type="dxa"/>
            </w:tcMar>
          </w:tcPr>
          <w:p w:rsidR="00A74D81" w:rsidRPr="009C0696" w:rsidRDefault="00A74D81" w:rsidP="00A74D81">
            <w:pPr>
              <w:pStyle w:val="Textpoznpodarou"/>
              <w:jc w:val="both"/>
              <w:rPr>
                <w:spacing w:val="-4"/>
                <w:lang w:val="en-GB"/>
              </w:rPr>
            </w:pPr>
          </w:p>
        </w:tc>
        <w:tc>
          <w:tcPr>
            <w:tcW w:w="7610" w:type="dxa"/>
            <w:shd w:val="clear" w:color="auto" w:fill="auto"/>
            <w:tcMar>
              <w:left w:w="0" w:type="dxa"/>
            </w:tcMar>
          </w:tcPr>
          <w:p w:rsidR="00A74D81" w:rsidRPr="009C0696" w:rsidRDefault="00A74D81" w:rsidP="00A74D81">
            <w:pPr>
              <w:spacing w:after="0"/>
              <w:rPr>
                <w:lang w:val="en-GB"/>
              </w:rPr>
            </w:pPr>
            <w:r>
              <w:rPr>
                <w:noProof/>
              </w:rPr>
              <w:drawing>
                <wp:inline distT="0" distB="0" distL="0" distR="0" wp14:anchorId="2A5EE140" wp14:editId="14F42EEB">
                  <wp:extent cx="4737600" cy="3553200"/>
                  <wp:effectExtent l="0" t="0" r="6350" b="0"/>
                  <wp:docPr id="42" name="Graf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A74D81" w:rsidRPr="009C0696" w:rsidTr="00A74D81">
        <w:trPr>
          <w:trHeight w:val="154"/>
        </w:trPr>
        <w:tc>
          <w:tcPr>
            <w:tcW w:w="1802" w:type="dxa"/>
            <w:vMerge/>
            <w:shd w:val="clear" w:color="auto" w:fill="auto"/>
            <w:tcMar>
              <w:left w:w="0" w:type="dxa"/>
            </w:tcMar>
          </w:tcPr>
          <w:p w:rsidR="00A74D81" w:rsidRPr="009C0696" w:rsidRDefault="00A74D81" w:rsidP="00A74D81">
            <w:pPr>
              <w:pStyle w:val="Marginlie"/>
              <w:rPr>
                <w:lang w:val="en-GB"/>
              </w:rPr>
            </w:pPr>
          </w:p>
        </w:tc>
        <w:tc>
          <w:tcPr>
            <w:tcW w:w="227" w:type="dxa"/>
            <w:vMerge/>
            <w:shd w:val="clear" w:color="auto" w:fill="auto"/>
            <w:tcMar>
              <w:left w:w="0" w:type="dxa"/>
            </w:tcMar>
          </w:tcPr>
          <w:p w:rsidR="00A74D81" w:rsidRPr="009C0696" w:rsidRDefault="00A74D81" w:rsidP="00A74D81">
            <w:pPr>
              <w:pStyle w:val="Textpoznpodarou"/>
              <w:jc w:val="both"/>
              <w:rPr>
                <w:spacing w:val="-4"/>
                <w:lang w:val="en-GB"/>
              </w:rPr>
            </w:pPr>
          </w:p>
        </w:tc>
        <w:tc>
          <w:tcPr>
            <w:tcW w:w="7610" w:type="dxa"/>
            <w:shd w:val="clear" w:color="auto" w:fill="auto"/>
            <w:tcMar>
              <w:left w:w="0" w:type="dxa"/>
            </w:tcMar>
          </w:tcPr>
          <w:p w:rsidR="00A74D81" w:rsidRPr="009C0696" w:rsidRDefault="00A74D81" w:rsidP="00A74D81">
            <w:pPr>
              <w:rPr>
                <w:sz w:val="14"/>
                <w:szCs w:val="14"/>
                <w:lang w:val="en-GB"/>
              </w:rPr>
            </w:pPr>
            <w:r w:rsidRPr="009C0696">
              <w:rPr>
                <w:sz w:val="14"/>
                <w:szCs w:val="14"/>
                <w:lang w:val="en-GB"/>
              </w:rPr>
              <w:t>Source: CZSO</w:t>
            </w:r>
          </w:p>
        </w:tc>
      </w:tr>
      <w:tr w:rsidR="00A74D81" w:rsidRPr="009C0696" w:rsidTr="00A74D81">
        <w:trPr>
          <w:trHeight w:val="974"/>
        </w:trPr>
        <w:tc>
          <w:tcPr>
            <w:tcW w:w="1802" w:type="dxa"/>
            <w:shd w:val="clear" w:color="auto" w:fill="auto"/>
            <w:tcMar>
              <w:left w:w="0" w:type="dxa"/>
            </w:tcMar>
          </w:tcPr>
          <w:p w:rsidR="00A74D81" w:rsidRPr="009C0696" w:rsidRDefault="00A74D81" w:rsidP="00A74D81">
            <w:pPr>
              <w:pStyle w:val="Marginlie"/>
              <w:rPr>
                <w:lang w:val="en-GB"/>
              </w:rPr>
            </w:pPr>
            <w:r w:rsidRPr="009C0696">
              <w:rPr>
                <w:lang w:val="en-GB"/>
              </w:rPr>
              <w:t xml:space="preserve">Domestic demand favourably boosted mainly the services sector. Impact of </w:t>
            </w:r>
            <w:r w:rsidRPr="009C0696">
              <w:rPr>
                <w:lang w:val="en-GB"/>
              </w:rPr>
              <w:lastRenderedPageBreak/>
              <w:t xml:space="preserve">manufacturing on the GVA growth was milder this time. </w:t>
            </w:r>
          </w:p>
        </w:tc>
        <w:tc>
          <w:tcPr>
            <w:tcW w:w="227" w:type="dxa"/>
            <w:shd w:val="clear" w:color="auto" w:fill="auto"/>
            <w:tcMar>
              <w:left w:w="0" w:type="dxa"/>
            </w:tcMar>
          </w:tcPr>
          <w:p w:rsidR="00A74D81" w:rsidRPr="009C0696" w:rsidRDefault="00A74D81" w:rsidP="00A74D81">
            <w:pPr>
              <w:pStyle w:val="Textpoznpodarou"/>
              <w:jc w:val="both"/>
              <w:rPr>
                <w:spacing w:val="-4"/>
                <w:lang w:val="en-GB"/>
              </w:rPr>
            </w:pPr>
          </w:p>
        </w:tc>
        <w:tc>
          <w:tcPr>
            <w:tcW w:w="7610" w:type="dxa"/>
            <w:shd w:val="clear" w:color="auto" w:fill="auto"/>
            <w:tcMar>
              <w:left w:w="0" w:type="dxa"/>
            </w:tcMar>
          </w:tcPr>
          <w:p w:rsidR="00A74D81" w:rsidRPr="009C0696" w:rsidRDefault="00A74D81" w:rsidP="00A74D81">
            <w:pPr>
              <w:rPr>
                <w:lang w:val="en-GB"/>
              </w:rPr>
            </w:pPr>
            <w:r w:rsidRPr="009C0696">
              <w:rPr>
                <w:lang w:val="en-GB"/>
              </w:rPr>
              <w:t xml:space="preserve">Growth of the gross value added was mostly supported by the services sector in year 2018 (1.8 p.p.). Services had the strong effect to the same degree in Q4. Among them, the weight dominant grouping trade, transportation, accommodation and </w:t>
            </w:r>
            <w:r w:rsidRPr="009C0696">
              <w:rPr>
                <w:lang w:val="en-GB"/>
              </w:rPr>
              <w:lastRenderedPageBreak/>
              <w:t>restaurants recorded the most significant results last year (0.8 p.p., growth by 4.1%) last year. Information and communication, which experienced an above average GVA growth in the last two years (6.7% last year) and grow already six years in a row, recorded the second largest contribution (0.4 p.p.). Financial and insurance activities had a contribution in the size of 0.3 p.p. Manufacturing, which was the main driving force in the previous years, was more in the background (contribution 0.9 p.p., growth 3.4%). Construction had a favourable effect on the GVA dynamics throughout the whole year (0.4 p.p.). Its GVA increased by 6.7%, which is the most since year 2004. Only this year it was possible to exceed the nominal level of GVA from year 2010</w:t>
            </w:r>
            <w:r w:rsidRPr="009C0696">
              <w:rPr>
                <w:rStyle w:val="Znakapoznpodarou"/>
                <w:lang w:val="en-GB"/>
              </w:rPr>
              <w:footnoteReference w:id="17"/>
            </w:r>
            <w:r w:rsidRPr="009C0696">
              <w:rPr>
                <w:lang w:val="en-GB"/>
              </w:rPr>
              <w:t xml:space="preserve">. </w:t>
            </w:r>
          </w:p>
        </w:tc>
      </w:tr>
    </w:tbl>
    <w:p w:rsidR="009A24F1" w:rsidRPr="009C0696" w:rsidRDefault="009A24F1">
      <w:pPr>
        <w:spacing w:after="0" w:line="240" w:lineRule="auto"/>
        <w:jc w:val="left"/>
        <w:rPr>
          <w:rFonts w:eastAsia="MS Gothic"/>
          <w:b/>
          <w:bCs/>
          <w:color w:val="71818C"/>
          <w:sz w:val="32"/>
          <w:szCs w:val="28"/>
          <w:lang w:val="en-GB"/>
        </w:rPr>
      </w:pPr>
      <w:r w:rsidRPr="009C0696">
        <w:rPr>
          <w:lang w:val="en-GB"/>
        </w:rPr>
        <w:lastRenderedPageBreak/>
        <w:br w:type="page"/>
      </w:r>
    </w:p>
    <w:p w:rsidR="00935BD4" w:rsidRPr="009C0696" w:rsidRDefault="00935BD4" w:rsidP="001554C2">
      <w:pPr>
        <w:pStyle w:val="Nadpis11"/>
        <w:rPr>
          <w:lang w:val="en-GB"/>
        </w:rPr>
      </w:pPr>
      <w:bookmarkStart w:id="5" w:name="_Toc5708391"/>
      <w:r w:rsidRPr="009C0696">
        <w:rPr>
          <w:lang w:val="en-GB"/>
        </w:rPr>
        <w:lastRenderedPageBreak/>
        <w:t>3</w:t>
      </w:r>
      <w:r w:rsidR="001554C2" w:rsidRPr="009C0696">
        <w:rPr>
          <w:lang w:val="en-GB"/>
        </w:rPr>
        <w:t xml:space="preserve">. </w:t>
      </w:r>
      <w:bookmarkStart w:id="6" w:name="_Toc454185150"/>
      <w:bookmarkStart w:id="7" w:name="_Toc493683635"/>
      <w:r w:rsidR="009225C2" w:rsidRPr="009C0696">
        <w:rPr>
          <w:lang w:val="en-GB"/>
        </w:rPr>
        <w:t>Branches Performance</w:t>
      </w:r>
      <w:bookmarkEnd w:id="5"/>
      <w:bookmarkEnd w:id="6"/>
      <w:bookmarkEnd w:id="7"/>
    </w:p>
    <w:tbl>
      <w:tblPr>
        <w:tblW w:w="9639" w:type="dxa"/>
        <w:tblInd w:w="-15" w:type="dxa"/>
        <w:tblCellMar>
          <w:left w:w="0" w:type="dxa"/>
          <w:right w:w="0" w:type="dxa"/>
        </w:tblCellMar>
        <w:tblLook w:val="00A0" w:firstRow="1" w:lastRow="0" w:firstColumn="1" w:lastColumn="0" w:noHBand="0" w:noVBand="0"/>
      </w:tblPr>
      <w:tblGrid>
        <w:gridCol w:w="1737"/>
        <w:gridCol w:w="202"/>
        <w:gridCol w:w="7700"/>
      </w:tblGrid>
      <w:tr w:rsidR="00006B67" w:rsidRPr="00531409" w:rsidTr="00C72161">
        <w:trPr>
          <w:trHeight w:val="145"/>
        </w:trPr>
        <w:tc>
          <w:tcPr>
            <w:tcW w:w="1737" w:type="dxa"/>
            <w:shd w:val="clear" w:color="auto" w:fill="auto"/>
            <w:tcMar>
              <w:left w:w="0" w:type="dxa"/>
            </w:tcMar>
          </w:tcPr>
          <w:p w:rsidR="00006B67" w:rsidRPr="009C0696" w:rsidRDefault="00370739" w:rsidP="00207D4D">
            <w:pPr>
              <w:pStyle w:val="Marginlie"/>
              <w:rPr>
                <w:lang w:val="en-GB"/>
              </w:rPr>
            </w:pPr>
            <w:r w:rsidRPr="009C0696">
              <w:rPr>
                <w:lang w:val="en-GB"/>
              </w:rPr>
              <w:t xml:space="preserve">Growth rate </w:t>
            </w:r>
            <w:r w:rsidR="00500592" w:rsidRPr="009C0696">
              <w:rPr>
                <w:lang w:val="en-GB"/>
              </w:rPr>
              <w:t xml:space="preserve">of GVA contracted by one third year-on-year. </w:t>
            </w:r>
            <w:r w:rsidR="00933562" w:rsidRPr="009C0696">
              <w:rPr>
                <w:lang w:val="en-GB"/>
              </w:rPr>
              <w:t xml:space="preserve">However, the economy did not slow down quarter-on-quarter in trend last year. </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531409" w:rsidRDefault="00FE7013" w:rsidP="009E178F">
            <w:pPr>
              <w:spacing w:after="200"/>
              <w:rPr>
                <w:spacing w:val="-4"/>
                <w:lang w:val="en-GB"/>
              </w:rPr>
            </w:pPr>
            <w:r w:rsidRPr="00531409">
              <w:rPr>
                <w:spacing w:val="-4"/>
                <w:lang w:val="en-GB"/>
              </w:rPr>
              <w:t>Performance of all economic branches viewed via the optics of the gross value added (GVA)</w:t>
            </w:r>
            <w:r w:rsidR="00006B67" w:rsidRPr="00531409">
              <w:rPr>
                <w:rStyle w:val="Znakapoznpodarou"/>
                <w:spacing w:val="-4"/>
                <w:lang w:val="en-GB"/>
              </w:rPr>
              <w:footnoteReference w:id="18"/>
            </w:r>
            <w:r w:rsidR="00006B67" w:rsidRPr="00531409">
              <w:rPr>
                <w:spacing w:val="-4"/>
                <w:lang w:val="en-GB"/>
              </w:rPr>
              <w:t xml:space="preserve"> </w:t>
            </w:r>
            <w:r w:rsidR="0014593C" w:rsidRPr="00531409">
              <w:rPr>
                <w:spacing w:val="-4"/>
                <w:lang w:val="en-GB"/>
              </w:rPr>
              <w:t>grew by 3.</w:t>
            </w:r>
            <w:r w:rsidR="00006B67" w:rsidRPr="00531409">
              <w:rPr>
                <w:spacing w:val="-4"/>
                <w:lang w:val="en-GB"/>
              </w:rPr>
              <w:t>0%</w:t>
            </w:r>
            <w:r w:rsidR="0014593C" w:rsidRPr="00531409">
              <w:rPr>
                <w:spacing w:val="-4"/>
                <w:lang w:val="en-GB"/>
              </w:rPr>
              <w:t xml:space="preserve"> last year and </w:t>
            </w:r>
            <w:r w:rsidR="00B7592B" w:rsidRPr="00531409">
              <w:rPr>
                <w:spacing w:val="-4"/>
                <w:lang w:val="en-GB"/>
              </w:rPr>
              <w:t xml:space="preserve">contracted by one third </w:t>
            </w:r>
            <w:r w:rsidR="0014593C" w:rsidRPr="00531409">
              <w:rPr>
                <w:spacing w:val="-4"/>
                <w:lang w:val="en-GB"/>
              </w:rPr>
              <w:t>in comparison to the pace achieved in the previous year</w:t>
            </w:r>
            <w:r w:rsidR="00006B67" w:rsidRPr="00531409">
              <w:rPr>
                <w:spacing w:val="-4"/>
                <w:lang w:val="en-GB"/>
              </w:rPr>
              <w:t xml:space="preserve">. </w:t>
            </w:r>
            <w:r w:rsidR="004E4C0C" w:rsidRPr="00531409">
              <w:rPr>
                <w:spacing w:val="-4"/>
                <w:lang w:val="en-GB"/>
              </w:rPr>
              <w:t xml:space="preserve">More detailed quarter-on-quarter </w:t>
            </w:r>
            <w:r w:rsidR="001C614E" w:rsidRPr="00531409">
              <w:rPr>
                <w:spacing w:val="-4"/>
                <w:lang w:val="en-GB"/>
              </w:rPr>
              <w:t xml:space="preserve">comparison shows, that both the high basis of the first half of year </w:t>
            </w:r>
            <w:r w:rsidR="00006B67" w:rsidRPr="00531409">
              <w:rPr>
                <w:spacing w:val="-4"/>
                <w:lang w:val="en-GB"/>
              </w:rPr>
              <w:t>2017 (</w:t>
            </w:r>
            <w:r w:rsidR="00F85761" w:rsidRPr="00531409">
              <w:rPr>
                <w:spacing w:val="-4"/>
                <w:lang w:val="en-GB"/>
              </w:rPr>
              <w:t>when the domestic economy benefited mainly from the swift growth of the foreign demand</w:t>
            </w:r>
            <w:r w:rsidR="00006B67" w:rsidRPr="00531409">
              <w:rPr>
                <w:spacing w:val="-4"/>
                <w:lang w:val="en-GB"/>
              </w:rPr>
              <w:t>)</w:t>
            </w:r>
            <w:r w:rsidR="00F85761" w:rsidRPr="00531409">
              <w:rPr>
                <w:spacing w:val="-4"/>
                <w:lang w:val="en-GB"/>
              </w:rPr>
              <w:t xml:space="preserve"> </w:t>
            </w:r>
            <w:r w:rsidR="00006B67" w:rsidRPr="00531409">
              <w:rPr>
                <w:spacing w:val="-4"/>
                <w:lang w:val="en-GB"/>
              </w:rPr>
              <w:t xml:space="preserve"> </w:t>
            </w:r>
            <w:r w:rsidR="007602CF" w:rsidRPr="00531409">
              <w:rPr>
                <w:spacing w:val="-4"/>
                <w:lang w:val="en-GB"/>
              </w:rPr>
              <w:br/>
            </w:r>
            <w:r w:rsidR="00071167" w:rsidRPr="00531409">
              <w:rPr>
                <w:spacing w:val="-4"/>
                <w:lang w:val="en-GB"/>
              </w:rPr>
              <w:t>and the temporary slowdown in Q</w:t>
            </w:r>
            <w:r w:rsidR="00006B67" w:rsidRPr="00531409">
              <w:rPr>
                <w:spacing w:val="-4"/>
                <w:lang w:val="en-GB"/>
              </w:rPr>
              <w:t>2</w:t>
            </w:r>
            <w:r w:rsidR="00071167" w:rsidRPr="00531409">
              <w:rPr>
                <w:spacing w:val="-4"/>
                <w:lang w:val="en-GB"/>
              </w:rPr>
              <w:t xml:space="preserve"> </w:t>
            </w:r>
            <w:r w:rsidR="00006B67" w:rsidRPr="00531409">
              <w:rPr>
                <w:spacing w:val="-4"/>
                <w:lang w:val="en-GB"/>
              </w:rPr>
              <w:t>2018 (</w:t>
            </w:r>
            <w:r w:rsidR="00071167" w:rsidRPr="00531409">
              <w:rPr>
                <w:spacing w:val="-4"/>
                <w:lang w:val="en-GB"/>
              </w:rPr>
              <w:t xml:space="preserve">when the quarter-on-quarter growth of GVA fell down to </w:t>
            </w:r>
            <w:r w:rsidR="00006B67" w:rsidRPr="00531409">
              <w:rPr>
                <w:spacing w:val="-4"/>
                <w:lang w:val="en-GB"/>
              </w:rPr>
              <w:t>0</w:t>
            </w:r>
            <w:r w:rsidR="00071167" w:rsidRPr="00531409">
              <w:rPr>
                <w:spacing w:val="-4"/>
                <w:lang w:val="en-GB"/>
              </w:rPr>
              <w:t>.</w:t>
            </w:r>
            <w:r w:rsidR="00006B67" w:rsidRPr="00531409">
              <w:rPr>
                <w:spacing w:val="-4"/>
                <w:lang w:val="en-GB"/>
              </w:rPr>
              <w:t xml:space="preserve">3%, </w:t>
            </w:r>
            <w:r w:rsidR="00071167" w:rsidRPr="00531409">
              <w:rPr>
                <w:spacing w:val="-4"/>
                <w:lang w:val="en-GB"/>
              </w:rPr>
              <w:t>to the two-year minimum</w:t>
            </w:r>
            <w:r w:rsidR="00006B67" w:rsidRPr="00531409">
              <w:rPr>
                <w:spacing w:val="-4"/>
                <w:lang w:val="en-GB"/>
              </w:rPr>
              <w:t>)</w:t>
            </w:r>
            <w:r w:rsidR="00F85761" w:rsidRPr="00531409">
              <w:rPr>
                <w:spacing w:val="-4"/>
                <w:lang w:val="en-GB"/>
              </w:rPr>
              <w:t xml:space="preserve"> stood behind the relatively weaker last year´s result. </w:t>
            </w:r>
            <w:r w:rsidR="0014593C" w:rsidRPr="00531409">
              <w:rPr>
                <w:spacing w:val="-4"/>
                <w:lang w:val="en-GB"/>
              </w:rPr>
              <w:t xml:space="preserve">Quarter-on-quarter growth persisted in the domestic economy already </w:t>
            </w:r>
            <w:proofErr w:type="gramStart"/>
            <w:r w:rsidR="0014593C" w:rsidRPr="00531409">
              <w:rPr>
                <w:spacing w:val="-4"/>
                <w:lang w:val="en-GB"/>
              </w:rPr>
              <w:t>twenty two</w:t>
            </w:r>
            <w:proofErr w:type="gramEnd"/>
            <w:r w:rsidR="0014593C" w:rsidRPr="00531409">
              <w:rPr>
                <w:spacing w:val="-4"/>
                <w:lang w:val="en-GB"/>
              </w:rPr>
              <w:t xml:space="preserve"> </w:t>
            </w:r>
            <w:r w:rsidR="009E178F" w:rsidRPr="00531409">
              <w:rPr>
                <w:spacing w:val="-4"/>
                <w:lang w:val="en-GB"/>
              </w:rPr>
              <w:t xml:space="preserve">quarters </w:t>
            </w:r>
            <w:r w:rsidR="0014593C" w:rsidRPr="00531409">
              <w:rPr>
                <w:spacing w:val="-4"/>
                <w:lang w:val="en-GB"/>
              </w:rPr>
              <w:t>in a row</w:t>
            </w:r>
            <w:r w:rsidR="00006B67" w:rsidRPr="00531409">
              <w:rPr>
                <w:spacing w:val="-4"/>
                <w:lang w:val="en-GB"/>
              </w:rPr>
              <w:t xml:space="preserve">, </w:t>
            </w:r>
            <w:r w:rsidR="0014593C" w:rsidRPr="00531409">
              <w:rPr>
                <w:spacing w:val="-4"/>
                <w:lang w:val="en-GB"/>
              </w:rPr>
              <w:t xml:space="preserve">the GVA increased in total by 21.2% during this time period. </w:t>
            </w:r>
          </w:p>
        </w:tc>
      </w:tr>
      <w:tr w:rsidR="00006B67" w:rsidRPr="009C0696" w:rsidTr="00C72161">
        <w:trPr>
          <w:trHeight w:val="145"/>
        </w:trPr>
        <w:tc>
          <w:tcPr>
            <w:tcW w:w="1737" w:type="dxa"/>
            <w:shd w:val="clear" w:color="auto" w:fill="auto"/>
            <w:tcMar>
              <w:left w:w="0" w:type="dxa"/>
            </w:tcMar>
          </w:tcPr>
          <w:p w:rsidR="00006B67" w:rsidRPr="009C0696" w:rsidRDefault="00B42F6E" w:rsidP="00723435">
            <w:pPr>
              <w:pStyle w:val="Marginlie"/>
              <w:rPr>
                <w:lang w:val="en-GB"/>
              </w:rPr>
            </w:pPr>
            <w:r w:rsidRPr="009C0696">
              <w:rPr>
                <w:lang w:val="en-GB"/>
              </w:rPr>
              <w:t xml:space="preserve">Manufacturing contributed the most to the growth of the value added last year. </w:t>
            </w:r>
            <w:r w:rsidR="004F730C" w:rsidRPr="009C0696">
              <w:rPr>
                <w:lang w:val="en-GB"/>
              </w:rPr>
              <w:t>However</w:t>
            </w:r>
            <w:r w:rsidR="00BA554E" w:rsidRPr="009C0696">
              <w:rPr>
                <w:lang w:val="en-GB"/>
              </w:rPr>
              <w:t xml:space="preserve">, its pace was the fastest in construction, </w:t>
            </w:r>
            <w:r w:rsidR="009225C2" w:rsidRPr="009C0696">
              <w:rPr>
                <w:lang w:val="en-GB"/>
              </w:rPr>
              <w:t xml:space="preserve">financial activities </w:t>
            </w:r>
            <w:r w:rsidR="00BA554E" w:rsidRPr="009C0696">
              <w:rPr>
                <w:lang w:val="en-GB"/>
              </w:rPr>
              <w:t xml:space="preserve">and information and communication. </w:t>
            </w: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7A55BA" w:rsidP="007A55BA">
            <w:pPr>
              <w:pStyle w:val="Marginlie"/>
              <w:rPr>
                <w:lang w:val="en-GB"/>
              </w:rPr>
            </w:pPr>
            <w:r w:rsidRPr="009C0696">
              <w:rPr>
                <w:lang w:val="en-GB"/>
              </w:rPr>
              <w:t>Weaker harvest of main crops marred the output of agriculture already second year in a row</w:t>
            </w:r>
            <w:r w:rsidR="00006B67" w:rsidRPr="009C0696">
              <w:rPr>
                <w:lang w:val="en-GB"/>
              </w:rPr>
              <w:t>.</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BA554E" w:rsidP="00531409">
            <w:pPr>
              <w:spacing w:after="200"/>
              <w:rPr>
                <w:lang w:val="en-GB"/>
              </w:rPr>
            </w:pPr>
            <w:r w:rsidRPr="009C0696">
              <w:rPr>
                <w:lang w:val="en-GB"/>
              </w:rPr>
              <w:t xml:space="preserve">Even though the value added grew in manufacturing at the slowest pace for the last five years last year </w:t>
            </w:r>
            <w:r w:rsidR="00006B67" w:rsidRPr="009C0696">
              <w:rPr>
                <w:lang w:val="en-GB"/>
              </w:rPr>
              <w:t>(+3</w:t>
            </w:r>
            <w:r w:rsidRPr="009C0696">
              <w:rPr>
                <w:lang w:val="en-GB"/>
              </w:rPr>
              <w:t>.</w:t>
            </w:r>
            <w:r w:rsidR="00006B67" w:rsidRPr="009C0696">
              <w:rPr>
                <w:lang w:val="en-GB"/>
              </w:rPr>
              <w:t xml:space="preserve">4%), </w:t>
            </w:r>
            <w:r w:rsidRPr="009C0696">
              <w:rPr>
                <w:lang w:val="en-GB"/>
              </w:rPr>
              <w:t xml:space="preserve">this branch added to the growth of GVA in the whole economy </w:t>
            </w:r>
            <w:r w:rsidR="00006B67" w:rsidRPr="009C0696">
              <w:rPr>
                <w:lang w:val="en-GB"/>
              </w:rPr>
              <w:t>0</w:t>
            </w:r>
            <w:r w:rsidRPr="009C0696">
              <w:rPr>
                <w:lang w:val="en-GB"/>
              </w:rPr>
              <w:t>.</w:t>
            </w:r>
            <w:r w:rsidR="00006B67" w:rsidRPr="009C0696">
              <w:rPr>
                <w:lang w:val="en-GB"/>
              </w:rPr>
              <w:t>9 p.</w:t>
            </w:r>
            <w:r w:rsidRPr="009C0696">
              <w:rPr>
                <w:lang w:val="en-GB"/>
              </w:rPr>
              <w:t xml:space="preserve">p. </w:t>
            </w:r>
            <w:r w:rsidR="00006B67" w:rsidRPr="009C0696">
              <w:rPr>
                <w:lang w:val="en-GB"/>
              </w:rPr>
              <w:t xml:space="preserve">– </w:t>
            </w:r>
            <w:r w:rsidRPr="009C0696">
              <w:rPr>
                <w:lang w:val="en-GB"/>
              </w:rPr>
              <w:t xml:space="preserve">still the most out of all the main eleven monitored branches. </w:t>
            </w:r>
            <w:r w:rsidR="004F730C" w:rsidRPr="009C0696">
              <w:rPr>
                <w:lang w:val="en-GB"/>
              </w:rPr>
              <w:t xml:space="preserve">The weight significant manufacturing of motor vehicles as well as dynamically growing manufacturing of computers and electronic and optical </w:t>
            </w:r>
            <w:r w:rsidR="002C0E8E" w:rsidRPr="009C0696">
              <w:rPr>
                <w:lang w:val="en-GB"/>
              </w:rPr>
              <w:t xml:space="preserve">products </w:t>
            </w:r>
            <w:r w:rsidR="004F730C" w:rsidRPr="009C0696">
              <w:rPr>
                <w:lang w:val="en-GB"/>
              </w:rPr>
              <w:t xml:space="preserve">had an effect. Among the services, the weight dominant grouping trade, transportation, accommodation and restaurants contributed the </w:t>
            </w:r>
            <w:r w:rsidR="002C0E8E" w:rsidRPr="009C0696">
              <w:rPr>
                <w:lang w:val="en-GB"/>
              </w:rPr>
              <w:t xml:space="preserve">most </w:t>
            </w:r>
            <w:r w:rsidR="00006B67" w:rsidRPr="009C0696">
              <w:rPr>
                <w:spacing w:val="-4"/>
                <w:lang w:val="en-GB"/>
              </w:rPr>
              <w:t>(+0</w:t>
            </w:r>
            <w:r w:rsidR="004F730C" w:rsidRPr="009C0696">
              <w:rPr>
                <w:spacing w:val="-4"/>
                <w:lang w:val="en-GB"/>
              </w:rPr>
              <w:t>.</w:t>
            </w:r>
            <w:r w:rsidR="00006B67" w:rsidRPr="009C0696">
              <w:rPr>
                <w:spacing w:val="-4"/>
                <w:lang w:val="en-GB"/>
              </w:rPr>
              <w:t>8</w:t>
            </w:r>
            <w:r w:rsidR="00006B67" w:rsidRPr="009C0696">
              <w:rPr>
                <w:lang w:val="en-GB"/>
              </w:rPr>
              <w:t> </w:t>
            </w:r>
            <w:r w:rsidR="00006B67" w:rsidRPr="009C0696">
              <w:rPr>
                <w:spacing w:val="-4"/>
                <w:lang w:val="en-GB"/>
              </w:rPr>
              <w:t>p.</w:t>
            </w:r>
            <w:r w:rsidR="004F730C" w:rsidRPr="009C0696">
              <w:rPr>
                <w:spacing w:val="-4"/>
                <w:lang w:val="en-GB"/>
              </w:rPr>
              <w:t>p.</w:t>
            </w:r>
            <w:r w:rsidR="00006B67" w:rsidRPr="009C0696">
              <w:rPr>
                <w:spacing w:val="-4"/>
                <w:lang w:val="en-GB"/>
              </w:rPr>
              <w:t>)</w:t>
            </w:r>
            <w:r w:rsidR="004F730C" w:rsidRPr="009C0696">
              <w:rPr>
                <w:spacing w:val="-4"/>
                <w:lang w:val="en-GB"/>
              </w:rPr>
              <w:t xml:space="preserve"> last year</w:t>
            </w:r>
            <w:r w:rsidR="00006B67" w:rsidRPr="009C0696">
              <w:rPr>
                <w:spacing w:val="-4"/>
                <w:lang w:val="en-GB"/>
              </w:rPr>
              <w:t xml:space="preserve">. </w:t>
            </w:r>
            <w:r w:rsidR="004F730C" w:rsidRPr="009C0696">
              <w:rPr>
                <w:spacing w:val="-4"/>
                <w:lang w:val="en-GB"/>
              </w:rPr>
              <w:t xml:space="preserve">The majority of other branches of the tertiary sphere </w:t>
            </w:r>
            <w:r w:rsidR="00B560AD" w:rsidRPr="009C0696">
              <w:rPr>
                <w:spacing w:val="-4"/>
                <w:lang w:val="en-GB"/>
              </w:rPr>
              <w:t>also</w:t>
            </w:r>
            <w:r w:rsidR="004F730C" w:rsidRPr="009C0696">
              <w:rPr>
                <w:spacing w:val="-4"/>
                <w:lang w:val="en-GB"/>
              </w:rPr>
              <w:t xml:space="preserve"> benefited from the more stable domestic demand. </w:t>
            </w:r>
            <w:r w:rsidR="00B560AD" w:rsidRPr="009C0696">
              <w:rPr>
                <w:spacing w:val="-4"/>
                <w:lang w:val="en-GB"/>
              </w:rPr>
              <w:t xml:space="preserve">GVA growth achieved a </w:t>
            </w:r>
            <w:proofErr w:type="gramStart"/>
            <w:r w:rsidR="00B560AD" w:rsidRPr="009C0696">
              <w:rPr>
                <w:spacing w:val="-4"/>
                <w:lang w:val="en-GB"/>
              </w:rPr>
              <w:t>five year</w:t>
            </w:r>
            <w:proofErr w:type="gramEnd"/>
            <w:r w:rsidR="00B560AD" w:rsidRPr="009C0696">
              <w:rPr>
                <w:spacing w:val="-4"/>
                <w:lang w:val="en-GB"/>
              </w:rPr>
              <w:t xml:space="preserve"> maximum (6.9%) in </w:t>
            </w:r>
            <w:r w:rsidR="0000377C" w:rsidRPr="009C0696">
              <w:rPr>
                <w:spacing w:val="-4"/>
                <w:lang w:val="en-GB"/>
              </w:rPr>
              <w:t>financial and insurance activities</w:t>
            </w:r>
            <w:r w:rsidR="00B560AD" w:rsidRPr="009C0696">
              <w:rPr>
                <w:spacing w:val="-4"/>
                <w:lang w:val="en-GB"/>
              </w:rPr>
              <w:t xml:space="preserve">. </w:t>
            </w:r>
            <w:r w:rsidR="004F730C" w:rsidRPr="009C0696">
              <w:rPr>
                <w:spacing w:val="-4"/>
                <w:lang w:val="en-GB"/>
              </w:rPr>
              <w:t xml:space="preserve">The value added increased by a similar pace also in information and communication </w:t>
            </w:r>
            <w:r w:rsidR="00006B67" w:rsidRPr="009C0696">
              <w:rPr>
                <w:spacing w:val="-4"/>
                <w:lang w:val="en-GB"/>
              </w:rPr>
              <w:t>(</w:t>
            </w:r>
            <w:r w:rsidR="004F730C" w:rsidRPr="009C0696">
              <w:rPr>
                <w:spacing w:val="-4"/>
                <w:lang w:val="en-GB"/>
              </w:rPr>
              <w:t xml:space="preserve">the </w:t>
            </w:r>
            <w:r w:rsidR="002C159B" w:rsidRPr="009C0696">
              <w:rPr>
                <w:spacing w:val="-4"/>
                <w:lang w:val="en-GB"/>
              </w:rPr>
              <w:t>cumulated</w:t>
            </w:r>
            <w:r w:rsidR="004F730C" w:rsidRPr="009C0696">
              <w:rPr>
                <w:spacing w:val="-4"/>
                <w:lang w:val="en-GB"/>
              </w:rPr>
              <w:t xml:space="preserve"> growth arrived at nearly 40% in the last five years</w:t>
            </w:r>
            <w:r w:rsidR="00006B67" w:rsidRPr="009C0696">
              <w:rPr>
                <w:spacing w:val="-4"/>
                <w:lang w:val="en-GB"/>
              </w:rPr>
              <w:t xml:space="preserve">). </w:t>
            </w:r>
            <w:r w:rsidR="002C159B" w:rsidRPr="009C0696">
              <w:rPr>
                <w:spacing w:val="-4"/>
                <w:lang w:val="en-GB"/>
              </w:rPr>
              <w:t xml:space="preserve">On the contrary, only a moderate </w:t>
            </w:r>
            <w:r w:rsidR="00170326" w:rsidRPr="009C0696">
              <w:rPr>
                <w:spacing w:val="-4"/>
                <w:lang w:val="en-GB"/>
              </w:rPr>
              <w:t xml:space="preserve">growth </w:t>
            </w:r>
            <w:r w:rsidR="002C159B" w:rsidRPr="009C0696">
              <w:rPr>
                <w:spacing w:val="-4"/>
                <w:lang w:val="en-GB"/>
              </w:rPr>
              <w:t xml:space="preserve">was typical for the real estate </w:t>
            </w:r>
            <w:r w:rsidR="00170326" w:rsidRPr="009C0696">
              <w:rPr>
                <w:spacing w:val="-4"/>
                <w:lang w:val="en-GB"/>
              </w:rPr>
              <w:t xml:space="preserve">activities </w:t>
            </w:r>
            <w:r w:rsidR="002C159B" w:rsidRPr="009C0696">
              <w:rPr>
                <w:spacing w:val="-4"/>
                <w:lang w:val="en-GB"/>
              </w:rPr>
              <w:t xml:space="preserve">in the last years and also for branches with the predominant public sector. </w:t>
            </w:r>
            <w:r w:rsidR="007A55BA" w:rsidRPr="009C0696">
              <w:rPr>
                <w:spacing w:val="-4"/>
                <w:lang w:val="en-GB"/>
              </w:rPr>
              <w:t>GVA growth in professional, scientific, technical and administrative activities slackened already third year in a row, it lowered down to eight-year minimum (</w:t>
            </w:r>
            <w:r w:rsidR="00531409">
              <w:rPr>
                <w:spacing w:val="-4"/>
                <w:lang w:val="en-GB"/>
              </w:rPr>
              <w:t>+</w:t>
            </w:r>
            <w:r w:rsidR="007A55BA" w:rsidRPr="009C0696">
              <w:rPr>
                <w:spacing w:val="-4"/>
                <w:lang w:val="en-GB"/>
              </w:rPr>
              <w:t>1.0%) last year. Construction recorded a major turnaround.</w:t>
            </w:r>
            <w:r w:rsidR="00736BF2" w:rsidRPr="009C0696">
              <w:rPr>
                <w:spacing w:val="-4"/>
                <w:lang w:val="en-GB"/>
              </w:rPr>
              <w:t xml:space="preserve"> </w:t>
            </w:r>
            <w:r w:rsidR="008A2414" w:rsidRPr="009C0696">
              <w:rPr>
                <w:spacing w:val="-4"/>
                <w:lang w:val="en-GB"/>
              </w:rPr>
              <w:t xml:space="preserve">If </w:t>
            </w:r>
            <w:r w:rsidR="00170326" w:rsidRPr="009C0696">
              <w:rPr>
                <w:spacing w:val="-4"/>
                <w:lang w:val="en-GB"/>
              </w:rPr>
              <w:t>t</w:t>
            </w:r>
            <w:r w:rsidR="008A2414" w:rsidRPr="009C0696">
              <w:rPr>
                <w:spacing w:val="-4"/>
                <w:lang w:val="en-GB"/>
              </w:rPr>
              <w:t xml:space="preserve">he GVA dropped here by 2.3% in </w:t>
            </w:r>
            <w:r w:rsidR="00006B67" w:rsidRPr="009C0696">
              <w:rPr>
                <w:rFonts w:cs="Arial"/>
                <w:spacing w:val="-4"/>
                <w:lang w:val="en-GB"/>
              </w:rPr>
              <w:t xml:space="preserve">2017, </w:t>
            </w:r>
            <w:r w:rsidR="008A2414" w:rsidRPr="009C0696">
              <w:rPr>
                <w:rFonts w:cs="Arial"/>
                <w:spacing w:val="-4"/>
                <w:lang w:val="en-GB"/>
              </w:rPr>
              <w:t xml:space="preserve">its growth hiked up to 6.7% last year </w:t>
            </w:r>
            <w:r w:rsidR="00006B67" w:rsidRPr="009C0696">
              <w:rPr>
                <w:rFonts w:cs="Arial"/>
                <w:spacing w:val="-4"/>
                <w:lang w:val="en-GB"/>
              </w:rPr>
              <w:t>(s</w:t>
            </w:r>
            <w:r w:rsidR="008A2414" w:rsidRPr="009C0696">
              <w:rPr>
                <w:rFonts w:cs="Arial"/>
                <w:spacing w:val="-4"/>
                <w:lang w:val="en-GB"/>
              </w:rPr>
              <w:t xml:space="preserve">tronger yearly rate of growth was last recorded in year </w:t>
            </w:r>
            <w:r w:rsidR="00006B67" w:rsidRPr="009C0696">
              <w:rPr>
                <w:rFonts w:cs="Arial"/>
                <w:spacing w:val="-4"/>
                <w:lang w:val="en-GB"/>
              </w:rPr>
              <w:t xml:space="preserve">2004). </w:t>
            </w:r>
            <w:r w:rsidR="00AB503F" w:rsidRPr="009C0696">
              <w:rPr>
                <w:rFonts w:cs="Arial"/>
                <w:spacing w:val="-4"/>
                <w:lang w:val="en-GB"/>
              </w:rPr>
              <w:t xml:space="preserve">On the contrary, the fall in agriculture, forestry and fishing from the year </w:t>
            </w:r>
            <w:r w:rsidR="00531409">
              <w:rPr>
                <w:rFonts w:cs="Arial"/>
                <w:spacing w:val="-4"/>
                <w:lang w:val="en-GB"/>
              </w:rPr>
              <w:t>2017</w:t>
            </w:r>
            <w:r w:rsidR="00AB503F" w:rsidRPr="009C0696">
              <w:rPr>
                <w:rFonts w:cs="Arial"/>
                <w:spacing w:val="-4"/>
                <w:lang w:val="en-GB"/>
              </w:rPr>
              <w:t xml:space="preserve"> continued by a similar rate of growth </w:t>
            </w:r>
            <w:r w:rsidR="000D08EF" w:rsidRPr="009C0696">
              <w:rPr>
                <w:rFonts w:cs="Arial"/>
                <w:spacing w:val="-4"/>
                <w:lang w:val="en-GB"/>
              </w:rPr>
              <w:t xml:space="preserve">also in year </w:t>
            </w:r>
            <w:r w:rsidR="00006B67" w:rsidRPr="009C0696">
              <w:rPr>
                <w:rFonts w:cs="Arial"/>
                <w:spacing w:val="-4"/>
                <w:lang w:val="en-GB"/>
              </w:rPr>
              <w:t>2018 (-2</w:t>
            </w:r>
            <w:r w:rsidR="000D08EF" w:rsidRPr="009C0696">
              <w:rPr>
                <w:rFonts w:cs="Arial"/>
                <w:spacing w:val="-4"/>
                <w:lang w:val="en-GB"/>
              </w:rPr>
              <w:t>.</w:t>
            </w:r>
            <w:r w:rsidR="00006B67" w:rsidRPr="009C0696">
              <w:rPr>
                <w:rFonts w:cs="Arial"/>
                <w:spacing w:val="-4"/>
                <w:lang w:val="en-GB"/>
              </w:rPr>
              <w:t xml:space="preserve">8%). </w:t>
            </w:r>
            <w:r w:rsidR="000D08EF" w:rsidRPr="009C0696">
              <w:rPr>
                <w:rFonts w:cs="Arial"/>
                <w:spacing w:val="-4"/>
                <w:lang w:val="en-GB"/>
              </w:rPr>
              <w:t xml:space="preserve">It was the consequence of lower outputs of the plant production impacted </w:t>
            </w:r>
            <w:r w:rsidR="00432637" w:rsidRPr="009C0696">
              <w:rPr>
                <w:rFonts w:cs="Arial"/>
                <w:spacing w:val="-4"/>
                <w:lang w:val="en-GB"/>
              </w:rPr>
              <w:t xml:space="preserve">by the below average harvest of the majority of the main crops </w:t>
            </w:r>
            <w:r w:rsidR="00006B67" w:rsidRPr="009C0696">
              <w:rPr>
                <w:rFonts w:cs="Arial"/>
                <w:spacing w:val="-4"/>
                <w:lang w:val="en-GB"/>
              </w:rPr>
              <w:t>(</w:t>
            </w:r>
            <w:r w:rsidR="00AB503F" w:rsidRPr="009C0696">
              <w:rPr>
                <w:rFonts w:cs="Arial"/>
                <w:spacing w:val="-4"/>
                <w:lang w:val="en-GB"/>
              </w:rPr>
              <w:t xml:space="preserve">except for </w:t>
            </w:r>
            <w:r w:rsidR="00170326" w:rsidRPr="009C0696">
              <w:rPr>
                <w:rFonts w:cs="Arial"/>
                <w:spacing w:val="-4"/>
                <w:lang w:val="en-GB"/>
              </w:rPr>
              <w:t>oilseed rape</w:t>
            </w:r>
            <w:r w:rsidR="00006B67" w:rsidRPr="009C0696">
              <w:rPr>
                <w:rFonts w:cs="Arial"/>
                <w:spacing w:val="-4"/>
                <w:lang w:val="en-GB"/>
              </w:rPr>
              <w:t xml:space="preserve">, </w:t>
            </w:r>
            <w:r w:rsidR="00AB503F" w:rsidRPr="009C0696">
              <w:rPr>
                <w:rFonts w:cs="Arial"/>
                <w:spacing w:val="-4"/>
                <w:lang w:val="en-GB"/>
              </w:rPr>
              <w:t>dry and warm weather also benefited the</w:t>
            </w:r>
            <w:r w:rsidR="00170326" w:rsidRPr="009C0696">
              <w:rPr>
                <w:rFonts w:cs="Arial"/>
                <w:spacing w:val="-4"/>
                <w:lang w:val="en-GB"/>
              </w:rPr>
              <w:t xml:space="preserve"> fruit farming</w:t>
            </w:r>
            <w:r w:rsidR="00006B67" w:rsidRPr="009C0696">
              <w:rPr>
                <w:rFonts w:cs="Arial"/>
                <w:spacing w:val="-4"/>
                <w:lang w:val="en-GB"/>
              </w:rPr>
              <w:t>)</w:t>
            </w:r>
            <w:r w:rsidR="00006B67" w:rsidRPr="009C0696">
              <w:rPr>
                <w:rStyle w:val="Znakapoznpodarou"/>
                <w:spacing w:val="-4"/>
                <w:lang w:val="en-GB"/>
              </w:rPr>
              <w:footnoteReference w:id="19"/>
            </w:r>
            <w:r w:rsidR="00006B67" w:rsidRPr="009C0696">
              <w:rPr>
                <w:rFonts w:cs="Arial"/>
                <w:spacing w:val="-4"/>
                <w:lang w:val="en-GB"/>
              </w:rPr>
              <w:t xml:space="preserve">. </w:t>
            </w:r>
          </w:p>
        </w:tc>
      </w:tr>
      <w:tr w:rsidR="00006B67" w:rsidRPr="009C0696" w:rsidTr="00C72161">
        <w:trPr>
          <w:trHeight w:val="145"/>
        </w:trPr>
        <w:tc>
          <w:tcPr>
            <w:tcW w:w="1737" w:type="dxa"/>
            <w:shd w:val="clear" w:color="auto" w:fill="auto"/>
            <w:tcMar>
              <w:left w:w="0" w:type="dxa"/>
            </w:tcMar>
          </w:tcPr>
          <w:p w:rsidR="00006B67" w:rsidRPr="009C0696" w:rsidRDefault="00C20F4B" w:rsidP="00723435">
            <w:pPr>
              <w:pStyle w:val="Marginlie"/>
              <w:rPr>
                <w:lang w:val="en-GB"/>
              </w:rPr>
            </w:pPr>
            <w:r w:rsidRPr="009C0696">
              <w:rPr>
                <w:lang w:val="en-GB"/>
              </w:rPr>
              <w:t xml:space="preserve">Growth </w:t>
            </w:r>
            <w:r w:rsidR="00481B18">
              <w:rPr>
                <w:lang w:val="en-GB"/>
              </w:rPr>
              <w:t xml:space="preserve">rate </w:t>
            </w:r>
            <w:r w:rsidRPr="009C0696">
              <w:rPr>
                <w:lang w:val="en-GB"/>
              </w:rPr>
              <w:t xml:space="preserve">of industrial output slowed down by </w:t>
            </w:r>
            <w:proofErr w:type="gramStart"/>
            <w:r w:rsidRPr="009C0696">
              <w:rPr>
                <w:lang w:val="en-GB"/>
              </w:rPr>
              <w:t>one hal</w:t>
            </w:r>
            <w:r w:rsidR="00481B18">
              <w:rPr>
                <w:lang w:val="en-GB"/>
              </w:rPr>
              <w:t>f</w:t>
            </w:r>
            <w:proofErr w:type="gramEnd"/>
            <w:r w:rsidR="00481B18">
              <w:rPr>
                <w:lang w:val="en-GB"/>
              </w:rPr>
              <w:t xml:space="preserve"> in the CR </w:t>
            </w:r>
            <w:r w:rsidRPr="009C0696">
              <w:rPr>
                <w:lang w:val="en-GB"/>
              </w:rPr>
              <w:t xml:space="preserve">last year compared to year </w:t>
            </w:r>
            <w:r w:rsidR="00006B67" w:rsidRPr="009C0696">
              <w:rPr>
                <w:lang w:val="en-GB"/>
              </w:rPr>
              <w:t>2017</w:t>
            </w:r>
            <w:r w:rsidR="00531409">
              <w:rPr>
                <w:lang w:val="en-GB"/>
              </w:rPr>
              <w:t>…</w:t>
            </w:r>
          </w:p>
          <w:p w:rsidR="00006B67" w:rsidRPr="009C0696" w:rsidRDefault="00006B67" w:rsidP="00723435">
            <w:pPr>
              <w:pStyle w:val="Marginlie"/>
              <w:rPr>
                <w:lang w:val="en-GB"/>
              </w:rPr>
            </w:pPr>
          </w:p>
          <w:p w:rsidR="00006B67" w:rsidRDefault="00006B67" w:rsidP="00723435">
            <w:pPr>
              <w:pStyle w:val="Marginlie"/>
              <w:rPr>
                <w:lang w:val="en-GB"/>
              </w:rPr>
            </w:pPr>
          </w:p>
          <w:p w:rsidR="00531409" w:rsidRDefault="00531409" w:rsidP="00723435">
            <w:pPr>
              <w:pStyle w:val="Marginlie"/>
              <w:rPr>
                <w:lang w:val="en-GB"/>
              </w:rPr>
            </w:pPr>
          </w:p>
          <w:p w:rsidR="00481B18" w:rsidRDefault="00481B18" w:rsidP="00723435">
            <w:pPr>
              <w:pStyle w:val="Marginlie"/>
              <w:rPr>
                <w:lang w:val="en-GB"/>
              </w:rPr>
            </w:pPr>
          </w:p>
          <w:p w:rsidR="00413026" w:rsidRPr="009C0696" w:rsidRDefault="00413026" w:rsidP="00723435">
            <w:pPr>
              <w:pStyle w:val="Marginlie"/>
              <w:rPr>
                <w:lang w:val="en-GB"/>
              </w:rPr>
            </w:pPr>
          </w:p>
          <w:p w:rsidR="00006B67" w:rsidRPr="009C0696" w:rsidRDefault="00006B67" w:rsidP="00723435">
            <w:pPr>
              <w:pStyle w:val="Marginlie"/>
              <w:rPr>
                <w:lang w:val="en-GB"/>
              </w:rPr>
            </w:pPr>
          </w:p>
          <w:p w:rsidR="00006B67" w:rsidRPr="009C0696" w:rsidRDefault="00006B67" w:rsidP="00C20F4B">
            <w:pPr>
              <w:pStyle w:val="Marginlie"/>
              <w:rPr>
                <w:lang w:val="en-GB"/>
              </w:rPr>
            </w:pPr>
            <w:r w:rsidRPr="009C0696">
              <w:rPr>
                <w:lang w:val="en-GB"/>
              </w:rPr>
              <w:lastRenderedPageBreak/>
              <w:t>…</w:t>
            </w:r>
            <w:r w:rsidR="00531409">
              <w:rPr>
                <w:lang w:val="en-GB"/>
              </w:rPr>
              <w:t>however only three  sub-branch</w:t>
            </w:r>
            <w:r w:rsidR="00C20F4B" w:rsidRPr="009C0696">
              <w:rPr>
                <w:lang w:val="en-GB"/>
              </w:rPr>
              <w:t>es faced lower output in the CR</w:t>
            </w:r>
            <w:r w:rsidRPr="009C0696">
              <w:rPr>
                <w:lang w:val="en-GB"/>
              </w:rPr>
              <w:t>.</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413026" w:rsidRDefault="00355C86" w:rsidP="005D2FDA">
            <w:pPr>
              <w:spacing w:after="0"/>
              <w:rPr>
                <w:color w:val="000000" w:themeColor="text1"/>
                <w:spacing w:val="-2"/>
                <w:lang w:val="en-GB"/>
              </w:rPr>
            </w:pPr>
            <w:r w:rsidRPr="00413026">
              <w:rPr>
                <w:spacing w:val="-2"/>
                <w:lang w:val="en-GB"/>
              </w:rPr>
              <w:t xml:space="preserve">Business statistics </w:t>
            </w:r>
            <w:r w:rsidR="00C77454" w:rsidRPr="00413026">
              <w:rPr>
                <w:spacing w:val="-2"/>
                <w:lang w:val="en-GB"/>
              </w:rPr>
              <w:t xml:space="preserve">provide a more detailed overview of the </w:t>
            </w:r>
            <w:r w:rsidR="00AE019D" w:rsidRPr="00413026">
              <w:rPr>
                <w:spacing w:val="-2"/>
                <w:lang w:val="en-GB"/>
              </w:rPr>
              <w:t>sub-branches</w:t>
            </w:r>
            <w:r w:rsidR="00C6014A" w:rsidRPr="00413026">
              <w:rPr>
                <w:spacing w:val="-2"/>
                <w:lang w:val="en-GB"/>
              </w:rPr>
              <w:t xml:space="preserve">. Industry did not fully continue in the very strong year </w:t>
            </w:r>
            <w:r w:rsidR="00006B67" w:rsidRPr="00413026">
              <w:rPr>
                <w:spacing w:val="-2"/>
                <w:lang w:val="en-GB"/>
              </w:rPr>
              <w:t>2017</w:t>
            </w:r>
            <w:r w:rsidR="00C6014A" w:rsidRPr="00413026">
              <w:rPr>
                <w:spacing w:val="-2"/>
                <w:lang w:val="en-GB"/>
              </w:rPr>
              <w:t xml:space="preserve"> last year</w:t>
            </w:r>
            <w:r w:rsidR="00006B67" w:rsidRPr="00413026">
              <w:rPr>
                <w:spacing w:val="-2"/>
                <w:lang w:val="en-GB"/>
              </w:rPr>
              <w:t>. I</w:t>
            </w:r>
            <w:r w:rsidR="0008616B" w:rsidRPr="00413026">
              <w:rPr>
                <w:spacing w:val="-2"/>
                <w:lang w:val="en-GB"/>
              </w:rPr>
              <w:t>ndustrial production index</w:t>
            </w:r>
            <w:r w:rsidR="00006B67" w:rsidRPr="00413026">
              <w:rPr>
                <w:color w:val="000000" w:themeColor="text1"/>
                <w:spacing w:val="-2"/>
                <w:vertAlign w:val="superscript"/>
                <w:lang w:val="en-GB"/>
              </w:rPr>
              <w:footnoteReference w:id="20"/>
            </w:r>
            <w:r w:rsidR="00006B67" w:rsidRPr="00413026">
              <w:rPr>
                <w:color w:val="000000" w:themeColor="text1"/>
                <w:spacing w:val="-2"/>
                <w:lang w:val="en-GB"/>
              </w:rPr>
              <w:t xml:space="preserve"> </w:t>
            </w:r>
            <w:r w:rsidR="00C6014A" w:rsidRPr="00413026">
              <w:rPr>
                <w:color w:val="000000" w:themeColor="text1"/>
                <w:spacing w:val="-2"/>
                <w:lang w:val="en-GB"/>
              </w:rPr>
              <w:t xml:space="preserve">grew by 3.2% year-on-year (by not even half pace relative to 2017 – similarly to the whole EU), by 2.3% in Q4 itself. </w:t>
            </w:r>
            <w:r w:rsidR="00F90814" w:rsidRPr="00413026">
              <w:rPr>
                <w:color w:val="000000" w:themeColor="text1"/>
                <w:spacing w:val="-2"/>
                <w:lang w:val="en-GB"/>
              </w:rPr>
              <w:t xml:space="preserve">This development resulted mostly from the worsening situation in key export territories. </w:t>
            </w:r>
            <w:r w:rsidR="001578B3" w:rsidRPr="00413026">
              <w:rPr>
                <w:color w:val="000000" w:themeColor="text1"/>
                <w:spacing w:val="-2"/>
                <w:lang w:val="en-GB"/>
              </w:rPr>
              <w:t xml:space="preserve">Industrial output in the EU fell for the first time since the end of recession year-on-year in </w:t>
            </w:r>
            <w:r w:rsidR="0002744A">
              <w:rPr>
                <w:color w:val="000000" w:themeColor="text1"/>
                <w:spacing w:val="-2"/>
                <w:lang w:val="en-GB"/>
              </w:rPr>
              <w:t>Q4 2018</w:t>
            </w:r>
            <w:r w:rsidR="001578B3" w:rsidRPr="00413026">
              <w:rPr>
                <w:color w:val="000000" w:themeColor="text1"/>
                <w:spacing w:val="-2"/>
                <w:lang w:val="en-GB"/>
              </w:rPr>
              <w:t xml:space="preserve"> (by </w:t>
            </w:r>
            <w:r w:rsidR="00006B67" w:rsidRPr="00413026">
              <w:rPr>
                <w:color w:val="000000" w:themeColor="text1"/>
                <w:spacing w:val="-2"/>
                <w:lang w:val="en-GB"/>
              </w:rPr>
              <w:t>0</w:t>
            </w:r>
            <w:r w:rsidR="001578B3" w:rsidRPr="00413026">
              <w:rPr>
                <w:color w:val="000000" w:themeColor="text1"/>
                <w:spacing w:val="-2"/>
                <w:lang w:val="en-GB"/>
              </w:rPr>
              <w:t>.</w:t>
            </w:r>
            <w:r w:rsidR="00006B67" w:rsidRPr="00413026">
              <w:rPr>
                <w:color w:val="000000" w:themeColor="text1"/>
                <w:spacing w:val="-2"/>
                <w:lang w:val="en-GB"/>
              </w:rPr>
              <w:t>8%)</w:t>
            </w:r>
            <w:proofErr w:type="gramStart"/>
            <w:r w:rsidR="00006B67" w:rsidRPr="00413026">
              <w:rPr>
                <w:color w:val="000000" w:themeColor="text1"/>
                <w:spacing w:val="-2"/>
                <w:lang w:val="en-GB"/>
              </w:rPr>
              <w:t>,</w:t>
            </w:r>
            <w:proofErr w:type="gramEnd"/>
            <w:r w:rsidR="00006B67" w:rsidRPr="00413026">
              <w:rPr>
                <w:color w:val="000000" w:themeColor="text1"/>
                <w:spacing w:val="-2"/>
                <w:lang w:val="en-GB"/>
              </w:rPr>
              <w:t xml:space="preserve"> </w:t>
            </w:r>
            <w:r w:rsidR="001578B3" w:rsidRPr="00413026">
              <w:rPr>
                <w:color w:val="000000" w:themeColor="text1"/>
                <w:spacing w:val="-2"/>
                <w:lang w:val="en-GB"/>
              </w:rPr>
              <w:t xml:space="preserve">it also decreased in all the five largest EU economies </w:t>
            </w:r>
            <w:r w:rsidR="00006B67" w:rsidRPr="00413026">
              <w:rPr>
                <w:color w:val="000000" w:themeColor="text1"/>
                <w:spacing w:val="-2"/>
                <w:lang w:val="en-GB"/>
              </w:rPr>
              <w:t>(</w:t>
            </w:r>
            <w:r w:rsidR="001578B3" w:rsidRPr="00413026">
              <w:rPr>
                <w:color w:val="000000" w:themeColor="text1"/>
                <w:spacing w:val="-2"/>
                <w:lang w:val="en-GB"/>
              </w:rPr>
              <w:t>both year-on-year and quarter-on-quarter</w:t>
            </w:r>
            <w:r w:rsidR="00006B67" w:rsidRPr="00413026">
              <w:rPr>
                <w:color w:val="000000" w:themeColor="text1"/>
                <w:spacing w:val="-2"/>
                <w:lang w:val="en-GB"/>
              </w:rPr>
              <w:t xml:space="preserve">). </w:t>
            </w:r>
            <w:r w:rsidR="001603C7" w:rsidRPr="00413026">
              <w:rPr>
                <w:color w:val="000000" w:themeColor="text1"/>
                <w:spacing w:val="-2"/>
                <w:lang w:val="en-GB"/>
              </w:rPr>
              <w:t xml:space="preserve">Domestic factors </w:t>
            </w:r>
            <w:r w:rsidRPr="00413026">
              <w:rPr>
                <w:color w:val="000000" w:themeColor="text1"/>
                <w:spacing w:val="-2"/>
                <w:lang w:val="en-GB"/>
              </w:rPr>
              <w:t>also</w:t>
            </w:r>
            <w:r w:rsidR="001603C7" w:rsidRPr="00413026">
              <w:rPr>
                <w:color w:val="000000" w:themeColor="text1"/>
                <w:spacing w:val="-2"/>
                <w:lang w:val="en-GB"/>
              </w:rPr>
              <w:t xml:space="preserve"> influenced the last year´s slowdown of industry in the CR</w:t>
            </w:r>
            <w:r w:rsidR="0002744A">
              <w:rPr>
                <w:color w:val="000000" w:themeColor="text1"/>
                <w:spacing w:val="-2"/>
                <w:lang w:val="en-GB"/>
              </w:rPr>
              <w:t xml:space="preserve"> </w:t>
            </w:r>
            <w:r w:rsidR="0002744A" w:rsidRPr="00413026">
              <w:rPr>
                <w:color w:val="000000" w:themeColor="text1"/>
                <w:spacing w:val="-2"/>
                <w:lang w:val="en-GB"/>
              </w:rPr>
              <w:t>–</w:t>
            </w:r>
            <w:r w:rsidR="0002744A">
              <w:rPr>
                <w:color w:val="000000" w:themeColor="text1"/>
                <w:spacing w:val="-2"/>
                <w:lang w:val="en-GB"/>
              </w:rPr>
              <w:t xml:space="preserve"> </w:t>
            </w:r>
            <w:r w:rsidR="001603C7" w:rsidRPr="00413026">
              <w:rPr>
                <w:color w:val="000000" w:themeColor="text1"/>
                <w:spacing w:val="-2"/>
                <w:lang w:val="en-GB"/>
              </w:rPr>
              <w:t xml:space="preserve">mostly the slowdown of growth in the weight significant branch </w:t>
            </w:r>
            <w:r w:rsidR="00AF36D6" w:rsidRPr="00413026">
              <w:rPr>
                <w:color w:val="000000" w:themeColor="text1"/>
                <w:spacing w:val="-2"/>
                <w:lang w:val="en-GB"/>
              </w:rPr>
              <w:t>en</w:t>
            </w:r>
            <w:r w:rsidR="001603C7" w:rsidRPr="00413026">
              <w:rPr>
                <w:color w:val="000000" w:themeColor="text1"/>
                <w:spacing w:val="-2"/>
                <w:lang w:val="en-GB"/>
              </w:rPr>
              <w:t>ergetics</w:t>
            </w:r>
            <w:r w:rsidR="00006B67" w:rsidRPr="00413026">
              <w:rPr>
                <w:rStyle w:val="Znakapoznpodarou"/>
                <w:color w:val="000000" w:themeColor="text1"/>
                <w:spacing w:val="-2"/>
                <w:lang w:val="en-GB"/>
              </w:rPr>
              <w:footnoteReference w:id="21"/>
            </w:r>
            <w:r w:rsidR="00006B67" w:rsidRPr="00413026">
              <w:rPr>
                <w:color w:val="000000" w:themeColor="text1"/>
                <w:spacing w:val="-2"/>
                <w:lang w:val="en-GB"/>
              </w:rPr>
              <w:t xml:space="preserve"> a</w:t>
            </w:r>
            <w:r w:rsidR="001603C7" w:rsidRPr="00413026">
              <w:rPr>
                <w:color w:val="000000" w:themeColor="text1"/>
                <w:spacing w:val="-2"/>
                <w:lang w:val="en-GB"/>
              </w:rPr>
              <w:t>nd in the chemical industry</w:t>
            </w:r>
            <w:r w:rsidR="00006B67" w:rsidRPr="00413026">
              <w:rPr>
                <w:rStyle w:val="Znakapoznpodarou"/>
                <w:color w:val="000000" w:themeColor="text1"/>
                <w:spacing w:val="-2"/>
                <w:lang w:val="en-GB"/>
              </w:rPr>
              <w:footnoteReference w:id="22"/>
            </w:r>
            <w:r w:rsidR="000C30C3" w:rsidRPr="00413026">
              <w:rPr>
                <w:color w:val="000000" w:themeColor="text1"/>
                <w:spacing w:val="-2"/>
                <w:lang w:val="en-GB"/>
              </w:rPr>
              <w:t>.</w:t>
            </w:r>
            <w:r w:rsidR="00006B67" w:rsidRPr="00413026">
              <w:rPr>
                <w:color w:val="000000" w:themeColor="text1"/>
                <w:spacing w:val="-2"/>
                <w:lang w:val="en-GB"/>
              </w:rPr>
              <w:t xml:space="preserve"> </w:t>
            </w:r>
            <w:r w:rsidR="007E2A0F" w:rsidRPr="00413026">
              <w:rPr>
                <w:color w:val="000000" w:themeColor="text1"/>
                <w:spacing w:val="-2"/>
                <w:lang w:val="en-GB"/>
              </w:rPr>
              <w:t xml:space="preserve">In </w:t>
            </w:r>
            <w:r w:rsidR="007E2A0F" w:rsidRPr="00413026">
              <w:rPr>
                <w:color w:val="000000" w:themeColor="text1"/>
                <w:spacing w:val="-2"/>
                <w:lang w:val="en-GB"/>
              </w:rPr>
              <w:lastRenderedPageBreak/>
              <w:t xml:space="preserve">spite of less favourable development of the foreign demand, only three industrial branches recorded the fall of output in year </w:t>
            </w:r>
            <w:r w:rsidR="00006B67" w:rsidRPr="00413026">
              <w:rPr>
                <w:color w:val="000000" w:themeColor="text1"/>
                <w:spacing w:val="-2"/>
                <w:lang w:val="en-GB"/>
              </w:rPr>
              <w:t>2018</w:t>
            </w:r>
            <w:r w:rsidR="007E2A0F" w:rsidRPr="00413026">
              <w:rPr>
                <w:color w:val="000000" w:themeColor="text1"/>
                <w:spacing w:val="-2"/>
                <w:lang w:val="en-GB"/>
              </w:rPr>
              <w:t xml:space="preserve"> </w:t>
            </w:r>
            <w:r w:rsidR="00006B67" w:rsidRPr="00413026">
              <w:rPr>
                <w:color w:val="000000" w:themeColor="text1"/>
                <w:spacing w:val="-2"/>
                <w:lang w:val="en-GB"/>
              </w:rPr>
              <w:t>(</w:t>
            </w:r>
            <w:r w:rsidR="007E2A0F" w:rsidRPr="00413026">
              <w:rPr>
                <w:color w:val="000000" w:themeColor="text1"/>
                <w:spacing w:val="-2"/>
                <w:lang w:val="en-GB"/>
              </w:rPr>
              <w:t>out of nearly 30 monitored branches</w:t>
            </w:r>
            <w:r w:rsidR="00006B67" w:rsidRPr="00413026">
              <w:rPr>
                <w:color w:val="000000" w:themeColor="text1"/>
                <w:spacing w:val="-2"/>
                <w:lang w:val="en-GB"/>
              </w:rPr>
              <w:t xml:space="preserve">) – </w:t>
            </w:r>
            <w:r w:rsidR="007E2A0F" w:rsidRPr="00413026">
              <w:rPr>
                <w:color w:val="000000" w:themeColor="text1"/>
                <w:spacing w:val="-2"/>
                <w:lang w:val="en-GB"/>
              </w:rPr>
              <w:t xml:space="preserve">coal mining </w:t>
            </w:r>
            <w:r w:rsidR="00006B67" w:rsidRPr="00413026">
              <w:rPr>
                <w:color w:val="000000" w:themeColor="text1"/>
                <w:spacing w:val="-2"/>
                <w:lang w:val="en-GB"/>
              </w:rPr>
              <w:t>(</w:t>
            </w:r>
            <w:r w:rsidR="00006B67" w:rsidRPr="00413026">
              <w:rPr>
                <w:spacing w:val="-2"/>
                <w:lang w:val="en-GB"/>
              </w:rPr>
              <w:t>-</w:t>
            </w:r>
            <w:r w:rsidR="00006B67" w:rsidRPr="00413026">
              <w:rPr>
                <w:color w:val="000000" w:themeColor="text1"/>
                <w:spacing w:val="-2"/>
                <w:lang w:val="en-GB"/>
              </w:rPr>
              <w:t>4</w:t>
            </w:r>
            <w:r w:rsidR="007E2A0F" w:rsidRPr="00413026">
              <w:rPr>
                <w:color w:val="000000" w:themeColor="text1"/>
                <w:spacing w:val="-2"/>
                <w:lang w:val="en-GB"/>
              </w:rPr>
              <w:t>.</w:t>
            </w:r>
            <w:r w:rsidR="005048E2" w:rsidRPr="00413026">
              <w:rPr>
                <w:color w:val="000000" w:themeColor="text1"/>
                <w:spacing w:val="-2"/>
                <w:lang w:val="en-GB"/>
              </w:rPr>
              <w:t>2</w:t>
            </w:r>
            <w:r w:rsidR="00006B67" w:rsidRPr="00413026">
              <w:rPr>
                <w:color w:val="000000" w:themeColor="text1"/>
                <w:spacing w:val="-2"/>
                <w:lang w:val="en-GB"/>
              </w:rPr>
              <w:t>%)</w:t>
            </w:r>
            <w:r w:rsidR="00006B67" w:rsidRPr="00413026">
              <w:rPr>
                <w:rStyle w:val="Znakapoznpodarou"/>
                <w:color w:val="000000" w:themeColor="text1"/>
                <w:spacing w:val="-2"/>
                <w:lang w:val="en-GB"/>
              </w:rPr>
              <w:footnoteReference w:id="23"/>
            </w:r>
            <w:r w:rsidR="00006B67" w:rsidRPr="00413026">
              <w:rPr>
                <w:color w:val="000000" w:themeColor="text1"/>
                <w:spacing w:val="-2"/>
                <w:lang w:val="en-GB"/>
              </w:rPr>
              <w:t>, text</w:t>
            </w:r>
            <w:r w:rsidR="007E2A0F" w:rsidRPr="00413026">
              <w:rPr>
                <w:color w:val="000000" w:themeColor="text1"/>
                <w:spacing w:val="-2"/>
                <w:lang w:val="en-GB"/>
              </w:rPr>
              <w:t xml:space="preserve">ile industry </w:t>
            </w:r>
            <w:r w:rsidR="00006B67" w:rsidRPr="00413026">
              <w:rPr>
                <w:color w:val="000000" w:themeColor="text1"/>
                <w:spacing w:val="-2"/>
                <w:lang w:val="en-GB"/>
              </w:rPr>
              <w:t>(-5</w:t>
            </w:r>
            <w:r w:rsidR="007E2A0F" w:rsidRPr="00413026">
              <w:rPr>
                <w:color w:val="000000" w:themeColor="text1"/>
                <w:spacing w:val="-2"/>
                <w:lang w:val="en-GB"/>
              </w:rPr>
              <w:t>.</w:t>
            </w:r>
            <w:r w:rsidR="00006B67" w:rsidRPr="00413026">
              <w:rPr>
                <w:color w:val="000000" w:themeColor="text1"/>
                <w:spacing w:val="-2"/>
                <w:lang w:val="en-GB"/>
              </w:rPr>
              <w:t>6%) a</w:t>
            </w:r>
            <w:r w:rsidR="007E2A0F" w:rsidRPr="00413026">
              <w:rPr>
                <w:color w:val="000000" w:themeColor="text1"/>
                <w:spacing w:val="-2"/>
                <w:lang w:val="en-GB"/>
              </w:rPr>
              <w:t xml:space="preserve">nd leatherworking industry </w:t>
            </w:r>
            <w:r w:rsidR="00006B67" w:rsidRPr="00413026">
              <w:rPr>
                <w:color w:val="000000" w:themeColor="text1"/>
                <w:spacing w:val="-2"/>
                <w:lang w:val="en-GB"/>
              </w:rPr>
              <w:t>(</w:t>
            </w:r>
            <w:r w:rsidR="00006B67" w:rsidRPr="00413026">
              <w:rPr>
                <w:spacing w:val="-2"/>
                <w:lang w:val="en-GB"/>
              </w:rPr>
              <w:t>-</w:t>
            </w:r>
            <w:r w:rsidR="00006B67" w:rsidRPr="00413026">
              <w:rPr>
                <w:color w:val="000000" w:themeColor="text1"/>
                <w:spacing w:val="-2"/>
                <w:lang w:val="en-GB"/>
              </w:rPr>
              <w:t>21</w:t>
            </w:r>
            <w:r w:rsidR="007E2A0F" w:rsidRPr="00413026">
              <w:rPr>
                <w:color w:val="000000" w:themeColor="text1"/>
                <w:spacing w:val="-2"/>
                <w:lang w:val="en-GB"/>
              </w:rPr>
              <w:t>.</w:t>
            </w:r>
            <w:r w:rsidR="00006B67" w:rsidRPr="00413026">
              <w:rPr>
                <w:color w:val="000000" w:themeColor="text1"/>
                <w:spacing w:val="-2"/>
                <w:lang w:val="en-GB"/>
              </w:rPr>
              <w:t>9%).</w:t>
            </w:r>
          </w:p>
          <w:p w:rsidR="005D2FDA" w:rsidRPr="00413026" w:rsidRDefault="005D2FDA" w:rsidP="005D2FDA">
            <w:pPr>
              <w:spacing w:after="0"/>
              <w:rPr>
                <w:spacing w:val="-2"/>
                <w:lang w:val="en-GB"/>
              </w:rPr>
            </w:pPr>
          </w:p>
        </w:tc>
      </w:tr>
      <w:tr w:rsidR="00006B67" w:rsidRPr="009C0696" w:rsidTr="00C72161">
        <w:trPr>
          <w:trHeight w:val="145"/>
        </w:trPr>
        <w:tc>
          <w:tcPr>
            <w:tcW w:w="1737" w:type="dxa"/>
            <w:shd w:val="clear" w:color="auto" w:fill="auto"/>
            <w:tcMar>
              <w:left w:w="0" w:type="dxa"/>
            </w:tcMar>
          </w:tcPr>
          <w:p w:rsidR="00006B67" w:rsidRPr="009C0696" w:rsidRDefault="00F500AA" w:rsidP="00723435">
            <w:pPr>
              <w:pStyle w:val="Marginlie"/>
              <w:rPr>
                <w:spacing w:val="-3"/>
                <w:lang w:val="en-GB"/>
              </w:rPr>
            </w:pPr>
            <w:r w:rsidRPr="009C0696">
              <w:rPr>
                <w:spacing w:val="-3"/>
                <w:lang w:val="en-GB"/>
              </w:rPr>
              <w:lastRenderedPageBreak/>
              <w:t>Growing</w:t>
            </w:r>
            <w:r w:rsidR="00637EFD" w:rsidRPr="009C0696">
              <w:rPr>
                <w:spacing w:val="-3"/>
                <w:lang w:val="en-GB"/>
              </w:rPr>
              <w:t xml:space="preserve"> </w:t>
            </w:r>
            <w:r w:rsidRPr="009C0696">
              <w:rPr>
                <w:spacing w:val="-3"/>
                <w:lang w:val="en-GB"/>
              </w:rPr>
              <w:t xml:space="preserve">manufacturing of computers and electronic and optical </w:t>
            </w:r>
            <w:r w:rsidR="00637EFD" w:rsidRPr="009C0696">
              <w:rPr>
                <w:spacing w:val="-3"/>
                <w:lang w:val="en-GB"/>
              </w:rPr>
              <w:t xml:space="preserve">products </w:t>
            </w:r>
            <w:r w:rsidRPr="009C0696">
              <w:rPr>
                <w:spacing w:val="-3"/>
                <w:lang w:val="en-GB"/>
              </w:rPr>
              <w:t>pushed the growth of industrial output last year. Addition of the manufacturing of motor vehicle</w:t>
            </w:r>
            <w:r w:rsidR="00637EFD" w:rsidRPr="009C0696">
              <w:rPr>
                <w:spacing w:val="-3"/>
                <w:lang w:val="en-GB"/>
              </w:rPr>
              <w:t>s</w:t>
            </w:r>
            <w:r w:rsidRPr="009C0696">
              <w:rPr>
                <w:spacing w:val="-3"/>
                <w:lang w:val="en-GB"/>
              </w:rPr>
              <w:t xml:space="preserve"> in contrast significantly contracted compared to </w:t>
            </w:r>
            <w:r w:rsidR="00006B67" w:rsidRPr="009C0696">
              <w:rPr>
                <w:spacing w:val="-3"/>
                <w:lang w:val="en-GB"/>
              </w:rPr>
              <w:t>2017</w:t>
            </w:r>
            <w:r w:rsidRPr="009C0696">
              <w:rPr>
                <w:spacing w:val="-3"/>
                <w:lang w:val="en-GB"/>
              </w:rPr>
              <w:t xml:space="preserve">. </w:t>
            </w:r>
          </w:p>
          <w:p w:rsidR="00006B67" w:rsidRPr="009C0696" w:rsidRDefault="00006B67" w:rsidP="00723435">
            <w:pPr>
              <w:pStyle w:val="Marginlie"/>
              <w:rPr>
                <w:spacing w:val="-3"/>
                <w:lang w:val="en-GB"/>
              </w:rPr>
            </w:pPr>
            <w:r w:rsidRPr="009C0696">
              <w:rPr>
                <w:spacing w:val="-3"/>
                <w:lang w:val="en-GB"/>
              </w:rPr>
              <w:t xml:space="preserve"> </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F500AA" w:rsidP="00637EFD">
            <w:pPr>
              <w:spacing w:after="200"/>
              <w:rPr>
                <w:spacing w:val="-4"/>
                <w:lang w:val="en-GB"/>
              </w:rPr>
            </w:pPr>
            <w:r w:rsidRPr="009C0696">
              <w:rPr>
                <w:spacing w:val="-4"/>
                <w:lang w:val="en-GB"/>
              </w:rPr>
              <w:t xml:space="preserve">Manufacturing of computers, electronic and optical </w:t>
            </w:r>
            <w:r w:rsidR="00637EFD" w:rsidRPr="009C0696">
              <w:rPr>
                <w:spacing w:val="-4"/>
                <w:lang w:val="en-GB"/>
              </w:rPr>
              <w:t xml:space="preserve">products </w:t>
            </w:r>
            <w:r w:rsidRPr="009C0696">
              <w:rPr>
                <w:spacing w:val="-4"/>
                <w:lang w:val="en-GB"/>
              </w:rPr>
              <w:t xml:space="preserve">presented the fastest growing industrial field so far </w:t>
            </w:r>
            <w:r w:rsidR="00006B67" w:rsidRPr="009C0696">
              <w:rPr>
                <w:spacing w:val="-4"/>
                <w:lang w:val="en-GB"/>
              </w:rPr>
              <w:t>(+12</w:t>
            </w:r>
            <w:r w:rsidRPr="009C0696">
              <w:rPr>
                <w:spacing w:val="-4"/>
                <w:lang w:val="en-GB"/>
              </w:rPr>
              <w:t>.</w:t>
            </w:r>
            <w:r w:rsidR="00006B67" w:rsidRPr="009C0696">
              <w:rPr>
                <w:spacing w:val="-4"/>
                <w:lang w:val="en-GB"/>
              </w:rPr>
              <w:t>1%) a</w:t>
            </w:r>
            <w:r w:rsidRPr="009C0696">
              <w:rPr>
                <w:spacing w:val="-4"/>
                <w:lang w:val="en-GB"/>
              </w:rPr>
              <w:t xml:space="preserve">nd contributed to the year-on-year growth of the whole industry </w:t>
            </w:r>
            <w:r w:rsidR="00006B67" w:rsidRPr="009C0696">
              <w:rPr>
                <w:spacing w:val="-4"/>
                <w:lang w:val="en-GB"/>
              </w:rPr>
              <w:t>(+0</w:t>
            </w:r>
            <w:r w:rsidRPr="009C0696">
              <w:rPr>
                <w:spacing w:val="-4"/>
                <w:lang w:val="en-GB"/>
              </w:rPr>
              <w:t>.</w:t>
            </w:r>
            <w:r w:rsidR="00006B67" w:rsidRPr="009C0696">
              <w:rPr>
                <w:spacing w:val="-4"/>
                <w:lang w:val="en-GB"/>
              </w:rPr>
              <w:t>40 p.</w:t>
            </w:r>
            <w:r w:rsidRPr="009C0696">
              <w:rPr>
                <w:spacing w:val="-4"/>
                <w:lang w:val="en-GB"/>
              </w:rPr>
              <w:t>p.</w:t>
            </w:r>
            <w:r w:rsidR="00006B67" w:rsidRPr="009C0696">
              <w:rPr>
                <w:spacing w:val="-4"/>
                <w:lang w:val="en-GB"/>
              </w:rPr>
              <w:t>)</w:t>
            </w:r>
            <w:r w:rsidRPr="009C0696">
              <w:rPr>
                <w:spacing w:val="-4"/>
                <w:lang w:val="en-GB"/>
              </w:rPr>
              <w:t xml:space="preserve"> last year</w:t>
            </w:r>
            <w:r w:rsidR="00006B67" w:rsidRPr="009C0696">
              <w:rPr>
                <w:spacing w:val="-4"/>
                <w:lang w:val="en-GB"/>
              </w:rPr>
              <w:t xml:space="preserve">. </w:t>
            </w:r>
            <w:r w:rsidR="00661EDB" w:rsidRPr="009C0696">
              <w:rPr>
                <w:spacing w:val="-4"/>
                <w:lang w:val="en-GB"/>
              </w:rPr>
              <w:t xml:space="preserve">Influence of the manufacturing of motor vehicles on the contrary notably weakened </w:t>
            </w:r>
            <w:r w:rsidR="00006B67" w:rsidRPr="009C0696">
              <w:rPr>
                <w:spacing w:val="-4"/>
                <w:lang w:val="en-GB"/>
              </w:rPr>
              <w:t>(</w:t>
            </w:r>
            <w:r w:rsidR="00661EDB" w:rsidRPr="009C0696">
              <w:rPr>
                <w:spacing w:val="-4"/>
                <w:lang w:val="en-GB"/>
              </w:rPr>
              <w:t>to</w:t>
            </w:r>
            <w:r w:rsidR="00006B67" w:rsidRPr="009C0696">
              <w:rPr>
                <w:spacing w:val="-4"/>
                <w:lang w:val="en-GB"/>
              </w:rPr>
              <w:t xml:space="preserve"> 0</w:t>
            </w:r>
            <w:r w:rsidR="00661EDB" w:rsidRPr="009C0696">
              <w:rPr>
                <w:spacing w:val="-4"/>
                <w:lang w:val="en-GB"/>
              </w:rPr>
              <w:t>.</w:t>
            </w:r>
            <w:r w:rsidR="00006B67" w:rsidRPr="009C0696">
              <w:rPr>
                <w:spacing w:val="-4"/>
                <w:lang w:val="en-GB"/>
              </w:rPr>
              <w:t>41 p.</w:t>
            </w:r>
            <w:r w:rsidR="00661EDB" w:rsidRPr="009C0696">
              <w:rPr>
                <w:spacing w:val="-4"/>
                <w:lang w:val="en-GB"/>
              </w:rPr>
              <w:t>p.</w:t>
            </w:r>
            <w:r w:rsidR="00006B67" w:rsidRPr="009C0696">
              <w:rPr>
                <w:spacing w:val="-4"/>
                <w:lang w:val="en-GB"/>
              </w:rPr>
              <w:t xml:space="preserve">). </w:t>
            </w:r>
            <w:r w:rsidR="00661EDB" w:rsidRPr="009C0696">
              <w:rPr>
                <w:spacing w:val="-4"/>
                <w:lang w:val="en-GB"/>
              </w:rPr>
              <w:t xml:space="preserve">Although this branch secured nearly one third of growth of the whole industry on its own in year </w:t>
            </w:r>
            <w:r w:rsidR="00006B67" w:rsidRPr="009C0696">
              <w:rPr>
                <w:spacing w:val="-4"/>
                <w:lang w:val="en-GB"/>
              </w:rPr>
              <w:t>2017</w:t>
            </w:r>
            <w:r w:rsidR="00661EDB" w:rsidRPr="009C0696">
              <w:rPr>
                <w:spacing w:val="-4"/>
                <w:lang w:val="en-GB"/>
              </w:rPr>
              <w:t xml:space="preserve"> (contribution </w:t>
            </w:r>
            <w:r w:rsidR="00006B67" w:rsidRPr="009C0696">
              <w:rPr>
                <w:spacing w:val="-4"/>
                <w:lang w:val="en-GB"/>
              </w:rPr>
              <w:t>1</w:t>
            </w:r>
            <w:r w:rsidR="00661EDB" w:rsidRPr="009C0696">
              <w:rPr>
                <w:spacing w:val="-4"/>
                <w:lang w:val="en-GB"/>
              </w:rPr>
              <w:t>.</w:t>
            </w:r>
            <w:r w:rsidR="005048E2" w:rsidRPr="009C0696">
              <w:rPr>
                <w:spacing w:val="-4"/>
                <w:lang w:val="en-GB"/>
              </w:rPr>
              <w:t>82</w:t>
            </w:r>
            <w:r w:rsidR="00006B67" w:rsidRPr="009C0696">
              <w:rPr>
                <w:spacing w:val="-4"/>
                <w:lang w:val="en-GB"/>
              </w:rPr>
              <w:t xml:space="preserve"> p.</w:t>
            </w:r>
            <w:r w:rsidR="00661EDB" w:rsidRPr="009C0696">
              <w:rPr>
                <w:spacing w:val="-4"/>
                <w:lang w:val="en-GB"/>
              </w:rPr>
              <w:t>p.</w:t>
            </w:r>
            <w:r w:rsidR="00006B67" w:rsidRPr="009C0696">
              <w:rPr>
                <w:spacing w:val="-4"/>
                <w:lang w:val="en-GB"/>
              </w:rPr>
              <w:t>).</w:t>
            </w:r>
            <w:r w:rsidR="00661EDB" w:rsidRPr="009C0696">
              <w:rPr>
                <w:spacing w:val="-4"/>
                <w:lang w:val="en-GB"/>
              </w:rPr>
              <w:t xml:space="preserve"> </w:t>
            </w:r>
            <w:r w:rsidR="00303BB4" w:rsidRPr="009C0696">
              <w:rPr>
                <w:spacing w:val="-4"/>
                <w:lang w:val="en-GB"/>
              </w:rPr>
              <w:t>Regulative measures also affected the d</w:t>
            </w:r>
            <w:r w:rsidR="00661EDB" w:rsidRPr="009C0696">
              <w:rPr>
                <w:spacing w:val="-4"/>
                <w:lang w:val="en-GB"/>
              </w:rPr>
              <w:t xml:space="preserve">evelopment of this branch </w:t>
            </w:r>
            <w:r w:rsidR="00303BB4" w:rsidRPr="009C0696">
              <w:rPr>
                <w:spacing w:val="-4"/>
                <w:lang w:val="en-GB"/>
              </w:rPr>
              <w:t xml:space="preserve">in the second half of the last year </w:t>
            </w:r>
            <w:r w:rsidR="00006B67" w:rsidRPr="009C0696">
              <w:rPr>
                <w:spacing w:val="-4"/>
                <w:lang w:val="en-GB"/>
              </w:rPr>
              <w:t>(</w:t>
            </w:r>
            <w:r w:rsidR="00303BB4" w:rsidRPr="009C0696">
              <w:rPr>
                <w:spacing w:val="-4"/>
                <w:lang w:val="en-GB"/>
              </w:rPr>
              <w:t>introduction of stricter emission standards</w:t>
            </w:r>
            <w:r w:rsidR="00006B67" w:rsidRPr="009C0696">
              <w:rPr>
                <w:spacing w:val="-4"/>
                <w:lang w:val="en-GB"/>
              </w:rPr>
              <w:t xml:space="preserve">). </w:t>
            </w:r>
            <w:r w:rsidR="00303BB4" w:rsidRPr="009C0696">
              <w:rPr>
                <w:spacing w:val="-4"/>
                <w:lang w:val="en-GB"/>
              </w:rPr>
              <w:t>The data related to the physical production</w:t>
            </w:r>
            <w:r w:rsidR="00303BB4" w:rsidRPr="009C0696">
              <w:rPr>
                <w:rStyle w:val="Znakapoznpodarou"/>
                <w:spacing w:val="-4"/>
                <w:lang w:val="en-GB"/>
              </w:rPr>
              <w:footnoteReference w:id="24"/>
            </w:r>
            <w:r w:rsidR="00303BB4" w:rsidRPr="009C0696">
              <w:rPr>
                <w:spacing w:val="-4"/>
                <w:lang w:val="en-GB"/>
              </w:rPr>
              <w:t xml:space="preserve"> also provide evidence of a mild growth in the motor vehicle industry last year. </w:t>
            </w:r>
            <w:r w:rsidR="003F0B9F" w:rsidRPr="009C0696">
              <w:rPr>
                <w:spacing w:val="-4"/>
                <w:lang w:val="en-GB"/>
              </w:rPr>
              <w:t xml:space="preserve">The closest sub-branches also recorded a considerable slowdown – especially the manufacture of rubber and plastic products </w:t>
            </w:r>
            <w:r w:rsidR="008704E9" w:rsidRPr="009C0696">
              <w:rPr>
                <w:spacing w:val="-4"/>
                <w:lang w:val="en-GB"/>
              </w:rPr>
              <w:t xml:space="preserve">– </w:t>
            </w:r>
            <w:r w:rsidR="003F0B9F" w:rsidRPr="009C0696">
              <w:rPr>
                <w:spacing w:val="-4"/>
                <w:lang w:val="en-GB"/>
              </w:rPr>
              <w:t xml:space="preserve">where the production only stagnated last year following the swift growth in year </w:t>
            </w:r>
            <w:r w:rsidR="00006B67" w:rsidRPr="009C0696">
              <w:rPr>
                <w:spacing w:val="-4"/>
                <w:lang w:val="en-GB"/>
              </w:rPr>
              <w:t>2017 (+8</w:t>
            </w:r>
            <w:r w:rsidR="003F0B9F" w:rsidRPr="009C0696">
              <w:rPr>
                <w:spacing w:val="-4"/>
                <w:lang w:val="en-GB"/>
              </w:rPr>
              <w:t>.</w:t>
            </w:r>
            <w:r w:rsidR="00006B67" w:rsidRPr="009C0696">
              <w:rPr>
                <w:spacing w:val="-4"/>
                <w:lang w:val="en-GB"/>
              </w:rPr>
              <w:t xml:space="preserve">3%). </w:t>
            </w:r>
          </w:p>
        </w:tc>
      </w:tr>
      <w:tr w:rsidR="00006B67" w:rsidRPr="009C0696" w:rsidTr="00C72161">
        <w:trPr>
          <w:trHeight w:val="170"/>
        </w:trPr>
        <w:tc>
          <w:tcPr>
            <w:tcW w:w="1737" w:type="dxa"/>
            <w:vMerge w:val="restart"/>
            <w:shd w:val="clear" w:color="auto" w:fill="auto"/>
            <w:tcMar>
              <w:left w:w="0" w:type="dxa"/>
            </w:tcMar>
          </w:tcPr>
          <w:p w:rsidR="00006B67" w:rsidRPr="009C0696" w:rsidRDefault="00006B67" w:rsidP="00723435">
            <w:pPr>
              <w:pStyle w:val="Marginlie"/>
              <w:rPr>
                <w:lang w:val="en-GB"/>
              </w:rPr>
            </w:pPr>
          </w:p>
        </w:tc>
        <w:tc>
          <w:tcPr>
            <w:tcW w:w="202" w:type="dxa"/>
            <w:vMerge w:val="restart"/>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F7FC7" w:rsidRDefault="00F500AA" w:rsidP="00661EDB">
            <w:pPr>
              <w:spacing w:after="0"/>
              <w:jc w:val="left"/>
              <w:rPr>
                <w:rFonts w:cs="Arial"/>
                <w:bCs/>
                <w:szCs w:val="20"/>
                <w:lang w:val="en-GB"/>
              </w:rPr>
            </w:pPr>
            <w:r w:rsidRPr="009F7FC7">
              <w:rPr>
                <w:rFonts w:cs="Arial"/>
                <w:b/>
                <w:bCs/>
                <w:color w:val="000000"/>
                <w:szCs w:val="20"/>
                <w:lang w:val="en-GB"/>
              </w:rPr>
              <w:t xml:space="preserve">Chart </w:t>
            </w:r>
            <w:r w:rsidR="00006B67" w:rsidRPr="009F7FC7">
              <w:rPr>
                <w:rFonts w:cs="Arial"/>
                <w:b/>
                <w:bCs/>
                <w:color w:val="000000"/>
                <w:szCs w:val="20"/>
                <w:lang w:val="en-GB"/>
              </w:rPr>
              <w:t xml:space="preserve">5  </w:t>
            </w:r>
            <w:r w:rsidR="00FB6977" w:rsidRPr="009F7FC7">
              <w:rPr>
                <w:rFonts w:cs="Arial"/>
                <w:b/>
                <w:bCs/>
                <w:color w:val="000000"/>
                <w:szCs w:val="20"/>
                <w:lang w:val="en-GB"/>
              </w:rPr>
              <w:t xml:space="preserve">Contributions of sub-branches to the year-on-year change of the </w:t>
            </w:r>
            <w:r w:rsidR="007E4EFE">
              <w:rPr>
                <w:rFonts w:cs="Arial"/>
                <w:b/>
                <w:bCs/>
                <w:color w:val="000000"/>
                <w:szCs w:val="20"/>
                <w:lang w:val="en-GB"/>
              </w:rPr>
              <w:t xml:space="preserve">whole </w:t>
            </w:r>
            <w:r w:rsidR="00FB6977" w:rsidRPr="009F7FC7">
              <w:rPr>
                <w:rFonts w:cs="Arial"/>
                <w:b/>
                <w:bCs/>
                <w:color w:val="000000"/>
                <w:szCs w:val="20"/>
                <w:lang w:val="en-GB"/>
              </w:rPr>
              <w:t xml:space="preserve">industrial production </w:t>
            </w:r>
            <w:r w:rsidR="00FB6977" w:rsidRPr="009F7FC7">
              <w:rPr>
                <w:szCs w:val="20"/>
                <w:lang w:val="en-GB"/>
              </w:rPr>
              <w:t>(in percentage points</w:t>
            </w:r>
            <w:r w:rsidR="00413026" w:rsidRPr="009F7FC7">
              <w:rPr>
                <w:szCs w:val="20"/>
                <w:lang w:val="en-GB"/>
              </w:rPr>
              <w:t>-p.p.</w:t>
            </w:r>
            <w:r w:rsidR="00FB6977" w:rsidRPr="009F7FC7">
              <w:rPr>
                <w:szCs w:val="20"/>
                <w:lang w:val="en-GB"/>
              </w:rPr>
              <w:t>, adjusted for calendar effects)</w:t>
            </w:r>
          </w:p>
        </w:tc>
      </w:tr>
      <w:tr w:rsidR="00006B67" w:rsidRPr="009C0696" w:rsidTr="00C72161">
        <w:trPr>
          <w:trHeight w:val="170"/>
        </w:trPr>
        <w:tc>
          <w:tcPr>
            <w:tcW w:w="1737" w:type="dxa"/>
            <w:vMerge/>
            <w:shd w:val="clear" w:color="auto" w:fill="auto"/>
            <w:tcMar>
              <w:left w:w="0" w:type="dxa"/>
            </w:tcMar>
          </w:tcPr>
          <w:p w:rsidR="00006B67" w:rsidRPr="009C0696" w:rsidRDefault="00006B67" w:rsidP="00723435">
            <w:pPr>
              <w:pStyle w:val="Marginlie"/>
              <w:rPr>
                <w:lang w:val="en-GB"/>
              </w:rPr>
            </w:pPr>
          </w:p>
        </w:tc>
        <w:tc>
          <w:tcPr>
            <w:tcW w:w="202" w:type="dxa"/>
            <w:vMerge/>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C72161" w:rsidP="00723435">
            <w:pPr>
              <w:spacing w:after="0"/>
              <w:rPr>
                <w:lang w:val="en-GB"/>
              </w:rPr>
            </w:pPr>
            <w:r>
              <w:rPr>
                <w:noProof/>
              </w:rPr>
              <w:drawing>
                <wp:inline distT="0" distB="0" distL="0" distR="0" wp14:anchorId="4E941D3D" wp14:editId="6440FEDE">
                  <wp:extent cx="4796003" cy="3603406"/>
                  <wp:effectExtent l="0" t="0" r="5080" b="0"/>
                  <wp:docPr id="50" name="Graf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006B67" w:rsidRPr="009C0696" w:rsidTr="00B9632F">
        <w:tblPrEx>
          <w:tblCellMar>
            <w:left w:w="70" w:type="dxa"/>
            <w:right w:w="70" w:type="dxa"/>
          </w:tblCellMar>
        </w:tblPrEx>
        <w:trPr>
          <w:trHeight w:val="170"/>
        </w:trPr>
        <w:tc>
          <w:tcPr>
            <w:tcW w:w="1737" w:type="dxa"/>
            <w:vMerge/>
            <w:shd w:val="clear" w:color="auto" w:fill="auto"/>
          </w:tcPr>
          <w:p w:rsidR="00006B67" w:rsidRPr="009C0696" w:rsidRDefault="00006B67" w:rsidP="00723435">
            <w:pPr>
              <w:pStyle w:val="Marginlie"/>
              <w:rPr>
                <w:lang w:val="en-GB"/>
              </w:rPr>
            </w:pPr>
          </w:p>
        </w:tc>
        <w:tc>
          <w:tcPr>
            <w:tcW w:w="202" w:type="dxa"/>
            <w:vMerge/>
            <w:shd w:val="clear" w:color="auto" w:fill="auto"/>
          </w:tcPr>
          <w:p w:rsidR="00006B67" w:rsidRPr="009C0696" w:rsidRDefault="00006B67" w:rsidP="00723435">
            <w:pPr>
              <w:pStyle w:val="Textpoznpodarou"/>
              <w:jc w:val="both"/>
              <w:rPr>
                <w:spacing w:val="-4"/>
                <w:lang w:val="en-GB"/>
              </w:rPr>
            </w:pPr>
          </w:p>
        </w:tc>
        <w:tc>
          <w:tcPr>
            <w:tcW w:w="7700" w:type="dxa"/>
            <w:shd w:val="clear" w:color="auto" w:fill="auto"/>
          </w:tcPr>
          <w:p w:rsidR="008F0E4E" w:rsidRPr="009C0696" w:rsidRDefault="00020C84" w:rsidP="00C72161">
            <w:pPr>
              <w:spacing w:after="200" w:line="240" w:lineRule="auto"/>
              <w:jc w:val="left"/>
              <w:rPr>
                <w:rFonts w:cs="Arial"/>
                <w:sz w:val="14"/>
                <w:szCs w:val="14"/>
                <w:lang w:val="en-GB"/>
              </w:rPr>
            </w:pPr>
            <w:r w:rsidRPr="009C0696">
              <w:rPr>
                <w:rFonts w:cs="Arial"/>
                <w:sz w:val="14"/>
                <w:szCs w:val="14"/>
                <w:lang w:val="en-GB"/>
              </w:rPr>
              <w:t>Source</w:t>
            </w:r>
            <w:r w:rsidR="00006B67" w:rsidRPr="009C0696">
              <w:rPr>
                <w:rFonts w:cs="Arial"/>
                <w:sz w:val="14"/>
                <w:szCs w:val="14"/>
                <w:lang w:val="en-GB"/>
              </w:rPr>
              <w:t xml:space="preserve">: </w:t>
            </w:r>
            <w:r w:rsidRPr="009C0696">
              <w:rPr>
                <w:rFonts w:cs="Arial"/>
                <w:sz w:val="14"/>
                <w:szCs w:val="14"/>
                <w:lang w:val="en-GB"/>
              </w:rPr>
              <w:t>CZSO</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spacing w:val="-3"/>
                <w:lang w:val="en-GB"/>
              </w:rPr>
            </w:pPr>
            <w:r w:rsidRPr="009C0696">
              <w:rPr>
                <w:spacing w:val="-3"/>
                <w:lang w:val="en-GB"/>
              </w:rPr>
              <w:t xml:space="preserve">Manufacture of metal products or machinery prospered. Thanks to the domestic demand, recovery continued in metallurgy as well as construction materials.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200"/>
              <w:rPr>
                <w:color w:val="000000" w:themeColor="text1"/>
                <w:spacing w:val="-4"/>
                <w:lang w:val="en-GB"/>
              </w:rPr>
            </w:pPr>
            <w:r w:rsidRPr="009C0696">
              <w:rPr>
                <w:spacing w:val="-4"/>
                <w:lang w:val="en-GB"/>
              </w:rPr>
              <w:t xml:space="preserve">Weight significant branch manufacturing of metal products also supported the growth of industry last year (contribution 0.45 p.p.), its production grew faster than the whole manufacturing already the fourth year in a row. In machinery, where the strong impulse in the form of domestic demand acceleration in 2017 already dissipated for the most part, the production growth slowed down to 3.0%. Still it represented the third best result after year 2011. In metallurgy and foundry industry, the revival of mainly the domestic demand from </w:t>
            </w:r>
            <w:r w:rsidRPr="009C0696">
              <w:rPr>
                <w:spacing w:val="-4"/>
                <w:lang w:val="en-GB"/>
              </w:rPr>
              <w:lastRenderedPageBreak/>
              <w:t>the year before the last prevailed also in 2018 and the industry output thus increased by 2.7% last year (the most in the last four years)</w:t>
            </w:r>
            <w:r w:rsidRPr="009C0696">
              <w:rPr>
                <w:rStyle w:val="Znakapoznpodarou"/>
                <w:spacing w:val="-4"/>
                <w:lang w:val="en-GB"/>
              </w:rPr>
              <w:footnoteReference w:id="25"/>
            </w:r>
            <w:r w:rsidRPr="009C0696">
              <w:rPr>
                <w:spacing w:val="-4"/>
                <w:lang w:val="en-GB"/>
              </w:rPr>
              <w:t xml:space="preserve">. Similar situation rules also in the manufacture of construction materials. Even though the rate of growth of production even strengthened in the food industry as one of the few more significant industrial branches last year, it still ended below 3.5%. The traditionally weaker performance here </w:t>
            </w:r>
            <w:proofErr w:type="gramStart"/>
            <w:r w:rsidRPr="009C0696">
              <w:rPr>
                <w:spacing w:val="-4"/>
                <w:lang w:val="en-GB"/>
              </w:rPr>
              <w:t>is connected</w:t>
            </w:r>
            <w:proofErr w:type="gramEnd"/>
            <w:r w:rsidRPr="009C0696">
              <w:rPr>
                <w:spacing w:val="-4"/>
                <w:lang w:val="en-GB"/>
              </w:rPr>
              <w:t xml:space="preserve"> to the deepening negative balance of the foreign trade with the food products</w:t>
            </w:r>
            <w:r w:rsidRPr="009C0696">
              <w:rPr>
                <w:rStyle w:val="Znakapoznpodarou"/>
                <w:spacing w:val="-4"/>
                <w:lang w:val="en-GB"/>
              </w:rPr>
              <w:footnoteReference w:id="26"/>
            </w:r>
            <w:r w:rsidRPr="009C0696">
              <w:rPr>
                <w:spacing w:val="-4"/>
                <w:lang w:val="en-GB"/>
              </w:rPr>
              <w:t>.</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lang w:val="en-GB"/>
              </w:rPr>
            </w:pPr>
            <w:r w:rsidRPr="009C0696">
              <w:rPr>
                <w:color w:val="0D0D0D" w:themeColor="text1" w:themeTint="F2"/>
                <w:lang w:val="en-GB"/>
              </w:rPr>
              <w:lastRenderedPageBreak/>
              <w:t xml:space="preserve">Among smaller manufacturing industries, a swift growth continued in the pharmaceutical industry, warm weather also assisted to manufacturers of beverages. </w:t>
            </w:r>
          </w:p>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pStyle w:val="Textpoznpodarou"/>
              <w:spacing w:after="220" w:line="276" w:lineRule="auto"/>
              <w:jc w:val="both"/>
              <w:rPr>
                <w:spacing w:val="-3"/>
                <w:lang w:val="en-GB"/>
              </w:rPr>
            </w:pPr>
            <w:r w:rsidRPr="009C0696">
              <w:rPr>
                <w:spacing w:val="-4"/>
                <w:lang w:val="en-GB"/>
              </w:rPr>
              <w:t xml:space="preserve">Last year´s slowdown of growth of the majority of weight significant industrial branches was partially offset by the dynamical development of some of the smaller industries. It concerned mainly the largely export oriented pharmaceutical industry (+5.7%) and manufacturing of other </w:t>
            </w:r>
            <w:r w:rsidRPr="009C0696">
              <w:rPr>
                <w:spacing w:val="-3"/>
                <w:lang w:val="en-GB"/>
              </w:rPr>
              <w:t>– especially rail – transport equipment (where the growth fully compensated the nearly 10% fall of production from year 2017). Higher domestic demand was also favourably reflected in the output of the manufacture of furniture or manufacture of other products</w:t>
            </w:r>
            <w:r w:rsidRPr="009C0696">
              <w:rPr>
                <w:rStyle w:val="Znakapoznpodarou"/>
                <w:color w:val="0D0D0D" w:themeColor="text1" w:themeTint="F2"/>
                <w:spacing w:val="-4"/>
                <w:lang w:val="en-GB"/>
              </w:rPr>
              <w:footnoteReference w:id="27"/>
            </w:r>
            <w:r w:rsidRPr="009C0696">
              <w:rPr>
                <w:color w:val="0D0D0D" w:themeColor="text1" w:themeTint="F2"/>
                <w:spacing w:val="-4"/>
                <w:lang w:val="en-GB"/>
              </w:rPr>
              <w:t xml:space="preserve">. Manufacture of wood, wearing apparel (with the production growth of more than one third in the last four years) as well as the manufacture of beverages, where the growth of 5.1% (supported by the long hot weather period as well as the export revival) represented the best result after year 2007, also fared well. </w:t>
            </w:r>
            <w:r w:rsidRPr="009C0696">
              <w:rPr>
                <w:spacing w:val="-3"/>
                <w:lang w:val="en-GB"/>
              </w:rPr>
              <w:t xml:space="preserve"> </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Default="00B9632F" w:rsidP="00B9632F">
            <w:pPr>
              <w:pStyle w:val="Textpoznpodarou"/>
              <w:spacing w:line="276" w:lineRule="auto"/>
              <w:rPr>
                <w:b/>
                <w:spacing w:val="-3"/>
                <w:lang w:val="en-GB"/>
              </w:rPr>
            </w:pPr>
            <w:r w:rsidRPr="009C0696">
              <w:rPr>
                <w:b/>
                <w:spacing w:val="-3"/>
                <w:lang w:val="en-GB"/>
              </w:rPr>
              <w:t xml:space="preserve">Chart 6  </w:t>
            </w:r>
            <w:r w:rsidRPr="009C0696">
              <w:rPr>
                <w:b/>
                <w:lang w:val="en-GB"/>
              </w:rPr>
              <w:t>New</w:t>
            </w:r>
            <w:r w:rsidRPr="009C0696">
              <w:rPr>
                <w:b/>
                <w:spacing w:val="-2"/>
                <w:lang w:val="en-GB"/>
              </w:rPr>
              <w:t xml:space="preserve"> orders in manufacture of motor vehicles, in industry in total </w:t>
            </w:r>
            <w:r w:rsidRPr="009C0696">
              <w:rPr>
                <w:spacing w:val="-2"/>
                <w:lang w:val="en-GB"/>
              </w:rPr>
              <w:t>(in current prices, year-on-year in %)</w:t>
            </w:r>
            <w:r w:rsidRPr="009C0696">
              <w:rPr>
                <w:bCs/>
                <w:spacing w:val="-2"/>
                <w:lang w:val="en-GB"/>
              </w:rPr>
              <w:t xml:space="preserve">, </w:t>
            </w:r>
            <w:r w:rsidRPr="009C0696">
              <w:rPr>
                <w:b/>
                <w:spacing w:val="-2"/>
                <w:lang w:val="en-GB"/>
              </w:rPr>
              <w:t>balance of confidence indicator in industry</w:t>
            </w:r>
            <w:r w:rsidRPr="009C0696">
              <w:rPr>
                <w:b/>
                <w:spacing w:val="-3"/>
                <w:lang w:val="en-GB"/>
              </w:rPr>
              <w:t xml:space="preserve"> </w:t>
            </w:r>
            <w:r>
              <w:rPr>
                <w:b/>
                <w:spacing w:val="-3"/>
                <w:lang w:val="en-GB"/>
              </w:rPr>
              <w:t>*</w:t>
            </w:r>
          </w:p>
          <w:p w:rsidR="00B9632F" w:rsidRPr="009C0696" w:rsidRDefault="00B9632F" w:rsidP="00B9632F">
            <w:pPr>
              <w:pStyle w:val="Textpoznpodarou"/>
              <w:spacing w:line="276" w:lineRule="auto"/>
              <w:rPr>
                <w:spacing w:val="-3"/>
                <w:lang w:val="en-GB"/>
              </w:rPr>
            </w:pPr>
            <w:r w:rsidRPr="009C0696">
              <w:rPr>
                <w:spacing w:val="-3"/>
                <w:lang w:val="en-GB"/>
              </w:rPr>
              <w:t>(</w:t>
            </w:r>
            <w:proofErr w:type="gramStart"/>
            <w:r>
              <w:rPr>
                <w:spacing w:val="-3"/>
                <w:lang w:val="en-GB"/>
              </w:rPr>
              <w:t>in</w:t>
            </w:r>
            <w:proofErr w:type="gramEnd"/>
            <w:r>
              <w:rPr>
                <w:spacing w:val="-3"/>
                <w:lang w:val="en-GB"/>
              </w:rPr>
              <w:t xml:space="preserve"> p.p.</w:t>
            </w:r>
            <w:r w:rsidRPr="009C0696">
              <w:rPr>
                <w:spacing w:val="-3"/>
                <w:lang w:val="en-GB"/>
              </w:rPr>
              <w:t xml:space="preserve">) </w:t>
            </w:r>
            <w:proofErr w:type="gramStart"/>
            <w:r w:rsidRPr="009C0696">
              <w:rPr>
                <w:b/>
                <w:spacing w:val="-3"/>
                <w:lang w:val="en-GB"/>
              </w:rPr>
              <w:t>and</w:t>
            </w:r>
            <w:proofErr w:type="gramEnd"/>
            <w:r w:rsidRPr="009C0696">
              <w:rPr>
                <w:b/>
                <w:spacing w:val="-3"/>
                <w:lang w:val="en-GB"/>
              </w:rPr>
              <w:t xml:space="preserve"> utilisation of production capacities in industry *</w:t>
            </w:r>
            <w:r w:rsidRPr="009C0696">
              <w:rPr>
                <w:spacing w:val="-3"/>
                <w:lang w:val="en-GB"/>
              </w:rPr>
              <w:t xml:space="preserve"> (in %)</w:t>
            </w:r>
          </w:p>
        </w:tc>
      </w:tr>
      <w:tr w:rsidR="00B9632F" w:rsidRPr="009C0696" w:rsidTr="002D41E1">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2D41E1" w:rsidP="00B9632F">
            <w:pPr>
              <w:spacing w:after="0" w:line="240" w:lineRule="auto"/>
              <w:rPr>
                <w:spacing w:val="-2"/>
                <w:szCs w:val="20"/>
                <w:lang w:val="en-GB"/>
              </w:rPr>
            </w:pPr>
            <w:r>
              <w:rPr>
                <w:noProof/>
              </w:rPr>
              <w:drawing>
                <wp:inline distT="0" distB="0" distL="0" distR="0" wp14:anchorId="77BFE478" wp14:editId="6B68D130">
                  <wp:extent cx="4759549" cy="3553200"/>
                  <wp:effectExtent l="0" t="0" r="3175" b="0"/>
                  <wp:docPr id="57" name="Graf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B9632F" w:rsidRPr="009C0696" w:rsidTr="00413026">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220" w:line="240" w:lineRule="auto"/>
              <w:rPr>
                <w:rFonts w:cs="Arial"/>
                <w:sz w:val="14"/>
                <w:szCs w:val="14"/>
                <w:lang w:val="en-GB"/>
              </w:rPr>
            </w:pPr>
            <w:r w:rsidRPr="009C0696">
              <w:rPr>
                <w:rFonts w:cs="Arial"/>
                <w:sz w:val="14"/>
                <w:szCs w:val="14"/>
                <w:lang w:val="en-GB"/>
              </w:rPr>
              <w:t>*Data are seasonally adjusted.                                                                                                                          Source: CZSO</w:t>
            </w:r>
          </w:p>
        </w:tc>
      </w:tr>
      <w:tr w:rsidR="00B9632F" w:rsidRPr="009C0696" w:rsidTr="00413026">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Balance of confidence indicator in industry in the second half of 2018</w:t>
            </w:r>
            <w:r w:rsidR="00F2665F">
              <w:rPr>
                <w:lang w:val="en-GB"/>
              </w:rPr>
              <w:t xml:space="preserve"> weakened</w:t>
            </w:r>
            <w:r w:rsidRPr="009C0696">
              <w:rPr>
                <w:lang w:val="en-GB"/>
              </w:rPr>
              <w:t xml:space="preserve">, however </w:t>
            </w:r>
            <w:proofErr w:type="gramStart"/>
            <w:r w:rsidRPr="009C0696">
              <w:rPr>
                <w:lang w:val="en-GB"/>
              </w:rPr>
              <w:t>it still</w:t>
            </w:r>
            <w:proofErr w:type="gramEnd"/>
            <w:r w:rsidRPr="009C0696">
              <w:rPr>
                <w:lang w:val="en-GB"/>
              </w:rPr>
              <w:t xml:space="preserve"> remained slightly </w:t>
            </w:r>
            <w:r w:rsidRPr="009C0696">
              <w:rPr>
                <w:lang w:val="en-GB"/>
              </w:rPr>
              <w:lastRenderedPageBreak/>
              <w:t xml:space="preserve">positive. </w:t>
            </w: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r w:rsidRPr="009C0696">
              <w:rPr>
                <w:lang w:val="en-GB"/>
              </w:rPr>
              <w:t>Businesses were still limited the most by the tense situation on the labour market. This influence however mildly weakened at the beginning of year 2019</w:t>
            </w:r>
            <w:r w:rsidR="00FF2EF4">
              <w:rPr>
                <w:lang w:val="en-GB"/>
              </w:rPr>
              <w:t>.</w:t>
            </w: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Pr="009C0696" w:rsidRDefault="00B9632F" w:rsidP="00B9632F">
            <w:pPr>
              <w:pStyle w:val="Textpoznpodarou"/>
              <w:spacing w:after="200" w:line="276" w:lineRule="auto"/>
              <w:jc w:val="both"/>
              <w:rPr>
                <w:color w:val="0D0D0D" w:themeColor="text1" w:themeTint="F2"/>
                <w:spacing w:val="-4"/>
                <w:lang w:val="en-GB"/>
              </w:rPr>
            </w:pPr>
            <w:r w:rsidRPr="009C0696">
              <w:rPr>
                <w:color w:val="0D0D0D" w:themeColor="text1" w:themeTint="F2"/>
                <w:spacing w:val="-4"/>
                <w:lang w:val="en-GB"/>
              </w:rPr>
              <w:t xml:space="preserve">Even though the year-on-year growth of production as well as sales in industry slumped approximately by one half last year in comparison to the rate of growth attained in year 2017, short term outlook for the whole branch remains slightly positive. Value of new orders was by 4.5% higher in Q4 (by 3.7% for the whole year). Even though the demand in </w:t>
            </w:r>
            <w:r w:rsidRPr="009C0696">
              <w:rPr>
                <w:color w:val="0D0D0D" w:themeColor="text1" w:themeTint="F2"/>
                <w:spacing w:val="-4"/>
                <w:lang w:val="en-GB"/>
              </w:rPr>
              <w:lastRenderedPageBreak/>
              <w:t>the motor vehicle industry as well as the associated branch manufacture of electrical equipment in fact</w:t>
            </w:r>
            <w:r w:rsidR="00F2665F">
              <w:rPr>
                <w:color w:val="0D0D0D" w:themeColor="text1" w:themeTint="F2"/>
                <w:spacing w:val="-4"/>
                <w:lang w:val="en-GB"/>
              </w:rPr>
              <w:t xml:space="preserve"> stagnated, in the overwhelming</w:t>
            </w:r>
            <w:r w:rsidRPr="009C0696">
              <w:rPr>
                <w:color w:val="0D0D0D" w:themeColor="text1" w:themeTint="F2"/>
                <w:spacing w:val="-4"/>
                <w:lang w:val="en-GB"/>
              </w:rPr>
              <w:t xml:space="preserve"> of other monitored branches the orders grew (especially due to the stronger foreign demand). It included mainly the manufacture of rail equipment, computers, both electronic and optical equipment, pharmaceutical industry and manufacture of metal products. Seasonally adjusted balance of confidence indicator in industry maintained in the positive band –</w:t>
            </w:r>
            <w:r w:rsidRPr="009C0696">
              <w:rPr>
                <w:rFonts w:cs="Arial"/>
                <w:color w:val="0D0D0D" w:themeColor="text1" w:themeTint="F2"/>
                <w:spacing w:val="-4"/>
                <w:lang w:val="en-GB"/>
              </w:rPr>
              <w:t xml:space="preserve"> following the stagnation from the first half year of 2018 it slightly decreased in its remaining part (to December +0.3, a five-year minimum). The weaker assessment of the total demand as well as the </w:t>
            </w:r>
            <w:proofErr w:type="gramStart"/>
            <w:r w:rsidRPr="009C0696">
              <w:rPr>
                <w:rFonts w:cs="Arial"/>
                <w:color w:val="0D0D0D" w:themeColor="text1" w:themeTint="F2"/>
                <w:spacing w:val="-4"/>
                <w:lang w:val="en-GB"/>
              </w:rPr>
              <w:t>short term</w:t>
            </w:r>
            <w:proofErr w:type="gramEnd"/>
            <w:r w:rsidRPr="009C0696">
              <w:rPr>
                <w:rFonts w:cs="Arial"/>
                <w:color w:val="0D0D0D" w:themeColor="text1" w:themeTint="F2"/>
                <w:spacing w:val="-4"/>
                <w:lang w:val="en-GB"/>
              </w:rPr>
              <w:t xml:space="preserve"> expectations of the production activity stood behind this result. The lack of employees</w:t>
            </w:r>
            <w:r w:rsidRPr="009C0696">
              <w:rPr>
                <w:rStyle w:val="Znakapoznpodarou"/>
                <w:color w:val="0D0D0D" w:themeColor="text1" w:themeTint="F2"/>
                <w:spacing w:val="-4"/>
                <w:lang w:val="en-GB"/>
              </w:rPr>
              <w:footnoteReference w:id="28"/>
            </w:r>
            <w:r w:rsidRPr="009C0696">
              <w:rPr>
                <w:rFonts w:cs="Arial"/>
                <w:color w:val="0D0D0D" w:themeColor="text1" w:themeTint="F2"/>
                <w:spacing w:val="-4"/>
                <w:lang w:val="en-GB"/>
              </w:rPr>
              <w:t xml:space="preserve"> stays as the main barrier to growth of industry already since the half of year 2017, which was apparent in the higher investment in the area of machinery equipment as well as the growing utilisation of the industry production capacities. Inadequate demand limited one third of businesses at the beginning of year 2019 (similarly to the year before). Since the half of last year, they also experience more intensively the lack of materials (the most in the chemical and motor vehicle industry).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jc w:val="left"/>
              <w:rPr>
                <w:bCs/>
                <w:lang w:val="en-GB"/>
              </w:rPr>
            </w:pPr>
            <w:r w:rsidRPr="009C0696">
              <w:rPr>
                <w:b/>
                <w:spacing w:val="-2"/>
                <w:lang w:val="en-GB"/>
              </w:rPr>
              <w:t xml:space="preserve">Chart 7  </w:t>
            </w:r>
            <w:r w:rsidR="00FF2EF4">
              <w:rPr>
                <w:b/>
                <w:spacing w:val="-2"/>
                <w:lang w:val="en-GB"/>
              </w:rPr>
              <w:t>Contribution of sub-</w:t>
            </w:r>
            <w:r w:rsidRPr="009C0696">
              <w:rPr>
                <w:b/>
                <w:spacing w:val="-2"/>
                <w:lang w:val="en-GB"/>
              </w:rPr>
              <w:t xml:space="preserve">branches to year-on-year change of construction output* </w:t>
            </w:r>
            <w:r w:rsidRPr="009C0696">
              <w:rPr>
                <w:spacing w:val="-2"/>
                <w:lang w:val="en-GB"/>
              </w:rPr>
              <w:t xml:space="preserve">(in p.p.), </w:t>
            </w:r>
            <w:r w:rsidRPr="009C0696">
              <w:rPr>
                <w:b/>
                <w:spacing w:val="-2"/>
                <w:lang w:val="en-GB"/>
              </w:rPr>
              <w:t xml:space="preserve">new orders </w:t>
            </w:r>
            <w:r w:rsidRPr="009C0696">
              <w:rPr>
                <w:bCs/>
                <w:spacing w:val="-2"/>
                <w:lang w:val="en-GB"/>
              </w:rPr>
              <w:t xml:space="preserve">(year-on-year in %) </w:t>
            </w:r>
            <w:r w:rsidRPr="009C0696">
              <w:rPr>
                <w:b/>
                <w:spacing w:val="-2"/>
                <w:lang w:val="en-GB"/>
              </w:rPr>
              <w:t xml:space="preserve">and  </w:t>
            </w:r>
            <w:r w:rsidRPr="009C0696">
              <w:rPr>
                <w:b/>
                <w:bCs/>
                <w:lang w:val="en-GB"/>
              </w:rPr>
              <w:t>balance of confidence indicator in construction</w:t>
            </w:r>
            <w:r w:rsidRPr="009C0696">
              <w:rPr>
                <w:b/>
                <w:spacing w:val="-2"/>
                <w:lang w:val="en-GB"/>
              </w:rPr>
              <w:t>**</w:t>
            </w:r>
            <w:r w:rsidRPr="009C0696">
              <w:rPr>
                <w:spacing w:val="-2"/>
                <w:lang w:val="en-GB"/>
              </w:rPr>
              <w:t xml:space="preserve">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rPr>
                <w:spacing w:val="-4"/>
                <w:lang w:val="en-GB"/>
              </w:rPr>
            </w:pPr>
            <w:r>
              <w:rPr>
                <w:noProof/>
              </w:rPr>
              <w:drawing>
                <wp:inline distT="0" distB="0" distL="0" distR="0" wp14:anchorId="246330F7" wp14:editId="0C5A4C13">
                  <wp:extent cx="4735830" cy="3640771"/>
                  <wp:effectExtent l="0" t="0" r="7620" b="0"/>
                  <wp:docPr id="54" name="Graf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B9632F" w:rsidRPr="009C0696" w:rsidTr="00B9632F">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0" w:line="240" w:lineRule="auto"/>
              <w:jc w:val="left"/>
              <w:rPr>
                <w:rFonts w:cs="Arial"/>
                <w:sz w:val="14"/>
                <w:szCs w:val="14"/>
                <w:lang w:val="en-GB"/>
              </w:rPr>
            </w:pPr>
            <w:r w:rsidRPr="009C0696">
              <w:rPr>
                <w:rFonts w:cs="Arial"/>
                <w:sz w:val="14"/>
                <w:szCs w:val="14"/>
                <w:lang w:val="en-GB"/>
              </w:rPr>
              <w:t xml:space="preserve">*Data are adjusted for calendar effects. </w:t>
            </w:r>
          </w:p>
          <w:p w:rsidR="00B9632F" w:rsidRPr="00413026" w:rsidRDefault="00B9632F" w:rsidP="00B9632F">
            <w:pPr>
              <w:spacing w:after="180"/>
              <w:jc w:val="left"/>
              <w:rPr>
                <w:rFonts w:cs="Arial"/>
                <w:sz w:val="14"/>
                <w:szCs w:val="14"/>
                <w:lang w:val="en-GB"/>
              </w:rPr>
            </w:pPr>
            <w:r w:rsidRPr="009C0696">
              <w:rPr>
                <w:rFonts w:cs="Arial"/>
                <w:sz w:val="14"/>
                <w:szCs w:val="14"/>
                <w:lang w:val="en-GB"/>
              </w:rPr>
              <w:t>**Data are seasonally adjusted.                                                                                                                        Source: CZSO</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 xml:space="preserve">Construction output grew the fastest last year after year 2003. Both building </w:t>
            </w:r>
            <w:r w:rsidRPr="009C0696">
              <w:rPr>
                <w:lang w:val="en-GB"/>
              </w:rPr>
              <w:lastRenderedPageBreak/>
              <w:t xml:space="preserve">construction and civil engineering construction prospered. </w:t>
            </w: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Pr="009C0696" w:rsidRDefault="00B9632F" w:rsidP="00B9632F">
            <w:pPr>
              <w:spacing w:after="200"/>
              <w:rPr>
                <w:color w:val="0D0D0D" w:themeColor="text1" w:themeTint="F2"/>
                <w:spacing w:val="-4"/>
                <w:lang w:val="en-GB"/>
              </w:rPr>
            </w:pPr>
            <w:r w:rsidRPr="009C0696">
              <w:rPr>
                <w:color w:val="0D0D0D" w:themeColor="text1" w:themeTint="F2"/>
                <w:spacing w:val="-4"/>
                <w:lang w:val="en-GB"/>
              </w:rPr>
              <w:t xml:space="preserve">Construction output accelerated </w:t>
            </w:r>
            <w:proofErr w:type="gramStart"/>
            <w:r w:rsidRPr="009C0696">
              <w:rPr>
                <w:color w:val="0D0D0D" w:themeColor="text1" w:themeTint="F2"/>
                <w:spacing w:val="-4"/>
                <w:lang w:val="en-GB"/>
              </w:rPr>
              <w:t>as a consequence</w:t>
            </w:r>
            <w:proofErr w:type="gramEnd"/>
            <w:r w:rsidRPr="009C0696">
              <w:rPr>
                <w:color w:val="0D0D0D" w:themeColor="text1" w:themeTint="F2"/>
                <w:spacing w:val="-4"/>
                <w:lang w:val="en-GB"/>
              </w:rPr>
              <w:t xml:space="preserve"> of rising both public and private investment last year. Very favourable weather conditions</w:t>
            </w:r>
            <w:r w:rsidRPr="009C0696">
              <w:rPr>
                <w:rStyle w:val="Znakapoznpodarou"/>
                <w:color w:val="0D0D0D" w:themeColor="text1" w:themeTint="F2"/>
                <w:spacing w:val="-4"/>
                <w:lang w:val="en-GB"/>
              </w:rPr>
              <w:footnoteReference w:id="29"/>
            </w:r>
            <w:r w:rsidRPr="009C0696">
              <w:rPr>
                <w:color w:val="0D0D0D" w:themeColor="text1" w:themeTint="F2"/>
                <w:spacing w:val="-4"/>
                <w:lang w:val="en-GB"/>
              </w:rPr>
              <w:t xml:space="preserve"> also assisted this branch. Construction output</w:t>
            </w:r>
            <w:r w:rsidRPr="009C0696">
              <w:rPr>
                <w:rStyle w:val="Znakapoznpodarou"/>
                <w:spacing w:val="-4"/>
                <w:lang w:val="en-GB"/>
              </w:rPr>
              <w:footnoteReference w:id="30"/>
            </w:r>
            <w:r w:rsidRPr="009C0696">
              <w:rPr>
                <w:spacing w:val="-3"/>
                <w:lang w:val="en-GB"/>
              </w:rPr>
              <w:t xml:space="preserve"> grew already second year in a row, last year´s +9.1%</w:t>
            </w:r>
            <w:r w:rsidRPr="009C0696">
              <w:rPr>
                <w:rStyle w:val="Znakapoznpodarou"/>
                <w:spacing w:val="-3"/>
                <w:lang w:val="en-GB"/>
              </w:rPr>
              <w:footnoteReference w:id="31"/>
            </w:r>
            <w:r w:rsidRPr="009C0696">
              <w:rPr>
                <w:spacing w:val="-3"/>
                <w:lang w:val="en-GB"/>
              </w:rPr>
              <w:t xml:space="preserve"> comprised </w:t>
            </w:r>
            <w:r w:rsidRPr="009C0696">
              <w:rPr>
                <w:spacing w:val="-3"/>
                <w:lang w:val="en-GB"/>
              </w:rPr>
              <w:lastRenderedPageBreak/>
              <w:t xml:space="preserve">the strongest pace in the last fifteen years. It is credited to the development in Q1 to </w:t>
            </w:r>
            <w:r w:rsidR="00295B9F">
              <w:rPr>
                <w:spacing w:val="-3"/>
                <w:lang w:val="en-GB"/>
              </w:rPr>
              <w:t>Q</w:t>
            </w:r>
            <w:r w:rsidRPr="009C0696">
              <w:rPr>
                <w:spacing w:val="-3"/>
                <w:lang w:val="en-GB"/>
              </w:rPr>
              <w:t xml:space="preserve">3 of the year, a slowdown occurred in the last quarter (to </w:t>
            </w:r>
            <w:r w:rsidR="00295B9F">
              <w:rPr>
                <w:spacing w:val="-3"/>
                <w:lang w:val="en-GB"/>
              </w:rPr>
              <w:t>+</w:t>
            </w:r>
            <w:r w:rsidRPr="009C0696">
              <w:rPr>
                <w:spacing w:val="-3"/>
                <w:lang w:val="en-GB"/>
              </w:rPr>
              <w:t xml:space="preserve">4.3%). In the quarter-on-quarter </w:t>
            </w:r>
            <w:proofErr w:type="gramStart"/>
            <w:r w:rsidRPr="009C0696">
              <w:rPr>
                <w:spacing w:val="-3"/>
                <w:lang w:val="en-GB"/>
              </w:rPr>
              <w:t>expression</w:t>
            </w:r>
            <w:proofErr w:type="gramEnd"/>
            <w:r w:rsidRPr="009C0696">
              <w:rPr>
                <w:spacing w:val="-3"/>
                <w:lang w:val="en-GB"/>
              </w:rPr>
              <w:t xml:space="preserve"> it even fell by 1.8%</w:t>
            </w:r>
            <w:r w:rsidRPr="009C0696">
              <w:rPr>
                <w:rStyle w:val="Znakapoznpodarou"/>
                <w:spacing w:val="-3"/>
                <w:lang w:val="en-GB"/>
              </w:rPr>
              <w:footnoteReference w:id="32"/>
            </w:r>
            <w:r w:rsidRPr="009C0696">
              <w:rPr>
                <w:spacing w:val="-3"/>
                <w:lang w:val="en-GB"/>
              </w:rPr>
              <w:t xml:space="preserve">. While only the building construction drove the output of the whole industry in year 2017, last year also the civil engineering construction was able to keep the pace. </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spacing w:val="-4"/>
                <w:lang w:val="en-GB"/>
              </w:rPr>
            </w:pPr>
            <w:r w:rsidRPr="009C0696">
              <w:rPr>
                <w:color w:val="0D0D0D" w:themeColor="text1" w:themeTint="F2"/>
                <w:spacing w:val="-4"/>
                <w:lang w:val="en-GB"/>
              </w:rPr>
              <w:lastRenderedPageBreak/>
              <w:t xml:space="preserve">Number of commenced dwellings grew already fifth year in a row up to a nine-year maximum.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200"/>
              <w:rPr>
                <w:color w:val="0D0D0D" w:themeColor="text1" w:themeTint="F2"/>
                <w:spacing w:val="-3"/>
                <w:szCs w:val="20"/>
                <w:lang w:val="en-GB"/>
              </w:rPr>
            </w:pPr>
            <w:r w:rsidRPr="009C0696">
              <w:rPr>
                <w:color w:val="0D0D0D" w:themeColor="text1" w:themeTint="F2"/>
                <w:spacing w:val="-3"/>
                <w:szCs w:val="20"/>
                <w:lang w:val="en-GB"/>
              </w:rPr>
              <w:t xml:space="preserve">While the civil engineering construction greatly benefited from the progress in drawing on the European funds (apparent in comparison to year 2017, but also during the last year itself), weight dominant buildings construction capitalised on the growing demand for commercial as well as residential real estate. In spite of the fact, that the number of commenced flat reached the nine-year maximum last year (33.1 thousand) and grew already fifth year in a row (in total by nearly 50%), it still lagged by nearly one fourth behind in comparison to the average of the peak period (2006 till 2008). Higher number of commenced flats in non-residential buildings, in the family houses and also in reconstructed non-residential premises (the highest number after year 2005) contributed the most to the last year´s growth. On the contrary the volume of commenced construction of flats in the residential buildings stagnated year-on-year and did not reach even one half of year 2007. Given the regional view, the construction in Prague contributed the most to the growth in the CR, still the number of commenced (and also completed) flats </w:t>
            </w:r>
            <w:r w:rsidR="00AB325B">
              <w:rPr>
                <w:color w:val="0D0D0D" w:themeColor="text1" w:themeTint="F2"/>
                <w:spacing w:val="-3"/>
                <w:szCs w:val="20"/>
                <w:lang w:val="en-GB"/>
              </w:rPr>
              <w:t xml:space="preserve">there </w:t>
            </w:r>
            <w:r w:rsidRPr="009C0696">
              <w:rPr>
                <w:color w:val="0D0D0D" w:themeColor="text1" w:themeTint="F2"/>
                <w:spacing w:val="-3"/>
                <w:szCs w:val="20"/>
                <w:lang w:val="en-GB"/>
              </w:rPr>
              <w:t>notably lag</w:t>
            </w:r>
            <w:r w:rsidR="00AB325B">
              <w:rPr>
                <w:color w:val="0D0D0D" w:themeColor="text1" w:themeTint="F2"/>
                <w:spacing w:val="-3"/>
                <w:szCs w:val="20"/>
                <w:lang w:val="en-GB"/>
              </w:rPr>
              <w:t>ged behind the total</w:t>
            </w:r>
            <w:r w:rsidRPr="009C0696">
              <w:rPr>
                <w:color w:val="0D0D0D" w:themeColor="text1" w:themeTint="F2"/>
                <w:spacing w:val="-3"/>
                <w:szCs w:val="20"/>
                <w:lang w:val="en-GB"/>
              </w:rPr>
              <w:t xml:space="preserve"> population </w:t>
            </w:r>
            <w:r w:rsidR="00AB325B">
              <w:rPr>
                <w:color w:val="0D0D0D" w:themeColor="text1" w:themeTint="F2"/>
                <w:spacing w:val="-3"/>
                <w:szCs w:val="20"/>
                <w:lang w:val="en-GB"/>
              </w:rPr>
              <w:t xml:space="preserve">growth </w:t>
            </w:r>
            <w:r w:rsidRPr="009C0696">
              <w:rPr>
                <w:color w:val="0D0D0D" w:themeColor="text1" w:themeTint="F2"/>
                <w:spacing w:val="-3"/>
                <w:szCs w:val="20"/>
                <w:lang w:val="en-GB"/>
              </w:rPr>
              <w:t xml:space="preserve">also here already fifth year in a row. Only gradual revival of the flat construction together with the efficiency of using the existing flat stock in the capital </w:t>
            </w:r>
            <w:r w:rsidR="00AB325B">
              <w:rPr>
                <w:color w:val="0D0D0D" w:themeColor="text1" w:themeTint="F2"/>
                <w:spacing w:val="-3"/>
                <w:szCs w:val="20"/>
                <w:lang w:val="en-GB"/>
              </w:rPr>
              <w:t xml:space="preserve">city </w:t>
            </w:r>
            <w:proofErr w:type="gramStart"/>
            <w:r w:rsidRPr="009C0696">
              <w:rPr>
                <w:color w:val="0D0D0D" w:themeColor="text1" w:themeTint="F2"/>
                <w:spacing w:val="-3"/>
                <w:szCs w:val="20"/>
                <w:lang w:val="en-GB"/>
              </w:rPr>
              <w:t>is reflected</w:t>
            </w:r>
            <w:proofErr w:type="gramEnd"/>
            <w:r w:rsidRPr="009C0696">
              <w:rPr>
                <w:color w:val="0D0D0D" w:themeColor="text1" w:themeTint="F2"/>
                <w:spacing w:val="-3"/>
                <w:szCs w:val="20"/>
                <w:lang w:val="en-GB"/>
              </w:rPr>
              <w:t xml:space="preserve"> in the sharp growth of realised prices of both new flats and rents</w:t>
            </w:r>
            <w:r w:rsidRPr="009C0696">
              <w:rPr>
                <w:rStyle w:val="Znakapoznpodarou"/>
                <w:color w:val="0D0D0D" w:themeColor="text1" w:themeTint="F2"/>
                <w:spacing w:val="-3"/>
                <w:szCs w:val="20"/>
                <w:lang w:val="en-GB"/>
              </w:rPr>
              <w:footnoteReference w:id="33"/>
            </w:r>
            <w:r w:rsidRPr="009C0696">
              <w:rPr>
                <w:color w:val="0D0D0D" w:themeColor="text1" w:themeTint="F2"/>
                <w:spacing w:val="-3"/>
                <w:szCs w:val="20"/>
                <w:lang w:val="en-GB"/>
              </w:rPr>
              <w:t>.</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spacing w:val="-4"/>
                <w:lang w:val="en-GB"/>
              </w:rPr>
            </w:pPr>
            <w:r w:rsidRPr="009C0696">
              <w:rPr>
                <w:color w:val="0D0D0D" w:themeColor="text1" w:themeTint="F2"/>
                <w:spacing w:val="-4"/>
                <w:lang w:val="en-GB"/>
              </w:rPr>
              <w:t xml:space="preserve">Raise of value of new domestic construction orders continued already second year in a row. The pace however slackened towards the end of the year. </w:t>
            </w: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44075B" w:rsidP="0044075B">
            <w:pPr>
              <w:pStyle w:val="Marginlie"/>
              <w:rPr>
                <w:color w:val="0D0D0D" w:themeColor="text1" w:themeTint="F2"/>
                <w:spacing w:val="-4"/>
                <w:lang w:val="en-GB"/>
              </w:rPr>
            </w:pPr>
            <w:r>
              <w:rPr>
                <w:color w:val="0D0D0D" w:themeColor="text1" w:themeTint="F2"/>
                <w:spacing w:val="-4"/>
                <w:lang w:val="en-GB"/>
              </w:rPr>
              <w:t>Confidence indicator</w:t>
            </w:r>
            <w:r w:rsidR="00B9632F" w:rsidRPr="009C0696">
              <w:rPr>
                <w:color w:val="0D0D0D" w:themeColor="text1" w:themeTint="F2"/>
                <w:spacing w:val="-4"/>
                <w:lang w:val="en-GB"/>
              </w:rPr>
              <w:t xml:space="preserve"> in construction sign</w:t>
            </w:r>
            <w:r>
              <w:rPr>
                <w:color w:val="0D0D0D" w:themeColor="text1" w:themeTint="F2"/>
                <w:spacing w:val="-4"/>
                <w:lang w:val="en-GB"/>
              </w:rPr>
              <w:t>ificantly improved. However, c</w:t>
            </w:r>
            <w:r w:rsidR="00B9632F" w:rsidRPr="009C0696">
              <w:rPr>
                <w:color w:val="0D0D0D" w:themeColor="text1" w:themeTint="F2"/>
                <w:spacing w:val="-4"/>
                <w:lang w:val="en-GB"/>
              </w:rPr>
              <w:t xml:space="preserve">onstruction businesses </w:t>
            </w:r>
            <w:proofErr w:type="gramStart"/>
            <w:r w:rsidR="00B9632F" w:rsidRPr="009C0696">
              <w:rPr>
                <w:color w:val="0D0D0D" w:themeColor="text1" w:themeTint="F2"/>
                <w:spacing w:val="-4"/>
                <w:lang w:val="en-GB"/>
              </w:rPr>
              <w:t xml:space="preserve">were </w:t>
            </w:r>
            <w:r>
              <w:rPr>
                <w:color w:val="0D0D0D" w:themeColor="text1" w:themeTint="F2"/>
                <w:spacing w:val="-4"/>
                <w:lang w:val="en-GB"/>
              </w:rPr>
              <w:t>considerably limited</w:t>
            </w:r>
            <w:proofErr w:type="gramEnd"/>
            <w:r w:rsidR="00B9632F" w:rsidRPr="009C0696">
              <w:rPr>
                <w:color w:val="0D0D0D" w:themeColor="text1" w:themeTint="F2"/>
                <w:spacing w:val="-4"/>
                <w:lang w:val="en-GB"/>
              </w:rPr>
              <w:t xml:space="preserve"> by the lack of available labour force.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Default="00B9632F" w:rsidP="00B9632F">
            <w:pPr>
              <w:spacing w:after="200"/>
              <w:rPr>
                <w:color w:val="0D0D0D" w:themeColor="text1" w:themeTint="F2"/>
                <w:spacing w:val="-4"/>
                <w:szCs w:val="20"/>
                <w:lang w:val="en-GB"/>
              </w:rPr>
            </w:pPr>
            <w:r w:rsidRPr="009C0696">
              <w:rPr>
                <w:color w:val="0D0D0D" w:themeColor="text1" w:themeTint="F2"/>
                <w:spacing w:val="-3"/>
                <w:szCs w:val="20"/>
                <w:lang w:val="en-GB"/>
              </w:rPr>
              <w:t xml:space="preserve">Construction still enjoyed a positive outlook towards the end of year 2018 in the CR. Year-on-year growth of the value of new domestic orders </w:t>
            </w:r>
            <w:r w:rsidRPr="009C0696">
              <w:rPr>
                <w:color w:val="0D0D0D" w:themeColor="text1" w:themeTint="F2"/>
                <w:spacing w:val="-4"/>
                <w:szCs w:val="20"/>
                <w:lang w:val="en-GB"/>
              </w:rPr>
              <w:t>(for businesses with 50 employees and more</w:t>
            </w:r>
            <w:r w:rsidRPr="009C0696">
              <w:rPr>
                <w:szCs w:val="20"/>
                <w:lang w:val="en-GB"/>
              </w:rPr>
              <w:t xml:space="preserve">) continued already second year in a row. It was strong in the first half of the last year, both in buildings construction </w:t>
            </w:r>
            <w:r w:rsidRPr="009C0696">
              <w:rPr>
                <w:color w:val="0D0D0D" w:themeColor="text1" w:themeTint="F2"/>
                <w:spacing w:val="-3"/>
                <w:szCs w:val="20"/>
                <w:lang w:val="en-GB"/>
              </w:rPr>
              <w:t xml:space="preserve">(28.1%) and in the civil engineering construction (34.6%). Despite the rate of growth slackening in the remaining part of the year, a moderate growth persisted in the whole branch also in the last quarter (+1.9%). As a positive observation, large projects became more frequent – the average size of the new order was rising second year in a row (it amounted to 3.7 CZK mil in 2018). Total stock of work in the form of all so far not-completed orders summed up to 153 CZK bn at the end of the year (+15% year-on-year). Growth of the stock of work was driven primarily by the public domestic orders. On the contrary, the volume of contracted work abroad, which </w:t>
            </w:r>
            <w:r w:rsidR="00C02F64">
              <w:rPr>
                <w:color w:val="0D0D0D" w:themeColor="text1" w:themeTint="F2"/>
                <w:spacing w:val="-3"/>
                <w:szCs w:val="20"/>
                <w:lang w:val="en-GB"/>
              </w:rPr>
              <w:t>had in the last years rather anti</w:t>
            </w:r>
            <w:r w:rsidRPr="009C0696">
              <w:rPr>
                <w:color w:val="0D0D0D" w:themeColor="text1" w:themeTint="F2"/>
                <w:spacing w:val="-3"/>
                <w:szCs w:val="20"/>
                <w:lang w:val="en-GB"/>
              </w:rPr>
              <w:t>-cycle effect, reduced for the fourth year in a row</w:t>
            </w:r>
            <w:r w:rsidRPr="009C0696">
              <w:rPr>
                <w:rStyle w:val="Znakapoznpodarou"/>
                <w:color w:val="0D0D0D" w:themeColor="text1" w:themeTint="F2"/>
                <w:spacing w:val="-3"/>
                <w:szCs w:val="20"/>
                <w:lang w:val="en-GB"/>
              </w:rPr>
              <w:footnoteReference w:id="34"/>
            </w:r>
            <w:r w:rsidRPr="009C0696">
              <w:rPr>
                <w:color w:val="0D0D0D" w:themeColor="text1" w:themeTint="F2"/>
                <w:spacing w:val="-3"/>
                <w:szCs w:val="20"/>
                <w:lang w:val="en-GB"/>
              </w:rPr>
              <w:t xml:space="preserve">. Confidence indicator of the managers of the construction companies grew already two and a half years and left the negative band in November </w:t>
            </w:r>
            <w:r w:rsidRPr="009C0696">
              <w:rPr>
                <w:color w:val="0D0D0D" w:themeColor="text1" w:themeTint="F2"/>
                <w:spacing w:val="-4"/>
                <w:szCs w:val="20"/>
                <w:lang w:val="en-GB"/>
              </w:rPr>
              <w:t xml:space="preserve">2018 (for the first time since September 2008). The proportion of construction businesses considering the lack of labour force for the growth barrier nearly doubled during the year 2018 (to December 41%), it already comprised the main barrier in the last third of the year in the whole branch. In </w:t>
            </w:r>
            <w:proofErr w:type="gramStart"/>
            <w:r w:rsidRPr="009C0696">
              <w:rPr>
                <w:color w:val="0D0D0D" w:themeColor="text1" w:themeTint="F2"/>
                <w:spacing w:val="-4"/>
                <w:szCs w:val="20"/>
                <w:lang w:val="en-GB"/>
              </w:rPr>
              <w:t>contrast</w:t>
            </w:r>
            <w:proofErr w:type="gramEnd"/>
            <w:r w:rsidRPr="009C0696">
              <w:rPr>
                <w:color w:val="0D0D0D" w:themeColor="text1" w:themeTint="F2"/>
                <w:spacing w:val="-4"/>
                <w:szCs w:val="20"/>
                <w:lang w:val="en-GB"/>
              </w:rPr>
              <w:t xml:space="preserve"> the factor o</w:t>
            </w:r>
            <w:r w:rsidR="00C75A58">
              <w:rPr>
                <w:color w:val="0D0D0D" w:themeColor="text1" w:themeTint="F2"/>
                <w:spacing w:val="-4"/>
                <w:szCs w:val="20"/>
                <w:lang w:val="en-GB"/>
              </w:rPr>
              <w:t xml:space="preserve">f inadequate demand was weakening </w:t>
            </w:r>
            <w:r w:rsidRPr="009C0696">
              <w:rPr>
                <w:color w:val="0D0D0D" w:themeColor="text1" w:themeTint="F2"/>
                <w:spacing w:val="-4"/>
                <w:szCs w:val="20"/>
                <w:lang w:val="en-GB"/>
              </w:rPr>
              <w:t xml:space="preserve">(as far as 24% – mildly below the level reached in the peak of the last decade). </w:t>
            </w:r>
          </w:p>
          <w:p w:rsidR="00095B5C" w:rsidRPr="009C0696" w:rsidRDefault="00095B5C" w:rsidP="00B9632F">
            <w:pPr>
              <w:spacing w:after="200"/>
              <w:rPr>
                <w:color w:val="0D0D0D" w:themeColor="text1" w:themeTint="F2"/>
                <w:spacing w:val="-3"/>
                <w:szCs w:val="20"/>
                <w:lang w:val="en-GB"/>
              </w:rPr>
            </w:pP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413026" w:rsidRDefault="00B9632F" w:rsidP="00B9632F">
            <w:pPr>
              <w:pStyle w:val="Textpoznpodarou"/>
              <w:spacing w:line="276" w:lineRule="auto"/>
              <w:jc w:val="both"/>
              <w:rPr>
                <w:b/>
                <w:spacing w:val="-4"/>
                <w:lang w:val="en-GB"/>
              </w:rPr>
            </w:pPr>
            <w:r w:rsidRPr="00413026">
              <w:rPr>
                <w:b/>
                <w:spacing w:val="-4"/>
                <w:lang w:val="en-GB"/>
              </w:rPr>
              <w:t xml:space="preserve">Chart 8  Sales in selected services divisions </w:t>
            </w:r>
            <w:r w:rsidRPr="00413026">
              <w:rPr>
                <w:bCs/>
                <w:spacing w:val="-4"/>
                <w:lang w:val="en-GB"/>
              </w:rPr>
              <w:t xml:space="preserve">(in real terms, seasonally adjusted, level of year </w:t>
            </w:r>
            <w:r w:rsidRPr="00413026">
              <w:rPr>
                <w:spacing w:val="-4"/>
                <w:lang w:val="en-GB"/>
              </w:rPr>
              <w:t>2015 = 100</w:t>
            </w:r>
            <w:r w:rsidRPr="00413026">
              <w:rPr>
                <w:bCs/>
                <w:spacing w:val="-4"/>
                <w:lang w:val="en-GB"/>
              </w:rPr>
              <w:t xml:space="preserve">) </w:t>
            </w:r>
            <w:r w:rsidRPr="00413026">
              <w:rPr>
                <w:b/>
                <w:spacing w:val="-4"/>
                <w:lang w:val="en-GB"/>
              </w:rPr>
              <w:t xml:space="preserve">and confidence indicator balance in selected services* </w:t>
            </w:r>
            <w:r w:rsidRPr="00413026">
              <w:rPr>
                <w:spacing w:val="-4"/>
                <w:lang w:val="en-GB"/>
              </w:rPr>
              <w:t>(in points)</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rPr>
                <w:rFonts w:cs="Arial"/>
                <w:sz w:val="14"/>
                <w:szCs w:val="14"/>
                <w:lang w:val="en-GB"/>
              </w:rPr>
            </w:pPr>
            <w:r>
              <w:rPr>
                <w:noProof/>
              </w:rPr>
              <w:drawing>
                <wp:inline distT="0" distB="0" distL="0" distR="0" wp14:anchorId="4F02D9AC" wp14:editId="3B658728">
                  <wp:extent cx="4782185" cy="3651991"/>
                  <wp:effectExtent l="0" t="0" r="0" b="5715"/>
                  <wp:docPr id="56" name="Graf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B9632F" w:rsidRPr="009C0696" w:rsidTr="00413026">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0" w:line="240" w:lineRule="auto"/>
              <w:jc w:val="left"/>
              <w:rPr>
                <w:rFonts w:cs="Arial"/>
                <w:sz w:val="14"/>
                <w:szCs w:val="14"/>
                <w:lang w:val="en-GB"/>
              </w:rPr>
            </w:pPr>
            <w:r w:rsidRPr="009C0696">
              <w:rPr>
                <w:rFonts w:cs="Arial"/>
                <w:sz w:val="14"/>
                <w:szCs w:val="14"/>
                <w:lang w:val="en-GB"/>
              </w:rPr>
              <w:t>*Data are seasonally adjusted, includes also the financial sector.                                                                                  Source: CZSO</w:t>
            </w:r>
          </w:p>
          <w:p w:rsidR="00B9632F" w:rsidRPr="009C0696" w:rsidRDefault="00B9632F" w:rsidP="00B9632F">
            <w:pPr>
              <w:spacing w:after="0" w:line="240" w:lineRule="auto"/>
              <w:jc w:val="left"/>
              <w:rPr>
                <w:rFonts w:cs="Arial"/>
                <w:sz w:val="14"/>
                <w:szCs w:val="14"/>
                <w:lang w:val="en-GB"/>
              </w:rPr>
            </w:pP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Even though the growth of sales in selected services slowed down last year, it reached nearly 3%.</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3B359C">
            <w:pPr>
              <w:spacing w:after="140"/>
              <w:rPr>
                <w:color w:val="0D0D0D" w:themeColor="text1" w:themeTint="F2"/>
                <w:spacing w:val="-4"/>
                <w:lang w:val="en-GB"/>
              </w:rPr>
            </w:pPr>
            <w:r w:rsidRPr="009C0696">
              <w:rPr>
                <w:spacing w:val="-4"/>
                <w:lang w:val="en-GB"/>
              </w:rPr>
              <w:t>Sales in selected services</w:t>
            </w:r>
            <w:r w:rsidRPr="009C0696">
              <w:rPr>
                <w:color w:val="0D0D0D" w:themeColor="text1" w:themeTint="F2"/>
                <w:spacing w:val="-4"/>
                <w:vertAlign w:val="superscript"/>
                <w:lang w:val="en-GB"/>
              </w:rPr>
              <w:footnoteReference w:id="35"/>
            </w:r>
            <w:r w:rsidRPr="009C0696">
              <w:rPr>
                <w:color w:val="0D0D0D" w:themeColor="text1" w:themeTint="F2"/>
                <w:spacing w:val="-4"/>
                <w:lang w:val="en-GB"/>
              </w:rPr>
              <w:t xml:space="preserve"> grew by 2.8% last year. Even though the rate of growth eased by more than one third compared to year 2017, it still constituted the third best result after year 2007. Last year´s slowdown was for the most part influenced by a weaker Q4, when the output of services grew only by 0.6% (it dropped even by 0.7% in quarter-on-quarter expression). Despite </w:t>
            </w:r>
            <w:proofErr w:type="gramStart"/>
            <w:r w:rsidRPr="009C0696">
              <w:rPr>
                <w:color w:val="0D0D0D" w:themeColor="text1" w:themeTint="F2"/>
                <w:spacing w:val="-4"/>
                <w:lang w:val="en-GB"/>
              </w:rPr>
              <w:t>all</w:t>
            </w:r>
            <w:proofErr w:type="gramEnd"/>
            <w:r w:rsidRPr="009C0696">
              <w:rPr>
                <w:color w:val="0D0D0D" w:themeColor="text1" w:themeTint="F2"/>
                <w:spacing w:val="-4"/>
                <w:lang w:val="en-GB"/>
              </w:rPr>
              <w:t xml:space="preserve"> branch sections recording a strengthening sales last year (except for real estate activities, where they fell by 1.6%), only two main branches </w:t>
            </w:r>
            <w:r w:rsidR="003B359C">
              <w:rPr>
                <w:color w:val="0D0D0D" w:themeColor="text1" w:themeTint="F2"/>
                <w:spacing w:val="-4"/>
                <w:lang w:val="en-GB"/>
              </w:rPr>
              <w:t>contributed significantly to</w:t>
            </w:r>
            <w:r w:rsidRPr="009C0696">
              <w:rPr>
                <w:color w:val="0D0D0D" w:themeColor="text1" w:themeTint="F2"/>
                <w:spacing w:val="-4"/>
                <w:lang w:val="en-GB"/>
              </w:rPr>
              <w:t xml:space="preserve"> the services growth – transportation and warehousing and also information and communication.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 xml:space="preserve">Development of industry, trade as well as higher mobility of population led to swift growth of sales in transportation and warehousing. Long-term strong demand persisted in information and communication. </w:t>
            </w: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Default="00B9632F"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Pr="009C0696" w:rsidRDefault="00811791"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r w:rsidRPr="009C0696">
              <w:rPr>
                <w:lang w:val="en-GB"/>
              </w:rPr>
              <w:t xml:space="preserve">Strong recovery in construction so far did not manifest in the architectural and engineering activities much. </w:t>
            </w:r>
          </w:p>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8727DE" w:rsidRDefault="00B9632F" w:rsidP="00B9632F">
            <w:pPr>
              <w:spacing w:after="140"/>
              <w:rPr>
                <w:color w:val="0D0D0D" w:themeColor="text1" w:themeTint="F2"/>
                <w:spacing w:val="-4"/>
                <w:lang w:val="en-GB"/>
              </w:rPr>
            </w:pPr>
            <w:r w:rsidRPr="009C0696">
              <w:rPr>
                <w:color w:val="0D0D0D" w:themeColor="text1" w:themeTint="F2"/>
                <w:spacing w:val="-4"/>
                <w:lang w:val="en-GB"/>
              </w:rPr>
              <w:t xml:space="preserve">Sales strengthened by 4.6% in transportation and warehousing year-on-year, their growth was expanding for the third year in a row. The branch was pulled (similarly to years 2016 and 2017) mainly by the brisk growth in the division warehousing and support activities for transportation (+6.3%). All other types of transportation also prospered, apart from the postal and courier activities (-2.1%). Both land transportation and warehousing profited from the development of industry as well as domestic and foreign trade. Growth of services (especially in the domestic transportation) was associated with higher mobility of population propelled by the record employment size and in the last third of the year also by the widening discounts on the prices of fare in the public transport. </w:t>
            </w:r>
          </w:p>
          <w:p w:rsidR="008727DE" w:rsidRDefault="00B9632F" w:rsidP="00B9632F">
            <w:pPr>
              <w:spacing w:after="140"/>
              <w:rPr>
                <w:color w:val="0D0D0D" w:themeColor="text1" w:themeTint="F2"/>
                <w:spacing w:val="-2"/>
                <w:lang w:val="en-GB"/>
              </w:rPr>
            </w:pPr>
            <w:r w:rsidRPr="009C0696">
              <w:rPr>
                <w:color w:val="0D0D0D" w:themeColor="text1" w:themeTint="F2"/>
                <w:spacing w:val="-4"/>
                <w:lang w:val="en-GB"/>
              </w:rPr>
              <w:t>Growth in the long-term dynamic branch of information and communication gained pace (from 4.0% in 2017 to last year´s 5.4%). Even though the information activities</w:t>
            </w:r>
            <w:r w:rsidRPr="009C0696">
              <w:rPr>
                <w:rStyle w:val="Znakapoznpodarou"/>
                <w:color w:val="0D0D0D" w:themeColor="text1" w:themeTint="F2"/>
                <w:spacing w:val="-4"/>
                <w:lang w:val="en-GB"/>
              </w:rPr>
              <w:footnoteReference w:id="36"/>
            </w:r>
            <w:r w:rsidRPr="009C0696">
              <w:rPr>
                <w:color w:val="0D0D0D" w:themeColor="text1" w:themeTint="F2"/>
                <w:spacing w:val="-4"/>
                <w:lang w:val="en-GB"/>
              </w:rPr>
              <w:t xml:space="preserve"> remained its most dynamic field in the last four years, activities in the area of information technologies</w:t>
            </w:r>
            <w:r w:rsidRPr="009C0696">
              <w:rPr>
                <w:rStyle w:val="Znakapoznpodarou"/>
                <w:color w:val="0D0D0D" w:themeColor="text1" w:themeTint="F2"/>
                <w:spacing w:val="-4"/>
                <w:lang w:val="en-GB"/>
              </w:rPr>
              <w:footnoteReference w:id="37"/>
            </w:r>
            <w:r w:rsidRPr="009C0696">
              <w:rPr>
                <w:color w:val="0D0D0D" w:themeColor="text1" w:themeTint="F2"/>
                <w:spacing w:val="-4"/>
                <w:lang w:val="en-GB"/>
              </w:rPr>
              <w:t xml:space="preserve"> contributed the most to the growth of the whole branch last year. Only the </w:t>
            </w:r>
            <w:r w:rsidRPr="009C0696">
              <w:rPr>
                <w:color w:val="0D0D0D" w:themeColor="text1" w:themeTint="F2"/>
                <w:spacing w:val="-4"/>
                <w:lang w:val="en-GB"/>
              </w:rPr>
              <w:lastRenderedPageBreak/>
              <w:t>peripheral segment of motion picture and sound recording and music publishing activities faces weak results in the long term</w:t>
            </w:r>
            <w:r w:rsidRPr="009C0696">
              <w:rPr>
                <w:rStyle w:val="Znakapoznpodarou"/>
                <w:color w:val="0D0D0D" w:themeColor="text1" w:themeTint="F2"/>
                <w:spacing w:val="-2"/>
                <w:lang w:val="en-GB"/>
              </w:rPr>
              <w:footnoteReference w:id="38"/>
            </w:r>
            <w:r w:rsidRPr="009C0696">
              <w:rPr>
                <w:color w:val="0D0D0D" w:themeColor="text1" w:themeTint="F2"/>
                <w:spacing w:val="-2"/>
                <w:lang w:val="en-GB"/>
              </w:rPr>
              <w:t xml:space="preserve">. </w:t>
            </w:r>
          </w:p>
          <w:p w:rsidR="008727DE" w:rsidRDefault="00B9632F" w:rsidP="00B9632F">
            <w:pPr>
              <w:spacing w:after="140"/>
              <w:rPr>
                <w:color w:val="0D0D0D" w:themeColor="text1" w:themeTint="F2"/>
                <w:spacing w:val="-2"/>
                <w:lang w:val="en-GB"/>
              </w:rPr>
            </w:pPr>
            <w:r w:rsidRPr="009C0696">
              <w:rPr>
                <w:color w:val="0D0D0D" w:themeColor="text1" w:themeTint="F2"/>
                <w:spacing w:val="-2"/>
                <w:lang w:val="en-GB"/>
              </w:rPr>
              <w:t>The sales in the branch accommodation, food service activities and restaurants faster nearly double digit growth in 2017 strengthened only by 0.8% last year (they even slightly fell in the accommodation segment). It was linked with the slower dynamics of the arrival tourism industry</w:t>
            </w:r>
            <w:r w:rsidRPr="009C0696">
              <w:rPr>
                <w:rStyle w:val="Znakapoznpodarou"/>
                <w:color w:val="0D0D0D" w:themeColor="text1" w:themeTint="F2"/>
                <w:spacing w:val="-2"/>
                <w:lang w:val="en-GB"/>
              </w:rPr>
              <w:footnoteReference w:id="39"/>
            </w:r>
            <w:r w:rsidRPr="009C0696">
              <w:rPr>
                <w:color w:val="0D0D0D" w:themeColor="text1" w:themeTint="F2"/>
                <w:spacing w:val="-2"/>
                <w:lang w:val="en-GB"/>
              </w:rPr>
              <w:t xml:space="preserve">. The possible impact of the jump in the prices of food services in 2017 cannot be also </w:t>
            </w:r>
            <w:proofErr w:type="gramStart"/>
            <w:r w:rsidRPr="009C0696">
              <w:rPr>
                <w:color w:val="0D0D0D" w:themeColor="text1" w:themeTint="F2"/>
                <w:spacing w:val="-2"/>
                <w:lang w:val="en-GB"/>
              </w:rPr>
              <w:t>excluded,</w:t>
            </w:r>
            <w:proofErr w:type="gramEnd"/>
            <w:r w:rsidRPr="009C0696">
              <w:rPr>
                <w:color w:val="0D0D0D" w:themeColor="text1" w:themeTint="F2"/>
                <w:spacing w:val="-2"/>
                <w:lang w:val="en-GB"/>
              </w:rPr>
              <w:t xml:space="preserve"> it could have affected the demand (especially domestic) in the subsequent period. </w:t>
            </w:r>
          </w:p>
          <w:p w:rsidR="00B9632F" w:rsidRPr="008727DE" w:rsidRDefault="008727DE" w:rsidP="00B9632F">
            <w:pPr>
              <w:spacing w:after="140"/>
              <w:rPr>
                <w:color w:val="0D0D0D" w:themeColor="text1" w:themeTint="F2"/>
                <w:spacing w:val="-4"/>
                <w:lang w:val="en-GB"/>
              </w:rPr>
            </w:pPr>
            <w:r>
              <w:rPr>
                <w:color w:val="0D0D0D" w:themeColor="text1" w:themeTint="F2"/>
                <w:spacing w:val="-2"/>
                <w:lang w:val="en-GB"/>
              </w:rPr>
              <w:t xml:space="preserve">In </w:t>
            </w:r>
            <w:r w:rsidR="00811791">
              <w:rPr>
                <w:color w:val="0D0D0D" w:themeColor="text1" w:themeTint="F2"/>
                <w:spacing w:val="-2"/>
                <w:lang w:val="en-GB"/>
              </w:rPr>
              <w:t xml:space="preserve">the branch of </w:t>
            </w:r>
            <w:r w:rsidR="00B9632F" w:rsidRPr="009C0696">
              <w:rPr>
                <w:color w:val="0D0D0D" w:themeColor="text1" w:themeTint="F2"/>
                <w:spacing w:val="-2"/>
                <w:lang w:val="en-GB"/>
              </w:rPr>
              <w:t xml:space="preserve">professional, scientific and technical activities the sales grew only by 0.8% lastly year, mostly due to the effect of weak growth of architectural and engineering activities (despite the development of construction) as well as fall of sales for advertising (already third year in a row). On the contrary, the advisory in the area of management, accounting and auditing activities, tax consultancy or market research and public opinion polling prospered. Sales growth in the branch administrative and support service activities (+2.3%) was driven by the </w:t>
            </w:r>
            <w:proofErr w:type="gramStart"/>
            <w:r w:rsidR="00B9632F" w:rsidRPr="009C0696">
              <w:rPr>
                <w:color w:val="0D0D0D" w:themeColor="text1" w:themeTint="F2"/>
                <w:spacing w:val="-2"/>
                <w:lang w:val="en-GB"/>
              </w:rPr>
              <w:t>long term</w:t>
            </w:r>
            <w:proofErr w:type="gramEnd"/>
            <w:r w:rsidR="00B9632F" w:rsidRPr="009C0696">
              <w:rPr>
                <w:color w:val="0D0D0D" w:themeColor="text1" w:themeTint="F2"/>
                <w:spacing w:val="-2"/>
                <w:lang w:val="en-GB"/>
              </w:rPr>
              <w:t xml:space="preserve"> strong demand in the area of renting and leasing (especially transport vehicles, but also machinery) and operating lease. The unceasing demand for agency employees also played a role, mainly in the secondary sector.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lastRenderedPageBreak/>
              <w:t xml:space="preserve">Growth of retail sales continued for the fifth year in a row. They were driven by the dynamic development of non-food products and also sales via internet.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Default="00B9632F" w:rsidP="00B9632F">
            <w:pPr>
              <w:spacing w:after="0"/>
              <w:rPr>
                <w:color w:val="0D0D0D" w:themeColor="text1" w:themeTint="F2"/>
                <w:spacing w:val="-4"/>
                <w:lang w:val="en-GB"/>
              </w:rPr>
            </w:pPr>
            <w:r w:rsidRPr="009C0696">
              <w:rPr>
                <w:spacing w:val="-4"/>
                <w:lang w:val="en-GB"/>
              </w:rPr>
              <w:t>Dynamic growth of earnings accompanied by positive balance of the consumer confidence indicator (which hit the historical peak in the half of the year) was reflected in the 4.8% year-on-year growth of retail sales last year</w:t>
            </w:r>
            <w:r w:rsidRPr="009C0696">
              <w:rPr>
                <w:rStyle w:val="Znakapoznpodarou"/>
                <w:spacing w:val="-4"/>
                <w:lang w:val="en-GB"/>
              </w:rPr>
              <w:footnoteReference w:id="40"/>
            </w:r>
            <w:r w:rsidRPr="009C0696">
              <w:rPr>
                <w:spacing w:val="-4"/>
                <w:lang w:val="en-GB"/>
              </w:rPr>
              <w:t>. Even though their pace slowed down somewhat in comparison to year 2017 (similarly to the EU), sales growth prevailed for the fifth year in a row and at the same time, it ranked among the highest also within the frame of the Union states</w:t>
            </w:r>
            <w:r w:rsidRPr="009C0696">
              <w:rPr>
                <w:rStyle w:val="Znakapoznpodarou"/>
                <w:spacing w:val="-4"/>
                <w:lang w:val="en-GB"/>
              </w:rPr>
              <w:footnoteReference w:id="41"/>
            </w:r>
            <w:r w:rsidRPr="009C0696">
              <w:rPr>
                <w:spacing w:val="-4"/>
                <w:lang w:val="en-GB"/>
              </w:rPr>
              <w:t>.</w:t>
            </w:r>
            <w:r w:rsidRPr="009C0696">
              <w:rPr>
                <w:color w:val="0D0D0D" w:themeColor="text1" w:themeTint="F2"/>
                <w:spacing w:val="-4"/>
                <w:lang w:val="en-GB"/>
              </w:rPr>
              <w:t xml:space="preserve"> Traditionally the sales of non-food products contributed the most to the year-on-year strengthening of the retail in the CR (with the growth of 7.4%). Especially the sales of computer and communication equipment thrived, growing by double digit rate of growth already second year in a row. Expansion of the sales via internet continued (+19.8%). Sales grew in all the main groups of specialised stores, except for stores with food (</w:t>
            </w:r>
            <w:r w:rsidRPr="009C0696">
              <w:rPr>
                <w:color w:val="0D0D0D" w:themeColor="text1" w:themeTint="F2"/>
                <w:spacing w:val="-4"/>
                <w:lang w:val="en-GB"/>
              </w:rPr>
              <w:noBreakHyphen/>
              <w:t xml:space="preserve">0.4%) last year. Despite rising prices for the most part of the year, the demand for automotive fuels remained high (growth of sales by 4.0%, by 5.7% in 2017). However, the same did not occur for the sales of motor vehicles, where the sales fell for the first time (by 2.2%) last year following the five growth years. </w:t>
            </w:r>
          </w:p>
          <w:p w:rsidR="00B9632F" w:rsidRDefault="00B9632F" w:rsidP="00B9632F">
            <w:pPr>
              <w:spacing w:after="0"/>
              <w:rPr>
                <w:color w:val="0D0D0D" w:themeColor="text1" w:themeTint="F2"/>
                <w:spacing w:val="-4"/>
                <w:lang w:val="en-GB"/>
              </w:rPr>
            </w:pPr>
          </w:p>
          <w:p w:rsidR="00B9632F" w:rsidRPr="009C0696" w:rsidRDefault="00B9632F" w:rsidP="00B9632F">
            <w:pPr>
              <w:spacing w:after="0"/>
              <w:rPr>
                <w:color w:val="0D0D0D" w:themeColor="text1" w:themeTint="F2"/>
                <w:spacing w:val="-4"/>
                <w:lang w:val="en-GB"/>
              </w:rPr>
            </w:pPr>
          </w:p>
        </w:tc>
      </w:tr>
    </w:tbl>
    <w:p w:rsidR="00A925B1" w:rsidRPr="009C0696" w:rsidRDefault="00A925B1" w:rsidP="001554C2">
      <w:pPr>
        <w:pStyle w:val="Nadpis11"/>
        <w:rPr>
          <w:lang w:val="en-GB"/>
        </w:rPr>
        <w:sectPr w:rsidR="00A925B1" w:rsidRPr="009C0696" w:rsidSect="00A03B10">
          <w:headerReference w:type="even" r:id="rId17"/>
          <w:headerReference w:type="default" r:id="rId18"/>
          <w:footerReference w:type="even" r:id="rId19"/>
          <w:footerReference w:type="default" r:id="rId20"/>
          <w:pgSz w:w="11906" w:h="16838" w:code="9"/>
          <w:pgMar w:top="1134" w:right="1134" w:bottom="1418" w:left="1134" w:header="680" w:footer="737" w:gutter="0"/>
          <w:cols w:space="708"/>
          <w:docGrid w:linePitch="360"/>
        </w:sectPr>
      </w:pPr>
    </w:p>
    <w:p w:rsidR="00935BD4" w:rsidRPr="009C0696" w:rsidRDefault="00436082" w:rsidP="001554C2">
      <w:pPr>
        <w:pStyle w:val="Nadpis11"/>
        <w:rPr>
          <w:lang w:val="en-GB"/>
        </w:rPr>
      </w:pPr>
      <w:bookmarkStart w:id="8" w:name="_Toc5708392"/>
      <w:r w:rsidRPr="009C0696">
        <w:rPr>
          <w:lang w:val="en-GB"/>
        </w:rPr>
        <w:lastRenderedPageBreak/>
        <w:t>4. External Relations</w:t>
      </w:r>
      <w:bookmarkEnd w:id="8"/>
    </w:p>
    <w:tbl>
      <w:tblPr>
        <w:tblW w:w="9639" w:type="dxa"/>
        <w:tblInd w:w="-15" w:type="dxa"/>
        <w:tblCellMar>
          <w:left w:w="0" w:type="dxa"/>
          <w:right w:w="0" w:type="dxa"/>
        </w:tblCellMar>
        <w:tblLook w:val="00A0" w:firstRow="1" w:lastRow="0" w:firstColumn="1" w:lastColumn="0" w:noHBand="0" w:noVBand="0"/>
      </w:tblPr>
      <w:tblGrid>
        <w:gridCol w:w="1803"/>
        <w:gridCol w:w="226"/>
        <w:gridCol w:w="7610"/>
      </w:tblGrid>
      <w:tr w:rsidR="00524385" w:rsidRPr="009C0696" w:rsidTr="004178C3">
        <w:trPr>
          <w:trHeight w:val="145"/>
        </w:trPr>
        <w:tc>
          <w:tcPr>
            <w:tcW w:w="1888" w:type="dxa"/>
            <w:shd w:val="clear" w:color="auto" w:fill="auto"/>
            <w:tcMar>
              <w:left w:w="0" w:type="dxa"/>
            </w:tcMar>
          </w:tcPr>
          <w:p w:rsidR="00524385" w:rsidRPr="009C0696" w:rsidRDefault="00020C84" w:rsidP="00020C84">
            <w:pPr>
              <w:pStyle w:val="Marginlie"/>
              <w:rPr>
                <w:lang w:val="en-GB"/>
              </w:rPr>
            </w:pPr>
            <w:r w:rsidRPr="009C0696">
              <w:rPr>
                <w:lang w:val="en-GB"/>
              </w:rPr>
              <w:t xml:space="preserve">Value of exports </w:t>
            </w:r>
            <w:r w:rsidR="008F6351" w:rsidRPr="009C0696">
              <w:rPr>
                <w:lang w:val="en-GB"/>
              </w:rPr>
              <w:t>slightly</w:t>
            </w:r>
            <w:r w:rsidRPr="009C0696">
              <w:rPr>
                <w:lang w:val="en-GB"/>
              </w:rPr>
              <w:t xml:space="preserve"> increased last year, mainly due to the strong second half of the year.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020C84" w:rsidP="00D32663">
            <w:pPr>
              <w:spacing w:after="200"/>
              <w:rPr>
                <w:spacing w:val="-4"/>
                <w:lang w:val="en-GB"/>
              </w:rPr>
            </w:pPr>
            <w:r w:rsidRPr="009C0696">
              <w:rPr>
                <w:spacing w:val="-4"/>
                <w:lang w:val="en-GB"/>
              </w:rPr>
              <w:t xml:space="preserve">Value of exports of goods amounted to </w:t>
            </w:r>
            <w:r w:rsidR="00524385" w:rsidRPr="009C0696">
              <w:rPr>
                <w:spacing w:val="-4"/>
                <w:lang w:val="en-GB"/>
              </w:rPr>
              <w:t>3</w:t>
            </w:r>
            <w:r w:rsidRPr="009C0696">
              <w:rPr>
                <w:spacing w:val="-4"/>
                <w:lang w:val="en-GB"/>
              </w:rPr>
              <w:t> </w:t>
            </w:r>
            <w:r w:rsidR="00524385" w:rsidRPr="009C0696">
              <w:rPr>
                <w:spacing w:val="-4"/>
                <w:lang w:val="en-GB"/>
              </w:rPr>
              <w:t>630</w:t>
            </w:r>
            <w:r w:rsidRPr="009C0696">
              <w:rPr>
                <w:spacing w:val="-4"/>
                <w:lang w:val="en-GB"/>
              </w:rPr>
              <w:t>.</w:t>
            </w:r>
            <w:r w:rsidR="00524385" w:rsidRPr="009C0696">
              <w:rPr>
                <w:spacing w:val="-4"/>
                <w:lang w:val="en-GB"/>
              </w:rPr>
              <w:t xml:space="preserve">8 </w:t>
            </w:r>
            <w:r w:rsidRPr="009C0696">
              <w:rPr>
                <w:spacing w:val="-4"/>
                <w:lang w:val="en-GB"/>
              </w:rPr>
              <w:t>CZK bn</w:t>
            </w:r>
            <w:r w:rsidR="00524385" w:rsidRPr="009C0696">
              <w:rPr>
                <w:rStyle w:val="Znakapoznpodarou"/>
                <w:spacing w:val="-4"/>
                <w:lang w:val="en-GB"/>
              </w:rPr>
              <w:footnoteReference w:id="42"/>
            </w:r>
            <w:r w:rsidRPr="009C0696">
              <w:rPr>
                <w:spacing w:val="-4"/>
                <w:lang w:val="en-GB"/>
              </w:rPr>
              <w:t xml:space="preserve"> in 2018</w:t>
            </w:r>
            <w:r w:rsidR="00524385" w:rsidRPr="009C0696">
              <w:rPr>
                <w:spacing w:val="-4"/>
                <w:lang w:val="en-GB"/>
              </w:rPr>
              <w:t xml:space="preserve">. </w:t>
            </w:r>
            <w:r w:rsidRPr="009C0696">
              <w:rPr>
                <w:spacing w:val="-4"/>
                <w:lang w:val="en-GB"/>
              </w:rPr>
              <w:t xml:space="preserve">It constitutes a year-on-year increase in value of </w:t>
            </w:r>
            <w:r w:rsidR="00524385" w:rsidRPr="009C0696">
              <w:rPr>
                <w:spacing w:val="-4"/>
                <w:lang w:val="en-GB"/>
              </w:rPr>
              <w:t>117</w:t>
            </w:r>
            <w:r w:rsidRPr="009C0696">
              <w:rPr>
                <w:spacing w:val="-4"/>
                <w:lang w:val="en-GB"/>
              </w:rPr>
              <w:t>.</w:t>
            </w:r>
            <w:r w:rsidR="00524385" w:rsidRPr="009C0696">
              <w:rPr>
                <w:spacing w:val="-4"/>
                <w:lang w:val="en-GB"/>
              </w:rPr>
              <w:t xml:space="preserve">9 </w:t>
            </w:r>
            <w:r w:rsidRPr="009C0696">
              <w:rPr>
                <w:spacing w:val="-4"/>
                <w:lang w:val="en-GB"/>
              </w:rPr>
              <w:t xml:space="preserve">CZK bn </w:t>
            </w:r>
            <w:r w:rsidR="00524385" w:rsidRPr="009C0696">
              <w:rPr>
                <w:spacing w:val="-4"/>
                <w:lang w:val="en-GB"/>
              </w:rPr>
              <w:t>(3</w:t>
            </w:r>
            <w:r w:rsidRPr="009C0696">
              <w:rPr>
                <w:spacing w:val="-4"/>
                <w:lang w:val="en-GB"/>
              </w:rPr>
              <w:t>.</w:t>
            </w:r>
            <w:r w:rsidR="00524385" w:rsidRPr="009C0696">
              <w:rPr>
                <w:spacing w:val="-4"/>
                <w:lang w:val="en-GB"/>
              </w:rPr>
              <w:t>4%). Export</w:t>
            </w:r>
            <w:r w:rsidRPr="009C0696">
              <w:rPr>
                <w:spacing w:val="-4"/>
                <w:lang w:val="en-GB"/>
              </w:rPr>
              <w:t xml:space="preserve">s of goods thus grew for the ninth year in a row. Development of year-on-year dynamics was especially </w:t>
            </w:r>
            <w:r w:rsidR="008F6351" w:rsidRPr="009C0696">
              <w:rPr>
                <w:spacing w:val="-4"/>
                <w:lang w:val="en-GB"/>
              </w:rPr>
              <w:t xml:space="preserve">in H1 affected by high comparative basis of year </w:t>
            </w:r>
            <w:r w:rsidR="00524385" w:rsidRPr="009C0696">
              <w:rPr>
                <w:spacing w:val="-4"/>
                <w:lang w:val="en-GB"/>
              </w:rPr>
              <w:t>2017</w:t>
            </w:r>
            <w:r w:rsidR="008F6351" w:rsidRPr="009C0696">
              <w:rPr>
                <w:spacing w:val="-4"/>
                <w:lang w:val="en-GB"/>
              </w:rPr>
              <w:t xml:space="preserve"> as well as the worsened situation in the are</w:t>
            </w:r>
            <w:r w:rsidR="00155427" w:rsidRPr="009C0696">
              <w:rPr>
                <w:spacing w:val="-4"/>
                <w:lang w:val="en-GB"/>
              </w:rPr>
              <w:t>a</w:t>
            </w:r>
            <w:r w:rsidR="008F6351" w:rsidRPr="009C0696">
              <w:rPr>
                <w:spacing w:val="-4"/>
                <w:lang w:val="en-GB"/>
              </w:rPr>
              <w:t xml:space="preserve"> of motor vehicle exports </w:t>
            </w:r>
            <w:r w:rsidR="00524385" w:rsidRPr="009C0696">
              <w:rPr>
                <w:spacing w:val="-4"/>
                <w:lang w:val="en-GB"/>
              </w:rPr>
              <w:t>(-1</w:t>
            </w:r>
            <w:r w:rsidR="008F6351" w:rsidRPr="009C0696">
              <w:rPr>
                <w:spacing w:val="-4"/>
                <w:lang w:val="en-GB"/>
              </w:rPr>
              <w:t>.</w:t>
            </w:r>
            <w:r w:rsidR="00524385" w:rsidRPr="009C0696">
              <w:rPr>
                <w:spacing w:val="-4"/>
                <w:lang w:val="en-GB"/>
              </w:rPr>
              <w:t>0%, +1</w:t>
            </w:r>
            <w:r w:rsidR="00155427" w:rsidRPr="009C0696">
              <w:rPr>
                <w:spacing w:val="-4"/>
                <w:lang w:val="en-GB"/>
              </w:rPr>
              <w:t>.</w:t>
            </w:r>
            <w:r w:rsidR="00524385" w:rsidRPr="009C0696">
              <w:rPr>
                <w:spacing w:val="-4"/>
                <w:lang w:val="en-GB"/>
              </w:rPr>
              <w:t xml:space="preserve">7% </w:t>
            </w:r>
            <w:r w:rsidR="00155427" w:rsidRPr="009C0696">
              <w:rPr>
                <w:spacing w:val="-4"/>
                <w:lang w:val="en-GB"/>
              </w:rPr>
              <w:t>in Q</w:t>
            </w:r>
            <w:r w:rsidR="00524385" w:rsidRPr="009C0696">
              <w:rPr>
                <w:spacing w:val="-4"/>
                <w:lang w:val="en-GB"/>
              </w:rPr>
              <w:t>1</w:t>
            </w:r>
            <w:r w:rsidR="00155427" w:rsidRPr="009C0696">
              <w:rPr>
                <w:spacing w:val="-4"/>
                <w:lang w:val="en-GB"/>
              </w:rPr>
              <w:t xml:space="preserve"> and </w:t>
            </w:r>
            <w:r w:rsidR="00524385" w:rsidRPr="009C0696">
              <w:rPr>
                <w:spacing w:val="-4"/>
                <w:lang w:val="en-GB"/>
              </w:rPr>
              <w:t xml:space="preserve">2). </w:t>
            </w:r>
            <w:r w:rsidR="00155427" w:rsidRPr="009C0696">
              <w:rPr>
                <w:spacing w:val="-4"/>
                <w:lang w:val="en-GB"/>
              </w:rPr>
              <w:t xml:space="preserve">Second half of the year was however more successful with respect to exports </w:t>
            </w:r>
            <w:r w:rsidR="00524385" w:rsidRPr="009C0696">
              <w:rPr>
                <w:spacing w:val="-4"/>
                <w:lang w:val="en-GB"/>
              </w:rPr>
              <w:t>(+5</w:t>
            </w:r>
            <w:r w:rsidR="00155427" w:rsidRPr="009C0696">
              <w:rPr>
                <w:spacing w:val="-4"/>
                <w:lang w:val="en-GB"/>
              </w:rPr>
              <w:t>.</w:t>
            </w:r>
            <w:r w:rsidR="00524385" w:rsidRPr="009C0696">
              <w:rPr>
                <w:spacing w:val="-4"/>
                <w:lang w:val="en-GB"/>
              </w:rPr>
              <w:t xml:space="preserve">4% </w:t>
            </w:r>
            <w:r w:rsidR="00155427" w:rsidRPr="009C0696">
              <w:rPr>
                <w:spacing w:val="-4"/>
                <w:lang w:val="en-GB"/>
              </w:rPr>
              <w:t>in Q</w:t>
            </w:r>
            <w:r w:rsidR="00524385" w:rsidRPr="009C0696">
              <w:rPr>
                <w:spacing w:val="-4"/>
                <w:lang w:val="en-GB"/>
              </w:rPr>
              <w:t xml:space="preserve">3). </w:t>
            </w:r>
            <w:r w:rsidR="004E6D1D" w:rsidRPr="009C0696">
              <w:rPr>
                <w:spacing w:val="-4"/>
                <w:lang w:val="en-GB"/>
              </w:rPr>
              <w:t>T</w:t>
            </w:r>
            <w:r w:rsidR="00D32663" w:rsidRPr="009C0696">
              <w:rPr>
                <w:spacing w:val="-4"/>
                <w:lang w:val="en-GB"/>
              </w:rPr>
              <w:t xml:space="preserve">he value of exports of goods reached </w:t>
            </w:r>
            <w:r w:rsidR="00524385" w:rsidRPr="009C0696">
              <w:rPr>
                <w:spacing w:val="-4"/>
                <w:lang w:val="en-GB"/>
              </w:rPr>
              <w:t>952</w:t>
            </w:r>
            <w:r w:rsidR="00D32663" w:rsidRPr="009C0696">
              <w:rPr>
                <w:spacing w:val="-4"/>
                <w:lang w:val="en-GB"/>
              </w:rPr>
              <w:t>.</w:t>
            </w:r>
            <w:r w:rsidR="00524385" w:rsidRPr="009C0696">
              <w:rPr>
                <w:spacing w:val="-4"/>
                <w:lang w:val="en-GB"/>
              </w:rPr>
              <w:t xml:space="preserve">7 </w:t>
            </w:r>
            <w:r w:rsidR="00D32663" w:rsidRPr="009C0696">
              <w:rPr>
                <w:spacing w:val="-4"/>
                <w:lang w:val="en-GB"/>
              </w:rPr>
              <w:t xml:space="preserve">CZK bn </w:t>
            </w:r>
            <w:r w:rsidR="002505E3">
              <w:rPr>
                <w:spacing w:val="-4"/>
                <w:lang w:val="en-GB"/>
              </w:rPr>
              <w:t xml:space="preserve">in Q4 </w:t>
            </w:r>
            <w:r w:rsidR="00524385" w:rsidRPr="009C0696">
              <w:rPr>
                <w:spacing w:val="-4"/>
                <w:lang w:val="en-GB"/>
              </w:rPr>
              <w:t>a</w:t>
            </w:r>
            <w:r w:rsidR="000B7344" w:rsidRPr="009C0696">
              <w:rPr>
                <w:spacing w:val="-4"/>
                <w:lang w:val="en-GB"/>
              </w:rPr>
              <w:t xml:space="preserve">nd it increased by </w:t>
            </w:r>
            <w:r w:rsidR="00524385" w:rsidRPr="009C0696">
              <w:rPr>
                <w:spacing w:val="-4"/>
                <w:lang w:val="en-GB"/>
              </w:rPr>
              <w:t>68</w:t>
            </w:r>
            <w:r w:rsidR="000B7344" w:rsidRPr="009C0696">
              <w:rPr>
                <w:spacing w:val="-4"/>
                <w:lang w:val="en-GB"/>
              </w:rPr>
              <w:t>.</w:t>
            </w:r>
            <w:r w:rsidR="00524385" w:rsidRPr="009C0696">
              <w:rPr>
                <w:spacing w:val="-4"/>
                <w:lang w:val="en-GB"/>
              </w:rPr>
              <w:t xml:space="preserve">3 </w:t>
            </w:r>
            <w:r w:rsidR="000B7344" w:rsidRPr="009C0696">
              <w:rPr>
                <w:spacing w:val="-4"/>
                <w:lang w:val="en-GB"/>
              </w:rPr>
              <w:t xml:space="preserve">CZK bn year-on-year </w:t>
            </w:r>
            <w:r w:rsidR="00524385" w:rsidRPr="009C0696">
              <w:rPr>
                <w:spacing w:val="-4"/>
                <w:lang w:val="en-GB"/>
              </w:rPr>
              <w:t>(7</w:t>
            </w:r>
            <w:r w:rsidR="000B7344" w:rsidRPr="009C0696">
              <w:rPr>
                <w:spacing w:val="-4"/>
                <w:lang w:val="en-GB"/>
              </w:rPr>
              <w:t>.</w:t>
            </w:r>
            <w:r w:rsidR="00524385" w:rsidRPr="009C0696">
              <w:rPr>
                <w:spacing w:val="-4"/>
                <w:lang w:val="en-GB"/>
              </w:rPr>
              <w:t xml:space="preserve">7%). </w:t>
            </w:r>
            <w:r w:rsidR="000B7344" w:rsidRPr="009C0696">
              <w:rPr>
                <w:spacing w:val="-4"/>
                <w:lang w:val="en-GB"/>
              </w:rPr>
              <w:t>It constituted the highest increase since Q</w:t>
            </w:r>
            <w:r w:rsidR="00524385" w:rsidRPr="009C0696">
              <w:rPr>
                <w:spacing w:val="-4"/>
                <w:lang w:val="en-GB"/>
              </w:rPr>
              <w:t>1</w:t>
            </w:r>
            <w:r w:rsidR="000B7344" w:rsidRPr="009C0696">
              <w:rPr>
                <w:spacing w:val="-4"/>
                <w:lang w:val="en-GB"/>
              </w:rPr>
              <w:t xml:space="preserve"> </w:t>
            </w:r>
            <w:r w:rsidR="00524385" w:rsidRPr="009C0696">
              <w:rPr>
                <w:spacing w:val="-4"/>
                <w:lang w:val="en-GB"/>
              </w:rPr>
              <w:t xml:space="preserve">2017. </w:t>
            </w:r>
          </w:p>
        </w:tc>
      </w:tr>
      <w:tr w:rsidR="00524385" w:rsidRPr="009C0696" w:rsidTr="004178C3">
        <w:trPr>
          <w:trHeight w:val="145"/>
        </w:trPr>
        <w:tc>
          <w:tcPr>
            <w:tcW w:w="1888" w:type="dxa"/>
            <w:shd w:val="clear" w:color="auto" w:fill="auto"/>
            <w:tcMar>
              <w:left w:w="0" w:type="dxa"/>
            </w:tcMar>
          </w:tcPr>
          <w:p w:rsidR="00524385" w:rsidRPr="009C0696" w:rsidRDefault="00572350" w:rsidP="00572350">
            <w:pPr>
              <w:pStyle w:val="Marginlie"/>
              <w:rPr>
                <w:lang w:val="en-GB"/>
              </w:rPr>
            </w:pPr>
            <w:r w:rsidRPr="009C0696">
              <w:rPr>
                <w:lang w:val="en-GB"/>
              </w:rPr>
              <w:t xml:space="preserve">Growth of the value of exports to Germany notably weakened last year. On the contrary, the exports to Netherlands, Spain and Sweden grew fast.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DB7DA2" w:rsidP="004E6D1D">
            <w:pPr>
              <w:spacing w:after="200"/>
              <w:rPr>
                <w:spacing w:val="-4"/>
                <w:lang w:val="en-GB"/>
              </w:rPr>
            </w:pPr>
            <w:r w:rsidRPr="009C0696">
              <w:rPr>
                <w:spacing w:val="-4"/>
                <w:lang w:val="en-GB"/>
              </w:rPr>
              <w:t>The territorial structure of export with respect to the main features remained practically the same last year. 83.9% of the whole exports of goods was destined into the EU countries. Nearly one third of the Czech export kept being directed to Germany.</w:t>
            </w:r>
            <w:r w:rsidR="004E6D1D" w:rsidRPr="009C0696">
              <w:rPr>
                <w:spacing w:val="-4"/>
                <w:lang w:val="en-GB"/>
              </w:rPr>
              <w:t xml:space="preserve"> </w:t>
            </w:r>
            <w:r w:rsidR="00524385" w:rsidRPr="009C0696">
              <w:rPr>
                <w:spacing w:val="-4"/>
                <w:lang w:val="en-GB"/>
              </w:rPr>
              <w:t>Relati</w:t>
            </w:r>
            <w:r w:rsidRPr="009C0696">
              <w:rPr>
                <w:spacing w:val="-4"/>
                <w:lang w:val="en-GB"/>
              </w:rPr>
              <w:t xml:space="preserve">ve increase of exports into EU </w:t>
            </w:r>
            <w:r w:rsidR="00524385" w:rsidRPr="009C0696">
              <w:rPr>
                <w:spacing w:val="-4"/>
                <w:lang w:val="en-GB"/>
              </w:rPr>
              <w:t>(3</w:t>
            </w:r>
            <w:r w:rsidRPr="009C0696">
              <w:rPr>
                <w:spacing w:val="-4"/>
                <w:lang w:val="en-GB"/>
              </w:rPr>
              <w:t>.</w:t>
            </w:r>
            <w:r w:rsidR="00524385" w:rsidRPr="009C0696">
              <w:rPr>
                <w:spacing w:val="-4"/>
                <w:lang w:val="en-GB"/>
              </w:rPr>
              <w:t xml:space="preserve">5%) </w:t>
            </w:r>
            <w:r w:rsidRPr="009C0696">
              <w:rPr>
                <w:spacing w:val="-4"/>
                <w:lang w:val="en-GB"/>
              </w:rPr>
              <w:t xml:space="preserve">was slightly higher than </w:t>
            </w:r>
            <w:r w:rsidR="001026C4" w:rsidRPr="009C0696">
              <w:rPr>
                <w:spacing w:val="-4"/>
                <w:lang w:val="en-GB"/>
              </w:rPr>
              <w:t xml:space="preserve">outside the Union </w:t>
            </w:r>
            <w:r w:rsidR="00524385" w:rsidRPr="009C0696">
              <w:rPr>
                <w:spacing w:val="-4"/>
                <w:lang w:val="en-GB"/>
              </w:rPr>
              <w:t>(2</w:t>
            </w:r>
            <w:r w:rsidR="001026C4" w:rsidRPr="009C0696">
              <w:rPr>
                <w:spacing w:val="-4"/>
                <w:lang w:val="en-GB"/>
              </w:rPr>
              <w:t>.</w:t>
            </w:r>
            <w:r w:rsidR="00524385" w:rsidRPr="009C0696">
              <w:rPr>
                <w:spacing w:val="-4"/>
                <w:lang w:val="en-GB"/>
              </w:rPr>
              <w:t xml:space="preserve">6%). </w:t>
            </w:r>
            <w:r w:rsidR="00F75580" w:rsidRPr="009C0696">
              <w:rPr>
                <w:spacing w:val="-4"/>
                <w:lang w:val="en-GB"/>
              </w:rPr>
              <w:t xml:space="preserve">Growth of exports to Germany weakened markedly </w:t>
            </w:r>
            <w:r w:rsidR="00524385" w:rsidRPr="009C0696">
              <w:rPr>
                <w:spacing w:val="-4"/>
                <w:lang w:val="en-GB"/>
              </w:rPr>
              <w:t>(1</w:t>
            </w:r>
            <w:r w:rsidR="00F75580" w:rsidRPr="009C0696">
              <w:rPr>
                <w:spacing w:val="-4"/>
                <w:lang w:val="en-GB"/>
              </w:rPr>
              <w:t>.</w:t>
            </w:r>
            <w:r w:rsidR="00524385" w:rsidRPr="009C0696">
              <w:rPr>
                <w:spacing w:val="-4"/>
                <w:lang w:val="en-GB"/>
              </w:rPr>
              <w:t>6%)</w:t>
            </w:r>
            <w:r w:rsidR="00F75580" w:rsidRPr="009C0696">
              <w:rPr>
                <w:spacing w:val="-4"/>
                <w:lang w:val="en-GB"/>
              </w:rPr>
              <w:t xml:space="preserve"> compared to year 2017</w:t>
            </w:r>
            <w:r w:rsidR="00524385" w:rsidRPr="009C0696">
              <w:rPr>
                <w:spacing w:val="-4"/>
                <w:lang w:val="en-GB"/>
              </w:rPr>
              <w:t xml:space="preserve">. </w:t>
            </w:r>
            <w:r w:rsidR="00F75580" w:rsidRPr="009C0696">
              <w:rPr>
                <w:spacing w:val="-4"/>
                <w:lang w:val="en-GB"/>
              </w:rPr>
              <w:t xml:space="preserve">Only the Q4 pulled up the yearly dynamics </w:t>
            </w:r>
            <w:r w:rsidR="00524385" w:rsidRPr="009C0696">
              <w:rPr>
                <w:spacing w:val="-4"/>
                <w:lang w:val="en-GB"/>
              </w:rPr>
              <w:t>(+16</w:t>
            </w:r>
            <w:r w:rsidR="00F75580" w:rsidRPr="009C0696">
              <w:rPr>
                <w:spacing w:val="-4"/>
                <w:lang w:val="en-GB"/>
              </w:rPr>
              <w:t>.</w:t>
            </w:r>
            <w:r w:rsidR="00524385" w:rsidRPr="009C0696">
              <w:rPr>
                <w:spacing w:val="-4"/>
                <w:lang w:val="en-GB"/>
              </w:rPr>
              <w:t xml:space="preserve">3 </w:t>
            </w:r>
            <w:r w:rsidR="00F75580" w:rsidRPr="009C0696">
              <w:rPr>
                <w:spacing w:val="-4"/>
                <w:lang w:val="en-GB"/>
              </w:rPr>
              <w:t>CZK bn</w:t>
            </w:r>
            <w:r w:rsidR="00524385" w:rsidRPr="009C0696">
              <w:rPr>
                <w:spacing w:val="-4"/>
                <w:lang w:val="en-GB"/>
              </w:rPr>
              <w:t>, 6</w:t>
            </w:r>
            <w:r w:rsidR="00F75580" w:rsidRPr="009C0696">
              <w:rPr>
                <w:spacing w:val="-4"/>
                <w:lang w:val="en-GB"/>
              </w:rPr>
              <w:t>.</w:t>
            </w:r>
            <w:r w:rsidR="00524385" w:rsidRPr="009C0696">
              <w:rPr>
                <w:spacing w:val="-4"/>
                <w:lang w:val="en-GB"/>
              </w:rPr>
              <w:t xml:space="preserve">0%). </w:t>
            </w:r>
            <w:r w:rsidR="00FF2C2F" w:rsidRPr="009C0696">
              <w:rPr>
                <w:spacing w:val="-4"/>
                <w:lang w:val="en-GB"/>
              </w:rPr>
              <w:t>The value of exports to Germany stagnated during Q</w:t>
            </w:r>
            <w:r w:rsidR="00524385" w:rsidRPr="009C0696">
              <w:rPr>
                <w:spacing w:val="-4"/>
                <w:lang w:val="en-GB"/>
              </w:rPr>
              <w:t>1</w:t>
            </w:r>
            <w:r w:rsidR="00FF2C2F" w:rsidRPr="009C0696">
              <w:rPr>
                <w:spacing w:val="-4"/>
                <w:lang w:val="en-GB"/>
              </w:rPr>
              <w:t xml:space="preserve"> to </w:t>
            </w:r>
            <w:r w:rsidR="00524385" w:rsidRPr="009C0696">
              <w:rPr>
                <w:spacing w:val="-4"/>
                <w:lang w:val="en-GB"/>
              </w:rPr>
              <w:t>3.</w:t>
            </w:r>
            <w:r w:rsidR="00FF2C2F" w:rsidRPr="009C0696">
              <w:rPr>
                <w:spacing w:val="-4"/>
                <w:lang w:val="en-GB"/>
              </w:rPr>
              <w:t xml:space="preserve"> Smaller export destinations thus played a more significant role last year. The value of exports to Netherlands experienced a spike </w:t>
            </w:r>
            <w:r w:rsidR="00524385" w:rsidRPr="009C0696">
              <w:rPr>
                <w:spacing w:val="-4"/>
                <w:lang w:val="en-GB"/>
              </w:rPr>
              <w:t>(13</w:t>
            </w:r>
            <w:r w:rsidR="00FF2C2F" w:rsidRPr="009C0696">
              <w:rPr>
                <w:spacing w:val="-4"/>
                <w:lang w:val="en-GB"/>
              </w:rPr>
              <w:t>.</w:t>
            </w:r>
            <w:r w:rsidR="00524385" w:rsidRPr="009C0696">
              <w:rPr>
                <w:spacing w:val="-4"/>
                <w:lang w:val="en-GB"/>
              </w:rPr>
              <w:t xml:space="preserve">9 </w:t>
            </w:r>
            <w:r w:rsidR="00FF2C2F" w:rsidRPr="009C0696">
              <w:rPr>
                <w:spacing w:val="-4"/>
                <w:lang w:val="en-GB"/>
              </w:rPr>
              <w:t>CZK bn</w:t>
            </w:r>
            <w:r w:rsidR="00524385" w:rsidRPr="009C0696">
              <w:rPr>
                <w:spacing w:val="-4"/>
                <w:lang w:val="en-GB"/>
              </w:rPr>
              <w:t>, 12</w:t>
            </w:r>
            <w:r w:rsidR="00FF2C2F" w:rsidRPr="009C0696">
              <w:rPr>
                <w:spacing w:val="-4"/>
                <w:lang w:val="en-GB"/>
              </w:rPr>
              <w:t>.</w:t>
            </w:r>
            <w:r w:rsidR="00524385" w:rsidRPr="009C0696">
              <w:rPr>
                <w:spacing w:val="-4"/>
                <w:lang w:val="en-GB"/>
              </w:rPr>
              <w:t xml:space="preserve">2%) </w:t>
            </w:r>
            <w:r w:rsidR="00FF2C2F" w:rsidRPr="009C0696">
              <w:rPr>
                <w:spacing w:val="-4"/>
                <w:lang w:val="en-GB"/>
              </w:rPr>
              <w:t xml:space="preserve">last year and continued in the more than 40% increase from the previous year. </w:t>
            </w:r>
            <w:r w:rsidR="00FE3942" w:rsidRPr="009C0696">
              <w:rPr>
                <w:spacing w:val="-4"/>
                <w:lang w:val="en-GB"/>
              </w:rPr>
              <w:t xml:space="preserve">Export to Spain </w:t>
            </w:r>
            <w:r w:rsidR="00524385" w:rsidRPr="009C0696">
              <w:rPr>
                <w:spacing w:val="-4"/>
                <w:lang w:val="en-GB"/>
              </w:rPr>
              <w:t>(16</w:t>
            </w:r>
            <w:r w:rsidR="00FE3942" w:rsidRPr="009C0696">
              <w:rPr>
                <w:spacing w:val="-4"/>
                <w:lang w:val="en-GB"/>
              </w:rPr>
              <w:t>.</w:t>
            </w:r>
            <w:r w:rsidR="00524385" w:rsidRPr="009C0696">
              <w:rPr>
                <w:spacing w:val="-4"/>
                <w:lang w:val="en-GB"/>
              </w:rPr>
              <w:t xml:space="preserve">7 </w:t>
            </w:r>
            <w:r w:rsidR="00FE3942" w:rsidRPr="009C0696">
              <w:rPr>
                <w:spacing w:val="-4"/>
                <w:lang w:val="en-GB"/>
              </w:rPr>
              <w:t>CZK bn</w:t>
            </w:r>
            <w:r w:rsidR="00524385" w:rsidRPr="009C0696">
              <w:rPr>
                <w:spacing w:val="-4"/>
                <w:lang w:val="en-GB"/>
              </w:rPr>
              <w:t>, 16</w:t>
            </w:r>
            <w:r w:rsidR="00FE3942" w:rsidRPr="009C0696">
              <w:rPr>
                <w:spacing w:val="-4"/>
                <w:lang w:val="en-GB"/>
              </w:rPr>
              <w:t>.</w:t>
            </w:r>
            <w:r w:rsidR="00524385" w:rsidRPr="009C0696">
              <w:rPr>
                <w:spacing w:val="-4"/>
                <w:lang w:val="en-GB"/>
              </w:rPr>
              <w:t>3%) a</w:t>
            </w:r>
            <w:r w:rsidR="00FE3942" w:rsidRPr="009C0696">
              <w:rPr>
                <w:spacing w:val="-4"/>
                <w:lang w:val="en-GB"/>
              </w:rPr>
              <w:t>nd</w:t>
            </w:r>
            <w:r w:rsidR="00524385" w:rsidRPr="009C0696">
              <w:rPr>
                <w:spacing w:val="-4"/>
                <w:lang w:val="en-GB"/>
              </w:rPr>
              <w:t> </w:t>
            </w:r>
            <w:r w:rsidR="00FE3942" w:rsidRPr="009C0696">
              <w:rPr>
                <w:spacing w:val="-4"/>
                <w:lang w:val="en-GB"/>
              </w:rPr>
              <w:t xml:space="preserve">Sweden </w:t>
            </w:r>
            <w:r w:rsidR="00524385" w:rsidRPr="009C0696">
              <w:rPr>
                <w:spacing w:val="-4"/>
                <w:lang w:val="en-GB"/>
              </w:rPr>
              <w:t>(8</w:t>
            </w:r>
            <w:r w:rsidR="00FE3942" w:rsidRPr="009C0696">
              <w:rPr>
                <w:spacing w:val="-4"/>
                <w:lang w:val="en-GB"/>
              </w:rPr>
              <w:t>.</w:t>
            </w:r>
            <w:r w:rsidR="00524385" w:rsidRPr="009C0696">
              <w:rPr>
                <w:spacing w:val="-4"/>
                <w:lang w:val="en-GB"/>
              </w:rPr>
              <w:t xml:space="preserve">4 </w:t>
            </w:r>
            <w:r w:rsidR="00FE3942" w:rsidRPr="009C0696">
              <w:rPr>
                <w:spacing w:val="-4"/>
                <w:lang w:val="en-GB"/>
              </w:rPr>
              <w:t>CZK bn</w:t>
            </w:r>
            <w:r w:rsidR="00524385" w:rsidRPr="009C0696">
              <w:rPr>
                <w:spacing w:val="-4"/>
                <w:lang w:val="en-GB"/>
              </w:rPr>
              <w:t>, 15</w:t>
            </w:r>
            <w:r w:rsidR="00FE3942" w:rsidRPr="009C0696">
              <w:rPr>
                <w:spacing w:val="-4"/>
                <w:lang w:val="en-GB"/>
              </w:rPr>
              <w:t>.</w:t>
            </w:r>
            <w:r w:rsidR="00524385" w:rsidRPr="009C0696">
              <w:rPr>
                <w:spacing w:val="-4"/>
                <w:lang w:val="en-GB"/>
              </w:rPr>
              <w:t>6%)</w:t>
            </w:r>
            <w:r w:rsidR="00FE3942" w:rsidRPr="009C0696">
              <w:rPr>
                <w:spacing w:val="-4"/>
                <w:lang w:val="en-GB"/>
              </w:rPr>
              <w:t xml:space="preserve"> also had a strong addition</w:t>
            </w:r>
            <w:r w:rsidR="00524385" w:rsidRPr="009C0696">
              <w:rPr>
                <w:spacing w:val="-4"/>
                <w:lang w:val="en-GB"/>
              </w:rPr>
              <w:t>.</w:t>
            </w:r>
            <w:r w:rsidR="00FE3942" w:rsidRPr="009C0696">
              <w:rPr>
                <w:spacing w:val="-4"/>
                <w:lang w:val="en-GB"/>
              </w:rPr>
              <w:t xml:space="preserve"> Export to Romania also reached a relatively high increase </w:t>
            </w:r>
            <w:r w:rsidR="002505E3">
              <w:rPr>
                <w:spacing w:val="-4"/>
                <w:lang w:val="en-GB"/>
              </w:rPr>
              <w:t>(</w:t>
            </w:r>
            <w:r w:rsidR="00716514">
              <w:rPr>
                <w:spacing w:val="-4"/>
                <w:lang w:val="en-GB"/>
              </w:rPr>
              <w:t>10.</w:t>
            </w:r>
            <w:r w:rsidR="00524385" w:rsidRPr="009C0696">
              <w:rPr>
                <w:spacing w:val="-4"/>
                <w:lang w:val="en-GB"/>
              </w:rPr>
              <w:t>3%, 5</w:t>
            </w:r>
            <w:r w:rsidR="00FE3942" w:rsidRPr="009C0696">
              <w:rPr>
                <w:spacing w:val="-4"/>
                <w:lang w:val="en-GB"/>
              </w:rPr>
              <w:t>.</w:t>
            </w:r>
            <w:r w:rsidR="00524385" w:rsidRPr="009C0696">
              <w:rPr>
                <w:spacing w:val="-4"/>
                <w:lang w:val="en-GB"/>
              </w:rPr>
              <w:t xml:space="preserve">2 </w:t>
            </w:r>
            <w:r w:rsidR="00FE3942" w:rsidRPr="009C0696">
              <w:rPr>
                <w:spacing w:val="-4"/>
                <w:lang w:val="en-GB"/>
              </w:rPr>
              <w:t>CZK bn</w:t>
            </w:r>
            <w:r w:rsidR="00524385" w:rsidRPr="009C0696">
              <w:rPr>
                <w:spacing w:val="-4"/>
                <w:lang w:val="en-GB"/>
              </w:rPr>
              <w:t xml:space="preserve">). </w:t>
            </w:r>
            <w:r w:rsidR="00201033" w:rsidRPr="009C0696">
              <w:rPr>
                <w:spacing w:val="-4"/>
                <w:lang w:val="en-GB"/>
              </w:rPr>
              <w:t xml:space="preserve">Export to our nearest neighbours grew slower </w:t>
            </w:r>
            <w:r w:rsidR="00524385" w:rsidRPr="009C0696">
              <w:rPr>
                <w:spacing w:val="-4"/>
                <w:lang w:val="en-GB"/>
              </w:rPr>
              <w:t>(Pol</w:t>
            </w:r>
            <w:r w:rsidR="00201033" w:rsidRPr="009C0696">
              <w:rPr>
                <w:spacing w:val="-4"/>
                <w:lang w:val="en-GB"/>
              </w:rPr>
              <w:t xml:space="preserve">and </w:t>
            </w:r>
            <w:r w:rsidR="00524385" w:rsidRPr="009C0696">
              <w:rPr>
                <w:spacing w:val="-4"/>
                <w:lang w:val="en-GB"/>
              </w:rPr>
              <w:t>+3</w:t>
            </w:r>
            <w:r w:rsidR="00201033" w:rsidRPr="009C0696">
              <w:rPr>
                <w:spacing w:val="-4"/>
                <w:lang w:val="en-GB"/>
              </w:rPr>
              <w:t>.</w:t>
            </w:r>
            <w:r w:rsidR="00524385" w:rsidRPr="009C0696">
              <w:rPr>
                <w:spacing w:val="-4"/>
                <w:lang w:val="en-GB"/>
              </w:rPr>
              <w:t>7%, Slov</w:t>
            </w:r>
            <w:r w:rsidR="00201033" w:rsidRPr="009C0696">
              <w:rPr>
                <w:spacing w:val="-4"/>
                <w:lang w:val="en-GB"/>
              </w:rPr>
              <w:t xml:space="preserve">akia </w:t>
            </w:r>
            <w:r w:rsidR="00524385" w:rsidRPr="009C0696">
              <w:rPr>
                <w:spacing w:val="-4"/>
                <w:lang w:val="en-GB"/>
              </w:rPr>
              <w:t>+2</w:t>
            </w:r>
            <w:r w:rsidR="00201033" w:rsidRPr="009C0696">
              <w:rPr>
                <w:spacing w:val="-4"/>
                <w:lang w:val="en-GB"/>
              </w:rPr>
              <w:t>.</w:t>
            </w:r>
            <w:r w:rsidR="00524385" w:rsidRPr="009C0696">
              <w:rPr>
                <w:spacing w:val="-4"/>
                <w:lang w:val="en-GB"/>
              </w:rPr>
              <w:t xml:space="preserve">6%, </w:t>
            </w:r>
            <w:r w:rsidR="00201033" w:rsidRPr="009C0696">
              <w:rPr>
                <w:spacing w:val="-4"/>
                <w:lang w:val="en-GB"/>
              </w:rPr>
              <w:t xml:space="preserve">Austria </w:t>
            </w:r>
            <w:r w:rsidR="00524385" w:rsidRPr="009C0696">
              <w:rPr>
                <w:spacing w:val="-4"/>
                <w:lang w:val="en-GB"/>
              </w:rPr>
              <w:t>+4</w:t>
            </w:r>
            <w:r w:rsidR="00201033" w:rsidRPr="009C0696">
              <w:rPr>
                <w:spacing w:val="-4"/>
                <w:lang w:val="en-GB"/>
              </w:rPr>
              <w:t>.</w:t>
            </w:r>
            <w:r w:rsidR="00524385" w:rsidRPr="009C0696">
              <w:rPr>
                <w:spacing w:val="-4"/>
                <w:lang w:val="en-GB"/>
              </w:rPr>
              <w:t xml:space="preserve">3%). </w:t>
            </w:r>
            <w:r w:rsidR="00140DEB" w:rsidRPr="009C0696">
              <w:rPr>
                <w:spacing w:val="-4"/>
                <w:lang w:val="en-GB"/>
              </w:rPr>
              <w:t xml:space="preserve">Export to Slovakia escaped the </w:t>
            </w:r>
            <w:proofErr w:type="gramStart"/>
            <w:r w:rsidR="00140DEB" w:rsidRPr="009C0696">
              <w:rPr>
                <w:spacing w:val="-4"/>
                <w:lang w:val="en-GB"/>
              </w:rPr>
              <w:t>two year</w:t>
            </w:r>
            <w:proofErr w:type="gramEnd"/>
            <w:r w:rsidR="00140DEB" w:rsidRPr="009C0696">
              <w:rPr>
                <w:spacing w:val="-4"/>
                <w:lang w:val="en-GB"/>
              </w:rPr>
              <w:t xml:space="preserve"> period of slumps </w:t>
            </w:r>
            <w:r w:rsidR="00201033" w:rsidRPr="009C0696">
              <w:rPr>
                <w:spacing w:val="-4"/>
                <w:lang w:val="en-GB"/>
              </w:rPr>
              <w:t>last year</w:t>
            </w:r>
            <w:r w:rsidR="00524385" w:rsidRPr="009C0696">
              <w:rPr>
                <w:spacing w:val="-4"/>
                <w:lang w:val="en-GB"/>
              </w:rPr>
              <w:t xml:space="preserve">. </w:t>
            </w:r>
            <w:r w:rsidR="001E6862" w:rsidRPr="009C0696">
              <w:rPr>
                <w:spacing w:val="-4"/>
                <w:lang w:val="en-GB"/>
              </w:rPr>
              <w:t xml:space="preserve">The slide of the value of export to Great Britain continued last year </w:t>
            </w:r>
            <w:r w:rsidR="00524385" w:rsidRPr="009C0696">
              <w:rPr>
                <w:spacing w:val="-4"/>
                <w:lang w:val="en-GB"/>
              </w:rPr>
              <w:t>(-4</w:t>
            </w:r>
            <w:r w:rsidR="001E6862" w:rsidRPr="009C0696">
              <w:rPr>
                <w:spacing w:val="-4"/>
                <w:lang w:val="en-GB"/>
              </w:rPr>
              <w:t>.</w:t>
            </w:r>
            <w:r w:rsidR="00524385" w:rsidRPr="009C0696">
              <w:rPr>
                <w:spacing w:val="-4"/>
                <w:lang w:val="en-GB"/>
              </w:rPr>
              <w:t>0%, -6</w:t>
            </w:r>
            <w:r w:rsidR="001E6862" w:rsidRPr="009C0696">
              <w:rPr>
                <w:spacing w:val="-4"/>
                <w:lang w:val="en-GB"/>
              </w:rPr>
              <w:t>.</w:t>
            </w:r>
            <w:r w:rsidR="00524385" w:rsidRPr="009C0696">
              <w:rPr>
                <w:spacing w:val="-4"/>
                <w:lang w:val="en-GB"/>
              </w:rPr>
              <w:t xml:space="preserve">7 </w:t>
            </w:r>
            <w:r w:rsidR="001E6862" w:rsidRPr="009C0696">
              <w:rPr>
                <w:spacing w:val="-4"/>
                <w:lang w:val="en-GB"/>
              </w:rPr>
              <w:t>CZK bn</w:t>
            </w:r>
            <w:r w:rsidR="00524385" w:rsidRPr="009C0696">
              <w:rPr>
                <w:spacing w:val="-4"/>
                <w:lang w:val="en-GB"/>
              </w:rPr>
              <w:t xml:space="preserve">). </w:t>
            </w:r>
            <w:r w:rsidR="00201033" w:rsidRPr="009C0696">
              <w:rPr>
                <w:spacing w:val="-4"/>
                <w:lang w:val="en-GB"/>
              </w:rPr>
              <w:t xml:space="preserve">Increase of export outside the EU was impacted the most by Russia </w:t>
            </w:r>
            <w:r w:rsidR="00524385" w:rsidRPr="009C0696">
              <w:rPr>
                <w:spacing w:val="-4"/>
                <w:lang w:val="en-GB"/>
              </w:rPr>
              <w:t>(+7</w:t>
            </w:r>
            <w:r w:rsidR="00201033" w:rsidRPr="009C0696">
              <w:rPr>
                <w:spacing w:val="-4"/>
                <w:lang w:val="en-GB"/>
              </w:rPr>
              <w:t>.</w:t>
            </w:r>
            <w:r w:rsidR="00524385" w:rsidRPr="009C0696">
              <w:rPr>
                <w:spacing w:val="-4"/>
                <w:lang w:val="en-GB"/>
              </w:rPr>
              <w:t xml:space="preserve">7 </w:t>
            </w:r>
            <w:r w:rsidR="00201033" w:rsidRPr="009C0696">
              <w:rPr>
                <w:spacing w:val="-4"/>
                <w:lang w:val="en-GB"/>
              </w:rPr>
              <w:t>CZK bn</w:t>
            </w:r>
            <w:r w:rsidR="00524385" w:rsidRPr="009C0696">
              <w:rPr>
                <w:spacing w:val="-4"/>
                <w:lang w:val="en-GB"/>
              </w:rPr>
              <w:t>, 11</w:t>
            </w:r>
            <w:r w:rsidR="00201033" w:rsidRPr="009C0696">
              <w:rPr>
                <w:spacing w:val="-4"/>
                <w:lang w:val="en-GB"/>
              </w:rPr>
              <w:t>.</w:t>
            </w:r>
            <w:r w:rsidR="00524385" w:rsidRPr="009C0696">
              <w:rPr>
                <w:spacing w:val="-4"/>
                <w:lang w:val="en-GB"/>
              </w:rPr>
              <w:t xml:space="preserve">0%). </w:t>
            </w:r>
            <w:r w:rsidR="00201033" w:rsidRPr="009C0696">
              <w:rPr>
                <w:spacing w:val="-4"/>
                <w:lang w:val="en-GB"/>
              </w:rPr>
              <w:t>Export to Japan experienced a strong addition (</w:t>
            </w:r>
            <w:r w:rsidR="00524385" w:rsidRPr="009C0696">
              <w:rPr>
                <w:spacing w:val="-4"/>
                <w:lang w:val="en-GB"/>
              </w:rPr>
              <w:t>+2</w:t>
            </w:r>
            <w:r w:rsidR="00201033" w:rsidRPr="009C0696">
              <w:rPr>
                <w:spacing w:val="-4"/>
                <w:lang w:val="en-GB"/>
              </w:rPr>
              <w:t>.</w:t>
            </w:r>
            <w:r w:rsidR="00524385" w:rsidRPr="009C0696">
              <w:rPr>
                <w:spacing w:val="-4"/>
                <w:lang w:val="en-GB"/>
              </w:rPr>
              <w:t xml:space="preserve">2 </w:t>
            </w:r>
            <w:r w:rsidR="00201033" w:rsidRPr="009C0696">
              <w:rPr>
                <w:spacing w:val="-4"/>
                <w:lang w:val="en-GB"/>
              </w:rPr>
              <w:t>CZK bn</w:t>
            </w:r>
            <w:r w:rsidR="00524385" w:rsidRPr="009C0696">
              <w:rPr>
                <w:spacing w:val="-4"/>
                <w:lang w:val="en-GB"/>
              </w:rPr>
              <w:t>, 19</w:t>
            </w:r>
            <w:r w:rsidR="00201033" w:rsidRPr="009C0696">
              <w:rPr>
                <w:spacing w:val="-4"/>
                <w:lang w:val="en-GB"/>
              </w:rPr>
              <w:t>.</w:t>
            </w:r>
            <w:r w:rsidR="00524385" w:rsidRPr="009C0696">
              <w:rPr>
                <w:spacing w:val="-4"/>
                <w:lang w:val="en-GB"/>
              </w:rPr>
              <w:t>5%).</w:t>
            </w:r>
          </w:p>
        </w:tc>
      </w:tr>
      <w:tr w:rsidR="00524385" w:rsidRPr="009C0696" w:rsidTr="004178C3">
        <w:trPr>
          <w:trHeight w:val="170"/>
        </w:trPr>
        <w:tc>
          <w:tcPr>
            <w:tcW w:w="1888" w:type="dxa"/>
            <w:shd w:val="clear" w:color="auto" w:fill="auto"/>
            <w:tcMar>
              <w:left w:w="0" w:type="dxa"/>
            </w:tcMar>
          </w:tcPr>
          <w:p w:rsidR="00524385" w:rsidRPr="009C0696" w:rsidRDefault="007006CB" w:rsidP="00723435">
            <w:pPr>
              <w:pStyle w:val="Marginlie"/>
              <w:rPr>
                <w:lang w:val="en-GB"/>
              </w:rPr>
            </w:pPr>
            <w:r w:rsidRPr="009C0696">
              <w:rPr>
                <w:lang w:val="en-GB"/>
              </w:rPr>
              <w:t xml:space="preserve">Value of export of motor vehicles dropped for the first time since year </w:t>
            </w:r>
            <w:r w:rsidR="00524385" w:rsidRPr="009C0696">
              <w:rPr>
                <w:lang w:val="en-GB"/>
              </w:rPr>
              <w:t>2009</w:t>
            </w:r>
            <w:r w:rsidRPr="009C0696">
              <w:rPr>
                <w:lang w:val="en-GB"/>
              </w:rPr>
              <w:t xml:space="preserve"> last year</w:t>
            </w:r>
            <w:r w:rsidR="00524385" w:rsidRPr="009C0696">
              <w:rPr>
                <w:lang w:val="en-GB"/>
              </w:rPr>
              <w:t xml:space="preserve">. </w:t>
            </w:r>
          </w:p>
          <w:p w:rsidR="00524385" w:rsidRPr="009C0696" w:rsidRDefault="00524385" w:rsidP="00723435">
            <w:pPr>
              <w:pStyle w:val="Marginlie"/>
              <w:rPr>
                <w:lang w:val="en-GB"/>
              </w:rPr>
            </w:pPr>
          </w:p>
          <w:p w:rsidR="00524385" w:rsidRPr="009C0696" w:rsidRDefault="006A7E9D" w:rsidP="006A7E9D">
            <w:pPr>
              <w:pStyle w:val="Marginlie"/>
              <w:rPr>
                <w:lang w:val="en-GB"/>
              </w:rPr>
            </w:pPr>
            <w:r w:rsidRPr="009C0696">
              <w:rPr>
                <w:lang w:val="en-GB"/>
              </w:rPr>
              <w:t xml:space="preserve">Compensation however arrived on the part of computers, optical and electronic products. They managed to </w:t>
            </w:r>
            <w:r w:rsidR="009C0696" w:rsidRPr="009C0696">
              <w:rPr>
                <w:lang w:val="en-GB"/>
              </w:rPr>
              <w:t>reach</w:t>
            </w:r>
            <w:r w:rsidRPr="009C0696">
              <w:rPr>
                <w:lang w:val="en-GB"/>
              </w:rPr>
              <w:t xml:space="preserve"> the second most significant position of export articles last year.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8637E8" w:rsidP="004E6D1D">
            <w:pPr>
              <w:spacing w:after="200"/>
              <w:rPr>
                <w:spacing w:val="-4"/>
                <w:lang w:val="en-GB"/>
              </w:rPr>
            </w:pPr>
            <w:r w:rsidRPr="009C0696">
              <w:rPr>
                <w:spacing w:val="-4"/>
                <w:lang w:val="en-GB"/>
              </w:rPr>
              <w:t xml:space="preserve">Motor vehicles remained the key article of the Czech export </w:t>
            </w:r>
            <w:r w:rsidR="00524385" w:rsidRPr="009C0696">
              <w:rPr>
                <w:spacing w:val="-4"/>
                <w:lang w:val="en-GB"/>
              </w:rPr>
              <w:t>(27</w:t>
            </w:r>
            <w:r w:rsidRPr="009C0696">
              <w:rPr>
                <w:spacing w:val="-4"/>
                <w:lang w:val="en-GB"/>
              </w:rPr>
              <w:t>.</w:t>
            </w:r>
            <w:r w:rsidR="00524385" w:rsidRPr="009C0696">
              <w:rPr>
                <w:spacing w:val="-4"/>
                <w:lang w:val="en-GB"/>
              </w:rPr>
              <w:t xml:space="preserve">1% </w:t>
            </w:r>
            <w:r w:rsidRPr="009C0696">
              <w:rPr>
                <w:spacing w:val="-4"/>
                <w:lang w:val="en-GB"/>
              </w:rPr>
              <w:t>of total value of export</w:t>
            </w:r>
            <w:r w:rsidR="00524385" w:rsidRPr="009C0696">
              <w:rPr>
                <w:spacing w:val="-4"/>
                <w:lang w:val="en-GB"/>
              </w:rPr>
              <w:t xml:space="preserve">). </w:t>
            </w:r>
            <w:r w:rsidRPr="009C0696">
              <w:rPr>
                <w:spacing w:val="-4"/>
                <w:lang w:val="en-GB"/>
              </w:rPr>
              <w:t xml:space="preserve">Nevertheless, the value of export of motor vehicles sank for the first time since year </w:t>
            </w:r>
            <w:r w:rsidR="00524385" w:rsidRPr="009C0696">
              <w:rPr>
                <w:spacing w:val="-4"/>
                <w:lang w:val="en-GB"/>
              </w:rPr>
              <w:t>2009</w:t>
            </w:r>
            <w:r w:rsidRPr="009C0696">
              <w:rPr>
                <w:spacing w:val="-4"/>
                <w:lang w:val="en-GB"/>
              </w:rPr>
              <w:t xml:space="preserve"> last year year-on-year </w:t>
            </w:r>
            <w:r w:rsidR="00524385" w:rsidRPr="009C0696">
              <w:rPr>
                <w:spacing w:val="-4"/>
                <w:lang w:val="en-GB"/>
              </w:rPr>
              <w:t>(-5</w:t>
            </w:r>
            <w:r w:rsidRPr="009C0696">
              <w:rPr>
                <w:spacing w:val="-4"/>
                <w:lang w:val="en-GB"/>
              </w:rPr>
              <w:t>.</w:t>
            </w:r>
            <w:r w:rsidR="00524385" w:rsidRPr="009C0696">
              <w:rPr>
                <w:spacing w:val="-4"/>
                <w:lang w:val="en-GB"/>
              </w:rPr>
              <w:t xml:space="preserve">7 </w:t>
            </w:r>
            <w:r w:rsidRPr="009C0696">
              <w:rPr>
                <w:spacing w:val="-4"/>
                <w:lang w:val="en-GB"/>
              </w:rPr>
              <w:t>CZK bn</w:t>
            </w:r>
            <w:r w:rsidR="00524385" w:rsidRPr="009C0696">
              <w:rPr>
                <w:spacing w:val="-4"/>
                <w:lang w:val="en-GB"/>
              </w:rPr>
              <w:t>, 0</w:t>
            </w:r>
            <w:r w:rsidRPr="009C0696">
              <w:rPr>
                <w:spacing w:val="-4"/>
                <w:lang w:val="en-GB"/>
              </w:rPr>
              <w:t>.</w:t>
            </w:r>
            <w:r w:rsidR="00524385" w:rsidRPr="009C0696">
              <w:rPr>
                <w:spacing w:val="-4"/>
                <w:lang w:val="en-GB"/>
              </w:rPr>
              <w:t xml:space="preserve">6%). </w:t>
            </w:r>
            <w:r w:rsidRPr="009C0696">
              <w:rPr>
                <w:spacing w:val="-4"/>
                <w:lang w:val="en-GB"/>
              </w:rPr>
              <w:t>Year-on-year fall manifested during Q</w:t>
            </w:r>
            <w:r w:rsidR="00524385" w:rsidRPr="009C0696">
              <w:rPr>
                <w:spacing w:val="-4"/>
                <w:lang w:val="en-GB"/>
              </w:rPr>
              <w:t>1</w:t>
            </w:r>
            <w:r w:rsidRPr="009C0696">
              <w:rPr>
                <w:spacing w:val="-4"/>
                <w:lang w:val="en-GB"/>
              </w:rPr>
              <w:t xml:space="preserve"> to </w:t>
            </w:r>
            <w:r w:rsidR="00524385" w:rsidRPr="009C0696">
              <w:rPr>
                <w:spacing w:val="-4"/>
                <w:lang w:val="en-GB"/>
              </w:rPr>
              <w:t>3.</w:t>
            </w:r>
            <w:r w:rsidRPr="009C0696">
              <w:rPr>
                <w:spacing w:val="-4"/>
                <w:lang w:val="en-GB"/>
              </w:rPr>
              <w:t xml:space="preserve"> </w:t>
            </w:r>
            <w:r w:rsidR="00177F6E" w:rsidRPr="009C0696">
              <w:rPr>
                <w:spacing w:val="-4"/>
                <w:lang w:val="en-GB"/>
              </w:rPr>
              <w:t xml:space="preserve">In contrast, the final quarter brought an increase of </w:t>
            </w:r>
            <w:r w:rsidR="00524385" w:rsidRPr="009C0696">
              <w:rPr>
                <w:spacing w:val="-4"/>
                <w:lang w:val="en-GB"/>
              </w:rPr>
              <w:t>23</w:t>
            </w:r>
            <w:r w:rsidR="00177F6E" w:rsidRPr="009C0696">
              <w:rPr>
                <w:spacing w:val="-4"/>
                <w:lang w:val="en-GB"/>
              </w:rPr>
              <w:t>.</w:t>
            </w:r>
            <w:r w:rsidR="00524385" w:rsidRPr="009C0696">
              <w:rPr>
                <w:spacing w:val="-4"/>
                <w:lang w:val="en-GB"/>
              </w:rPr>
              <w:t xml:space="preserve">2 </w:t>
            </w:r>
            <w:r w:rsidR="00177F6E" w:rsidRPr="009C0696">
              <w:rPr>
                <w:spacing w:val="-4"/>
                <w:lang w:val="en-GB"/>
              </w:rPr>
              <w:t>CZK bn</w:t>
            </w:r>
            <w:r w:rsidR="00524385" w:rsidRPr="009C0696">
              <w:rPr>
                <w:spacing w:val="-4"/>
                <w:lang w:val="en-GB"/>
              </w:rPr>
              <w:t xml:space="preserve"> (9</w:t>
            </w:r>
            <w:r w:rsidR="00177F6E" w:rsidRPr="009C0696">
              <w:rPr>
                <w:spacing w:val="-4"/>
                <w:lang w:val="en-GB"/>
              </w:rPr>
              <w:t>.</w:t>
            </w:r>
            <w:r w:rsidR="00524385" w:rsidRPr="009C0696">
              <w:rPr>
                <w:spacing w:val="-4"/>
                <w:lang w:val="en-GB"/>
              </w:rPr>
              <w:t xml:space="preserve">8%, </w:t>
            </w:r>
            <w:r w:rsidR="00177F6E" w:rsidRPr="009C0696">
              <w:rPr>
                <w:spacing w:val="-4"/>
                <w:lang w:val="en-GB"/>
              </w:rPr>
              <w:t>the most since Q</w:t>
            </w:r>
            <w:r w:rsidR="00524385" w:rsidRPr="009C0696">
              <w:rPr>
                <w:spacing w:val="-4"/>
                <w:lang w:val="en-GB"/>
              </w:rPr>
              <w:t>1</w:t>
            </w:r>
            <w:r w:rsidR="00177F6E" w:rsidRPr="009C0696">
              <w:rPr>
                <w:spacing w:val="-4"/>
                <w:lang w:val="en-GB"/>
              </w:rPr>
              <w:t xml:space="preserve"> </w:t>
            </w:r>
            <w:r w:rsidR="00524385" w:rsidRPr="009C0696">
              <w:rPr>
                <w:spacing w:val="-4"/>
                <w:lang w:val="en-GB"/>
              </w:rPr>
              <w:t xml:space="preserve">2017). </w:t>
            </w:r>
            <w:r w:rsidR="00177F6E" w:rsidRPr="009C0696">
              <w:rPr>
                <w:spacing w:val="-4"/>
                <w:lang w:val="en-GB"/>
              </w:rPr>
              <w:t xml:space="preserve">Export of computers, electronic and optical products grew strongly throughout the whole year </w:t>
            </w:r>
            <w:r w:rsidR="00524385" w:rsidRPr="009C0696">
              <w:rPr>
                <w:spacing w:val="-4"/>
                <w:lang w:val="en-GB"/>
              </w:rPr>
              <w:t>(</w:t>
            </w:r>
            <w:r w:rsidR="00177F6E" w:rsidRPr="009C0696">
              <w:rPr>
                <w:spacing w:val="-4"/>
                <w:lang w:val="en-GB"/>
              </w:rPr>
              <w:t xml:space="preserve">value increased by </w:t>
            </w:r>
            <w:r w:rsidR="00524385" w:rsidRPr="009C0696">
              <w:rPr>
                <w:spacing w:val="-4"/>
                <w:lang w:val="en-GB"/>
              </w:rPr>
              <w:t>53</w:t>
            </w:r>
            <w:r w:rsidR="00177F6E" w:rsidRPr="009C0696">
              <w:rPr>
                <w:spacing w:val="-4"/>
                <w:lang w:val="en-GB"/>
              </w:rPr>
              <w:t>.</w:t>
            </w:r>
            <w:r w:rsidR="00524385" w:rsidRPr="009C0696">
              <w:rPr>
                <w:spacing w:val="-4"/>
                <w:lang w:val="en-GB"/>
              </w:rPr>
              <w:t xml:space="preserve">7 </w:t>
            </w:r>
            <w:r w:rsidR="00177F6E" w:rsidRPr="009C0696">
              <w:rPr>
                <w:spacing w:val="-4"/>
                <w:lang w:val="en-GB"/>
              </w:rPr>
              <w:t>CZK bn for year 2018</w:t>
            </w:r>
            <w:r w:rsidR="00524385" w:rsidRPr="009C0696">
              <w:rPr>
                <w:spacing w:val="-4"/>
                <w:lang w:val="en-GB"/>
              </w:rPr>
              <w:t>, 15</w:t>
            </w:r>
            <w:r w:rsidR="00177F6E" w:rsidRPr="009C0696">
              <w:rPr>
                <w:spacing w:val="-4"/>
                <w:lang w:val="en-GB"/>
              </w:rPr>
              <w:t>.</w:t>
            </w:r>
            <w:r w:rsidR="00524385" w:rsidRPr="009C0696">
              <w:rPr>
                <w:spacing w:val="-4"/>
                <w:lang w:val="en-GB"/>
              </w:rPr>
              <w:t xml:space="preserve">7%). </w:t>
            </w:r>
            <w:r w:rsidR="00D57BAD" w:rsidRPr="009C0696">
              <w:rPr>
                <w:spacing w:val="-4"/>
                <w:lang w:val="en-GB"/>
              </w:rPr>
              <w:t xml:space="preserve">Last year´s increase, which followed the year </w:t>
            </w:r>
            <w:r w:rsidR="00524385" w:rsidRPr="009C0696">
              <w:rPr>
                <w:spacing w:val="-4"/>
                <w:lang w:val="en-GB"/>
              </w:rPr>
              <w:t xml:space="preserve">2017, </w:t>
            </w:r>
            <w:r w:rsidR="00D57BAD" w:rsidRPr="009C0696">
              <w:rPr>
                <w:spacing w:val="-4"/>
                <w:lang w:val="en-GB"/>
              </w:rPr>
              <w:t xml:space="preserve">was so large, that this article in volume approached the second most significant export article – </w:t>
            </w:r>
            <w:r w:rsidR="001B2B99" w:rsidRPr="009C0696">
              <w:rPr>
                <w:spacing w:val="-4"/>
                <w:lang w:val="en-GB"/>
              </w:rPr>
              <w:t>machinery and</w:t>
            </w:r>
            <w:r w:rsidR="00D57BAD" w:rsidRPr="009C0696">
              <w:rPr>
                <w:spacing w:val="-4"/>
                <w:lang w:val="en-GB"/>
              </w:rPr>
              <w:t xml:space="preserve"> equipment. Their export also grew moderately last year </w:t>
            </w:r>
            <w:r w:rsidR="00524385" w:rsidRPr="009C0696">
              <w:rPr>
                <w:spacing w:val="-4"/>
                <w:lang w:val="en-GB"/>
              </w:rPr>
              <w:t>(+13</w:t>
            </w:r>
            <w:r w:rsidR="00D57BAD" w:rsidRPr="009C0696">
              <w:rPr>
                <w:spacing w:val="-4"/>
                <w:lang w:val="en-GB"/>
              </w:rPr>
              <w:t>.</w:t>
            </w:r>
            <w:r w:rsidR="00524385" w:rsidRPr="009C0696">
              <w:rPr>
                <w:spacing w:val="-4"/>
                <w:lang w:val="en-GB"/>
              </w:rPr>
              <w:t xml:space="preserve">1 </w:t>
            </w:r>
            <w:r w:rsidR="00D57BAD" w:rsidRPr="009C0696">
              <w:rPr>
                <w:spacing w:val="-4"/>
                <w:lang w:val="en-GB"/>
              </w:rPr>
              <w:t>CZK bn</w:t>
            </w:r>
            <w:r w:rsidR="00524385" w:rsidRPr="009C0696">
              <w:rPr>
                <w:spacing w:val="-4"/>
                <w:lang w:val="en-GB"/>
              </w:rPr>
              <w:t>, 3</w:t>
            </w:r>
            <w:r w:rsidR="00D57BAD" w:rsidRPr="009C0696">
              <w:rPr>
                <w:spacing w:val="-4"/>
                <w:lang w:val="en-GB"/>
              </w:rPr>
              <w:t>.</w:t>
            </w:r>
            <w:r w:rsidR="00524385" w:rsidRPr="009C0696">
              <w:rPr>
                <w:spacing w:val="-4"/>
                <w:lang w:val="en-GB"/>
              </w:rPr>
              <w:t xml:space="preserve">3%). </w:t>
            </w:r>
            <w:r w:rsidR="00886D96" w:rsidRPr="009C0696">
              <w:rPr>
                <w:spacing w:val="-4"/>
                <w:lang w:val="en-GB"/>
              </w:rPr>
              <w:t xml:space="preserve">Export of electrical equipment also maintained its growth </w:t>
            </w:r>
            <w:r w:rsidR="00524385" w:rsidRPr="009C0696">
              <w:rPr>
                <w:spacing w:val="-4"/>
                <w:lang w:val="en-GB"/>
              </w:rPr>
              <w:t>(+11</w:t>
            </w:r>
            <w:r w:rsidR="00886D96" w:rsidRPr="009C0696">
              <w:rPr>
                <w:spacing w:val="-4"/>
                <w:lang w:val="en-GB"/>
              </w:rPr>
              <w:t>.</w:t>
            </w:r>
            <w:r w:rsidR="00524385" w:rsidRPr="009C0696">
              <w:rPr>
                <w:spacing w:val="-4"/>
                <w:lang w:val="en-GB"/>
              </w:rPr>
              <w:t>9</w:t>
            </w:r>
            <w:r w:rsidR="002E792B" w:rsidRPr="009C0696">
              <w:rPr>
                <w:spacing w:val="2"/>
                <w:lang w:val="en-GB"/>
              </w:rPr>
              <w:t> </w:t>
            </w:r>
            <w:r w:rsidR="00886D96" w:rsidRPr="009C0696">
              <w:rPr>
                <w:spacing w:val="2"/>
                <w:lang w:val="en-GB"/>
              </w:rPr>
              <w:t>CZK bn,</w:t>
            </w:r>
            <w:r w:rsidR="00524385" w:rsidRPr="009C0696">
              <w:rPr>
                <w:spacing w:val="-4"/>
                <w:lang w:val="en-GB"/>
              </w:rPr>
              <w:t xml:space="preserve"> 4</w:t>
            </w:r>
            <w:r w:rsidR="00886D96" w:rsidRPr="009C0696">
              <w:rPr>
                <w:spacing w:val="-4"/>
                <w:lang w:val="en-GB"/>
              </w:rPr>
              <w:t>.</w:t>
            </w:r>
            <w:r w:rsidR="00524385" w:rsidRPr="009C0696">
              <w:rPr>
                <w:spacing w:val="-4"/>
                <w:lang w:val="en-GB"/>
              </w:rPr>
              <w:t xml:space="preserve">0%), </w:t>
            </w:r>
            <w:r w:rsidR="00886D96" w:rsidRPr="009C0696">
              <w:rPr>
                <w:spacing w:val="-4"/>
                <w:lang w:val="en-GB"/>
              </w:rPr>
              <w:t xml:space="preserve">dynamics of export of basic metals accelerated </w:t>
            </w:r>
            <w:r w:rsidR="00524385" w:rsidRPr="009C0696">
              <w:rPr>
                <w:spacing w:val="-4"/>
                <w:lang w:val="en-GB"/>
              </w:rPr>
              <w:t>(+11</w:t>
            </w:r>
            <w:r w:rsidR="00886D96" w:rsidRPr="009C0696">
              <w:rPr>
                <w:spacing w:val="-4"/>
                <w:lang w:val="en-GB"/>
              </w:rPr>
              <w:t>.</w:t>
            </w:r>
            <w:r w:rsidR="00524385" w:rsidRPr="009C0696">
              <w:rPr>
                <w:spacing w:val="-4"/>
                <w:lang w:val="en-GB"/>
              </w:rPr>
              <w:t xml:space="preserve">5 </w:t>
            </w:r>
            <w:r w:rsidR="00886D96" w:rsidRPr="009C0696">
              <w:rPr>
                <w:spacing w:val="-4"/>
                <w:lang w:val="en-GB"/>
              </w:rPr>
              <w:t>bn</w:t>
            </w:r>
            <w:r w:rsidR="00524385" w:rsidRPr="009C0696">
              <w:rPr>
                <w:spacing w:val="-4"/>
                <w:lang w:val="en-GB"/>
              </w:rPr>
              <w:t>, 8</w:t>
            </w:r>
            <w:r w:rsidR="00886D96" w:rsidRPr="009C0696">
              <w:rPr>
                <w:spacing w:val="-4"/>
                <w:lang w:val="en-GB"/>
              </w:rPr>
              <w:t>.</w:t>
            </w:r>
            <w:r w:rsidR="00524385" w:rsidRPr="009C0696">
              <w:rPr>
                <w:spacing w:val="-4"/>
                <w:lang w:val="en-GB"/>
              </w:rPr>
              <w:t xml:space="preserve">3%). </w:t>
            </w:r>
            <w:r w:rsidR="00886D96" w:rsidRPr="009C0696">
              <w:rPr>
                <w:spacing w:val="-4"/>
                <w:lang w:val="en-GB"/>
              </w:rPr>
              <w:t xml:space="preserve">Notable increase of the electricity prices also raised the increase of value of exported electricity, gas, steam and air conditioning supply by </w:t>
            </w:r>
            <w:r w:rsidR="00524385" w:rsidRPr="009C0696">
              <w:rPr>
                <w:spacing w:val="-4"/>
                <w:lang w:val="en-GB"/>
              </w:rPr>
              <w:t>7</w:t>
            </w:r>
            <w:r w:rsidR="00886D96" w:rsidRPr="009C0696">
              <w:rPr>
                <w:spacing w:val="-4"/>
                <w:lang w:val="en-GB"/>
              </w:rPr>
              <w:t>.</w:t>
            </w:r>
            <w:r w:rsidR="00524385" w:rsidRPr="009C0696">
              <w:rPr>
                <w:spacing w:val="-4"/>
                <w:lang w:val="en-GB"/>
              </w:rPr>
              <w:t>9</w:t>
            </w:r>
            <w:r w:rsidR="00BD59F1">
              <w:rPr>
                <w:spacing w:val="-4"/>
                <w:lang w:val="en-GB"/>
              </w:rPr>
              <w:t> </w:t>
            </w:r>
            <w:r w:rsidR="00886D96" w:rsidRPr="009C0696">
              <w:rPr>
                <w:spacing w:val="-4"/>
                <w:lang w:val="en-GB"/>
              </w:rPr>
              <w:t xml:space="preserve">CZK bn </w:t>
            </w:r>
            <w:r w:rsidR="00524385" w:rsidRPr="009C0696">
              <w:rPr>
                <w:spacing w:val="-4"/>
                <w:lang w:val="en-GB"/>
              </w:rPr>
              <w:t>(31</w:t>
            </w:r>
            <w:r w:rsidR="00886D96" w:rsidRPr="009C0696">
              <w:rPr>
                <w:spacing w:val="-4"/>
                <w:lang w:val="en-GB"/>
              </w:rPr>
              <w:t>.</w:t>
            </w:r>
            <w:r w:rsidR="00524385" w:rsidRPr="009C0696">
              <w:rPr>
                <w:spacing w:val="-4"/>
                <w:lang w:val="en-GB"/>
              </w:rPr>
              <w:t>4%).</w:t>
            </w:r>
            <w:r w:rsidR="00886D96" w:rsidRPr="009C0696">
              <w:rPr>
                <w:spacing w:val="-4"/>
                <w:lang w:val="en-GB"/>
              </w:rPr>
              <w:t xml:space="preserve"> Products of agriculture and forestry faced slump of </w:t>
            </w:r>
            <w:r w:rsidR="00524385" w:rsidRPr="009C0696">
              <w:rPr>
                <w:spacing w:val="-4"/>
                <w:lang w:val="en-GB"/>
              </w:rPr>
              <w:t>4</w:t>
            </w:r>
            <w:r w:rsidR="00886D96" w:rsidRPr="009C0696">
              <w:rPr>
                <w:spacing w:val="-4"/>
                <w:lang w:val="en-GB"/>
              </w:rPr>
              <w:t>.</w:t>
            </w:r>
            <w:r w:rsidR="00524385" w:rsidRPr="009C0696">
              <w:rPr>
                <w:spacing w:val="-4"/>
                <w:lang w:val="en-GB"/>
              </w:rPr>
              <w:t xml:space="preserve">3 </w:t>
            </w:r>
            <w:r w:rsidR="00886D96" w:rsidRPr="009C0696">
              <w:rPr>
                <w:spacing w:val="-4"/>
                <w:lang w:val="en-GB"/>
              </w:rPr>
              <w:t xml:space="preserve">CZK bn </w:t>
            </w:r>
            <w:r w:rsidR="00524385" w:rsidRPr="009C0696">
              <w:rPr>
                <w:spacing w:val="-4"/>
                <w:lang w:val="en-GB"/>
              </w:rPr>
              <w:t>(10</w:t>
            </w:r>
            <w:r w:rsidR="00886D96" w:rsidRPr="009C0696">
              <w:rPr>
                <w:spacing w:val="-4"/>
                <w:lang w:val="en-GB"/>
              </w:rPr>
              <w:t>.</w:t>
            </w:r>
            <w:r w:rsidR="00524385" w:rsidRPr="009C0696">
              <w:rPr>
                <w:spacing w:val="-4"/>
                <w:lang w:val="en-GB"/>
              </w:rPr>
              <w:t xml:space="preserve">8%) </w:t>
            </w:r>
            <w:r w:rsidR="00672866" w:rsidRPr="009C0696">
              <w:rPr>
                <w:spacing w:val="-4"/>
                <w:lang w:val="en-GB"/>
              </w:rPr>
              <w:t>last year. The whole decrease</w:t>
            </w:r>
            <w:r w:rsidR="00886D96" w:rsidRPr="009C0696">
              <w:rPr>
                <w:spacing w:val="-4"/>
                <w:lang w:val="en-GB"/>
              </w:rPr>
              <w:t xml:space="preserve"> </w:t>
            </w:r>
            <w:r w:rsidR="00672866" w:rsidRPr="009C0696">
              <w:rPr>
                <w:spacing w:val="-4"/>
                <w:lang w:val="en-GB"/>
              </w:rPr>
              <w:t xml:space="preserve">was </w:t>
            </w:r>
            <w:r w:rsidR="00886D96" w:rsidRPr="009C0696">
              <w:rPr>
                <w:spacing w:val="-4"/>
                <w:lang w:val="en-GB"/>
              </w:rPr>
              <w:t xml:space="preserve">however </w:t>
            </w:r>
            <w:r w:rsidR="00672866" w:rsidRPr="009C0696">
              <w:rPr>
                <w:spacing w:val="-4"/>
                <w:lang w:val="en-GB"/>
              </w:rPr>
              <w:t>created in the first half of the year</w:t>
            </w:r>
            <w:r w:rsidR="00524385" w:rsidRPr="009C0696">
              <w:rPr>
                <w:spacing w:val="-4"/>
                <w:lang w:val="en-GB"/>
              </w:rPr>
              <w:t xml:space="preserve">, </w:t>
            </w:r>
            <w:r w:rsidR="00886D96" w:rsidRPr="009C0696">
              <w:rPr>
                <w:spacing w:val="-4"/>
                <w:lang w:val="en-GB"/>
              </w:rPr>
              <w:t>mainly due to the fall of prices of some products</w:t>
            </w:r>
            <w:r w:rsidR="00672866" w:rsidRPr="009C0696">
              <w:rPr>
                <w:spacing w:val="-4"/>
                <w:lang w:val="en-GB"/>
              </w:rPr>
              <w:t xml:space="preserve">. </w:t>
            </w:r>
            <w:r w:rsidR="00DA6520" w:rsidRPr="009C0696">
              <w:rPr>
                <w:spacing w:val="-4"/>
                <w:lang w:val="en-GB"/>
              </w:rPr>
              <w:t xml:space="preserve">A mild growth of the value of export in Q2 manifested despite the lower harvest. It was because the prices of related crops were raised significantly. </w:t>
            </w:r>
          </w:p>
        </w:tc>
      </w:tr>
      <w:tr w:rsidR="00524385" w:rsidRPr="009C0696" w:rsidTr="004178C3">
        <w:trPr>
          <w:trHeight w:val="145"/>
        </w:trPr>
        <w:tc>
          <w:tcPr>
            <w:tcW w:w="1888" w:type="dxa"/>
            <w:shd w:val="clear" w:color="auto" w:fill="auto"/>
            <w:tcMar>
              <w:left w:w="0" w:type="dxa"/>
            </w:tcMar>
          </w:tcPr>
          <w:p w:rsidR="00524385" w:rsidRPr="009C0696" w:rsidRDefault="009C5EB3" w:rsidP="009C5EB3">
            <w:pPr>
              <w:pStyle w:val="Marginlie"/>
              <w:rPr>
                <w:lang w:val="en-GB"/>
              </w:rPr>
            </w:pPr>
            <w:r w:rsidRPr="009C0696">
              <w:rPr>
                <w:lang w:val="en-GB"/>
              </w:rPr>
              <w:t xml:space="preserve">Import driven by strong domestic demand grew more than export during the year. Turn </w:t>
            </w:r>
            <w:r w:rsidR="00E238E5" w:rsidRPr="009C0696">
              <w:rPr>
                <w:lang w:val="en-GB"/>
              </w:rPr>
              <w:t>occurred</w:t>
            </w:r>
            <w:r w:rsidRPr="009C0696">
              <w:rPr>
                <w:lang w:val="en-GB"/>
              </w:rPr>
              <w:t xml:space="preserve"> only in Q4.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886D96" w:rsidP="00B05945">
            <w:pPr>
              <w:rPr>
                <w:spacing w:val="-4"/>
                <w:lang w:val="en-GB"/>
              </w:rPr>
            </w:pPr>
            <w:r w:rsidRPr="009C0696">
              <w:rPr>
                <w:spacing w:val="-4"/>
                <w:lang w:val="en-GB"/>
              </w:rPr>
              <w:t xml:space="preserve">Continuing growth of the domestic demand was among other things saturated by import. The value of imported goods attained </w:t>
            </w:r>
            <w:r w:rsidR="00524385" w:rsidRPr="009C0696">
              <w:rPr>
                <w:spacing w:val="-4"/>
                <w:lang w:val="en-GB"/>
              </w:rPr>
              <w:t>3</w:t>
            </w:r>
            <w:r w:rsidRPr="009C0696">
              <w:rPr>
                <w:spacing w:val="-4"/>
                <w:lang w:val="en-GB"/>
              </w:rPr>
              <w:t> </w:t>
            </w:r>
            <w:r w:rsidR="00524385" w:rsidRPr="009C0696">
              <w:rPr>
                <w:spacing w:val="-4"/>
                <w:lang w:val="en-GB"/>
              </w:rPr>
              <w:t>508</w:t>
            </w:r>
            <w:r w:rsidRPr="009C0696">
              <w:rPr>
                <w:spacing w:val="-4"/>
                <w:lang w:val="en-GB"/>
              </w:rPr>
              <w:t>.</w:t>
            </w:r>
            <w:r w:rsidR="00524385" w:rsidRPr="009C0696">
              <w:rPr>
                <w:spacing w:val="-4"/>
                <w:lang w:val="en-GB"/>
              </w:rPr>
              <w:t xml:space="preserve">5 </w:t>
            </w:r>
            <w:r w:rsidRPr="009C0696">
              <w:rPr>
                <w:spacing w:val="-4"/>
                <w:lang w:val="en-GB"/>
              </w:rPr>
              <w:t>CZK bn in 2018</w:t>
            </w:r>
            <w:r w:rsidR="00524385" w:rsidRPr="009C0696">
              <w:rPr>
                <w:spacing w:val="-4"/>
                <w:lang w:val="en-GB"/>
              </w:rPr>
              <w:t xml:space="preserve"> a</w:t>
            </w:r>
            <w:r w:rsidRPr="009C0696">
              <w:rPr>
                <w:spacing w:val="-4"/>
                <w:lang w:val="en-GB"/>
              </w:rPr>
              <w:t xml:space="preserve">nd expanded by </w:t>
            </w:r>
            <w:r w:rsidR="00524385" w:rsidRPr="009C0696">
              <w:rPr>
                <w:spacing w:val="-4"/>
                <w:lang w:val="en-GB"/>
              </w:rPr>
              <w:t>159</w:t>
            </w:r>
            <w:r w:rsidRPr="009C0696">
              <w:rPr>
                <w:spacing w:val="-4"/>
                <w:lang w:val="en-GB"/>
              </w:rPr>
              <w:t>.</w:t>
            </w:r>
            <w:r w:rsidR="00524385" w:rsidRPr="009C0696">
              <w:rPr>
                <w:spacing w:val="-4"/>
                <w:lang w:val="en-GB"/>
              </w:rPr>
              <w:t>1</w:t>
            </w:r>
            <w:r w:rsidRPr="009C0696">
              <w:rPr>
                <w:spacing w:val="-4"/>
                <w:lang w:val="en-GB"/>
              </w:rPr>
              <w:t xml:space="preserve"> bn </w:t>
            </w:r>
            <w:r w:rsidR="00524385" w:rsidRPr="009C0696">
              <w:rPr>
                <w:spacing w:val="-4"/>
                <w:lang w:val="en-GB"/>
              </w:rPr>
              <w:t>(4</w:t>
            </w:r>
            <w:r w:rsidRPr="009C0696">
              <w:rPr>
                <w:spacing w:val="-4"/>
                <w:lang w:val="en-GB"/>
              </w:rPr>
              <w:t>.</w:t>
            </w:r>
            <w:r w:rsidR="00524385" w:rsidRPr="009C0696">
              <w:rPr>
                <w:spacing w:val="-4"/>
                <w:lang w:val="en-GB"/>
              </w:rPr>
              <w:t>7%).</w:t>
            </w:r>
            <w:r w:rsidR="004E6D1D" w:rsidRPr="009C0696">
              <w:rPr>
                <w:spacing w:val="-4"/>
                <w:lang w:val="en-GB"/>
              </w:rPr>
              <w:t xml:space="preserve"> </w:t>
            </w:r>
            <w:r w:rsidRPr="009C0696">
              <w:rPr>
                <w:spacing w:val="-4"/>
                <w:lang w:val="en-GB"/>
              </w:rPr>
              <w:t>Import dynamics exceeded export during Q</w:t>
            </w:r>
            <w:r w:rsidR="00524385" w:rsidRPr="009C0696">
              <w:rPr>
                <w:spacing w:val="-4"/>
                <w:lang w:val="en-GB"/>
              </w:rPr>
              <w:t>1</w:t>
            </w:r>
            <w:r w:rsidRPr="009C0696">
              <w:rPr>
                <w:spacing w:val="-4"/>
                <w:lang w:val="en-GB"/>
              </w:rPr>
              <w:t xml:space="preserve"> till </w:t>
            </w:r>
            <w:r w:rsidR="00524385" w:rsidRPr="009C0696">
              <w:rPr>
                <w:spacing w:val="-4"/>
                <w:lang w:val="en-GB"/>
              </w:rPr>
              <w:t xml:space="preserve">3. </w:t>
            </w:r>
            <w:r w:rsidR="009C5EB3" w:rsidRPr="009C0696">
              <w:rPr>
                <w:spacing w:val="-4"/>
                <w:lang w:val="en-GB"/>
              </w:rPr>
              <w:t xml:space="preserve">The </w:t>
            </w:r>
            <w:r w:rsidR="004E6D1D" w:rsidRPr="009C0696">
              <w:rPr>
                <w:spacing w:val="-4"/>
                <w:lang w:val="en-GB"/>
              </w:rPr>
              <w:t>additions shrank slightly only i</w:t>
            </w:r>
            <w:r w:rsidR="009C5EB3" w:rsidRPr="009C0696">
              <w:rPr>
                <w:spacing w:val="-4"/>
                <w:lang w:val="en-GB"/>
              </w:rPr>
              <w:t>n Q</w:t>
            </w:r>
            <w:r w:rsidR="00524385" w:rsidRPr="009C0696">
              <w:rPr>
                <w:spacing w:val="-4"/>
                <w:lang w:val="en-GB"/>
              </w:rPr>
              <w:t>4</w:t>
            </w:r>
            <w:r w:rsidR="009C5EB3" w:rsidRPr="009C0696">
              <w:rPr>
                <w:spacing w:val="-4"/>
                <w:lang w:val="en-GB"/>
              </w:rPr>
              <w:t xml:space="preserve"> </w:t>
            </w:r>
            <w:r w:rsidR="00524385" w:rsidRPr="009C0696">
              <w:rPr>
                <w:spacing w:val="-4"/>
                <w:lang w:val="en-GB"/>
              </w:rPr>
              <w:t>(63</w:t>
            </w:r>
            <w:r w:rsidR="009C5EB3" w:rsidRPr="009C0696">
              <w:rPr>
                <w:spacing w:val="-4"/>
                <w:lang w:val="en-GB"/>
              </w:rPr>
              <w:t>.</w:t>
            </w:r>
            <w:r w:rsidR="00524385" w:rsidRPr="009C0696">
              <w:rPr>
                <w:spacing w:val="-4"/>
                <w:lang w:val="en-GB"/>
              </w:rPr>
              <w:t xml:space="preserve">2 </w:t>
            </w:r>
            <w:r w:rsidR="009C5EB3" w:rsidRPr="009C0696">
              <w:rPr>
                <w:spacing w:val="-4"/>
                <w:lang w:val="en-GB"/>
              </w:rPr>
              <w:t>CZK bn</w:t>
            </w:r>
            <w:r w:rsidR="00524385" w:rsidRPr="009C0696">
              <w:rPr>
                <w:spacing w:val="-4"/>
                <w:lang w:val="en-GB"/>
              </w:rPr>
              <w:t>, 7</w:t>
            </w:r>
            <w:r w:rsidR="009C5EB3" w:rsidRPr="009C0696">
              <w:rPr>
                <w:spacing w:val="-4"/>
                <w:lang w:val="en-GB"/>
              </w:rPr>
              <w:t>.</w:t>
            </w:r>
            <w:r w:rsidR="00524385" w:rsidRPr="009C0696">
              <w:rPr>
                <w:spacing w:val="-4"/>
                <w:lang w:val="en-GB"/>
              </w:rPr>
              <w:t xml:space="preserve">3%). </w:t>
            </w:r>
            <w:r w:rsidR="009C5EB3" w:rsidRPr="009C0696">
              <w:rPr>
                <w:spacing w:val="-4"/>
                <w:lang w:val="en-GB"/>
              </w:rPr>
              <w:t>In total, goods in the value of 930.9 CZK bn w</w:t>
            </w:r>
            <w:r w:rsidR="00B05945" w:rsidRPr="009C0696">
              <w:rPr>
                <w:spacing w:val="-4"/>
                <w:lang w:val="en-GB"/>
              </w:rPr>
              <w:t>ere</w:t>
            </w:r>
            <w:r w:rsidR="009C5EB3" w:rsidRPr="009C0696">
              <w:rPr>
                <w:spacing w:val="-4"/>
                <w:lang w:val="en-GB"/>
              </w:rPr>
              <w:t xml:space="preserve"> </w:t>
            </w:r>
            <w:r w:rsidR="009C5EB3" w:rsidRPr="009C0696">
              <w:rPr>
                <w:spacing w:val="-4"/>
                <w:lang w:val="en-GB"/>
              </w:rPr>
              <w:lastRenderedPageBreak/>
              <w:t xml:space="preserve">imported by the end of the year </w:t>
            </w:r>
            <w:r w:rsidR="00524385" w:rsidRPr="009C0696">
              <w:rPr>
                <w:spacing w:val="-4"/>
                <w:lang w:val="en-GB"/>
              </w:rPr>
              <w:t xml:space="preserve">(900 </w:t>
            </w:r>
            <w:r w:rsidR="009C5EB3" w:rsidRPr="009C0696">
              <w:rPr>
                <w:spacing w:val="-4"/>
                <w:lang w:val="en-GB"/>
              </w:rPr>
              <w:t>bn boundary was overtook for the first time</w:t>
            </w:r>
            <w:r w:rsidR="00524385" w:rsidRPr="009C0696">
              <w:rPr>
                <w:spacing w:val="-4"/>
                <w:lang w:val="en-GB"/>
              </w:rPr>
              <w:t xml:space="preserve">). </w:t>
            </w:r>
            <w:r w:rsidR="00E238E5" w:rsidRPr="009C0696">
              <w:rPr>
                <w:spacing w:val="-4"/>
                <w:lang w:val="en-GB"/>
              </w:rPr>
              <w:t>Import grew both from the EU countries</w:t>
            </w:r>
            <w:r w:rsidR="00524385" w:rsidRPr="009C0696">
              <w:rPr>
                <w:spacing w:val="-4"/>
                <w:lang w:val="en-GB"/>
              </w:rPr>
              <w:t xml:space="preserve"> (+74</w:t>
            </w:r>
            <w:r w:rsidR="00E238E5" w:rsidRPr="009C0696">
              <w:rPr>
                <w:spacing w:val="-4"/>
                <w:lang w:val="en-GB"/>
              </w:rPr>
              <w:t>.</w:t>
            </w:r>
            <w:r w:rsidR="00524385" w:rsidRPr="009C0696">
              <w:rPr>
                <w:spacing w:val="-4"/>
                <w:lang w:val="en-GB"/>
              </w:rPr>
              <w:t xml:space="preserve">5 </w:t>
            </w:r>
            <w:r w:rsidR="00E238E5" w:rsidRPr="009C0696">
              <w:rPr>
                <w:spacing w:val="-4"/>
                <w:lang w:val="en-GB"/>
              </w:rPr>
              <w:t>CZK bn</w:t>
            </w:r>
            <w:r w:rsidR="00524385" w:rsidRPr="009C0696">
              <w:rPr>
                <w:spacing w:val="-4"/>
                <w:lang w:val="en-GB"/>
              </w:rPr>
              <w:t>, 3</w:t>
            </w:r>
            <w:r w:rsidR="00E238E5" w:rsidRPr="009C0696">
              <w:rPr>
                <w:spacing w:val="-4"/>
                <w:lang w:val="en-GB"/>
              </w:rPr>
              <w:t>.</w:t>
            </w:r>
            <w:r w:rsidR="00524385" w:rsidRPr="009C0696">
              <w:rPr>
                <w:spacing w:val="-4"/>
                <w:lang w:val="en-GB"/>
              </w:rPr>
              <w:t>3%)</w:t>
            </w:r>
            <w:r w:rsidR="00E238E5" w:rsidRPr="009C0696">
              <w:rPr>
                <w:spacing w:val="-4"/>
                <w:lang w:val="en-GB"/>
              </w:rPr>
              <w:t xml:space="preserve"> and countries outside the EU </w:t>
            </w:r>
            <w:r w:rsidR="00524385" w:rsidRPr="009C0696">
              <w:rPr>
                <w:spacing w:val="-4"/>
                <w:lang w:val="en-GB"/>
              </w:rPr>
              <w:t>(+84</w:t>
            </w:r>
            <w:r w:rsidR="00E238E5" w:rsidRPr="009C0696">
              <w:rPr>
                <w:spacing w:val="-4"/>
                <w:lang w:val="en-GB"/>
              </w:rPr>
              <w:t>.</w:t>
            </w:r>
            <w:r w:rsidR="00524385" w:rsidRPr="009C0696">
              <w:rPr>
                <w:spacing w:val="-4"/>
                <w:lang w:val="en-GB"/>
              </w:rPr>
              <w:t xml:space="preserve">9 </w:t>
            </w:r>
            <w:r w:rsidR="00E238E5" w:rsidRPr="009C0696">
              <w:rPr>
                <w:spacing w:val="-4"/>
                <w:lang w:val="en-GB"/>
              </w:rPr>
              <w:t>CZK bn</w:t>
            </w:r>
            <w:r w:rsidR="00524385" w:rsidRPr="009C0696">
              <w:rPr>
                <w:spacing w:val="-4"/>
                <w:lang w:val="en-GB"/>
              </w:rPr>
              <w:t>, 8</w:t>
            </w:r>
            <w:r w:rsidR="00E238E5" w:rsidRPr="009C0696">
              <w:rPr>
                <w:spacing w:val="-4"/>
                <w:lang w:val="en-GB"/>
              </w:rPr>
              <w:t>.</w:t>
            </w:r>
            <w:r w:rsidR="00524385" w:rsidRPr="009C0696">
              <w:rPr>
                <w:spacing w:val="-4"/>
                <w:lang w:val="en-GB"/>
              </w:rPr>
              <w:t xml:space="preserve">1%). </w:t>
            </w:r>
            <w:r w:rsidR="00E238E5" w:rsidRPr="009C0696">
              <w:rPr>
                <w:spacing w:val="-4"/>
                <w:lang w:val="en-GB"/>
              </w:rPr>
              <w:t xml:space="preserve">Especially China affected the improved dynamics of import from countries outside the EU last year </w:t>
            </w:r>
            <w:r w:rsidR="00524385" w:rsidRPr="009C0696">
              <w:rPr>
                <w:spacing w:val="-4"/>
                <w:lang w:val="en-GB"/>
              </w:rPr>
              <w:t>(+39</w:t>
            </w:r>
            <w:r w:rsidR="00E238E5" w:rsidRPr="009C0696">
              <w:rPr>
                <w:spacing w:val="-4"/>
                <w:lang w:val="en-GB"/>
              </w:rPr>
              <w:t>.</w:t>
            </w:r>
            <w:r w:rsidR="00524385" w:rsidRPr="009C0696">
              <w:rPr>
                <w:spacing w:val="-4"/>
                <w:lang w:val="en-GB"/>
              </w:rPr>
              <w:t xml:space="preserve">2 </w:t>
            </w:r>
            <w:r w:rsidR="00E238E5" w:rsidRPr="009C0696">
              <w:rPr>
                <w:spacing w:val="-4"/>
                <w:lang w:val="en-GB"/>
              </w:rPr>
              <w:t>CZK bn</w:t>
            </w:r>
            <w:r w:rsidR="00524385" w:rsidRPr="009C0696">
              <w:rPr>
                <w:spacing w:val="-4"/>
                <w:lang w:val="en-GB"/>
              </w:rPr>
              <w:t>, 11</w:t>
            </w:r>
            <w:r w:rsidR="00FA38FB">
              <w:rPr>
                <w:spacing w:val="-4"/>
                <w:lang w:val="en-GB"/>
              </w:rPr>
              <w:t>.</w:t>
            </w:r>
            <w:r w:rsidR="00524385" w:rsidRPr="009C0696">
              <w:rPr>
                <w:spacing w:val="-4"/>
                <w:lang w:val="en-GB"/>
              </w:rPr>
              <w:t xml:space="preserve">9%), </w:t>
            </w:r>
            <w:r w:rsidR="00940449" w:rsidRPr="009C0696">
              <w:rPr>
                <w:spacing w:val="-4"/>
                <w:lang w:val="en-GB"/>
              </w:rPr>
              <w:t xml:space="preserve">experiencing marked acceleration of the year-on-year growth in the second half of the year </w:t>
            </w:r>
            <w:r w:rsidR="00524385" w:rsidRPr="009C0696">
              <w:rPr>
                <w:spacing w:val="-4"/>
                <w:lang w:val="en-GB"/>
              </w:rPr>
              <w:t>(17</w:t>
            </w:r>
            <w:r w:rsidR="00940449" w:rsidRPr="009C0696">
              <w:rPr>
                <w:spacing w:val="-4"/>
                <w:lang w:val="en-GB"/>
              </w:rPr>
              <w:t>.</w:t>
            </w:r>
            <w:r w:rsidR="00524385" w:rsidRPr="009C0696">
              <w:rPr>
                <w:spacing w:val="-4"/>
                <w:lang w:val="en-GB"/>
              </w:rPr>
              <w:t>8% a</w:t>
            </w:r>
            <w:r w:rsidR="00940449" w:rsidRPr="009C0696">
              <w:rPr>
                <w:spacing w:val="-4"/>
                <w:lang w:val="en-GB"/>
              </w:rPr>
              <w:t>nd</w:t>
            </w:r>
            <w:r w:rsidR="00524385" w:rsidRPr="009C0696">
              <w:rPr>
                <w:spacing w:val="-4"/>
                <w:lang w:val="en-GB"/>
              </w:rPr>
              <w:t xml:space="preserve"> 18</w:t>
            </w:r>
            <w:r w:rsidR="00940449" w:rsidRPr="009C0696">
              <w:rPr>
                <w:spacing w:val="-4"/>
                <w:lang w:val="en-GB"/>
              </w:rPr>
              <w:t>.</w:t>
            </w:r>
            <w:r w:rsidR="00524385" w:rsidRPr="009C0696">
              <w:rPr>
                <w:spacing w:val="-4"/>
                <w:lang w:val="en-GB"/>
              </w:rPr>
              <w:t>4%, resp. +13</w:t>
            </w:r>
            <w:r w:rsidR="00940449" w:rsidRPr="009C0696">
              <w:rPr>
                <w:spacing w:val="-4"/>
                <w:lang w:val="en-GB"/>
              </w:rPr>
              <w:t>.</w:t>
            </w:r>
            <w:r w:rsidR="00524385" w:rsidRPr="009C0696">
              <w:rPr>
                <w:spacing w:val="-4"/>
                <w:lang w:val="en-GB"/>
              </w:rPr>
              <w:t xml:space="preserve">9 </w:t>
            </w:r>
            <w:r w:rsidR="00940449" w:rsidRPr="009C0696">
              <w:rPr>
                <w:spacing w:val="-4"/>
                <w:lang w:val="en-GB"/>
              </w:rPr>
              <w:t>CZK bn</w:t>
            </w:r>
            <w:r w:rsidR="00524385" w:rsidRPr="009C0696">
              <w:rPr>
                <w:spacing w:val="-4"/>
                <w:lang w:val="en-GB"/>
              </w:rPr>
              <w:t xml:space="preserve"> a</w:t>
            </w:r>
            <w:r w:rsidR="00940449" w:rsidRPr="009C0696">
              <w:rPr>
                <w:spacing w:val="-4"/>
                <w:lang w:val="en-GB"/>
              </w:rPr>
              <w:t>nd</w:t>
            </w:r>
            <w:r w:rsidR="00524385" w:rsidRPr="009C0696">
              <w:rPr>
                <w:spacing w:val="-4"/>
                <w:lang w:val="en-GB"/>
              </w:rPr>
              <w:t xml:space="preserve"> +17</w:t>
            </w:r>
            <w:r w:rsidR="00940449" w:rsidRPr="009C0696">
              <w:rPr>
                <w:spacing w:val="-4"/>
                <w:lang w:val="en-GB"/>
              </w:rPr>
              <w:t>.</w:t>
            </w:r>
            <w:r w:rsidR="00524385" w:rsidRPr="009C0696">
              <w:rPr>
                <w:spacing w:val="-4"/>
                <w:lang w:val="en-GB"/>
              </w:rPr>
              <w:t xml:space="preserve">5 </w:t>
            </w:r>
            <w:r w:rsidR="00940449" w:rsidRPr="009C0696">
              <w:rPr>
                <w:spacing w:val="-4"/>
                <w:lang w:val="en-GB"/>
              </w:rPr>
              <w:t>CZK bn in Q</w:t>
            </w:r>
            <w:r w:rsidR="00524385" w:rsidRPr="009C0696">
              <w:rPr>
                <w:spacing w:val="-4"/>
                <w:lang w:val="en-GB"/>
              </w:rPr>
              <w:t>3</w:t>
            </w:r>
            <w:r w:rsidR="00940449" w:rsidRPr="009C0696">
              <w:rPr>
                <w:spacing w:val="-4"/>
                <w:lang w:val="en-GB"/>
              </w:rPr>
              <w:t xml:space="preserve"> and </w:t>
            </w:r>
            <w:r w:rsidR="00524385" w:rsidRPr="009C0696">
              <w:rPr>
                <w:spacing w:val="-4"/>
                <w:lang w:val="en-GB"/>
              </w:rPr>
              <w:t xml:space="preserve">4). </w:t>
            </w:r>
            <w:r w:rsidR="005D21F1" w:rsidRPr="009C0696">
              <w:rPr>
                <w:spacing w:val="-4"/>
                <w:lang w:val="en-GB"/>
              </w:rPr>
              <w:t xml:space="preserve">The value of import from the United States grew relatively fast </w:t>
            </w:r>
            <w:r w:rsidR="00524385" w:rsidRPr="009C0696">
              <w:rPr>
                <w:spacing w:val="-4"/>
                <w:lang w:val="en-GB"/>
              </w:rPr>
              <w:t>(+7</w:t>
            </w:r>
            <w:r w:rsidR="005D21F1" w:rsidRPr="009C0696">
              <w:rPr>
                <w:spacing w:val="-4"/>
                <w:lang w:val="en-GB"/>
              </w:rPr>
              <w:t>.</w:t>
            </w:r>
            <w:r w:rsidR="00524385" w:rsidRPr="009C0696">
              <w:rPr>
                <w:spacing w:val="-4"/>
                <w:lang w:val="en-GB"/>
              </w:rPr>
              <w:t xml:space="preserve">4 </w:t>
            </w:r>
            <w:r w:rsidR="005D21F1" w:rsidRPr="009C0696">
              <w:rPr>
                <w:spacing w:val="-4"/>
                <w:lang w:val="en-GB"/>
              </w:rPr>
              <w:t>CZK bn</w:t>
            </w:r>
            <w:r w:rsidR="00524385" w:rsidRPr="009C0696">
              <w:rPr>
                <w:spacing w:val="-4"/>
                <w:lang w:val="en-GB"/>
              </w:rPr>
              <w:t>, 8</w:t>
            </w:r>
            <w:r w:rsidR="005D21F1" w:rsidRPr="009C0696">
              <w:rPr>
                <w:spacing w:val="-4"/>
                <w:lang w:val="en-GB"/>
              </w:rPr>
              <w:t>.</w:t>
            </w:r>
            <w:r w:rsidR="00524385" w:rsidRPr="009C0696">
              <w:rPr>
                <w:spacing w:val="-4"/>
                <w:lang w:val="en-GB"/>
              </w:rPr>
              <w:t xml:space="preserve">7%). </w:t>
            </w:r>
            <w:r w:rsidR="005D21F1" w:rsidRPr="009C0696">
              <w:rPr>
                <w:spacing w:val="-4"/>
                <w:lang w:val="en-GB"/>
              </w:rPr>
              <w:t xml:space="preserve">Import form Russia increased </w:t>
            </w:r>
            <w:r w:rsidR="00524385" w:rsidRPr="009C0696">
              <w:rPr>
                <w:spacing w:val="-4"/>
                <w:lang w:val="en-GB"/>
              </w:rPr>
              <w:t>(+6</w:t>
            </w:r>
            <w:r w:rsidR="005D21F1" w:rsidRPr="009C0696">
              <w:rPr>
                <w:spacing w:val="-4"/>
                <w:lang w:val="en-GB"/>
              </w:rPr>
              <w:t>.</w:t>
            </w:r>
            <w:r w:rsidR="00524385" w:rsidRPr="009C0696">
              <w:rPr>
                <w:spacing w:val="-4"/>
                <w:lang w:val="en-GB"/>
              </w:rPr>
              <w:t xml:space="preserve">9 </w:t>
            </w:r>
            <w:r w:rsidR="005D21F1" w:rsidRPr="009C0696">
              <w:rPr>
                <w:spacing w:val="-4"/>
                <w:lang w:val="en-GB"/>
              </w:rPr>
              <w:t>CZK bn</w:t>
            </w:r>
            <w:r w:rsidR="00524385" w:rsidRPr="009C0696">
              <w:rPr>
                <w:spacing w:val="-4"/>
                <w:lang w:val="en-GB"/>
              </w:rPr>
              <w:t>, 6</w:t>
            </w:r>
            <w:r w:rsidR="005D21F1" w:rsidRPr="009C0696">
              <w:rPr>
                <w:spacing w:val="-4"/>
                <w:lang w:val="en-GB"/>
              </w:rPr>
              <w:t>.</w:t>
            </w:r>
            <w:r w:rsidR="00524385" w:rsidRPr="009C0696">
              <w:rPr>
                <w:spacing w:val="-4"/>
                <w:lang w:val="en-GB"/>
              </w:rPr>
              <w:t xml:space="preserve">0%). </w:t>
            </w:r>
            <w:r w:rsidR="00C568D3" w:rsidRPr="009C0696">
              <w:rPr>
                <w:spacing w:val="-4"/>
                <w:lang w:val="en-GB"/>
              </w:rPr>
              <w:t xml:space="preserve">Even in this case a considerable acceleration occurred in the second half of the year. </w:t>
            </w:r>
            <w:r w:rsidR="004A05E6" w:rsidRPr="009C0696">
              <w:rPr>
                <w:spacing w:val="-4"/>
                <w:lang w:val="en-GB"/>
              </w:rPr>
              <w:t xml:space="preserve">Mostly Germany was behind the weaker last year´s dynamic of imports from the EU </w:t>
            </w:r>
            <w:r w:rsidR="00524385" w:rsidRPr="009C0696">
              <w:rPr>
                <w:spacing w:val="-4"/>
                <w:lang w:val="en-GB"/>
              </w:rPr>
              <w:t>(+19</w:t>
            </w:r>
            <w:r w:rsidR="004A05E6" w:rsidRPr="009C0696">
              <w:rPr>
                <w:spacing w:val="-4"/>
                <w:lang w:val="en-GB"/>
              </w:rPr>
              <w:t>.</w:t>
            </w:r>
            <w:r w:rsidR="00524385" w:rsidRPr="009C0696">
              <w:rPr>
                <w:spacing w:val="-4"/>
                <w:lang w:val="en-GB"/>
              </w:rPr>
              <w:t xml:space="preserve">7 </w:t>
            </w:r>
            <w:r w:rsidR="004A05E6" w:rsidRPr="009C0696">
              <w:rPr>
                <w:spacing w:val="-4"/>
                <w:lang w:val="en-GB"/>
              </w:rPr>
              <w:t>CZK bn</w:t>
            </w:r>
            <w:r w:rsidR="00524385" w:rsidRPr="009C0696">
              <w:rPr>
                <w:spacing w:val="-4"/>
                <w:lang w:val="en-GB"/>
              </w:rPr>
              <w:t>, 2</w:t>
            </w:r>
            <w:r w:rsidR="004A05E6" w:rsidRPr="009C0696">
              <w:rPr>
                <w:spacing w:val="-4"/>
                <w:lang w:val="en-GB"/>
              </w:rPr>
              <w:t>.</w:t>
            </w:r>
            <w:r w:rsidR="00524385" w:rsidRPr="009C0696">
              <w:rPr>
                <w:spacing w:val="-4"/>
                <w:lang w:val="en-GB"/>
              </w:rPr>
              <w:t xml:space="preserve">2%). </w:t>
            </w:r>
            <w:r w:rsidR="00916856" w:rsidRPr="009C0696">
              <w:rPr>
                <w:spacing w:val="-4"/>
                <w:lang w:val="en-GB"/>
              </w:rPr>
              <w:t>Import from Poland (4.5%) and Slovakia (4.3%) maintained a mild growth</w:t>
            </w:r>
            <w:r w:rsidR="00524385" w:rsidRPr="009C0696">
              <w:rPr>
                <w:spacing w:val="-4"/>
                <w:lang w:val="en-GB"/>
              </w:rPr>
              <w:t xml:space="preserve">. </w:t>
            </w:r>
            <w:r w:rsidR="004A05E6" w:rsidRPr="009C0696">
              <w:rPr>
                <w:spacing w:val="-4"/>
                <w:lang w:val="en-GB"/>
              </w:rPr>
              <w:t xml:space="preserve">Import from France markedly accelerated </w:t>
            </w:r>
            <w:r w:rsidR="00524385" w:rsidRPr="009C0696">
              <w:rPr>
                <w:spacing w:val="-4"/>
                <w:lang w:val="en-GB"/>
              </w:rPr>
              <w:t>(+7</w:t>
            </w:r>
            <w:r w:rsidR="004A05E6" w:rsidRPr="009C0696">
              <w:rPr>
                <w:spacing w:val="-4"/>
                <w:lang w:val="en-GB"/>
              </w:rPr>
              <w:t>.</w:t>
            </w:r>
            <w:r w:rsidR="00524385" w:rsidRPr="009C0696">
              <w:rPr>
                <w:spacing w:val="-4"/>
                <w:lang w:val="en-GB"/>
              </w:rPr>
              <w:t xml:space="preserve">0 </w:t>
            </w:r>
            <w:r w:rsidR="004A05E6" w:rsidRPr="009C0696">
              <w:rPr>
                <w:spacing w:val="-4"/>
                <w:lang w:val="en-GB"/>
              </w:rPr>
              <w:t>CZK bn</w:t>
            </w:r>
            <w:r w:rsidR="00524385" w:rsidRPr="009C0696">
              <w:rPr>
                <w:spacing w:val="-4"/>
                <w:lang w:val="en-GB"/>
              </w:rPr>
              <w:t>, 6</w:t>
            </w:r>
            <w:r w:rsidR="004A05E6" w:rsidRPr="009C0696">
              <w:rPr>
                <w:spacing w:val="-4"/>
                <w:lang w:val="en-GB"/>
              </w:rPr>
              <w:t>.</w:t>
            </w:r>
            <w:r w:rsidR="00524385" w:rsidRPr="009C0696">
              <w:rPr>
                <w:spacing w:val="-4"/>
                <w:lang w:val="en-GB"/>
              </w:rPr>
              <w:t>4%)</w:t>
            </w:r>
            <w:r w:rsidR="002E792B" w:rsidRPr="009C0696">
              <w:rPr>
                <w:spacing w:val="-4"/>
                <w:lang w:val="en-GB"/>
              </w:rPr>
              <w:t>.</w:t>
            </w:r>
            <w:r w:rsidR="00524385" w:rsidRPr="009C0696">
              <w:rPr>
                <w:spacing w:val="-4"/>
                <w:lang w:val="en-GB"/>
              </w:rPr>
              <w:t xml:space="preserve"> </w:t>
            </w:r>
          </w:p>
        </w:tc>
      </w:tr>
      <w:tr w:rsidR="00524385" w:rsidRPr="009C0696" w:rsidTr="004178C3">
        <w:trPr>
          <w:trHeight w:val="145"/>
        </w:trPr>
        <w:tc>
          <w:tcPr>
            <w:tcW w:w="1888" w:type="dxa"/>
            <w:shd w:val="clear" w:color="auto" w:fill="auto"/>
            <w:tcMar>
              <w:left w:w="0" w:type="dxa"/>
            </w:tcMar>
          </w:tcPr>
          <w:p w:rsidR="00524385" w:rsidRPr="009C0696" w:rsidRDefault="00BD4F09" w:rsidP="00BD4F09">
            <w:pPr>
              <w:pStyle w:val="Marginlie"/>
              <w:rPr>
                <w:lang w:val="en-GB"/>
              </w:rPr>
            </w:pPr>
            <w:r w:rsidRPr="009C0696">
              <w:rPr>
                <w:lang w:val="en-GB"/>
              </w:rPr>
              <w:t xml:space="preserve">Raised prices of some commodities significantly influenced the development of import last year.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BD4F09" w:rsidP="00B05945">
            <w:pPr>
              <w:rPr>
                <w:spacing w:val="-4"/>
                <w:lang w:val="en-GB"/>
              </w:rPr>
            </w:pPr>
            <w:r w:rsidRPr="009C0696">
              <w:rPr>
                <w:spacing w:val="-4"/>
                <w:lang w:val="en-GB"/>
              </w:rPr>
              <w:t xml:space="preserve">Import development according to the individual divisions of the </w:t>
            </w:r>
            <w:r w:rsidR="00B05945" w:rsidRPr="009C0696">
              <w:rPr>
                <w:spacing w:val="-4"/>
                <w:lang w:val="en-GB"/>
              </w:rPr>
              <w:t>production</w:t>
            </w:r>
            <w:r w:rsidRPr="009C0696">
              <w:rPr>
                <w:spacing w:val="-4"/>
                <w:lang w:val="en-GB"/>
              </w:rPr>
              <w:t xml:space="preserve"> classification shared many similar features with the export described above. Value of import of motor vehicles fell for the first time since year </w:t>
            </w:r>
            <w:r w:rsidR="00524385" w:rsidRPr="009C0696">
              <w:rPr>
                <w:spacing w:val="-4"/>
                <w:lang w:val="en-GB"/>
              </w:rPr>
              <w:t>(-2</w:t>
            </w:r>
            <w:r w:rsidRPr="009C0696">
              <w:rPr>
                <w:spacing w:val="-4"/>
                <w:lang w:val="en-GB"/>
              </w:rPr>
              <w:t>.</w:t>
            </w:r>
            <w:r w:rsidR="00524385" w:rsidRPr="009C0696">
              <w:rPr>
                <w:spacing w:val="-4"/>
                <w:lang w:val="en-GB"/>
              </w:rPr>
              <w:t xml:space="preserve">6 </w:t>
            </w:r>
            <w:r w:rsidRPr="009C0696">
              <w:rPr>
                <w:spacing w:val="-4"/>
                <w:lang w:val="en-GB"/>
              </w:rPr>
              <w:t>CZK bn</w:t>
            </w:r>
            <w:r w:rsidR="00524385" w:rsidRPr="009C0696">
              <w:rPr>
                <w:spacing w:val="-4"/>
                <w:lang w:val="en-GB"/>
              </w:rPr>
              <w:t>, -0</w:t>
            </w:r>
            <w:r w:rsidRPr="009C0696">
              <w:rPr>
                <w:spacing w:val="-4"/>
                <w:lang w:val="en-GB"/>
              </w:rPr>
              <w:t>.</w:t>
            </w:r>
            <w:r w:rsidR="00524385" w:rsidRPr="009C0696">
              <w:rPr>
                <w:spacing w:val="-4"/>
                <w:lang w:val="en-GB"/>
              </w:rPr>
              <w:t xml:space="preserve">5%). </w:t>
            </w:r>
            <w:r w:rsidR="006510C7" w:rsidRPr="009C0696">
              <w:rPr>
                <w:spacing w:val="-4"/>
                <w:lang w:val="en-GB"/>
              </w:rPr>
              <w:t xml:space="preserve">Raised prices sharply increased the value of import of </w:t>
            </w:r>
            <w:r w:rsidR="004F1C56" w:rsidRPr="009C0696">
              <w:rPr>
                <w:spacing w:val="-4"/>
                <w:lang w:val="en-GB"/>
              </w:rPr>
              <w:t>electricity</w:t>
            </w:r>
            <w:r w:rsidR="006510C7" w:rsidRPr="009C0696">
              <w:rPr>
                <w:spacing w:val="-4"/>
                <w:lang w:val="en-GB"/>
              </w:rPr>
              <w:t xml:space="preserve">, gas, steam and air conditioning supply </w:t>
            </w:r>
            <w:r w:rsidR="00524385" w:rsidRPr="009C0696">
              <w:rPr>
                <w:spacing w:val="-4"/>
                <w:lang w:val="en-GB"/>
              </w:rPr>
              <w:t>(+7</w:t>
            </w:r>
            <w:r w:rsidR="006510C7" w:rsidRPr="009C0696">
              <w:rPr>
                <w:spacing w:val="-4"/>
                <w:lang w:val="en-GB"/>
              </w:rPr>
              <w:t>.</w:t>
            </w:r>
            <w:r w:rsidR="00524385" w:rsidRPr="009C0696">
              <w:rPr>
                <w:spacing w:val="-4"/>
                <w:lang w:val="en-GB"/>
              </w:rPr>
              <w:t>5</w:t>
            </w:r>
            <w:r w:rsidR="00BD59F1">
              <w:rPr>
                <w:spacing w:val="-4"/>
                <w:lang w:val="en-GB"/>
              </w:rPr>
              <w:t> </w:t>
            </w:r>
            <w:r w:rsidR="006510C7" w:rsidRPr="009C0696">
              <w:rPr>
                <w:spacing w:val="-4"/>
                <w:lang w:val="en-GB"/>
              </w:rPr>
              <w:t>CZK bn</w:t>
            </w:r>
            <w:r w:rsidR="00524385" w:rsidRPr="009C0696">
              <w:rPr>
                <w:spacing w:val="-4"/>
                <w:lang w:val="en-GB"/>
              </w:rPr>
              <w:t>, 37</w:t>
            </w:r>
            <w:r w:rsidR="006510C7" w:rsidRPr="009C0696">
              <w:rPr>
                <w:spacing w:val="-4"/>
                <w:lang w:val="en-GB"/>
              </w:rPr>
              <w:t>.</w:t>
            </w:r>
            <w:r w:rsidR="00524385" w:rsidRPr="009C0696">
              <w:rPr>
                <w:spacing w:val="-4"/>
                <w:lang w:val="en-GB"/>
              </w:rPr>
              <w:t xml:space="preserve">7%). </w:t>
            </w:r>
            <w:r w:rsidR="002602D8" w:rsidRPr="009C0696">
              <w:rPr>
                <w:spacing w:val="-4"/>
                <w:lang w:val="en-GB"/>
              </w:rPr>
              <w:t xml:space="preserve">Massive acceleration led to the </w:t>
            </w:r>
            <w:r w:rsidR="004F1C56" w:rsidRPr="009C0696">
              <w:rPr>
                <w:spacing w:val="-4"/>
                <w:lang w:val="en-GB"/>
              </w:rPr>
              <w:t xml:space="preserve">increase of value of imported computers, electronic and optical products by 34.7 CZK bn </w:t>
            </w:r>
            <w:r w:rsidR="002602D8" w:rsidRPr="009C0696">
              <w:rPr>
                <w:spacing w:val="-4"/>
                <w:lang w:val="en-GB"/>
              </w:rPr>
              <w:t>in the end in the secon</w:t>
            </w:r>
            <w:r w:rsidR="004F1C56" w:rsidRPr="009C0696">
              <w:rPr>
                <w:spacing w:val="-4"/>
                <w:lang w:val="en-GB"/>
              </w:rPr>
              <w:t>d</w:t>
            </w:r>
            <w:r w:rsidR="002602D8" w:rsidRPr="009C0696">
              <w:rPr>
                <w:spacing w:val="-4"/>
                <w:lang w:val="en-GB"/>
              </w:rPr>
              <w:t xml:space="preserve"> half of the year </w:t>
            </w:r>
            <w:r w:rsidR="00524385" w:rsidRPr="009C0696">
              <w:rPr>
                <w:spacing w:val="-4"/>
                <w:lang w:val="en-GB"/>
              </w:rPr>
              <w:t>(9</w:t>
            </w:r>
            <w:r w:rsidR="004F1C56" w:rsidRPr="009C0696">
              <w:rPr>
                <w:spacing w:val="-4"/>
                <w:lang w:val="en-GB"/>
              </w:rPr>
              <w:t>.</w:t>
            </w:r>
            <w:r w:rsidR="00524385" w:rsidRPr="009C0696">
              <w:rPr>
                <w:spacing w:val="-4"/>
                <w:lang w:val="en-GB"/>
              </w:rPr>
              <w:t xml:space="preserve">3%, </w:t>
            </w:r>
            <w:r w:rsidR="004F1C56" w:rsidRPr="009C0696">
              <w:rPr>
                <w:spacing w:val="-4"/>
                <w:lang w:val="en-GB"/>
              </w:rPr>
              <w:t>increase can be linked to the accelerated import from China</w:t>
            </w:r>
            <w:r w:rsidR="00524385" w:rsidRPr="009C0696">
              <w:rPr>
                <w:spacing w:val="-4"/>
                <w:lang w:val="en-GB"/>
              </w:rPr>
              <w:t xml:space="preserve">). </w:t>
            </w:r>
            <w:r w:rsidR="00814A0E" w:rsidRPr="009C0696">
              <w:rPr>
                <w:spacing w:val="-4"/>
                <w:lang w:val="en-GB"/>
              </w:rPr>
              <w:t xml:space="preserve">Raised oil prices were mirrored in the increased value of import of coke and refined oil products by </w:t>
            </w:r>
            <w:r w:rsidR="00524385" w:rsidRPr="009C0696">
              <w:rPr>
                <w:spacing w:val="-4"/>
                <w:lang w:val="en-GB"/>
              </w:rPr>
              <w:t>15</w:t>
            </w:r>
            <w:r w:rsidR="00814A0E" w:rsidRPr="009C0696">
              <w:rPr>
                <w:spacing w:val="-4"/>
                <w:lang w:val="en-GB"/>
              </w:rPr>
              <w:t>.</w:t>
            </w:r>
            <w:r w:rsidR="00524385" w:rsidRPr="009C0696">
              <w:rPr>
                <w:spacing w:val="-4"/>
                <w:lang w:val="en-GB"/>
              </w:rPr>
              <w:t xml:space="preserve">5 </w:t>
            </w:r>
            <w:r w:rsidR="00814A0E" w:rsidRPr="009C0696">
              <w:rPr>
                <w:spacing w:val="-4"/>
                <w:lang w:val="en-GB"/>
              </w:rPr>
              <w:t xml:space="preserve">CZK bn </w:t>
            </w:r>
            <w:r w:rsidR="00524385" w:rsidRPr="009C0696">
              <w:rPr>
                <w:spacing w:val="-4"/>
                <w:lang w:val="en-GB"/>
              </w:rPr>
              <w:t>(29</w:t>
            </w:r>
            <w:r w:rsidR="00814A0E" w:rsidRPr="009C0696">
              <w:rPr>
                <w:spacing w:val="-4"/>
                <w:lang w:val="en-GB"/>
              </w:rPr>
              <w:t>.</w:t>
            </w:r>
            <w:r w:rsidR="00524385" w:rsidRPr="009C0696">
              <w:rPr>
                <w:spacing w:val="-4"/>
                <w:lang w:val="en-GB"/>
              </w:rPr>
              <w:t xml:space="preserve">0%), </w:t>
            </w:r>
            <w:r w:rsidR="00814A0E" w:rsidRPr="009C0696">
              <w:rPr>
                <w:spacing w:val="-4"/>
                <w:lang w:val="en-GB"/>
              </w:rPr>
              <w:t xml:space="preserve">oil and natural gas by </w:t>
            </w:r>
            <w:r w:rsidR="00524385" w:rsidRPr="009C0696">
              <w:rPr>
                <w:spacing w:val="-4"/>
                <w:lang w:val="en-GB"/>
              </w:rPr>
              <w:t>14</w:t>
            </w:r>
            <w:r w:rsidR="00814A0E" w:rsidRPr="009C0696">
              <w:rPr>
                <w:spacing w:val="-4"/>
                <w:lang w:val="en-GB"/>
              </w:rPr>
              <w:t>.</w:t>
            </w:r>
            <w:r w:rsidR="00524385" w:rsidRPr="009C0696">
              <w:rPr>
                <w:spacing w:val="-4"/>
                <w:lang w:val="en-GB"/>
              </w:rPr>
              <w:t xml:space="preserve">8 </w:t>
            </w:r>
            <w:r w:rsidR="00814A0E" w:rsidRPr="009C0696">
              <w:rPr>
                <w:spacing w:val="-4"/>
                <w:lang w:val="en-GB"/>
              </w:rPr>
              <w:t xml:space="preserve">CZK bn </w:t>
            </w:r>
            <w:r w:rsidR="00524385" w:rsidRPr="009C0696">
              <w:rPr>
                <w:spacing w:val="-4"/>
                <w:lang w:val="en-GB"/>
              </w:rPr>
              <w:t>(12</w:t>
            </w:r>
            <w:r w:rsidR="00814A0E" w:rsidRPr="009C0696">
              <w:rPr>
                <w:spacing w:val="-4"/>
                <w:lang w:val="en-GB"/>
              </w:rPr>
              <w:t>.</w:t>
            </w:r>
            <w:r w:rsidR="00524385" w:rsidRPr="009C0696">
              <w:rPr>
                <w:spacing w:val="-4"/>
                <w:lang w:val="en-GB"/>
              </w:rPr>
              <w:t>3%) a</w:t>
            </w:r>
            <w:r w:rsidR="00814A0E" w:rsidRPr="009C0696">
              <w:rPr>
                <w:spacing w:val="-4"/>
                <w:lang w:val="en-GB"/>
              </w:rPr>
              <w:t xml:space="preserve">nd indirectly by acceleration of dynamics for chemical </w:t>
            </w:r>
            <w:r w:rsidR="00AC6259" w:rsidRPr="009C0696">
              <w:rPr>
                <w:spacing w:val="-4"/>
                <w:lang w:val="en-GB"/>
              </w:rPr>
              <w:t>products</w:t>
            </w:r>
            <w:r w:rsidR="00814A0E" w:rsidRPr="009C0696">
              <w:rPr>
                <w:spacing w:val="-4"/>
                <w:lang w:val="en-GB"/>
              </w:rPr>
              <w:t xml:space="preserve"> to </w:t>
            </w:r>
            <w:r w:rsidR="00524385" w:rsidRPr="009C0696">
              <w:rPr>
                <w:spacing w:val="-4"/>
                <w:lang w:val="en-GB"/>
              </w:rPr>
              <w:t>+15</w:t>
            </w:r>
            <w:r w:rsidR="00814A0E" w:rsidRPr="009C0696">
              <w:rPr>
                <w:spacing w:val="-4"/>
                <w:lang w:val="en-GB"/>
              </w:rPr>
              <w:t>.</w:t>
            </w:r>
            <w:r w:rsidR="00524385" w:rsidRPr="009C0696">
              <w:rPr>
                <w:spacing w:val="-4"/>
                <w:lang w:val="en-GB"/>
              </w:rPr>
              <w:t xml:space="preserve">5 </w:t>
            </w:r>
            <w:r w:rsidR="00814A0E" w:rsidRPr="009C0696">
              <w:rPr>
                <w:spacing w:val="-4"/>
                <w:lang w:val="en-GB"/>
              </w:rPr>
              <w:t xml:space="preserve">CZK bn </w:t>
            </w:r>
            <w:r w:rsidR="00524385" w:rsidRPr="009C0696">
              <w:rPr>
                <w:spacing w:val="-4"/>
                <w:lang w:val="en-GB"/>
              </w:rPr>
              <w:t>(5</w:t>
            </w:r>
            <w:r w:rsidR="00814A0E" w:rsidRPr="009C0696">
              <w:rPr>
                <w:spacing w:val="-4"/>
                <w:lang w:val="en-GB"/>
              </w:rPr>
              <w:t>.</w:t>
            </w:r>
            <w:r w:rsidR="00524385" w:rsidRPr="009C0696">
              <w:rPr>
                <w:spacing w:val="-4"/>
                <w:lang w:val="en-GB"/>
              </w:rPr>
              <w:t xml:space="preserve">7%). </w:t>
            </w:r>
            <w:r w:rsidR="00AC6259" w:rsidRPr="009C0696">
              <w:rPr>
                <w:spacing w:val="-4"/>
                <w:lang w:val="en-GB"/>
              </w:rPr>
              <w:t xml:space="preserve">There were by 10.6 CZK bn more of other motor vehicles imported </w:t>
            </w:r>
            <w:r w:rsidR="00524385" w:rsidRPr="009C0696">
              <w:rPr>
                <w:spacing w:val="-4"/>
                <w:lang w:val="en-GB"/>
              </w:rPr>
              <w:t>(30</w:t>
            </w:r>
            <w:r w:rsidR="00AC6259" w:rsidRPr="009C0696">
              <w:rPr>
                <w:spacing w:val="-4"/>
                <w:lang w:val="en-GB"/>
              </w:rPr>
              <w:t>.</w:t>
            </w:r>
            <w:r w:rsidR="00524385" w:rsidRPr="009C0696">
              <w:rPr>
                <w:spacing w:val="-4"/>
                <w:lang w:val="en-GB"/>
              </w:rPr>
              <w:t xml:space="preserve">5%) </w:t>
            </w:r>
            <w:r w:rsidR="00AC6259" w:rsidRPr="009C0696">
              <w:rPr>
                <w:spacing w:val="-4"/>
                <w:lang w:val="en-GB"/>
              </w:rPr>
              <w:t xml:space="preserve">than in year </w:t>
            </w:r>
            <w:r w:rsidR="00524385" w:rsidRPr="009C0696">
              <w:rPr>
                <w:spacing w:val="-4"/>
                <w:lang w:val="en-GB"/>
              </w:rPr>
              <w:t xml:space="preserve">2017. </w:t>
            </w:r>
            <w:r w:rsidR="009C2A74" w:rsidRPr="009C0696">
              <w:rPr>
                <w:spacing w:val="-4"/>
                <w:lang w:val="en-GB"/>
              </w:rPr>
              <w:t xml:space="preserve">Value of import of food products fell </w:t>
            </w:r>
            <w:r w:rsidR="00524385" w:rsidRPr="009C0696">
              <w:rPr>
                <w:spacing w:val="-4"/>
                <w:lang w:val="en-GB"/>
              </w:rPr>
              <w:t>(-3</w:t>
            </w:r>
            <w:r w:rsidR="009C2A74" w:rsidRPr="009C0696">
              <w:rPr>
                <w:spacing w:val="-4"/>
                <w:lang w:val="en-GB"/>
              </w:rPr>
              <w:t>.</w:t>
            </w:r>
            <w:r w:rsidR="00524385" w:rsidRPr="009C0696">
              <w:rPr>
                <w:spacing w:val="-4"/>
                <w:lang w:val="en-GB"/>
              </w:rPr>
              <w:t xml:space="preserve">9 </w:t>
            </w:r>
            <w:r w:rsidR="009C2A74" w:rsidRPr="009C0696">
              <w:rPr>
                <w:spacing w:val="-4"/>
                <w:lang w:val="en-GB"/>
              </w:rPr>
              <w:t>CZK bn</w:t>
            </w:r>
            <w:r w:rsidR="00524385" w:rsidRPr="009C0696">
              <w:rPr>
                <w:spacing w:val="-4"/>
                <w:lang w:val="en-GB"/>
              </w:rPr>
              <w:t>, -2</w:t>
            </w:r>
            <w:r w:rsidR="009C2A74" w:rsidRPr="009C0696">
              <w:rPr>
                <w:spacing w:val="-4"/>
                <w:lang w:val="en-GB"/>
              </w:rPr>
              <w:t>.</w:t>
            </w:r>
            <w:r w:rsidR="00524385" w:rsidRPr="009C0696">
              <w:rPr>
                <w:spacing w:val="-4"/>
                <w:lang w:val="en-GB"/>
              </w:rPr>
              <w:t xml:space="preserve">6%).   </w:t>
            </w:r>
          </w:p>
        </w:tc>
      </w:tr>
      <w:tr w:rsidR="00524385" w:rsidRPr="009C0696" w:rsidTr="004178C3">
        <w:trPr>
          <w:trHeight w:val="145"/>
        </w:trPr>
        <w:tc>
          <w:tcPr>
            <w:tcW w:w="1888" w:type="dxa"/>
            <w:shd w:val="clear" w:color="auto" w:fill="auto"/>
            <w:tcMar>
              <w:left w:w="0" w:type="dxa"/>
            </w:tcMar>
          </w:tcPr>
          <w:p w:rsidR="00524385" w:rsidRPr="009C0696" w:rsidRDefault="00F10941" w:rsidP="00723435">
            <w:pPr>
              <w:pStyle w:val="Marginlie"/>
              <w:rPr>
                <w:lang w:val="en-GB"/>
              </w:rPr>
            </w:pPr>
            <w:r w:rsidRPr="009C0696">
              <w:rPr>
                <w:lang w:val="en-GB"/>
              </w:rPr>
              <w:t>Surplus of the foreign trade balance shrank by 42.2 CZK bn last year.</w:t>
            </w:r>
            <w:r w:rsidR="00524385" w:rsidRPr="009C0696">
              <w:rPr>
                <w:lang w:val="en-GB"/>
              </w:rPr>
              <w:t xml:space="preserve"> </w:t>
            </w:r>
          </w:p>
          <w:p w:rsidR="00524385" w:rsidRPr="009C0696" w:rsidRDefault="00524385" w:rsidP="00723435">
            <w:pPr>
              <w:pStyle w:val="Marginlie"/>
              <w:rPr>
                <w:lang w:val="en-GB"/>
              </w:rPr>
            </w:pPr>
          </w:p>
          <w:p w:rsidR="00F10941" w:rsidRPr="009C0696" w:rsidRDefault="00F10941" w:rsidP="00723435">
            <w:pPr>
              <w:pStyle w:val="Marginlie"/>
              <w:rPr>
                <w:lang w:val="en-GB"/>
              </w:rPr>
            </w:pPr>
          </w:p>
          <w:p w:rsidR="00F10941" w:rsidRPr="009C0696" w:rsidRDefault="00F10941" w:rsidP="00723435">
            <w:pPr>
              <w:pStyle w:val="Marginlie"/>
              <w:rPr>
                <w:lang w:val="en-GB"/>
              </w:rPr>
            </w:pPr>
          </w:p>
          <w:p w:rsidR="00F10941" w:rsidRPr="009C0696" w:rsidRDefault="00F10941" w:rsidP="00723435">
            <w:pPr>
              <w:pStyle w:val="Marginlie"/>
              <w:rPr>
                <w:lang w:val="en-GB"/>
              </w:rPr>
            </w:pPr>
          </w:p>
          <w:p w:rsidR="00F10941" w:rsidRPr="009C0696" w:rsidRDefault="00F10941" w:rsidP="00723435">
            <w:pPr>
              <w:pStyle w:val="Marginlie"/>
              <w:rPr>
                <w:lang w:val="en-GB"/>
              </w:rPr>
            </w:pPr>
          </w:p>
          <w:p w:rsidR="00524385" w:rsidRPr="009C0696" w:rsidRDefault="00F10941" w:rsidP="00F10941">
            <w:pPr>
              <w:pStyle w:val="Marginlie"/>
              <w:rPr>
                <w:lang w:val="en-GB"/>
              </w:rPr>
            </w:pPr>
            <w:r w:rsidRPr="009C0696">
              <w:rPr>
                <w:lang w:val="en-GB"/>
              </w:rPr>
              <w:t xml:space="preserve">For countries outside the EU, the deepening of the deficit was the strongest since </w:t>
            </w:r>
            <w:r w:rsidR="002505E3" w:rsidRPr="009C0696">
              <w:rPr>
                <w:lang w:val="en-GB"/>
              </w:rPr>
              <w:t>year 2010</w:t>
            </w:r>
            <w:r w:rsidR="00524385" w:rsidRPr="009C0696">
              <w:rPr>
                <w:lang w:val="en-GB"/>
              </w:rPr>
              <w:t>.</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376D08" w:rsidP="0042568B">
            <w:pPr>
              <w:rPr>
                <w:spacing w:val="-4"/>
                <w:lang w:val="en-GB"/>
              </w:rPr>
            </w:pPr>
            <w:r w:rsidRPr="009C0696">
              <w:rPr>
                <w:spacing w:val="-4"/>
                <w:lang w:val="en-GB"/>
              </w:rPr>
              <w:t xml:space="preserve">Balance of foreign trade with goods attained a surplus of 122.3 CZK bn last year. Surplus was </w:t>
            </w:r>
            <w:r w:rsidR="00524385" w:rsidRPr="009C0696">
              <w:rPr>
                <w:spacing w:val="-4"/>
                <w:lang w:val="en-GB"/>
              </w:rPr>
              <w:t>41</w:t>
            </w:r>
            <w:r w:rsidRPr="009C0696">
              <w:rPr>
                <w:spacing w:val="-4"/>
                <w:lang w:val="en-GB"/>
              </w:rPr>
              <w:t>.</w:t>
            </w:r>
            <w:r w:rsidR="00524385" w:rsidRPr="009C0696">
              <w:rPr>
                <w:spacing w:val="-4"/>
                <w:lang w:val="en-GB"/>
              </w:rPr>
              <w:t xml:space="preserve">2 </w:t>
            </w:r>
            <w:r w:rsidRPr="009C0696">
              <w:rPr>
                <w:spacing w:val="-4"/>
                <w:lang w:val="en-GB"/>
              </w:rPr>
              <w:t xml:space="preserve">CZK bn lower compared to year </w:t>
            </w:r>
            <w:r w:rsidR="00524385" w:rsidRPr="009C0696">
              <w:rPr>
                <w:spacing w:val="-4"/>
                <w:lang w:val="en-GB"/>
              </w:rPr>
              <w:t>2017</w:t>
            </w:r>
            <w:r w:rsidRPr="009C0696">
              <w:rPr>
                <w:spacing w:val="-4"/>
                <w:lang w:val="en-GB"/>
              </w:rPr>
              <w:t xml:space="preserve"> and it was the lowest since </w:t>
            </w:r>
            <w:proofErr w:type="gramStart"/>
            <w:r w:rsidRPr="009C0696">
              <w:rPr>
                <w:spacing w:val="-4"/>
                <w:lang w:val="en-GB"/>
              </w:rPr>
              <w:t xml:space="preserve">year </w:t>
            </w:r>
            <w:r w:rsidR="00524385" w:rsidRPr="009C0696">
              <w:rPr>
                <w:spacing w:val="-4"/>
                <w:lang w:val="en-GB"/>
              </w:rPr>
              <w:t xml:space="preserve"> </w:t>
            </w:r>
            <w:r w:rsidRPr="009C0696">
              <w:rPr>
                <w:spacing w:val="-4"/>
                <w:lang w:val="en-GB"/>
              </w:rPr>
              <w:t>20</w:t>
            </w:r>
            <w:r w:rsidR="00524385" w:rsidRPr="009C0696">
              <w:rPr>
                <w:spacing w:val="-4"/>
                <w:lang w:val="en-GB"/>
              </w:rPr>
              <w:t>13</w:t>
            </w:r>
            <w:proofErr w:type="gramEnd"/>
            <w:r w:rsidR="00524385" w:rsidRPr="009C0696">
              <w:rPr>
                <w:spacing w:val="-4"/>
                <w:lang w:val="en-GB"/>
              </w:rPr>
              <w:t xml:space="preserve">. </w:t>
            </w:r>
            <w:r w:rsidR="0014459E" w:rsidRPr="009C0696">
              <w:rPr>
                <w:spacing w:val="-4"/>
                <w:lang w:val="en-GB"/>
              </w:rPr>
              <w:t>Year-on-year slump was recorded in Q1 till</w:t>
            </w:r>
            <w:r w:rsidR="00524385" w:rsidRPr="009C0696">
              <w:rPr>
                <w:spacing w:val="-4"/>
                <w:lang w:val="en-GB"/>
              </w:rPr>
              <w:t xml:space="preserve"> 3</w:t>
            </w:r>
            <w:r w:rsidR="0014459E" w:rsidRPr="009C0696">
              <w:rPr>
                <w:spacing w:val="-4"/>
                <w:lang w:val="en-GB"/>
              </w:rPr>
              <w:t xml:space="preserve">. Surplus comprised </w:t>
            </w:r>
            <w:r w:rsidR="00524385" w:rsidRPr="009C0696">
              <w:rPr>
                <w:spacing w:val="-4"/>
                <w:lang w:val="en-GB"/>
              </w:rPr>
              <w:t>21</w:t>
            </w:r>
            <w:r w:rsidR="0014459E" w:rsidRPr="009C0696">
              <w:rPr>
                <w:spacing w:val="-4"/>
                <w:lang w:val="en-GB"/>
              </w:rPr>
              <w:t>.</w:t>
            </w:r>
            <w:r w:rsidR="00524385" w:rsidRPr="009C0696">
              <w:rPr>
                <w:spacing w:val="-4"/>
                <w:lang w:val="en-GB"/>
              </w:rPr>
              <w:t>7</w:t>
            </w:r>
            <w:r w:rsidR="00C00BD7" w:rsidRPr="009C0696">
              <w:rPr>
                <w:spacing w:val="-4"/>
                <w:lang w:val="en-GB"/>
              </w:rPr>
              <w:t> </w:t>
            </w:r>
            <w:r w:rsidR="0014459E" w:rsidRPr="009C0696">
              <w:rPr>
                <w:spacing w:val="-4"/>
                <w:lang w:val="en-GB"/>
              </w:rPr>
              <w:t xml:space="preserve">CZK bn in Q4 and it grew by 5.0 bn year-on-year. </w:t>
            </w:r>
            <w:r w:rsidR="0067017A" w:rsidRPr="009C0696">
              <w:rPr>
                <w:spacing w:val="-4"/>
                <w:lang w:val="en-GB"/>
              </w:rPr>
              <w:t xml:space="preserve">Shrinking of the last year´s surplus was the consequence especially of the deepening of trade deficit of countries outside the EU by </w:t>
            </w:r>
            <w:r w:rsidR="00524385" w:rsidRPr="009C0696">
              <w:rPr>
                <w:spacing w:val="-4"/>
                <w:lang w:val="en-GB"/>
              </w:rPr>
              <w:t>70</w:t>
            </w:r>
            <w:r w:rsidR="0067017A" w:rsidRPr="009C0696">
              <w:rPr>
                <w:spacing w:val="-4"/>
                <w:lang w:val="en-GB"/>
              </w:rPr>
              <w:t>.</w:t>
            </w:r>
            <w:r w:rsidR="00524385" w:rsidRPr="009C0696">
              <w:rPr>
                <w:spacing w:val="-4"/>
                <w:lang w:val="en-GB"/>
              </w:rPr>
              <w:t xml:space="preserve">2 </w:t>
            </w:r>
            <w:r w:rsidR="0067017A" w:rsidRPr="009C0696">
              <w:rPr>
                <w:spacing w:val="-4"/>
                <w:lang w:val="en-GB"/>
              </w:rPr>
              <w:t xml:space="preserve">CZK bn </w:t>
            </w:r>
            <w:r w:rsidR="00524385" w:rsidRPr="009C0696">
              <w:rPr>
                <w:spacing w:val="-4"/>
                <w:lang w:val="en-GB"/>
              </w:rPr>
              <w:t>(</w:t>
            </w:r>
            <w:r w:rsidR="0067017A" w:rsidRPr="009C0696">
              <w:rPr>
                <w:spacing w:val="-4"/>
                <w:lang w:val="en-GB"/>
              </w:rPr>
              <w:t xml:space="preserve">the most since </w:t>
            </w:r>
            <w:r w:rsidR="00524385" w:rsidRPr="009C0696">
              <w:rPr>
                <w:spacing w:val="-4"/>
                <w:lang w:val="en-GB"/>
              </w:rPr>
              <w:t xml:space="preserve">2010). </w:t>
            </w:r>
            <w:r w:rsidR="00C303A4" w:rsidRPr="009C0696">
              <w:rPr>
                <w:spacing w:val="-4"/>
                <w:lang w:val="en-GB"/>
              </w:rPr>
              <w:t>Worsening balance with China by 37.4 CZK bn had the largest effect</w:t>
            </w:r>
            <w:r w:rsidR="00524385" w:rsidRPr="009C0696">
              <w:rPr>
                <w:spacing w:val="-4"/>
                <w:lang w:val="en-GB"/>
              </w:rPr>
              <w:t xml:space="preserve">, </w:t>
            </w:r>
            <w:r w:rsidR="00FC5A83" w:rsidRPr="009C0696">
              <w:rPr>
                <w:spacing w:val="-4"/>
                <w:lang w:val="en-GB"/>
              </w:rPr>
              <w:t xml:space="preserve">lower surplus with Turkey by 8.1 bn </w:t>
            </w:r>
            <w:r w:rsidR="00C303A4" w:rsidRPr="009C0696">
              <w:rPr>
                <w:spacing w:val="-4"/>
                <w:lang w:val="en-GB"/>
              </w:rPr>
              <w:t xml:space="preserve">and deepening of the deficit with the United States by </w:t>
            </w:r>
            <w:r w:rsidR="00524385" w:rsidRPr="009C0696">
              <w:rPr>
                <w:spacing w:val="-4"/>
                <w:lang w:val="en-GB"/>
              </w:rPr>
              <w:t>5</w:t>
            </w:r>
            <w:r w:rsidR="00C303A4" w:rsidRPr="009C0696">
              <w:rPr>
                <w:spacing w:val="-4"/>
                <w:lang w:val="en-GB"/>
              </w:rPr>
              <w:t>.</w:t>
            </w:r>
            <w:r w:rsidR="00524385" w:rsidRPr="009C0696">
              <w:rPr>
                <w:spacing w:val="-4"/>
                <w:lang w:val="en-GB"/>
              </w:rPr>
              <w:t xml:space="preserve">3 </w:t>
            </w:r>
            <w:r w:rsidR="00C303A4" w:rsidRPr="009C0696">
              <w:rPr>
                <w:spacing w:val="-4"/>
                <w:lang w:val="en-GB"/>
              </w:rPr>
              <w:t>bn</w:t>
            </w:r>
            <w:r w:rsidR="00FC5A83" w:rsidRPr="009C0696">
              <w:rPr>
                <w:spacing w:val="-4"/>
                <w:lang w:val="en-GB"/>
              </w:rPr>
              <w:t xml:space="preserve"> was also significant</w:t>
            </w:r>
            <w:r w:rsidR="00524385" w:rsidRPr="009C0696">
              <w:rPr>
                <w:spacing w:val="-4"/>
                <w:lang w:val="en-GB"/>
              </w:rPr>
              <w:t>.</w:t>
            </w:r>
            <w:r w:rsidR="00FC5A83" w:rsidRPr="009C0696">
              <w:rPr>
                <w:spacing w:val="-4"/>
                <w:lang w:val="en-GB"/>
              </w:rPr>
              <w:t xml:space="preserve"> On the contrary, the trade with the European Union improved the balance by </w:t>
            </w:r>
            <w:r w:rsidR="00524385" w:rsidRPr="009C0696">
              <w:rPr>
                <w:spacing w:val="-4"/>
                <w:lang w:val="en-GB"/>
              </w:rPr>
              <w:t>28</w:t>
            </w:r>
            <w:r w:rsidR="00FC5A83" w:rsidRPr="009C0696">
              <w:rPr>
                <w:spacing w:val="-4"/>
                <w:lang w:val="en-GB"/>
              </w:rPr>
              <w:t>.</w:t>
            </w:r>
            <w:r w:rsidR="00524385" w:rsidRPr="009C0696">
              <w:rPr>
                <w:spacing w:val="-4"/>
                <w:lang w:val="en-GB"/>
              </w:rPr>
              <w:t xml:space="preserve">5 </w:t>
            </w:r>
            <w:r w:rsidR="00FC5A83" w:rsidRPr="009C0696">
              <w:rPr>
                <w:spacing w:val="-4"/>
                <w:lang w:val="en-GB"/>
              </w:rPr>
              <w:t>CZK bn year-on-year</w:t>
            </w:r>
            <w:r w:rsidR="00524385" w:rsidRPr="009C0696">
              <w:rPr>
                <w:spacing w:val="-4"/>
                <w:lang w:val="en-GB"/>
              </w:rPr>
              <w:t xml:space="preserve">. </w:t>
            </w:r>
            <w:r w:rsidR="00C303A4" w:rsidRPr="009C0696">
              <w:rPr>
                <w:spacing w:val="-4"/>
                <w:lang w:val="en-GB"/>
              </w:rPr>
              <w:t xml:space="preserve">Balance surplus with the Netherlands grew by </w:t>
            </w:r>
            <w:r w:rsidR="00524385" w:rsidRPr="009C0696">
              <w:rPr>
                <w:spacing w:val="-4"/>
                <w:lang w:val="en-GB"/>
              </w:rPr>
              <w:t>9</w:t>
            </w:r>
            <w:r w:rsidR="00C303A4" w:rsidRPr="009C0696">
              <w:rPr>
                <w:spacing w:val="-4"/>
                <w:lang w:val="en-GB"/>
              </w:rPr>
              <w:t>.</w:t>
            </w:r>
            <w:r w:rsidR="00524385" w:rsidRPr="009C0696">
              <w:rPr>
                <w:spacing w:val="-4"/>
                <w:lang w:val="en-GB"/>
              </w:rPr>
              <w:t>7</w:t>
            </w:r>
            <w:r w:rsidR="00C303A4" w:rsidRPr="009C0696">
              <w:rPr>
                <w:spacing w:val="-4"/>
                <w:lang w:val="en-GB"/>
              </w:rPr>
              <w:t xml:space="preserve"> bn, similarly with Spain it expanded by </w:t>
            </w:r>
            <w:r w:rsidR="00524385" w:rsidRPr="009C0696">
              <w:rPr>
                <w:spacing w:val="-4"/>
                <w:lang w:val="en-GB"/>
              </w:rPr>
              <w:t>16</w:t>
            </w:r>
            <w:r w:rsidR="00C303A4" w:rsidRPr="009C0696">
              <w:rPr>
                <w:spacing w:val="-4"/>
                <w:lang w:val="en-GB"/>
              </w:rPr>
              <w:t>.</w:t>
            </w:r>
            <w:r w:rsidR="00524385" w:rsidRPr="009C0696">
              <w:rPr>
                <w:spacing w:val="-4"/>
                <w:lang w:val="en-GB"/>
              </w:rPr>
              <w:t xml:space="preserve">9 </w:t>
            </w:r>
            <w:r w:rsidR="00C303A4" w:rsidRPr="009C0696">
              <w:rPr>
                <w:spacing w:val="-4"/>
                <w:lang w:val="en-GB"/>
              </w:rPr>
              <w:t xml:space="preserve">bn and by 6.4 CZK bn with Sweden. </w:t>
            </w:r>
            <w:r w:rsidR="0042568B" w:rsidRPr="009C0696">
              <w:rPr>
                <w:spacing w:val="-4"/>
                <w:lang w:val="en-GB"/>
              </w:rPr>
              <w:t xml:space="preserve">Weaker results of the foreign trade with Germany were also visible on the balance – the surplus shrank by </w:t>
            </w:r>
            <w:r w:rsidR="00524385" w:rsidRPr="009C0696">
              <w:rPr>
                <w:spacing w:val="-4"/>
                <w:lang w:val="en-GB"/>
              </w:rPr>
              <w:t>2</w:t>
            </w:r>
            <w:r w:rsidR="0042568B" w:rsidRPr="009C0696">
              <w:rPr>
                <w:spacing w:val="-4"/>
                <w:lang w:val="en-GB"/>
              </w:rPr>
              <w:t>.</w:t>
            </w:r>
            <w:r w:rsidR="00524385" w:rsidRPr="009C0696">
              <w:rPr>
                <w:spacing w:val="-4"/>
                <w:lang w:val="en-GB"/>
              </w:rPr>
              <w:t xml:space="preserve">2 </w:t>
            </w:r>
            <w:r w:rsidR="0042568B" w:rsidRPr="009C0696">
              <w:rPr>
                <w:spacing w:val="-4"/>
                <w:lang w:val="en-GB"/>
              </w:rPr>
              <w:t>CZK bn</w:t>
            </w:r>
            <w:r w:rsidR="00524385" w:rsidRPr="009C0696">
              <w:rPr>
                <w:spacing w:val="-4"/>
                <w:lang w:val="en-GB"/>
              </w:rPr>
              <w:t xml:space="preserve">. </w:t>
            </w:r>
            <w:r w:rsidR="0042568B" w:rsidRPr="009C0696">
              <w:rPr>
                <w:spacing w:val="-4"/>
                <w:lang w:val="en-GB"/>
              </w:rPr>
              <w:t xml:space="preserve">Trade deficit with Poland deepened by </w:t>
            </w:r>
            <w:r w:rsidR="00524385" w:rsidRPr="009C0696">
              <w:rPr>
                <w:spacing w:val="-4"/>
                <w:lang w:val="en-GB"/>
              </w:rPr>
              <w:t>4</w:t>
            </w:r>
            <w:r w:rsidR="0042568B" w:rsidRPr="009C0696">
              <w:rPr>
                <w:spacing w:val="-4"/>
                <w:lang w:val="en-GB"/>
              </w:rPr>
              <w:t>.</w:t>
            </w:r>
            <w:r w:rsidR="00524385" w:rsidRPr="009C0696">
              <w:rPr>
                <w:spacing w:val="-4"/>
                <w:lang w:val="en-GB"/>
              </w:rPr>
              <w:t xml:space="preserve">5 </w:t>
            </w:r>
            <w:r w:rsidR="0042568B" w:rsidRPr="009C0696">
              <w:rPr>
                <w:spacing w:val="-4"/>
                <w:lang w:val="en-GB"/>
              </w:rPr>
              <w:t>CZK bn</w:t>
            </w:r>
            <w:r w:rsidR="00524385" w:rsidRPr="009C0696">
              <w:rPr>
                <w:spacing w:val="-4"/>
                <w:lang w:val="en-GB"/>
              </w:rPr>
              <w:t xml:space="preserve">. </w:t>
            </w:r>
          </w:p>
        </w:tc>
      </w:tr>
      <w:tr w:rsidR="00524385" w:rsidRPr="009C0696" w:rsidTr="004178C3">
        <w:trPr>
          <w:trHeight w:val="145"/>
        </w:trPr>
        <w:tc>
          <w:tcPr>
            <w:tcW w:w="1888" w:type="dxa"/>
            <w:shd w:val="clear" w:color="auto" w:fill="auto"/>
            <w:tcMar>
              <w:left w:w="0" w:type="dxa"/>
            </w:tcMar>
          </w:tcPr>
          <w:p w:rsidR="00524385" w:rsidRPr="009C0696" w:rsidRDefault="000D1F28" w:rsidP="0042568B">
            <w:pPr>
              <w:pStyle w:val="Marginlie"/>
              <w:rPr>
                <w:lang w:val="en-GB"/>
              </w:rPr>
            </w:pPr>
            <w:r w:rsidRPr="009C0696">
              <w:rPr>
                <w:lang w:val="en-GB"/>
              </w:rPr>
              <w:t xml:space="preserve">Balance worsening originated </w:t>
            </w:r>
            <w:r w:rsidR="0042568B" w:rsidRPr="009C0696">
              <w:rPr>
                <w:lang w:val="en-GB"/>
              </w:rPr>
              <w:t>among</w:t>
            </w:r>
            <w:r w:rsidRPr="009C0696">
              <w:rPr>
                <w:lang w:val="en-GB"/>
              </w:rPr>
              <w:t xml:space="preserve"> </w:t>
            </w:r>
            <w:r w:rsidR="0042568B" w:rsidRPr="009C0696">
              <w:rPr>
                <w:lang w:val="en-GB"/>
              </w:rPr>
              <w:t xml:space="preserve">other </w:t>
            </w:r>
            <w:r w:rsidRPr="009C0696">
              <w:rPr>
                <w:lang w:val="en-GB"/>
              </w:rPr>
              <w:t xml:space="preserve">things in raised oil prices.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FE3B9E" w:rsidP="008373F2">
            <w:pPr>
              <w:rPr>
                <w:spacing w:val="-4"/>
                <w:lang w:val="en-GB"/>
              </w:rPr>
            </w:pPr>
            <w:r w:rsidRPr="009C0696">
              <w:rPr>
                <w:spacing w:val="-4"/>
                <w:lang w:val="en-GB"/>
              </w:rPr>
              <w:t xml:space="preserve">Look at the balance development from the view of the classification of production suggests, that among other things the raised prices of oil stand behind the worsening – for oil and natural gas the deficit worsened by </w:t>
            </w:r>
            <w:r w:rsidR="00524385" w:rsidRPr="009C0696">
              <w:rPr>
                <w:spacing w:val="-4"/>
                <w:lang w:val="en-GB"/>
              </w:rPr>
              <w:t>13</w:t>
            </w:r>
            <w:r w:rsidRPr="009C0696">
              <w:rPr>
                <w:spacing w:val="-4"/>
                <w:lang w:val="en-GB"/>
              </w:rPr>
              <w:t>.</w:t>
            </w:r>
            <w:r w:rsidR="00524385" w:rsidRPr="009C0696">
              <w:rPr>
                <w:spacing w:val="-4"/>
                <w:lang w:val="en-GB"/>
              </w:rPr>
              <w:t xml:space="preserve">3 </w:t>
            </w:r>
            <w:r w:rsidRPr="009C0696">
              <w:rPr>
                <w:spacing w:val="-4"/>
                <w:lang w:val="en-GB"/>
              </w:rPr>
              <w:t>CZK bn</w:t>
            </w:r>
            <w:r w:rsidR="00524385" w:rsidRPr="009C0696">
              <w:rPr>
                <w:spacing w:val="-4"/>
                <w:lang w:val="en-GB"/>
              </w:rPr>
              <w:t xml:space="preserve">, </w:t>
            </w:r>
            <w:r w:rsidRPr="009C0696">
              <w:rPr>
                <w:spacing w:val="-4"/>
                <w:lang w:val="en-GB"/>
              </w:rPr>
              <w:t xml:space="preserve">for coke and refined oil products by </w:t>
            </w:r>
            <w:r w:rsidR="00524385" w:rsidRPr="009C0696">
              <w:rPr>
                <w:spacing w:val="-4"/>
                <w:lang w:val="en-GB"/>
              </w:rPr>
              <w:t>12</w:t>
            </w:r>
            <w:r w:rsidRPr="009C0696">
              <w:rPr>
                <w:spacing w:val="-4"/>
                <w:lang w:val="en-GB"/>
              </w:rPr>
              <w:t>.</w:t>
            </w:r>
            <w:r w:rsidR="00524385" w:rsidRPr="009C0696">
              <w:rPr>
                <w:spacing w:val="-4"/>
                <w:lang w:val="en-GB"/>
              </w:rPr>
              <w:t xml:space="preserve">0 </w:t>
            </w:r>
            <w:r w:rsidRPr="009C0696">
              <w:rPr>
                <w:spacing w:val="-4"/>
                <w:lang w:val="en-GB"/>
              </w:rPr>
              <w:t>bn</w:t>
            </w:r>
            <w:r w:rsidR="00524385" w:rsidRPr="009C0696">
              <w:rPr>
                <w:spacing w:val="-4"/>
                <w:lang w:val="en-GB"/>
              </w:rPr>
              <w:t xml:space="preserve">, </w:t>
            </w:r>
            <w:r w:rsidRPr="009C0696">
              <w:rPr>
                <w:spacing w:val="-4"/>
                <w:lang w:val="en-GB"/>
              </w:rPr>
              <w:t xml:space="preserve">chemical </w:t>
            </w:r>
            <w:r w:rsidR="004178C3" w:rsidRPr="009C0696">
              <w:rPr>
                <w:spacing w:val="-4"/>
                <w:lang w:val="en-GB"/>
              </w:rPr>
              <w:t xml:space="preserve">products </w:t>
            </w:r>
            <w:r w:rsidRPr="009C0696">
              <w:rPr>
                <w:spacing w:val="-4"/>
                <w:lang w:val="en-GB"/>
              </w:rPr>
              <w:t xml:space="preserve">also recorded a larger deepening </w:t>
            </w:r>
            <w:r w:rsidR="00524385" w:rsidRPr="009C0696">
              <w:rPr>
                <w:spacing w:val="-4"/>
                <w:lang w:val="en-GB"/>
              </w:rPr>
              <w:t>(-9</w:t>
            </w:r>
            <w:r w:rsidRPr="009C0696">
              <w:rPr>
                <w:spacing w:val="-4"/>
                <w:lang w:val="en-GB"/>
              </w:rPr>
              <w:t>.</w:t>
            </w:r>
            <w:r w:rsidR="00524385" w:rsidRPr="009C0696">
              <w:rPr>
                <w:spacing w:val="-4"/>
                <w:lang w:val="en-GB"/>
              </w:rPr>
              <w:t xml:space="preserve">0 </w:t>
            </w:r>
            <w:r w:rsidRPr="009C0696">
              <w:rPr>
                <w:spacing w:val="-4"/>
                <w:lang w:val="en-GB"/>
              </w:rPr>
              <w:t>bn</w:t>
            </w:r>
            <w:r w:rsidR="00524385" w:rsidRPr="009C0696">
              <w:rPr>
                <w:spacing w:val="-4"/>
                <w:lang w:val="en-GB"/>
              </w:rPr>
              <w:t xml:space="preserve">). </w:t>
            </w:r>
            <w:r w:rsidR="004178C3" w:rsidRPr="009C0696">
              <w:rPr>
                <w:spacing w:val="-4"/>
                <w:lang w:val="en-GB"/>
              </w:rPr>
              <w:t xml:space="preserve">Notable increase of import of other transport equipment resulted in worsening of the balance surplus by </w:t>
            </w:r>
            <w:r w:rsidR="00524385" w:rsidRPr="009C0696">
              <w:rPr>
                <w:spacing w:val="-4"/>
                <w:lang w:val="en-GB"/>
              </w:rPr>
              <w:t>12</w:t>
            </w:r>
            <w:r w:rsidR="004178C3" w:rsidRPr="009C0696">
              <w:rPr>
                <w:spacing w:val="-4"/>
                <w:lang w:val="en-GB"/>
              </w:rPr>
              <w:t>.</w:t>
            </w:r>
            <w:r w:rsidR="00524385" w:rsidRPr="009C0696">
              <w:rPr>
                <w:spacing w:val="-4"/>
                <w:lang w:val="en-GB"/>
              </w:rPr>
              <w:t xml:space="preserve">4 </w:t>
            </w:r>
            <w:r w:rsidR="004178C3" w:rsidRPr="009C0696">
              <w:rPr>
                <w:spacing w:val="-4"/>
                <w:lang w:val="en-GB"/>
              </w:rPr>
              <w:t>CZK bn</w:t>
            </w:r>
            <w:r w:rsidR="00524385" w:rsidRPr="009C0696">
              <w:rPr>
                <w:spacing w:val="-4"/>
                <w:lang w:val="en-GB"/>
              </w:rPr>
              <w:t xml:space="preserve">. </w:t>
            </w:r>
            <w:r w:rsidR="008373F2" w:rsidRPr="009C0696">
              <w:rPr>
                <w:spacing w:val="-4"/>
                <w:lang w:val="en-GB"/>
              </w:rPr>
              <w:t xml:space="preserve">Computers, electronic and optical products had the largest positive influence on the balance </w:t>
            </w:r>
            <w:r w:rsidR="00524385" w:rsidRPr="009C0696">
              <w:rPr>
                <w:spacing w:val="-4"/>
                <w:lang w:val="en-GB"/>
              </w:rPr>
              <w:t>(+18</w:t>
            </w:r>
            <w:r w:rsidR="008373F2" w:rsidRPr="009C0696">
              <w:rPr>
                <w:spacing w:val="-4"/>
                <w:lang w:val="en-GB"/>
              </w:rPr>
              <w:t>.</w:t>
            </w:r>
            <w:r w:rsidR="00524385" w:rsidRPr="009C0696">
              <w:rPr>
                <w:spacing w:val="-4"/>
                <w:lang w:val="en-GB"/>
              </w:rPr>
              <w:t>9 </w:t>
            </w:r>
            <w:r w:rsidR="008373F2" w:rsidRPr="009C0696">
              <w:rPr>
                <w:spacing w:val="-4"/>
                <w:lang w:val="en-GB"/>
              </w:rPr>
              <w:t>CZK bn</w:t>
            </w:r>
            <w:r w:rsidR="00524385" w:rsidRPr="009C0696">
              <w:rPr>
                <w:spacing w:val="-4"/>
                <w:lang w:val="en-GB"/>
              </w:rPr>
              <w:t xml:space="preserve">). </w:t>
            </w:r>
            <w:r w:rsidRPr="009C0696">
              <w:rPr>
                <w:spacing w:val="-4"/>
                <w:lang w:val="en-GB"/>
              </w:rPr>
              <w:t xml:space="preserve">Subsequent deficit of </w:t>
            </w:r>
            <w:r w:rsidR="00524385" w:rsidRPr="009C0696">
              <w:rPr>
                <w:spacing w:val="-4"/>
                <w:lang w:val="en-GB"/>
              </w:rPr>
              <w:t>13</w:t>
            </w:r>
            <w:r w:rsidRPr="009C0696">
              <w:rPr>
                <w:spacing w:val="-4"/>
                <w:lang w:val="en-GB"/>
              </w:rPr>
              <w:t>.</w:t>
            </w:r>
            <w:r w:rsidR="00524385" w:rsidRPr="009C0696">
              <w:rPr>
                <w:spacing w:val="-4"/>
                <w:lang w:val="en-GB"/>
              </w:rPr>
              <w:t xml:space="preserve">8 </w:t>
            </w:r>
            <w:r w:rsidRPr="009C0696">
              <w:rPr>
                <w:spacing w:val="-4"/>
                <w:lang w:val="en-GB"/>
              </w:rPr>
              <w:t xml:space="preserve">CZK bn was the best result of this classification division in the whole available time series. </w:t>
            </w:r>
            <w:r w:rsidR="00524385" w:rsidRPr="009C0696">
              <w:rPr>
                <w:spacing w:val="-4"/>
                <w:lang w:val="en-GB"/>
              </w:rPr>
              <w:t xml:space="preserve">   </w:t>
            </w:r>
          </w:p>
        </w:tc>
      </w:tr>
      <w:tr w:rsidR="00524385" w:rsidRPr="009C0696" w:rsidTr="004178C3">
        <w:trPr>
          <w:trHeight w:val="145"/>
        </w:trPr>
        <w:tc>
          <w:tcPr>
            <w:tcW w:w="1888" w:type="dxa"/>
            <w:shd w:val="clear" w:color="auto" w:fill="auto"/>
            <w:tcMar>
              <w:left w:w="0" w:type="dxa"/>
            </w:tcMar>
          </w:tcPr>
          <w:p w:rsidR="00524385" w:rsidRPr="009C0696" w:rsidRDefault="00E22716" w:rsidP="00E33FE9">
            <w:pPr>
              <w:pStyle w:val="Marginlie"/>
              <w:rPr>
                <w:lang w:val="en-GB"/>
              </w:rPr>
            </w:pPr>
            <w:r w:rsidRPr="009C0696">
              <w:rPr>
                <w:lang w:val="en-GB"/>
              </w:rPr>
              <w:t>Deficit of primary income with non-residents moderated by</w:t>
            </w:r>
            <w:r w:rsidR="00524385" w:rsidRPr="009C0696">
              <w:rPr>
                <w:lang w:val="en-GB"/>
              </w:rPr>
              <w:t xml:space="preserve"> 39</w:t>
            </w:r>
            <w:r w:rsidR="002505E3">
              <w:rPr>
                <w:lang w:val="en-GB"/>
              </w:rPr>
              <w:t>.</w:t>
            </w:r>
            <w:r w:rsidR="00524385" w:rsidRPr="009C0696">
              <w:rPr>
                <w:lang w:val="en-GB"/>
              </w:rPr>
              <w:t>9</w:t>
            </w:r>
            <w:r w:rsidR="00E33FE9" w:rsidRPr="009C0696">
              <w:rPr>
                <w:lang w:val="en-GB"/>
              </w:rPr>
              <w:t xml:space="preserve"> CZK bn year-on-year last year. </w:t>
            </w:r>
            <w:r w:rsidR="00524385" w:rsidRPr="009C0696">
              <w:rPr>
                <w:lang w:val="en-GB"/>
              </w:rPr>
              <w:t xml:space="preserve">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E33FE9" w:rsidP="003C3756">
            <w:pPr>
              <w:rPr>
                <w:spacing w:val="-4"/>
                <w:lang w:val="en-GB"/>
              </w:rPr>
            </w:pPr>
            <w:r w:rsidRPr="009C0696">
              <w:rPr>
                <w:lang w:val="en-GB"/>
              </w:rPr>
              <w:t xml:space="preserve">Total balance of primary income flows between residents and non-residents arrived at </w:t>
            </w:r>
            <w:r w:rsidR="00524385" w:rsidRPr="009C0696">
              <w:rPr>
                <w:lang w:val="en-GB"/>
              </w:rPr>
              <w:t>-270</w:t>
            </w:r>
            <w:r w:rsidRPr="009C0696">
              <w:rPr>
                <w:lang w:val="en-GB"/>
              </w:rPr>
              <w:t>.</w:t>
            </w:r>
            <w:r w:rsidR="00524385" w:rsidRPr="009C0696">
              <w:rPr>
                <w:lang w:val="en-GB"/>
              </w:rPr>
              <w:t xml:space="preserve">8 </w:t>
            </w:r>
            <w:r w:rsidRPr="009C0696">
              <w:rPr>
                <w:lang w:val="en-GB"/>
              </w:rPr>
              <w:t>CZK bn in 2017</w:t>
            </w:r>
            <w:r w:rsidR="00524385" w:rsidRPr="009C0696">
              <w:rPr>
                <w:lang w:val="en-GB"/>
              </w:rPr>
              <w:t xml:space="preserve">. </w:t>
            </w:r>
            <w:r w:rsidRPr="009C0696">
              <w:rPr>
                <w:lang w:val="en-GB"/>
              </w:rPr>
              <w:t xml:space="preserve">The deficit shrank by </w:t>
            </w:r>
            <w:r w:rsidR="00524385" w:rsidRPr="009C0696">
              <w:rPr>
                <w:lang w:val="en-GB"/>
              </w:rPr>
              <w:t>39</w:t>
            </w:r>
            <w:r w:rsidRPr="009C0696">
              <w:rPr>
                <w:lang w:val="en-GB"/>
              </w:rPr>
              <w:t>.</w:t>
            </w:r>
            <w:r w:rsidR="00524385" w:rsidRPr="009C0696">
              <w:rPr>
                <w:lang w:val="en-GB"/>
              </w:rPr>
              <w:t xml:space="preserve">9 </w:t>
            </w:r>
            <w:r w:rsidRPr="009C0696">
              <w:rPr>
                <w:lang w:val="en-GB"/>
              </w:rPr>
              <w:t>bn compared to year 2017</w:t>
            </w:r>
            <w:r w:rsidR="00524385" w:rsidRPr="009C0696">
              <w:rPr>
                <w:lang w:val="en-GB"/>
              </w:rPr>
              <w:t>.</w:t>
            </w:r>
            <w:r w:rsidRPr="009C0696">
              <w:rPr>
                <w:lang w:val="en-GB"/>
              </w:rPr>
              <w:t xml:space="preserve"> The negative balance of</w:t>
            </w:r>
            <w:r w:rsidR="003C3756" w:rsidRPr="009C0696">
              <w:rPr>
                <w:lang w:val="en-GB"/>
              </w:rPr>
              <w:t xml:space="preserve"> property income </w:t>
            </w:r>
            <w:r w:rsidRPr="009C0696">
              <w:rPr>
                <w:lang w:val="en-GB"/>
              </w:rPr>
              <w:t>(-325.2 CZK bn) became the largest source of deficit</w:t>
            </w:r>
            <w:r w:rsidR="00524385" w:rsidRPr="009C0696">
              <w:rPr>
                <w:lang w:val="en-GB"/>
              </w:rPr>
              <w:t>. T</w:t>
            </w:r>
            <w:r w:rsidRPr="009C0696">
              <w:rPr>
                <w:lang w:val="en-GB"/>
              </w:rPr>
              <w:t xml:space="preserve">his balance improved by 46.5 bn year-on-year. </w:t>
            </w:r>
            <w:r w:rsidR="009B756A" w:rsidRPr="009C0696">
              <w:rPr>
                <w:lang w:val="en-GB"/>
              </w:rPr>
              <w:t xml:space="preserve">Profits from foreign direct investment of foreign owners reached </w:t>
            </w:r>
            <w:r w:rsidR="00524385" w:rsidRPr="009C0696">
              <w:rPr>
                <w:lang w:val="en-GB"/>
              </w:rPr>
              <w:t>414</w:t>
            </w:r>
            <w:r w:rsidR="009B756A" w:rsidRPr="009C0696">
              <w:rPr>
                <w:lang w:val="en-GB"/>
              </w:rPr>
              <w:t>.</w:t>
            </w:r>
            <w:r w:rsidR="00524385" w:rsidRPr="009C0696">
              <w:rPr>
                <w:lang w:val="en-GB"/>
              </w:rPr>
              <w:t xml:space="preserve">6 </w:t>
            </w:r>
            <w:r w:rsidR="009B756A" w:rsidRPr="009C0696">
              <w:rPr>
                <w:lang w:val="en-GB"/>
              </w:rPr>
              <w:t>CZ</w:t>
            </w:r>
            <w:r w:rsidR="00202FC2" w:rsidRPr="009C0696">
              <w:rPr>
                <w:lang w:val="en-GB"/>
              </w:rPr>
              <w:t>K</w:t>
            </w:r>
            <w:r w:rsidR="009B756A" w:rsidRPr="009C0696">
              <w:rPr>
                <w:lang w:val="en-GB"/>
              </w:rPr>
              <w:t xml:space="preserve"> bn last year</w:t>
            </w:r>
            <w:r w:rsidR="00524385" w:rsidRPr="009C0696">
              <w:rPr>
                <w:lang w:val="en-GB"/>
              </w:rPr>
              <w:t xml:space="preserve">, </w:t>
            </w:r>
            <w:r w:rsidR="009B756A" w:rsidRPr="009C0696">
              <w:rPr>
                <w:lang w:val="en-GB"/>
              </w:rPr>
              <w:t>which presented 7.</w:t>
            </w:r>
            <w:r w:rsidR="00524385" w:rsidRPr="009C0696">
              <w:rPr>
                <w:lang w:val="en-GB"/>
              </w:rPr>
              <w:t xml:space="preserve">8% </w:t>
            </w:r>
            <w:r w:rsidR="009B756A" w:rsidRPr="009C0696">
              <w:rPr>
                <w:lang w:val="en-GB"/>
              </w:rPr>
              <w:t xml:space="preserve">of GDP and year-on-year decrease of </w:t>
            </w:r>
            <w:r w:rsidR="00524385" w:rsidRPr="009C0696">
              <w:rPr>
                <w:lang w:val="en-GB"/>
              </w:rPr>
              <w:t>37</w:t>
            </w:r>
            <w:r w:rsidR="009B756A" w:rsidRPr="009C0696">
              <w:rPr>
                <w:lang w:val="en-GB"/>
              </w:rPr>
              <w:t>.</w:t>
            </w:r>
            <w:r w:rsidR="00524385" w:rsidRPr="009C0696">
              <w:rPr>
                <w:lang w:val="en-GB"/>
              </w:rPr>
              <w:t xml:space="preserve">8 </w:t>
            </w:r>
            <w:r w:rsidR="009B756A" w:rsidRPr="009C0696">
              <w:rPr>
                <w:lang w:val="en-GB"/>
              </w:rPr>
              <w:t>bn</w:t>
            </w:r>
            <w:r w:rsidR="00524385" w:rsidRPr="009C0696">
              <w:rPr>
                <w:lang w:val="en-GB"/>
              </w:rPr>
              <w:t xml:space="preserve">. </w:t>
            </w:r>
            <w:r w:rsidR="0022665E" w:rsidRPr="009C0696">
              <w:rPr>
                <w:lang w:val="en-GB"/>
              </w:rPr>
              <w:t>In that 2</w:t>
            </w:r>
            <w:r w:rsidR="00524385" w:rsidRPr="009C0696">
              <w:rPr>
                <w:lang w:val="en-GB"/>
              </w:rPr>
              <w:t>93</w:t>
            </w:r>
            <w:r w:rsidR="0022665E" w:rsidRPr="009C0696">
              <w:rPr>
                <w:lang w:val="en-GB"/>
              </w:rPr>
              <w:t>.</w:t>
            </w:r>
            <w:r w:rsidR="00524385" w:rsidRPr="009C0696">
              <w:rPr>
                <w:lang w:val="en-GB"/>
              </w:rPr>
              <w:t xml:space="preserve">9 </w:t>
            </w:r>
            <w:r w:rsidR="0022665E" w:rsidRPr="009C0696">
              <w:rPr>
                <w:lang w:val="en-GB"/>
              </w:rPr>
              <w:t xml:space="preserve">CZK bn </w:t>
            </w:r>
            <w:r w:rsidR="00202FC2" w:rsidRPr="009C0696">
              <w:rPr>
                <w:lang w:val="en-GB"/>
              </w:rPr>
              <w:t xml:space="preserve">flew out abroad </w:t>
            </w:r>
            <w:r w:rsidR="0022665E" w:rsidRPr="009C0696">
              <w:rPr>
                <w:lang w:val="en-GB"/>
              </w:rPr>
              <w:lastRenderedPageBreak/>
              <w:t xml:space="preserve">in the form of dividends and </w:t>
            </w:r>
            <w:r w:rsidR="00524385" w:rsidRPr="009C0696">
              <w:rPr>
                <w:lang w:val="en-GB"/>
              </w:rPr>
              <w:t>120</w:t>
            </w:r>
            <w:r w:rsidR="0022665E" w:rsidRPr="009C0696">
              <w:rPr>
                <w:lang w:val="en-GB"/>
              </w:rPr>
              <w:t>.</w:t>
            </w:r>
            <w:r w:rsidR="00524385" w:rsidRPr="009C0696">
              <w:rPr>
                <w:lang w:val="en-GB"/>
              </w:rPr>
              <w:t xml:space="preserve">6 </w:t>
            </w:r>
            <w:r w:rsidR="0022665E" w:rsidRPr="009C0696">
              <w:rPr>
                <w:lang w:val="en-GB"/>
              </w:rPr>
              <w:t xml:space="preserve">bn was reinvested. </w:t>
            </w:r>
            <w:r w:rsidR="00202FC2" w:rsidRPr="009C0696">
              <w:rPr>
                <w:lang w:val="en-GB"/>
              </w:rPr>
              <w:t xml:space="preserve">The volume of paid out funds increased by 18.0 bn compared to the preceding year specifically to the detriment of reinvestment, where the slump was </w:t>
            </w:r>
            <w:r w:rsidR="00524385" w:rsidRPr="009C0696">
              <w:rPr>
                <w:lang w:val="en-GB"/>
              </w:rPr>
              <w:t>55</w:t>
            </w:r>
            <w:r w:rsidR="00202FC2" w:rsidRPr="009C0696">
              <w:rPr>
                <w:lang w:val="en-GB"/>
              </w:rPr>
              <w:t>.</w:t>
            </w:r>
            <w:r w:rsidR="00524385" w:rsidRPr="009C0696">
              <w:rPr>
                <w:lang w:val="en-GB"/>
              </w:rPr>
              <w:t xml:space="preserve">8 </w:t>
            </w:r>
            <w:r w:rsidR="00202FC2" w:rsidRPr="009C0696">
              <w:rPr>
                <w:lang w:val="en-GB"/>
              </w:rPr>
              <w:t>CZK bn</w:t>
            </w:r>
            <w:r w:rsidR="00524385" w:rsidRPr="009C0696">
              <w:rPr>
                <w:lang w:val="en-GB"/>
              </w:rPr>
              <w:t xml:space="preserve">. </w:t>
            </w:r>
            <w:r w:rsidR="00202FC2" w:rsidRPr="009C0696">
              <w:rPr>
                <w:lang w:val="en-GB"/>
              </w:rPr>
              <w:t xml:space="preserve">Profits of residents from foreign direct investment attained </w:t>
            </w:r>
            <w:r w:rsidR="00524385" w:rsidRPr="009C0696">
              <w:rPr>
                <w:lang w:val="en-GB"/>
              </w:rPr>
              <w:t>65</w:t>
            </w:r>
            <w:r w:rsidR="00202FC2" w:rsidRPr="009C0696">
              <w:rPr>
                <w:lang w:val="en-GB"/>
              </w:rPr>
              <w:t>.</w:t>
            </w:r>
            <w:r w:rsidR="00524385" w:rsidRPr="009C0696">
              <w:rPr>
                <w:lang w:val="en-GB"/>
              </w:rPr>
              <w:t>0 </w:t>
            </w:r>
            <w:r w:rsidR="00202FC2" w:rsidRPr="009C0696">
              <w:rPr>
                <w:lang w:val="en-GB"/>
              </w:rPr>
              <w:t xml:space="preserve">CZK bn last year and </w:t>
            </w:r>
            <w:r w:rsidR="00524385" w:rsidRPr="009C0696">
              <w:rPr>
                <w:lang w:val="en-GB"/>
              </w:rPr>
              <w:t>49</w:t>
            </w:r>
            <w:r w:rsidR="00202FC2" w:rsidRPr="009C0696">
              <w:rPr>
                <w:lang w:val="en-GB"/>
              </w:rPr>
              <w:t>.</w:t>
            </w:r>
            <w:r w:rsidR="00524385" w:rsidRPr="009C0696">
              <w:rPr>
                <w:lang w:val="en-GB"/>
              </w:rPr>
              <w:t>7</w:t>
            </w:r>
            <w:r w:rsidR="00202FC2" w:rsidRPr="009C0696">
              <w:rPr>
                <w:lang w:val="en-GB"/>
              </w:rPr>
              <w:t xml:space="preserve"> bn was reinvested</w:t>
            </w:r>
            <w:r w:rsidR="00524385" w:rsidRPr="009C0696">
              <w:rPr>
                <w:lang w:val="en-GB"/>
              </w:rPr>
              <w:t xml:space="preserve">. </w:t>
            </w:r>
            <w:r w:rsidR="00202FC2" w:rsidRPr="009C0696">
              <w:rPr>
                <w:lang w:val="en-GB"/>
              </w:rPr>
              <w:t>The volume of funds, which flew in the form of employee compensations in the direction from non-residents</w:t>
            </w:r>
            <w:r w:rsidR="00202FC2" w:rsidRPr="009C0696">
              <w:rPr>
                <w:rStyle w:val="Znakapoznpodarou"/>
                <w:lang w:val="en-GB"/>
              </w:rPr>
              <w:footnoteReference w:id="43"/>
            </w:r>
            <w:r w:rsidR="00202FC2" w:rsidRPr="009C0696">
              <w:rPr>
                <w:lang w:val="en-GB"/>
              </w:rPr>
              <w:t xml:space="preserve"> to residents, increased only mildly </w:t>
            </w:r>
            <w:r w:rsidR="00524385" w:rsidRPr="009C0696">
              <w:rPr>
                <w:lang w:val="en-GB"/>
              </w:rPr>
              <w:t>(</w:t>
            </w:r>
            <w:r w:rsidR="00202FC2" w:rsidRPr="009C0696">
              <w:rPr>
                <w:lang w:val="en-GB"/>
              </w:rPr>
              <w:t xml:space="preserve">by </w:t>
            </w:r>
            <w:r w:rsidR="00524385" w:rsidRPr="009C0696">
              <w:rPr>
                <w:lang w:val="en-GB"/>
              </w:rPr>
              <w:t>2</w:t>
            </w:r>
            <w:r w:rsidR="00202FC2" w:rsidRPr="009C0696">
              <w:rPr>
                <w:lang w:val="en-GB"/>
              </w:rPr>
              <w:t>.</w:t>
            </w:r>
            <w:r w:rsidR="00524385" w:rsidRPr="009C0696">
              <w:rPr>
                <w:lang w:val="en-GB"/>
              </w:rPr>
              <w:t xml:space="preserve">1 </w:t>
            </w:r>
            <w:r w:rsidR="00202FC2" w:rsidRPr="009C0696">
              <w:rPr>
                <w:lang w:val="en-GB"/>
              </w:rPr>
              <w:t xml:space="preserve">CZK bn to </w:t>
            </w:r>
            <w:r w:rsidR="00524385" w:rsidRPr="009C0696">
              <w:rPr>
                <w:lang w:val="en-GB"/>
              </w:rPr>
              <w:t>66</w:t>
            </w:r>
            <w:r w:rsidR="00202FC2" w:rsidRPr="009C0696">
              <w:rPr>
                <w:lang w:val="en-GB"/>
              </w:rPr>
              <w:t>.</w:t>
            </w:r>
            <w:r w:rsidR="00524385" w:rsidRPr="009C0696">
              <w:rPr>
                <w:lang w:val="en-GB"/>
              </w:rPr>
              <w:t>5 </w:t>
            </w:r>
            <w:r w:rsidR="00202FC2" w:rsidRPr="009C0696">
              <w:rPr>
                <w:lang w:val="en-GB"/>
              </w:rPr>
              <w:t>bn</w:t>
            </w:r>
            <w:r w:rsidR="00524385" w:rsidRPr="009C0696">
              <w:rPr>
                <w:lang w:val="en-GB"/>
              </w:rPr>
              <w:t>)</w:t>
            </w:r>
            <w:r w:rsidR="00202FC2" w:rsidRPr="009C0696">
              <w:rPr>
                <w:lang w:val="en-GB"/>
              </w:rPr>
              <w:t xml:space="preserve"> </w:t>
            </w:r>
            <w:r w:rsidR="003C3756" w:rsidRPr="009C0696">
              <w:rPr>
                <w:lang w:val="en-GB"/>
              </w:rPr>
              <w:t xml:space="preserve">in </w:t>
            </w:r>
            <w:r w:rsidR="00524385" w:rsidRPr="009C0696">
              <w:rPr>
                <w:lang w:val="en-GB"/>
              </w:rPr>
              <w:t xml:space="preserve">2018. </w:t>
            </w:r>
            <w:r w:rsidR="00202FC2" w:rsidRPr="009C0696">
              <w:rPr>
                <w:lang w:val="en-GB"/>
              </w:rPr>
              <w:t xml:space="preserve">On the contrary, non-residents added </w:t>
            </w:r>
            <w:r w:rsidR="00524385" w:rsidRPr="009C0696">
              <w:rPr>
                <w:lang w:val="en-GB"/>
              </w:rPr>
              <w:t>36</w:t>
            </w:r>
            <w:r w:rsidR="00202FC2" w:rsidRPr="009C0696">
              <w:rPr>
                <w:lang w:val="en-GB"/>
              </w:rPr>
              <w:t>.</w:t>
            </w:r>
            <w:r w:rsidR="00524385" w:rsidRPr="009C0696">
              <w:rPr>
                <w:lang w:val="en-GB"/>
              </w:rPr>
              <w:t>0 </w:t>
            </w:r>
            <w:r w:rsidR="00202FC2" w:rsidRPr="009C0696">
              <w:rPr>
                <w:lang w:val="en-GB"/>
              </w:rPr>
              <w:t xml:space="preserve">CZK bn in the form of compensations </w:t>
            </w:r>
            <w:r w:rsidR="00524385" w:rsidRPr="009C0696">
              <w:rPr>
                <w:lang w:val="en-GB"/>
              </w:rPr>
              <w:t>(+9</w:t>
            </w:r>
            <w:r w:rsidR="00202FC2" w:rsidRPr="009C0696">
              <w:rPr>
                <w:lang w:val="en-GB"/>
              </w:rPr>
              <w:t>.</w:t>
            </w:r>
            <w:r w:rsidR="00524385" w:rsidRPr="009C0696">
              <w:rPr>
                <w:lang w:val="en-GB"/>
              </w:rPr>
              <w:t xml:space="preserve">3 </w:t>
            </w:r>
            <w:r w:rsidR="00202FC2" w:rsidRPr="009C0696">
              <w:rPr>
                <w:lang w:val="en-GB"/>
              </w:rPr>
              <w:t>bn</w:t>
            </w:r>
            <w:r w:rsidR="00524385" w:rsidRPr="009C0696">
              <w:rPr>
                <w:lang w:val="en-GB"/>
              </w:rPr>
              <w:t xml:space="preserve">). </w:t>
            </w:r>
            <w:r w:rsidR="00202FC2" w:rsidRPr="009C0696">
              <w:rPr>
                <w:lang w:val="en-GB"/>
              </w:rPr>
              <w:t xml:space="preserve">Resulting balance reached </w:t>
            </w:r>
            <w:r w:rsidR="00524385" w:rsidRPr="009C0696">
              <w:rPr>
                <w:lang w:val="en-GB"/>
              </w:rPr>
              <w:t>30</w:t>
            </w:r>
            <w:r w:rsidR="00202FC2" w:rsidRPr="009C0696">
              <w:rPr>
                <w:lang w:val="en-GB"/>
              </w:rPr>
              <w:t>.</w:t>
            </w:r>
            <w:r w:rsidR="00524385" w:rsidRPr="009C0696">
              <w:rPr>
                <w:lang w:val="en-GB"/>
              </w:rPr>
              <w:t xml:space="preserve">5 </w:t>
            </w:r>
            <w:r w:rsidR="00202FC2" w:rsidRPr="009C0696">
              <w:rPr>
                <w:lang w:val="en-GB"/>
              </w:rPr>
              <w:t xml:space="preserve">CZK bn and decreased by </w:t>
            </w:r>
            <w:r w:rsidR="00524385" w:rsidRPr="009C0696">
              <w:rPr>
                <w:lang w:val="en-GB"/>
              </w:rPr>
              <w:t>7</w:t>
            </w:r>
            <w:r w:rsidR="00202FC2" w:rsidRPr="009C0696">
              <w:rPr>
                <w:lang w:val="en-GB"/>
              </w:rPr>
              <w:t>.</w:t>
            </w:r>
            <w:r w:rsidR="00524385" w:rsidRPr="009C0696">
              <w:rPr>
                <w:lang w:val="en-GB"/>
              </w:rPr>
              <w:t xml:space="preserve">2 </w:t>
            </w:r>
            <w:r w:rsidR="00202FC2" w:rsidRPr="009C0696">
              <w:rPr>
                <w:lang w:val="en-GB"/>
              </w:rPr>
              <w:t>bn year-on-year</w:t>
            </w:r>
            <w:r w:rsidR="00524385" w:rsidRPr="009C0696">
              <w:rPr>
                <w:lang w:val="en-GB"/>
              </w:rPr>
              <w:t xml:space="preserve">. </w:t>
            </w:r>
          </w:p>
        </w:tc>
      </w:tr>
      <w:tr w:rsidR="00524385" w:rsidRPr="009C0696" w:rsidTr="004178C3">
        <w:trPr>
          <w:trHeight w:val="145"/>
        </w:trPr>
        <w:tc>
          <w:tcPr>
            <w:tcW w:w="1888" w:type="dxa"/>
            <w:shd w:val="clear" w:color="auto" w:fill="auto"/>
            <w:tcMar>
              <w:left w:w="0" w:type="dxa"/>
            </w:tcMar>
          </w:tcPr>
          <w:p w:rsidR="00524385" w:rsidRPr="009C0696" w:rsidRDefault="00320A0F" w:rsidP="00320A0F">
            <w:pPr>
              <w:pStyle w:val="Marginlie"/>
              <w:rPr>
                <w:lang w:val="en-GB"/>
              </w:rPr>
            </w:pPr>
            <w:r w:rsidRPr="009C0696">
              <w:rPr>
                <w:lang w:val="en-GB"/>
              </w:rPr>
              <w:t xml:space="preserve">Volume of investment subsidies from abroad markedly increased. </w:t>
            </w:r>
          </w:p>
        </w:tc>
        <w:tc>
          <w:tcPr>
            <w:tcW w:w="250" w:type="dxa"/>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C0696" w:rsidRDefault="00320A0F" w:rsidP="003C3756">
            <w:pPr>
              <w:rPr>
                <w:lang w:val="en-GB"/>
              </w:rPr>
            </w:pPr>
            <w:r w:rsidRPr="009C0696">
              <w:rPr>
                <w:lang w:val="en-GB"/>
              </w:rPr>
              <w:t xml:space="preserve">The non-residents added 131.4 CZK bn to their accounts via the other transfers (taxes, social contributions and benefits and other current transfers), </w:t>
            </w:r>
            <w:r w:rsidR="00524385" w:rsidRPr="009C0696">
              <w:rPr>
                <w:lang w:val="en-GB"/>
              </w:rPr>
              <w:t>76</w:t>
            </w:r>
            <w:r w:rsidRPr="009C0696">
              <w:rPr>
                <w:lang w:val="en-GB"/>
              </w:rPr>
              <w:t>.</w:t>
            </w:r>
            <w:r w:rsidR="00524385" w:rsidRPr="009C0696">
              <w:rPr>
                <w:lang w:val="en-GB"/>
              </w:rPr>
              <w:t xml:space="preserve">2 </w:t>
            </w:r>
            <w:r w:rsidRPr="009C0696">
              <w:rPr>
                <w:lang w:val="en-GB"/>
              </w:rPr>
              <w:t xml:space="preserve">bn in the opposite direction. The resulting balance thus worked in the direction of deficit of current transfers of residents with non-residents. Due to the significant surplus of the trade with goods and services, the final balance of current transactions remained positive and amounted to </w:t>
            </w:r>
            <w:r w:rsidR="00524385" w:rsidRPr="009C0696">
              <w:rPr>
                <w:lang w:val="en-GB"/>
              </w:rPr>
              <w:t>3</w:t>
            </w:r>
            <w:r w:rsidRPr="009C0696">
              <w:rPr>
                <w:lang w:val="en-GB"/>
              </w:rPr>
              <w:t>.</w:t>
            </w:r>
            <w:r w:rsidR="00524385" w:rsidRPr="009C0696">
              <w:rPr>
                <w:lang w:val="en-GB"/>
              </w:rPr>
              <w:t xml:space="preserve">9 </w:t>
            </w:r>
            <w:r w:rsidRPr="009C0696">
              <w:rPr>
                <w:lang w:val="en-GB"/>
              </w:rPr>
              <w:t>CZK bn</w:t>
            </w:r>
            <w:r w:rsidR="00524385" w:rsidRPr="009C0696">
              <w:rPr>
                <w:lang w:val="en-GB"/>
              </w:rPr>
              <w:t xml:space="preserve">. </w:t>
            </w:r>
            <w:r w:rsidR="00DB212F" w:rsidRPr="009C0696">
              <w:rPr>
                <w:lang w:val="en-GB"/>
              </w:rPr>
              <w:t xml:space="preserve">The capital transfers balance also ended positive and arrived at </w:t>
            </w:r>
            <w:r w:rsidR="00524385" w:rsidRPr="009C0696">
              <w:rPr>
                <w:lang w:val="en-GB"/>
              </w:rPr>
              <w:t>60</w:t>
            </w:r>
            <w:r w:rsidR="00DB212F" w:rsidRPr="009C0696">
              <w:rPr>
                <w:lang w:val="en-GB"/>
              </w:rPr>
              <w:t>.</w:t>
            </w:r>
            <w:r w:rsidR="00524385" w:rsidRPr="009C0696">
              <w:rPr>
                <w:lang w:val="en-GB"/>
              </w:rPr>
              <w:t xml:space="preserve">8 </w:t>
            </w:r>
            <w:r w:rsidR="00DB212F" w:rsidRPr="009C0696">
              <w:rPr>
                <w:lang w:val="en-GB"/>
              </w:rPr>
              <w:t xml:space="preserve">CZK bn. Because 63.7 CZK bn poured in from abroad (mainly in the form of heightened volume of investment subsidies). </w:t>
            </w:r>
            <w:r w:rsidR="0088522F" w:rsidRPr="009C0696">
              <w:rPr>
                <w:lang w:val="en-GB"/>
              </w:rPr>
              <w:t>Also due to the increased income of capital transfers,</w:t>
            </w:r>
            <w:r w:rsidR="003C3756" w:rsidRPr="009C0696">
              <w:rPr>
                <w:lang w:val="en-GB"/>
              </w:rPr>
              <w:t xml:space="preserve"> the net borrowings </w:t>
            </w:r>
            <w:r w:rsidR="00524385" w:rsidRPr="009C0696">
              <w:rPr>
                <w:lang w:val="en-GB"/>
              </w:rPr>
              <w:t>(s</w:t>
            </w:r>
            <w:r w:rsidR="00DB212F" w:rsidRPr="009C0696">
              <w:rPr>
                <w:lang w:val="en-GB"/>
              </w:rPr>
              <w:t xml:space="preserve">um of the current and capital transfers balance adjusted </w:t>
            </w:r>
            <w:r w:rsidR="0088522F" w:rsidRPr="009C0696">
              <w:rPr>
                <w:lang w:val="en-GB"/>
              </w:rPr>
              <w:t>f</w:t>
            </w:r>
            <w:r w:rsidR="00DB212F" w:rsidRPr="009C0696">
              <w:rPr>
                <w:lang w:val="en-GB"/>
              </w:rPr>
              <w:t>or</w:t>
            </w:r>
            <w:r w:rsidR="003C3756" w:rsidRPr="009C0696">
              <w:rPr>
                <w:lang w:val="en-GB"/>
              </w:rPr>
              <w:t xml:space="preserve"> net non-financial asset acquisition) </w:t>
            </w:r>
            <w:r w:rsidR="0088522F" w:rsidRPr="009C0696">
              <w:rPr>
                <w:lang w:val="en-GB"/>
              </w:rPr>
              <w:t xml:space="preserve">increased by </w:t>
            </w:r>
            <w:r w:rsidR="00524385" w:rsidRPr="009C0696">
              <w:rPr>
                <w:lang w:val="en-GB"/>
              </w:rPr>
              <w:t>13</w:t>
            </w:r>
            <w:r w:rsidR="0088522F" w:rsidRPr="009C0696">
              <w:rPr>
                <w:lang w:val="en-GB"/>
              </w:rPr>
              <w:t>.</w:t>
            </w:r>
            <w:r w:rsidR="00524385" w:rsidRPr="009C0696">
              <w:rPr>
                <w:lang w:val="en-GB"/>
              </w:rPr>
              <w:t xml:space="preserve">3 </w:t>
            </w:r>
            <w:r w:rsidR="0088522F" w:rsidRPr="009C0696">
              <w:rPr>
                <w:lang w:val="en-GB"/>
              </w:rPr>
              <w:t xml:space="preserve">CZK bn and reached </w:t>
            </w:r>
            <w:r w:rsidR="00524385" w:rsidRPr="009C0696">
              <w:rPr>
                <w:lang w:val="en-GB"/>
              </w:rPr>
              <w:t>54</w:t>
            </w:r>
            <w:r w:rsidR="0088522F" w:rsidRPr="009C0696">
              <w:rPr>
                <w:lang w:val="en-GB"/>
              </w:rPr>
              <w:t>.</w:t>
            </w:r>
            <w:r w:rsidR="00524385" w:rsidRPr="009C0696">
              <w:rPr>
                <w:lang w:val="en-GB"/>
              </w:rPr>
              <w:t>9 </w:t>
            </w:r>
            <w:r w:rsidR="0088522F" w:rsidRPr="009C0696">
              <w:rPr>
                <w:lang w:val="en-GB"/>
              </w:rPr>
              <w:t>bn</w:t>
            </w:r>
            <w:r w:rsidR="00524385" w:rsidRPr="009C0696">
              <w:rPr>
                <w:lang w:val="en-GB"/>
              </w:rPr>
              <w:t>.</w:t>
            </w:r>
          </w:p>
        </w:tc>
      </w:tr>
      <w:tr w:rsidR="00524385" w:rsidRPr="009C0696" w:rsidTr="004178C3">
        <w:trPr>
          <w:trHeight w:val="106"/>
        </w:trPr>
        <w:tc>
          <w:tcPr>
            <w:tcW w:w="1888" w:type="dxa"/>
            <w:vMerge w:val="restart"/>
            <w:shd w:val="clear" w:color="auto" w:fill="auto"/>
            <w:tcMar>
              <w:left w:w="0" w:type="dxa"/>
            </w:tcMar>
          </w:tcPr>
          <w:p w:rsidR="00524385" w:rsidRPr="009C0696" w:rsidRDefault="00524385" w:rsidP="00723435">
            <w:pPr>
              <w:pStyle w:val="Marginlie"/>
              <w:rPr>
                <w:lang w:val="en-GB"/>
              </w:rPr>
            </w:pPr>
          </w:p>
        </w:tc>
        <w:tc>
          <w:tcPr>
            <w:tcW w:w="250" w:type="dxa"/>
            <w:vMerge w:val="restart"/>
            <w:shd w:val="clear" w:color="auto" w:fill="auto"/>
            <w:tcMar>
              <w:left w:w="0" w:type="dxa"/>
            </w:tcMar>
          </w:tcPr>
          <w:p w:rsidR="00524385" w:rsidRPr="009C0696" w:rsidRDefault="00524385" w:rsidP="00723435">
            <w:pPr>
              <w:pStyle w:val="Textpoznpodarou"/>
              <w:jc w:val="both"/>
              <w:rPr>
                <w:spacing w:val="-4"/>
                <w:lang w:val="en-GB"/>
              </w:rPr>
            </w:pPr>
          </w:p>
        </w:tc>
        <w:tc>
          <w:tcPr>
            <w:tcW w:w="7501" w:type="dxa"/>
            <w:shd w:val="clear" w:color="auto" w:fill="auto"/>
            <w:tcMar>
              <w:left w:w="0" w:type="dxa"/>
            </w:tcMar>
          </w:tcPr>
          <w:p w:rsidR="00524385" w:rsidRPr="009F7FC7" w:rsidRDefault="00827D1E" w:rsidP="006538D9">
            <w:pPr>
              <w:spacing w:after="0"/>
              <w:rPr>
                <w:spacing w:val="-4"/>
                <w:szCs w:val="20"/>
                <w:lang w:val="en-GB"/>
              </w:rPr>
            </w:pPr>
            <w:r w:rsidRPr="009F7FC7">
              <w:rPr>
                <w:rFonts w:cs="Arial"/>
                <w:b/>
                <w:bCs/>
                <w:color w:val="000000"/>
                <w:szCs w:val="20"/>
                <w:lang w:val="en-GB"/>
              </w:rPr>
              <w:t>Chart</w:t>
            </w:r>
            <w:r w:rsidR="00E378B1" w:rsidRPr="009F7FC7">
              <w:rPr>
                <w:rFonts w:cs="Arial"/>
                <w:b/>
                <w:bCs/>
                <w:color w:val="000000"/>
                <w:szCs w:val="20"/>
                <w:lang w:val="en-GB"/>
              </w:rPr>
              <w:t xml:space="preserve"> 9</w:t>
            </w:r>
            <w:r w:rsidR="00524385" w:rsidRPr="009F7FC7">
              <w:rPr>
                <w:rFonts w:cs="Arial"/>
                <w:b/>
                <w:bCs/>
                <w:color w:val="000000"/>
                <w:szCs w:val="20"/>
                <w:lang w:val="en-GB"/>
              </w:rPr>
              <w:t xml:space="preserve">  </w:t>
            </w:r>
            <w:r w:rsidR="006538D9" w:rsidRPr="009F7FC7">
              <w:rPr>
                <w:rFonts w:cs="Arial"/>
                <w:b/>
                <w:bCs/>
                <w:color w:val="000000"/>
                <w:szCs w:val="20"/>
                <w:lang w:val="en-GB"/>
              </w:rPr>
              <w:t>Balance</w:t>
            </w:r>
            <w:r w:rsidR="006538D9" w:rsidRPr="009F7FC7">
              <w:rPr>
                <w:b/>
                <w:spacing w:val="-4"/>
                <w:szCs w:val="20"/>
                <w:lang w:val="en-GB"/>
              </w:rPr>
              <w:t xml:space="preserve"> of foreign trade* in foreign trade statistics </w:t>
            </w:r>
            <w:r w:rsidR="006538D9" w:rsidRPr="009F7FC7">
              <w:rPr>
                <w:spacing w:val="-4"/>
                <w:szCs w:val="20"/>
                <w:lang w:val="en-GB"/>
              </w:rPr>
              <w:t>(accumulation of the whole year, in CZK bn, selected divisions of the CZ-CPA classification)</w:t>
            </w:r>
          </w:p>
        </w:tc>
      </w:tr>
      <w:tr w:rsidR="00524385" w:rsidRPr="009C0696" w:rsidTr="001B2B99">
        <w:tblPrEx>
          <w:tblCellMar>
            <w:left w:w="70" w:type="dxa"/>
            <w:right w:w="70" w:type="dxa"/>
          </w:tblCellMar>
        </w:tblPrEx>
        <w:trPr>
          <w:trHeight w:val="106"/>
        </w:trPr>
        <w:tc>
          <w:tcPr>
            <w:tcW w:w="1888" w:type="dxa"/>
            <w:vMerge/>
            <w:shd w:val="clear" w:color="auto" w:fill="auto"/>
          </w:tcPr>
          <w:p w:rsidR="00524385" w:rsidRPr="009C0696" w:rsidRDefault="00524385" w:rsidP="009B05B3">
            <w:pPr>
              <w:pStyle w:val="Marginlie"/>
              <w:rPr>
                <w:lang w:val="en-GB"/>
              </w:rPr>
            </w:pPr>
          </w:p>
        </w:tc>
        <w:tc>
          <w:tcPr>
            <w:tcW w:w="250" w:type="dxa"/>
            <w:vMerge/>
            <w:shd w:val="clear" w:color="auto" w:fill="auto"/>
          </w:tcPr>
          <w:p w:rsidR="00524385" w:rsidRPr="009C0696" w:rsidRDefault="00524385" w:rsidP="009B05B3">
            <w:pPr>
              <w:pStyle w:val="Textpoznpodarou"/>
              <w:jc w:val="both"/>
              <w:rPr>
                <w:spacing w:val="-4"/>
                <w:lang w:val="en-GB"/>
              </w:rPr>
            </w:pPr>
          </w:p>
        </w:tc>
        <w:tc>
          <w:tcPr>
            <w:tcW w:w="7501" w:type="dxa"/>
            <w:shd w:val="clear" w:color="auto" w:fill="auto"/>
          </w:tcPr>
          <w:p w:rsidR="00524385" w:rsidRPr="009C0696" w:rsidRDefault="001B2B99" w:rsidP="008458BD">
            <w:pPr>
              <w:spacing w:after="0"/>
              <w:rPr>
                <w:spacing w:val="-4"/>
                <w:lang w:val="en-GB"/>
              </w:rPr>
            </w:pPr>
            <w:r>
              <w:rPr>
                <w:noProof/>
              </w:rPr>
              <w:drawing>
                <wp:inline distT="0" distB="0" distL="0" distR="0" wp14:anchorId="167D68A3" wp14:editId="2908DC83">
                  <wp:extent cx="4737600" cy="3553200"/>
                  <wp:effectExtent l="0" t="0" r="6350" b="0"/>
                  <wp:docPr id="43" name="Graf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524385" w:rsidRPr="009C0696" w:rsidTr="004178C3">
        <w:trPr>
          <w:trHeight w:val="106"/>
        </w:trPr>
        <w:tc>
          <w:tcPr>
            <w:tcW w:w="1888" w:type="dxa"/>
            <w:vMerge/>
            <w:shd w:val="clear" w:color="auto" w:fill="auto"/>
            <w:tcMar>
              <w:left w:w="0" w:type="dxa"/>
            </w:tcMar>
          </w:tcPr>
          <w:p w:rsidR="00524385" w:rsidRPr="009C0696" w:rsidRDefault="00524385" w:rsidP="009B05B3">
            <w:pPr>
              <w:pStyle w:val="Marginlie"/>
              <w:rPr>
                <w:lang w:val="en-GB"/>
              </w:rPr>
            </w:pPr>
          </w:p>
        </w:tc>
        <w:tc>
          <w:tcPr>
            <w:tcW w:w="250" w:type="dxa"/>
            <w:vMerge/>
            <w:shd w:val="clear" w:color="auto" w:fill="auto"/>
            <w:tcMar>
              <w:left w:w="0" w:type="dxa"/>
            </w:tcMar>
          </w:tcPr>
          <w:p w:rsidR="00524385" w:rsidRPr="009C0696" w:rsidRDefault="00524385" w:rsidP="009B05B3">
            <w:pPr>
              <w:pStyle w:val="Textpoznpodarou"/>
              <w:jc w:val="both"/>
              <w:rPr>
                <w:spacing w:val="-4"/>
                <w:lang w:val="en-GB"/>
              </w:rPr>
            </w:pPr>
          </w:p>
        </w:tc>
        <w:tc>
          <w:tcPr>
            <w:tcW w:w="7501" w:type="dxa"/>
            <w:shd w:val="clear" w:color="auto" w:fill="auto"/>
            <w:tcMar>
              <w:left w:w="0" w:type="dxa"/>
            </w:tcMar>
          </w:tcPr>
          <w:p w:rsidR="00B77CE4" w:rsidRPr="009C0696" w:rsidRDefault="00827D1E" w:rsidP="00B77CE4">
            <w:pPr>
              <w:spacing w:after="0"/>
              <w:rPr>
                <w:sz w:val="14"/>
                <w:szCs w:val="14"/>
                <w:lang w:val="en-GB"/>
              </w:rPr>
            </w:pPr>
            <w:r w:rsidRPr="009C0696">
              <w:rPr>
                <w:sz w:val="14"/>
                <w:szCs w:val="14"/>
                <w:lang w:val="en-GB"/>
              </w:rPr>
              <w:t>Source</w:t>
            </w:r>
            <w:r w:rsidR="00524385" w:rsidRPr="009C0696">
              <w:rPr>
                <w:sz w:val="14"/>
                <w:szCs w:val="14"/>
                <w:lang w:val="en-GB"/>
              </w:rPr>
              <w:t>:</w:t>
            </w:r>
            <w:r w:rsidRPr="009C0696">
              <w:rPr>
                <w:sz w:val="14"/>
                <w:szCs w:val="14"/>
                <w:lang w:val="en-GB"/>
              </w:rPr>
              <w:t xml:space="preserve"> CZSO</w:t>
            </w:r>
          </w:p>
          <w:p w:rsidR="001A1D45" w:rsidRDefault="00524385" w:rsidP="001B2B99">
            <w:pPr>
              <w:spacing w:after="0"/>
              <w:rPr>
                <w:sz w:val="14"/>
                <w:szCs w:val="14"/>
                <w:lang w:val="en-GB"/>
              </w:rPr>
            </w:pPr>
            <w:r w:rsidRPr="009C0696">
              <w:rPr>
                <w:sz w:val="14"/>
                <w:szCs w:val="14"/>
                <w:lang w:val="en-GB"/>
              </w:rPr>
              <w:t>*</w:t>
            </w:r>
            <w:r w:rsidR="00827D1E" w:rsidRPr="009C0696">
              <w:rPr>
                <w:sz w:val="14"/>
                <w:szCs w:val="14"/>
                <w:lang w:val="en-GB"/>
              </w:rPr>
              <w:t>in national conception</w:t>
            </w:r>
          </w:p>
          <w:p w:rsidR="002505E3" w:rsidRPr="009C0696" w:rsidRDefault="002505E3" w:rsidP="001B2B99">
            <w:pPr>
              <w:spacing w:after="0"/>
              <w:rPr>
                <w:spacing w:val="-4"/>
                <w:lang w:val="en-GB"/>
              </w:rPr>
            </w:pPr>
          </w:p>
        </w:tc>
      </w:tr>
    </w:tbl>
    <w:p w:rsidR="000D3058" w:rsidRPr="009C0696" w:rsidRDefault="000D3058" w:rsidP="000D3058">
      <w:pPr>
        <w:pStyle w:val="Nadpis11"/>
        <w:rPr>
          <w:lang w:val="en-GB"/>
        </w:rPr>
      </w:pPr>
      <w:bookmarkStart w:id="9" w:name="_Toc511215218"/>
      <w:bookmarkStart w:id="10" w:name="_Toc5708393"/>
      <w:bookmarkEnd w:id="9"/>
      <w:r w:rsidRPr="009C0696">
        <w:rPr>
          <w:lang w:val="en-GB"/>
        </w:rPr>
        <w:lastRenderedPageBreak/>
        <w:t xml:space="preserve">5. </w:t>
      </w:r>
      <w:r w:rsidR="000864D5" w:rsidRPr="009C0696">
        <w:rPr>
          <w:lang w:val="en-GB"/>
        </w:rPr>
        <w:t>Prices</w:t>
      </w:r>
      <w:bookmarkEnd w:id="10"/>
    </w:p>
    <w:tbl>
      <w:tblPr>
        <w:tblW w:w="9639" w:type="dxa"/>
        <w:tblInd w:w="-15" w:type="dxa"/>
        <w:tblCellMar>
          <w:left w:w="0" w:type="dxa"/>
          <w:right w:w="0" w:type="dxa"/>
        </w:tblCellMar>
        <w:tblLook w:val="00A0" w:firstRow="1" w:lastRow="0" w:firstColumn="1" w:lastColumn="0" w:noHBand="0" w:noVBand="0"/>
      </w:tblPr>
      <w:tblGrid>
        <w:gridCol w:w="1801"/>
        <w:gridCol w:w="228"/>
        <w:gridCol w:w="7610"/>
      </w:tblGrid>
      <w:tr w:rsidR="00CA1BD6" w:rsidRPr="009C0696" w:rsidTr="002505E3">
        <w:trPr>
          <w:trHeight w:val="145"/>
        </w:trPr>
        <w:tc>
          <w:tcPr>
            <w:tcW w:w="1801" w:type="dxa"/>
            <w:shd w:val="clear" w:color="auto" w:fill="auto"/>
            <w:tcMar>
              <w:left w:w="0" w:type="dxa"/>
            </w:tcMar>
          </w:tcPr>
          <w:p w:rsidR="00CA1BD6" w:rsidRPr="009C0696" w:rsidRDefault="000864D5" w:rsidP="000864D5">
            <w:pPr>
              <w:pStyle w:val="Marginlie"/>
              <w:rPr>
                <w:spacing w:val="0"/>
                <w:lang w:val="en-GB"/>
              </w:rPr>
            </w:pPr>
            <w:r w:rsidRPr="009C0696">
              <w:rPr>
                <w:spacing w:val="0"/>
                <w:lang w:val="en-GB"/>
              </w:rPr>
              <w:t xml:space="preserve">Total price level grew last year. </w:t>
            </w:r>
            <w:r w:rsidR="00CA1BD6" w:rsidRPr="009C0696">
              <w:rPr>
                <w:spacing w:val="0"/>
                <w:lang w:val="en-GB"/>
              </w:rPr>
              <w:t xml:space="preserve">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F93D8A" w:rsidP="00E90E6E">
            <w:pPr>
              <w:rPr>
                <w:szCs w:val="20"/>
                <w:lang w:val="en-GB"/>
              </w:rPr>
            </w:pPr>
            <w:r w:rsidRPr="009C0696">
              <w:rPr>
                <w:szCs w:val="20"/>
                <w:lang w:val="en-GB"/>
              </w:rPr>
              <w:t xml:space="preserve">Total price level (gauged by the GDP deflator) grew by </w:t>
            </w:r>
            <w:r w:rsidR="00CA1BD6" w:rsidRPr="009C0696">
              <w:rPr>
                <w:szCs w:val="20"/>
                <w:lang w:val="en-GB"/>
              </w:rPr>
              <w:t>2</w:t>
            </w:r>
            <w:r w:rsidRPr="009C0696">
              <w:rPr>
                <w:szCs w:val="20"/>
                <w:lang w:val="en-GB"/>
              </w:rPr>
              <w:t>.</w:t>
            </w:r>
            <w:r w:rsidR="00CA1BD6" w:rsidRPr="009C0696">
              <w:rPr>
                <w:szCs w:val="20"/>
                <w:lang w:val="en-GB"/>
              </w:rPr>
              <w:t>3%</w:t>
            </w:r>
            <w:r w:rsidRPr="009C0696">
              <w:rPr>
                <w:szCs w:val="20"/>
                <w:lang w:val="en-GB"/>
              </w:rPr>
              <w:t xml:space="preserve"> last year</w:t>
            </w:r>
            <w:r w:rsidR="00CA1BD6" w:rsidRPr="009C0696">
              <w:rPr>
                <w:szCs w:val="20"/>
                <w:lang w:val="en-GB"/>
              </w:rPr>
              <w:t xml:space="preserve">. </w:t>
            </w:r>
            <w:r w:rsidR="00B831FB" w:rsidRPr="009C0696">
              <w:rPr>
                <w:szCs w:val="20"/>
                <w:lang w:val="en-GB"/>
              </w:rPr>
              <w:t xml:space="preserve">Especially the prices of consumption goods had a prominent effect </w:t>
            </w:r>
            <w:r w:rsidR="00CA1BD6" w:rsidRPr="009C0696">
              <w:rPr>
                <w:szCs w:val="20"/>
                <w:lang w:val="en-GB"/>
              </w:rPr>
              <w:t>(3</w:t>
            </w:r>
            <w:r w:rsidR="00B831FB" w:rsidRPr="009C0696">
              <w:rPr>
                <w:szCs w:val="20"/>
                <w:lang w:val="en-GB"/>
              </w:rPr>
              <w:t>.</w:t>
            </w:r>
            <w:r w:rsidR="00CA1BD6" w:rsidRPr="009C0696">
              <w:rPr>
                <w:szCs w:val="20"/>
                <w:lang w:val="en-GB"/>
              </w:rPr>
              <w:t xml:space="preserve">5%). </w:t>
            </w:r>
            <w:r w:rsidRPr="009C0696">
              <w:rPr>
                <w:szCs w:val="20"/>
                <w:lang w:val="en-GB"/>
              </w:rPr>
              <w:t xml:space="preserve">In that the deflator of the household consumption expanded by </w:t>
            </w:r>
            <w:r w:rsidR="00CA1BD6" w:rsidRPr="009C0696">
              <w:rPr>
                <w:szCs w:val="20"/>
                <w:lang w:val="en-GB"/>
              </w:rPr>
              <w:t>2</w:t>
            </w:r>
            <w:r w:rsidRPr="009C0696">
              <w:rPr>
                <w:szCs w:val="20"/>
                <w:lang w:val="en-GB"/>
              </w:rPr>
              <w:t>.</w:t>
            </w:r>
            <w:r w:rsidR="00CA1BD6" w:rsidRPr="009C0696">
              <w:rPr>
                <w:szCs w:val="20"/>
                <w:lang w:val="en-GB"/>
              </w:rPr>
              <w:t>5% a</w:t>
            </w:r>
            <w:r w:rsidRPr="009C0696">
              <w:rPr>
                <w:szCs w:val="20"/>
                <w:lang w:val="en-GB"/>
              </w:rPr>
              <w:t xml:space="preserve">nd for the sector of government institutions by </w:t>
            </w:r>
            <w:r w:rsidR="00CA1BD6" w:rsidRPr="009C0696">
              <w:rPr>
                <w:szCs w:val="20"/>
                <w:lang w:val="en-GB"/>
              </w:rPr>
              <w:t>6</w:t>
            </w:r>
            <w:r w:rsidRPr="009C0696">
              <w:rPr>
                <w:szCs w:val="20"/>
                <w:lang w:val="en-GB"/>
              </w:rPr>
              <w:t>.</w:t>
            </w:r>
            <w:r w:rsidR="00CA1BD6" w:rsidRPr="009C0696">
              <w:rPr>
                <w:szCs w:val="20"/>
                <w:lang w:val="en-GB"/>
              </w:rPr>
              <w:t xml:space="preserve">0%. </w:t>
            </w:r>
            <w:r w:rsidR="00B831FB" w:rsidRPr="009C0696">
              <w:rPr>
                <w:szCs w:val="20"/>
                <w:lang w:val="en-GB"/>
              </w:rPr>
              <w:t xml:space="preserve">Prices of investment goods stagnated </w:t>
            </w:r>
            <w:r w:rsidR="00CA1BD6" w:rsidRPr="009C0696">
              <w:rPr>
                <w:szCs w:val="20"/>
                <w:lang w:val="en-GB"/>
              </w:rPr>
              <w:t>(0</w:t>
            </w:r>
            <w:r w:rsidR="00B831FB" w:rsidRPr="009C0696">
              <w:rPr>
                <w:szCs w:val="20"/>
                <w:lang w:val="en-GB"/>
              </w:rPr>
              <w:t>.</w:t>
            </w:r>
            <w:r w:rsidR="00CA1BD6" w:rsidRPr="009C0696">
              <w:rPr>
                <w:szCs w:val="20"/>
                <w:lang w:val="en-GB"/>
              </w:rPr>
              <w:t xml:space="preserve">8%). </w:t>
            </w:r>
            <w:r w:rsidR="00B831FB" w:rsidRPr="009C0696">
              <w:rPr>
                <w:szCs w:val="20"/>
                <w:lang w:val="en-GB"/>
              </w:rPr>
              <w:t xml:space="preserve">Terms of trade ended negative </w:t>
            </w:r>
            <w:r w:rsidR="00CA1BD6" w:rsidRPr="009C0696">
              <w:rPr>
                <w:szCs w:val="20"/>
                <w:lang w:val="en-GB"/>
              </w:rPr>
              <w:t>(99</w:t>
            </w:r>
            <w:r w:rsidR="00B831FB" w:rsidRPr="009C0696">
              <w:rPr>
                <w:szCs w:val="20"/>
                <w:lang w:val="en-GB"/>
              </w:rPr>
              <w:t>.</w:t>
            </w:r>
            <w:r w:rsidR="00CA1BD6" w:rsidRPr="009C0696">
              <w:rPr>
                <w:szCs w:val="20"/>
                <w:lang w:val="en-GB"/>
              </w:rPr>
              <w:t xml:space="preserve">7%). </w:t>
            </w:r>
            <w:r w:rsidR="00B831FB" w:rsidRPr="009C0696">
              <w:rPr>
                <w:szCs w:val="20"/>
                <w:lang w:val="en-GB"/>
              </w:rPr>
              <w:t>The situation in Q</w:t>
            </w:r>
            <w:r w:rsidR="00CA1BD6" w:rsidRPr="009C0696">
              <w:rPr>
                <w:szCs w:val="20"/>
                <w:lang w:val="en-GB"/>
              </w:rPr>
              <w:t>4</w:t>
            </w:r>
            <w:r w:rsidR="00B831FB" w:rsidRPr="009C0696">
              <w:rPr>
                <w:szCs w:val="20"/>
                <w:lang w:val="en-GB"/>
              </w:rPr>
              <w:t xml:space="preserve"> copied the yearly results. Price level increased by </w:t>
            </w:r>
            <w:r w:rsidR="00CA1BD6" w:rsidRPr="009C0696">
              <w:rPr>
                <w:szCs w:val="20"/>
                <w:lang w:val="en-GB"/>
              </w:rPr>
              <w:t>2</w:t>
            </w:r>
            <w:r w:rsidR="00B831FB" w:rsidRPr="009C0696">
              <w:rPr>
                <w:szCs w:val="20"/>
                <w:lang w:val="en-GB"/>
              </w:rPr>
              <w:t>.</w:t>
            </w:r>
            <w:r w:rsidR="00CA1BD6" w:rsidRPr="009C0696">
              <w:rPr>
                <w:szCs w:val="20"/>
                <w:lang w:val="en-GB"/>
              </w:rPr>
              <w:t xml:space="preserve">3%, </w:t>
            </w:r>
            <w:r w:rsidR="00B831FB" w:rsidRPr="009C0696">
              <w:rPr>
                <w:szCs w:val="20"/>
                <w:lang w:val="en-GB"/>
              </w:rPr>
              <w:t xml:space="preserve">in that prices of consumption goods by </w:t>
            </w:r>
            <w:r w:rsidR="00CA1BD6" w:rsidRPr="009C0696">
              <w:rPr>
                <w:szCs w:val="20"/>
                <w:lang w:val="en-GB"/>
              </w:rPr>
              <w:t>3</w:t>
            </w:r>
            <w:r w:rsidR="00B831FB" w:rsidRPr="009C0696">
              <w:rPr>
                <w:szCs w:val="20"/>
                <w:lang w:val="en-GB"/>
              </w:rPr>
              <w:t>.</w:t>
            </w:r>
            <w:r w:rsidR="00CA1BD6" w:rsidRPr="009C0696">
              <w:rPr>
                <w:szCs w:val="20"/>
                <w:lang w:val="en-GB"/>
              </w:rPr>
              <w:t xml:space="preserve">4%. </w:t>
            </w:r>
            <w:r w:rsidR="00E90E6E" w:rsidRPr="009C0696">
              <w:rPr>
                <w:szCs w:val="20"/>
                <w:lang w:val="en-GB"/>
              </w:rPr>
              <w:t xml:space="preserve">Growth of the price level of investment goods accelerated in the second half of the year </w:t>
            </w:r>
            <w:r w:rsidR="00CA1BD6" w:rsidRPr="009C0696">
              <w:rPr>
                <w:szCs w:val="20"/>
                <w:lang w:val="en-GB"/>
              </w:rPr>
              <w:t>a</w:t>
            </w:r>
            <w:r w:rsidR="00E90E6E" w:rsidRPr="009C0696">
              <w:rPr>
                <w:szCs w:val="20"/>
                <w:lang w:val="en-GB"/>
              </w:rPr>
              <w:t xml:space="preserve">nd ended in </w:t>
            </w:r>
            <w:r w:rsidR="00CA1BD6" w:rsidRPr="009C0696">
              <w:rPr>
                <w:szCs w:val="20"/>
                <w:lang w:val="en-GB"/>
              </w:rPr>
              <w:t>2</w:t>
            </w:r>
            <w:r w:rsidR="00E90E6E" w:rsidRPr="009C0696">
              <w:rPr>
                <w:szCs w:val="20"/>
                <w:lang w:val="en-GB"/>
              </w:rPr>
              <w:t>.</w:t>
            </w:r>
            <w:r w:rsidR="00CA1BD6" w:rsidRPr="009C0696">
              <w:rPr>
                <w:szCs w:val="20"/>
                <w:lang w:val="en-GB"/>
              </w:rPr>
              <w:t>2%</w:t>
            </w:r>
            <w:r w:rsidR="00E90E6E" w:rsidRPr="009C0696">
              <w:rPr>
                <w:szCs w:val="20"/>
                <w:lang w:val="en-GB"/>
              </w:rPr>
              <w:t xml:space="preserve"> in the final quarter</w:t>
            </w:r>
            <w:r w:rsidR="00CA1BD6" w:rsidRPr="009C0696">
              <w:rPr>
                <w:szCs w:val="20"/>
                <w:lang w:val="en-GB"/>
              </w:rPr>
              <w:t xml:space="preserve">. </w:t>
            </w:r>
            <w:r w:rsidR="00E90E6E" w:rsidRPr="009C0696">
              <w:rPr>
                <w:szCs w:val="20"/>
                <w:lang w:val="en-GB"/>
              </w:rPr>
              <w:t xml:space="preserve">Terms of trade were 99.1% at the end of the year.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F7FC7" w:rsidRDefault="000864D5" w:rsidP="000864D5">
            <w:pPr>
              <w:spacing w:after="0"/>
              <w:rPr>
                <w:szCs w:val="20"/>
                <w:lang w:val="en-GB"/>
              </w:rPr>
            </w:pPr>
            <w:r w:rsidRPr="009F7FC7">
              <w:rPr>
                <w:b/>
                <w:szCs w:val="20"/>
                <w:lang w:val="en-GB"/>
              </w:rPr>
              <w:t xml:space="preserve">Chart </w:t>
            </w:r>
            <w:proofErr w:type="gramStart"/>
            <w:r w:rsidR="00CA1BD6" w:rsidRPr="009F7FC7">
              <w:rPr>
                <w:b/>
                <w:szCs w:val="20"/>
                <w:lang w:val="en-GB"/>
              </w:rPr>
              <w:t xml:space="preserve">10  </w:t>
            </w:r>
            <w:r w:rsidR="00CA1BD6" w:rsidRPr="009F7FC7">
              <w:rPr>
                <w:rFonts w:cs="Arial"/>
                <w:b/>
                <w:bCs/>
                <w:color w:val="000000"/>
                <w:szCs w:val="20"/>
                <w:lang w:val="en-GB"/>
              </w:rPr>
              <w:t>Defl</w:t>
            </w:r>
            <w:r w:rsidRPr="009F7FC7">
              <w:rPr>
                <w:rFonts w:cs="Arial"/>
                <w:b/>
                <w:bCs/>
                <w:color w:val="000000"/>
                <w:szCs w:val="20"/>
                <w:lang w:val="en-GB"/>
              </w:rPr>
              <w:t>ators</w:t>
            </w:r>
            <w:proofErr w:type="gramEnd"/>
            <w:r w:rsidRPr="009F7FC7">
              <w:rPr>
                <w:rFonts w:cs="Arial"/>
                <w:b/>
                <w:bCs/>
                <w:color w:val="000000"/>
                <w:szCs w:val="20"/>
                <w:lang w:val="en-GB"/>
              </w:rPr>
              <w:t xml:space="preserve"> </w:t>
            </w:r>
            <w:r w:rsidR="00CA1BD6" w:rsidRPr="009F7FC7">
              <w:rPr>
                <w:rFonts w:cs="Arial"/>
                <w:color w:val="000000"/>
                <w:szCs w:val="20"/>
                <w:lang w:val="en-GB"/>
              </w:rPr>
              <w:t>(</w:t>
            </w:r>
            <w:r w:rsidRPr="009F7FC7">
              <w:rPr>
                <w:rFonts w:cs="Arial"/>
                <w:color w:val="000000"/>
                <w:szCs w:val="20"/>
                <w:lang w:val="en-GB"/>
              </w:rPr>
              <w:t xml:space="preserve">adjusted for seasonal and calendar effects, year-on-year in </w:t>
            </w:r>
            <w:r w:rsidR="00CA1BD6" w:rsidRPr="009F7FC7">
              <w:rPr>
                <w:rFonts w:cs="Arial"/>
                <w:color w:val="000000"/>
                <w:szCs w:val="20"/>
                <w:lang w:val="en-GB"/>
              </w:rPr>
              <w:t>%)</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67CB12E0" wp14:editId="6069F148">
                  <wp:extent cx="4737600" cy="3553200"/>
                  <wp:effectExtent l="0" t="0" r="6350" b="0"/>
                  <wp:docPr id="44" name="Graf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1A1D45" w:rsidRPr="009C0696" w:rsidRDefault="004A5AF4" w:rsidP="002505E3">
            <w:pPr>
              <w:rPr>
                <w:sz w:val="18"/>
                <w:szCs w:val="18"/>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r w:rsidR="00CA1BD6" w:rsidRPr="009C0696">
              <w:rPr>
                <w:sz w:val="14"/>
                <w:szCs w:val="14"/>
                <w:lang w:val="en-GB"/>
              </w:rPr>
              <w:t>, n</w:t>
            </w:r>
            <w:r w:rsidRPr="009C0696">
              <w:rPr>
                <w:sz w:val="14"/>
                <w:szCs w:val="14"/>
                <w:lang w:val="en-GB"/>
              </w:rPr>
              <w:t>ational accounts</w:t>
            </w:r>
          </w:p>
        </w:tc>
      </w:tr>
      <w:tr w:rsidR="00CA1BD6" w:rsidRPr="009C0696" w:rsidTr="002505E3">
        <w:trPr>
          <w:trHeight w:val="145"/>
        </w:trPr>
        <w:tc>
          <w:tcPr>
            <w:tcW w:w="1801" w:type="dxa"/>
            <w:shd w:val="clear" w:color="auto" w:fill="auto"/>
            <w:tcMar>
              <w:left w:w="0" w:type="dxa"/>
            </w:tcMar>
          </w:tcPr>
          <w:p w:rsidR="00CA1BD6" w:rsidRPr="009C0696" w:rsidRDefault="008E79BB" w:rsidP="008E79BB">
            <w:pPr>
              <w:pStyle w:val="Marginlie"/>
              <w:rPr>
                <w:spacing w:val="0"/>
                <w:lang w:val="en-GB"/>
              </w:rPr>
            </w:pPr>
            <w:r w:rsidRPr="009C0696">
              <w:rPr>
                <w:spacing w:val="0"/>
                <w:lang w:val="en-GB"/>
              </w:rPr>
              <w:t xml:space="preserve">Consumer prices grew slower last year compared to year </w:t>
            </w:r>
            <w:r w:rsidR="00CA1BD6" w:rsidRPr="009C0696">
              <w:rPr>
                <w:spacing w:val="0"/>
                <w:lang w:val="en-GB"/>
              </w:rPr>
              <w:t>2017</w:t>
            </w:r>
            <w:r w:rsidRPr="009C0696">
              <w:rPr>
                <w:spacing w:val="0"/>
                <w:lang w:val="en-GB"/>
              </w:rPr>
              <w:t xml:space="preserve">. </w:t>
            </w:r>
            <w:r w:rsidR="00CA1BD6" w:rsidRPr="009C0696">
              <w:rPr>
                <w:spacing w:val="0"/>
                <w:lang w:val="en-GB"/>
              </w:rPr>
              <w:t xml:space="preserve">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8E79BB" w:rsidP="004D6ED7">
            <w:pPr>
              <w:spacing w:after="0"/>
              <w:rPr>
                <w:lang w:val="en-GB"/>
              </w:rPr>
            </w:pPr>
            <w:r w:rsidRPr="009C0696">
              <w:rPr>
                <w:lang w:val="en-GB"/>
              </w:rPr>
              <w:t xml:space="preserve">Total year-on-year increase of the consumer price index reached 2.1% in </w:t>
            </w:r>
            <w:r w:rsidR="00CA1BD6" w:rsidRPr="009C0696">
              <w:rPr>
                <w:lang w:val="en-GB"/>
              </w:rPr>
              <w:t>2018</w:t>
            </w:r>
            <w:r w:rsidRPr="009C0696">
              <w:rPr>
                <w:lang w:val="en-GB"/>
              </w:rPr>
              <w:t>. It</w:t>
            </w:r>
            <w:r w:rsidR="00B77CE4" w:rsidRPr="009C0696">
              <w:rPr>
                <w:lang w:val="en-GB"/>
              </w:rPr>
              <w:t xml:space="preserve"> </w:t>
            </w:r>
            <w:r w:rsidRPr="009C0696">
              <w:rPr>
                <w:lang w:val="en-GB"/>
              </w:rPr>
              <w:t>is by 0.</w:t>
            </w:r>
            <w:r w:rsidR="00CA1BD6" w:rsidRPr="009C0696">
              <w:rPr>
                <w:lang w:val="en-GB"/>
              </w:rPr>
              <w:t>4 p.</w:t>
            </w:r>
            <w:r w:rsidRPr="009C0696">
              <w:rPr>
                <w:lang w:val="en-GB"/>
              </w:rPr>
              <w:t>p. less than in year 2</w:t>
            </w:r>
            <w:r w:rsidR="00CA1BD6" w:rsidRPr="009C0696">
              <w:rPr>
                <w:lang w:val="en-GB"/>
              </w:rPr>
              <w:t xml:space="preserve">017. </w:t>
            </w:r>
            <w:r w:rsidR="00121F4B" w:rsidRPr="009C0696">
              <w:rPr>
                <w:lang w:val="en-GB"/>
              </w:rPr>
              <w:t xml:space="preserve">However, in more long-term context, it represents an above average value </w:t>
            </w:r>
            <w:r w:rsidR="00CA1BD6" w:rsidRPr="009C0696">
              <w:rPr>
                <w:lang w:val="en-GB"/>
              </w:rPr>
              <w:t>(</w:t>
            </w:r>
            <w:r w:rsidR="00121F4B" w:rsidRPr="009C0696">
              <w:rPr>
                <w:lang w:val="en-GB"/>
              </w:rPr>
              <w:t>third highest additions in the last 10 years</w:t>
            </w:r>
            <w:r w:rsidR="00CA1BD6" w:rsidRPr="009C0696">
              <w:rPr>
                <w:lang w:val="en-GB"/>
              </w:rPr>
              <w:t xml:space="preserve">). </w:t>
            </w:r>
            <w:r w:rsidR="00CC6F86" w:rsidRPr="009C0696">
              <w:rPr>
                <w:lang w:val="en-GB"/>
              </w:rPr>
              <w:t xml:space="preserve">The division housing, water, energies, fuels had the key influence on the raised prices last year </w:t>
            </w:r>
            <w:r w:rsidR="00CA1BD6" w:rsidRPr="009C0696">
              <w:rPr>
                <w:lang w:val="en-GB"/>
              </w:rPr>
              <w:t>(0</w:t>
            </w:r>
            <w:r w:rsidR="00CC6F86" w:rsidRPr="009C0696">
              <w:rPr>
                <w:lang w:val="en-GB"/>
              </w:rPr>
              <w:t>.</w:t>
            </w:r>
            <w:r w:rsidR="00CA1BD6" w:rsidRPr="009C0696">
              <w:rPr>
                <w:lang w:val="en-GB"/>
              </w:rPr>
              <w:t>7 p.</w:t>
            </w:r>
            <w:r w:rsidR="00CC6F86" w:rsidRPr="009C0696">
              <w:rPr>
                <w:lang w:val="en-GB"/>
              </w:rPr>
              <w:t>p.</w:t>
            </w:r>
            <w:r w:rsidR="00CA1BD6" w:rsidRPr="009C0696">
              <w:rPr>
                <w:lang w:val="en-GB"/>
              </w:rPr>
              <w:t xml:space="preserve">). </w:t>
            </w:r>
            <w:r w:rsidR="00B77CE4" w:rsidRPr="009C0696">
              <w:rPr>
                <w:lang w:val="en-GB"/>
              </w:rPr>
              <w:t>Prices of t</w:t>
            </w:r>
            <w:r w:rsidR="00CC6F86" w:rsidRPr="009C0696">
              <w:rPr>
                <w:lang w:val="en-GB"/>
              </w:rPr>
              <w:t xml:space="preserve">ransportation and alcoholic beverages and tobacco </w:t>
            </w:r>
            <w:r w:rsidR="008C66EF" w:rsidRPr="009C0696">
              <w:rPr>
                <w:lang w:val="en-GB"/>
              </w:rPr>
              <w:t>notably</w:t>
            </w:r>
            <w:r w:rsidR="00CC6F86" w:rsidRPr="009C0696">
              <w:rPr>
                <w:lang w:val="en-GB"/>
              </w:rPr>
              <w:t xml:space="preserve"> contributed to the rising consumer inflation </w:t>
            </w:r>
            <w:r w:rsidR="00CA1BD6" w:rsidRPr="009C0696">
              <w:rPr>
                <w:lang w:val="en-GB"/>
              </w:rPr>
              <w:t>(s</w:t>
            </w:r>
            <w:r w:rsidR="00CC6F86" w:rsidRPr="009C0696">
              <w:rPr>
                <w:lang w:val="en-GB"/>
              </w:rPr>
              <w:t xml:space="preserve">imilarly by </w:t>
            </w:r>
            <w:r w:rsidR="00CA1BD6" w:rsidRPr="009C0696">
              <w:rPr>
                <w:lang w:val="en-GB"/>
              </w:rPr>
              <w:t>0</w:t>
            </w:r>
            <w:r w:rsidR="00CC6F86" w:rsidRPr="009C0696">
              <w:rPr>
                <w:lang w:val="en-GB"/>
              </w:rPr>
              <w:t>.</w:t>
            </w:r>
            <w:r w:rsidR="00CA1BD6" w:rsidRPr="009C0696">
              <w:rPr>
                <w:lang w:val="en-GB"/>
              </w:rPr>
              <w:t>3 p.</w:t>
            </w:r>
            <w:r w:rsidR="00CC6F86" w:rsidRPr="009C0696">
              <w:rPr>
                <w:lang w:val="en-GB"/>
              </w:rPr>
              <w:t>p.</w:t>
            </w:r>
            <w:r w:rsidR="00CA1BD6" w:rsidRPr="009C0696">
              <w:rPr>
                <w:lang w:val="en-GB"/>
              </w:rPr>
              <w:t xml:space="preserve">). </w:t>
            </w:r>
            <w:r w:rsidR="008C66EF" w:rsidRPr="009C0696">
              <w:rPr>
                <w:lang w:val="en-GB"/>
              </w:rPr>
              <w:t xml:space="preserve">Food and non-alcoholic beverages, which were the main factor behind the price growth in </w:t>
            </w:r>
            <w:r w:rsidR="00CA1BD6" w:rsidRPr="009C0696">
              <w:rPr>
                <w:lang w:val="en-GB"/>
              </w:rPr>
              <w:t>2017</w:t>
            </w:r>
            <w:r w:rsidR="008C66EF" w:rsidRPr="009C0696">
              <w:rPr>
                <w:lang w:val="en-GB"/>
              </w:rPr>
              <w:t xml:space="preserve"> contributed </w:t>
            </w:r>
            <w:r w:rsidR="00CA1BD6" w:rsidRPr="009C0696">
              <w:rPr>
                <w:lang w:val="en-GB"/>
              </w:rPr>
              <w:t>0</w:t>
            </w:r>
            <w:r w:rsidR="008C66EF" w:rsidRPr="009C0696">
              <w:rPr>
                <w:lang w:val="en-GB"/>
              </w:rPr>
              <w:t>.</w:t>
            </w:r>
            <w:r w:rsidR="00CA1BD6" w:rsidRPr="009C0696">
              <w:rPr>
                <w:lang w:val="en-GB"/>
              </w:rPr>
              <w:t>3 p.</w:t>
            </w:r>
            <w:r w:rsidR="008C66EF" w:rsidRPr="009C0696">
              <w:rPr>
                <w:lang w:val="en-GB"/>
              </w:rPr>
              <w:t xml:space="preserve">p. last year. </w:t>
            </w:r>
            <w:r w:rsidR="00DB5D35" w:rsidRPr="009C0696">
              <w:rPr>
                <w:lang w:val="en-GB"/>
              </w:rPr>
              <w:t xml:space="preserve">Year-on-year growth of prices hit </w:t>
            </w:r>
            <w:r w:rsidR="00CA1BD6" w:rsidRPr="009C0696">
              <w:rPr>
                <w:lang w:val="en-GB"/>
              </w:rPr>
              <w:t>2</w:t>
            </w:r>
            <w:r w:rsidR="00DB5D35" w:rsidRPr="009C0696">
              <w:rPr>
                <w:lang w:val="en-GB"/>
              </w:rPr>
              <w:t>.</w:t>
            </w:r>
            <w:r w:rsidR="00CA1BD6" w:rsidRPr="009C0696">
              <w:rPr>
                <w:lang w:val="en-GB"/>
              </w:rPr>
              <w:t>1%</w:t>
            </w:r>
            <w:r w:rsidR="00DB5D35" w:rsidRPr="009C0696">
              <w:rPr>
                <w:lang w:val="en-GB"/>
              </w:rPr>
              <w:t xml:space="preserve"> in Q4 only</w:t>
            </w:r>
            <w:r w:rsidR="00CA1BD6" w:rsidRPr="009C0696">
              <w:rPr>
                <w:lang w:val="en-GB"/>
              </w:rPr>
              <w:t>.</w:t>
            </w:r>
            <w:r w:rsidR="00DB5D35" w:rsidRPr="009C0696">
              <w:rPr>
                <w:lang w:val="en-GB"/>
              </w:rPr>
              <w:t xml:space="preserve"> The prices dynamics moderated compared to Q</w:t>
            </w:r>
            <w:r w:rsidR="00CA1BD6" w:rsidRPr="009C0696">
              <w:rPr>
                <w:lang w:val="en-GB"/>
              </w:rPr>
              <w:t>3</w:t>
            </w:r>
            <w:r w:rsidR="00DB5D35" w:rsidRPr="009C0696">
              <w:rPr>
                <w:lang w:val="en-GB"/>
              </w:rPr>
              <w:t>, mostly due to the fall of prices of food as well as the slowdown of growth of pri</w:t>
            </w:r>
            <w:r w:rsidR="00B77CE4" w:rsidRPr="009C0696">
              <w:rPr>
                <w:lang w:val="en-GB"/>
              </w:rPr>
              <w:t>c</w:t>
            </w:r>
            <w:r w:rsidR="00DB5D35" w:rsidRPr="009C0696">
              <w:rPr>
                <w:lang w:val="en-GB"/>
              </w:rPr>
              <w:t>es of transportation</w:t>
            </w:r>
            <w:r w:rsidR="00CA1BD6" w:rsidRPr="009C0696">
              <w:rPr>
                <w:lang w:val="en-GB"/>
              </w:rPr>
              <w:t>.</w:t>
            </w:r>
            <w:r w:rsidR="000F4F77" w:rsidRPr="009C0696">
              <w:rPr>
                <w:lang w:val="en-GB"/>
              </w:rPr>
              <w:t xml:space="preserve"> Prices of housing and energies had a dominant effect on the price level growth. Price development was more differentiated for various groups of population in 2018 than in other years. Consumer price index for households in Prague thus increased by 2.</w:t>
            </w:r>
            <w:r w:rsidR="00CA1BD6" w:rsidRPr="009C0696">
              <w:rPr>
                <w:lang w:val="en-GB"/>
              </w:rPr>
              <w:t xml:space="preserve">3%, </w:t>
            </w:r>
            <w:r w:rsidR="000F4F77" w:rsidRPr="009C0696">
              <w:rPr>
                <w:lang w:val="en-GB"/>
              </w:rPr>
              <w:t xml:space="preserve">while for the households of pensioners by </w:t>
            </w:r>
            <w:r w:rsidR="00CA1BD6" w:rsidRPr="009C0696">
              <w:rPr>
                <w:lang w:val="en-GB"/>
              </w:rPr>
              <w:t>1</w:t>
            </w:r>
            <w:r w:rsidR="000F4F77" w:rsidRPr="009C0696">
              <w:rPr>
                <w:lang w:val="en-GB"/>
              </w:rPr>
              <w:t>.</w:t>
            </w:r>
            <w:r w:rsidR="00CA1BD6" w:rsidRPr="009C0696">
              <w:rPr>
                <w:lang w:val="en-GB"/>
              </w:rPr>
              <w:t xml:space="preserve">9%. </w:t>
            </w:r>
            <w:r w:rsidR="000F4F77" w:rsidRPr="009C0696">
              <w:rPr>
                <w:lang w:val="en-GB"/>
              </w:rPr>
              <w:t xml:space="preserve">Differences arise especially due to the varying weight structure of the consumer basket of both groups. </w:t>
            </w:r>
            <w:r w:rsidR="00B60234" w:rsidRPr="009C0696">
              <w:rPr>
                <w:lang w:val="en-GB"/>
              </w:rPr>
              <w:t xml:space="preserve">It was likely the most apparent on the item housing and energies last year. </w:t>
            </w:r>
            <w:r w:rsidR="00EA01E3" w:rsidRPr="009C0696">
              <w:rPr>
                <w:lang w:val="en-GB"/>
              </w:rPr>
              <w:t xml:space="preserve">This division contributed to the growth of the index 1.1 p.p. for households in Prague, it was 0.4 p.p. in case of pensioners. </w:t>
            </w:r>
            <w:r w:rsidR="004D6ED7" w:rsidRPr="009C0696">
              <w:rPr>
                <w:lang w:val="en-GB"/>
              </w:rPr>
              <w:t xml:space="preserve">On the other hand, consumers in household of pensioners felt more strongly the effect of prices of food and non-alcoholic beverages, which contributed </w:t>
            </w:r>
            <w:r w:rsidR="004D6ED7" w:rsidRPr="009C0696">
              <w:rPr>
                <w:lang w:val="en-GB"/>
              </w:rPr>
              <w:lastRenderedPageBreak/>
              <w:t>0.3 p.p. to the total growth of prices for them, while they did not contribute to the year-on-year dynamics for households in Prague.</w:t>
            </w:r>
          </w:p>
          <w:p w:rsidR="004D6ED7" w:rsidRPr="009C0696" w:rsidRDefault="004D6ED7" w:rsidP="004D6ED7">
            <w:pPr>
              <w:spacing w:after="0"/>
              <w:rPr>
                <w:highlight w:val="yellow"/>
                <w:lang w:val="en-GB"/>
              </w:rPr>
            </w:pPr>
          </w:p>
        </w:tc>
      </w:tr>
      <w:tr w:rsidR="00CA1BD6" w:rsidRPr="009C0696" w:rsidTr="002505E3">
        <w:trPr>
          <w:trHeight w:val="145"/>
        </w:trPr>
        <w:tc>
          <w:tcPr>
            <w:tcW w:w="1801" w:type="dxa"/>
            <w:shd w:val="clear" w:color="auto" w:fill="auto"/>
            <w:tcMar>
              <w:left w:w="0" w:type="dxa"/>
            </w:tcMar>
          </w:tcPr>
          <w:p w:rsidR="00CA1BD6" w:rsidRPr="009C0696" w:rsidRDefault="00047D5E" w:rsidP="00047D5E">
            <w:pPr>
              <w:pStyle w:val="Marginlie"/>
              <w:rPr>
                <w:spacing w:val="0"/>
                <w:lang w:val="en-GB"/>
              </w:rPr>
            </w:pPr>
            <w:r w:rsidRPr="009C0696">
              <w:rPr>
                <w:spacing w:val="0"/>
                <w:lang w:val="en-GB"/>
              </w:rPr>
              <w:t xml:space="preserve">Prices of housing and energies were accelerating their year-on-year growth during the year.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047D5E" w:rsidP="00A66828">
            <w:pPr>
              <w:rPr>
                <w:lang w:val="en-GB"/>
              </w:rPr>
            </w:pPr>
            <w:r w:rsidRPr="009C0696">
              <w:rPr>
                <w:lang w:val="en-GB"/>
              </w:rPr>
              <w:t xml:space="preserve">Prices of housing, water, energies and fuels rose by 3.0% in </w:t>
            </w:r>
            <w:r w:rsidR="00CA1BD6" w:rsidRPr="009C0696">
              <w:rPr>
                <w:lang w:val="en-GB"/>
              </w:rPr>
              <w:t>2018</w:t>
            </w:r>
            <w:r w:rsidRPr="009C0696">
              <w:rPr>
                <w:lang w:val="en-GB"/>
              </w:rPr>
              <w:t xml:space="preserve">. The year-on-year dynamics gained intensity during the year </w:t>
            </w:r>
            <w:r w:rsidR="00CA1BD6" w:rsidRPr="009C0696">
              <w:rPr>
                <w:lang w:val="en-GB"/>
              </w:rPr>
              <w:t>(2</w:t>
            </w:r>
            <w:r w:rsidRPr="009C0696">
              <w:rPr>
                <w:lang w:val="en-GB"/>
              </w:rPr>
              <w:t>.</w:t>
            </w:r>
            <w:r w:rsidR="00CA1BD6" w:rsidRPr="009C0696">
              <w:rPr>
                <w:lang w:val="en-GB"/>
              </w:rPr>
              <w:t>3%, 2</w:t>
            </w:r>
            <w:r w:rsidRPr="009C0696">
              <w:rPr>
                <w:lang w:val="en-GB"/>
              </w:rPr>
              <w:t>.</w:t>
            </w:r>
            <w:r w:rsidR="00CA1BD6" w:rsidRPr="009C0696">
              <w:rPr>
                <w:lang w:val="en-GB"/>
              </w:rPr>
              <w:t>6%, 3</w:t>
            </w:r>
            <w:r w:rsidRPr="009C0696">
              <w:rPr>
                <w:lang w:val="en-GB"/>
              </w:rPr>
              <w:t>.</w:t>
            </w:r>
            <w:r w:rsidR="00CA1BD6" w:rsidRPr="009C0696">
              <w:rPr>
                <w:lang w:val="en-GB"/>
              </w:rPr>
              <w:t xml:space="preserve">2% </w:t>
            </w:r>
            <w:r w:rsidR="00A66828" w:rsidRPr="009C0696">
              <w:rPr>
                <w:lang w:val="en-GB"/>
              </w:rPr>
              <w:t>and 3.8</w:t>
            </w:r>
            <w:r w:rsidR="00CA1BD6" w:rsidRPr="009C0696">
              <w:rPr>
                <w:lang w:val="en-GB"/>
              </w:rPr>
              <w:t xml:space="preserve">% </w:t>
            </w:r>
            <w:r w:rsidRPr="009C0696">
              <w:rPr>
                <w:lang w:val="en-GB"/>
              </w:rPr>
              <w:t>in individual quarters</w:t>
            </w:r>
            <w:r w:rsidR="00CA1BD6" w:rsidRPr="009C0696">
              <w:rPr>
                <w:lang w:val="en-GB"/>
              </w:rPr>
              <w:t xml:space="preserve">). </w:t>
            </w:r>
            <w:r w:rsidR="009A04FD" w:rsidRPr="009C0696">
              <w:rPr>
                <w:lang w:val="en-GB"/>
              </w:rPr>
              <w:t>The imputed rent for housing (cost of ownership living) added the strongest to the growth of prices</w:t>
            </w:r>
            <w:r w:rsidR="00CA1BD6" w:rsidRPr="009C0696">
              <w:rPr>
                <w:lang w:val="en-GB"/>
              </w:rPr>
              <w:t xml:space="preserve">. </w:t>
            </w:r>
            <w:r w:rsidR="009A04FD" w:rsidRPr="009C0696">
              <w:rPr>
                <w:lang w:val="en-GB"/>
              </w:rPr>
              <w:t xml:space="preserve">It grew by </w:t>
            </w:r>
            <w:r w:rsidR="00CA1BD6" w:rsidRPr="009C0696">
              <w:rPr>
                <w:lang w:val="en-GB"/>
              </w:rPr>
              <w:t>4</w:t>
            </w:r>
            <w:r w:rsidR="009A04FD" w:rsidRPr="009C0696">
              <w:rPr>
                <w:lang w:val="en-GB"/>
              </w:rPr>
              <w:t>.</w:t>
            </w:r>
            <w:r w:rsidR="00CA1BD6" w:rsidRPr="009C0696">
              <w:rPr>
                <w:lang w:val="en-GB"/>
              </w:rPr>
              <w:t>3%</w:t>
            </w:r>
            <w:r w:rsidR="009A04FD" w:rsidRPr="009C0696">
              <w:rPr>
                <w:lang w:val="en-GB"/>
              </w:rPr>
              <w:t xml:space="preserve"> last year and added one half to the growth of prices in the whole division. Renting for flats also notably increased last year </w:t>
            </w:r>
            <w:r w:rsidR="00CA1BD6" w:rsidRPr="009C0696">
              <w:rPr>
                <w:lang w:val="en-GB"/>
              </w:rPr>
              <w:t>(3</w:t>
            </w:r>
            <w:r w:rsidR="009A04FD" w:rsidRPr="009C0696">
              <w:rPr>
                <w:lang w:val="en-GB"/>
              </w:rPr>
              <w:t>.</w:t>
            </w:r>
            <w:r w:rsidR="00CA1BD6" w:rsidRPr="009C0696">
              <w:rPr>
                <w:lang w:val="en-GB"/>
              </w:rPr>
              <w:t xml:space="preserve">0%). </w:t>
            </w:r>
            <w:r w:rsidR="00A65FEF" w:rsidRPr="009C0696">
              <w:rPr>
                <w:lang w:val="en-GB"/>
              </w:rPr>
              <w:t>Prices of electric</w:t>
            </w:r>
            <w:r w:rsidR="00B77CE4" w:rsidRPr="009C0696">
              <w:rPr>
                <w:lang w:val="en-GB"/>
              </w:rPr>
              <w:t>ity</w:t>
            </w:r>
            <w:r w:rsidR="00A65FEF" w:rsidRPr="009C0696">
              <w:rPr>
                <w:lang w:val="en-GB"/>
              </w:rPr>
              <w:t xml:space="preserve"> and heating, gas and other fuels also joined the rising cost of housing after a longer period of stagnation in </w:t>
            </w:r>
            <w:r w:rsidR="00CA1BD6" w:rsidRPr="009C0696">
              <w:rPr>
                <w:lang w:val="en-GB"/>
              </w:rPr>
              <w:t>2018. T</w:t>
            </w:r>
            <w:r w:rsidR="00A65FEF" w:rsidRPr="009C0696">
              <w:rPr>
                <w:lang w:val="en-GB"/>
              </w:rPr>
              <w:t xml:space="preserve">hey increased by </w:t>
            </w:r>
            <w:r w:rsidR="00CA1BD6" w:rsidRPr="009C0696">
              <w:rPr>
                <w:lang w:val="en-GB"/>
              </w:rPr>
              <w:t>2</w:t>
            </w:r>
            <w:r w:rsidR="00A65FEF" w:rsidRPr="009C0696">
              <w:rPr>
                <w:lang w:val="en-GB"/>
              </w:rPr>
              <w:t>.</w:t>
            </w:r>
            <w:r w:rsidR="00CA1BD6" w:rsidRPr="009C0696">
              <w:rPr>
                <w:lang w:val="en-GB"/>
              </w:rPr>
              <w:t xml:space="preserve">1%, </w:t>
            </w:r>
            <w:r w:rsidR="00A65FEF" w:rsidRPr="009C0696">
              <w:rPr>
                <w:lang w:val="en-GB"/>
              </w:rPr>
              <w:t xml:space="preserve">the most since year </w:t>
            </w:r>
            <w:r w:rsidR="00CA1BD6" w:rsidRPr="009C0696">
              <w:rPr>
                <w:lang w:val="en-GB"/>
              </w:rPr>
              <w:t xml:space="preserve">2012. </w:t>
            </w:r>
            <w:r w:rsidR="00E771F0" w:rsidRPr="009C0696">
              <w:rPr>
                <w:lang w:val="en-GB"/>
              </w:rPr>
              <w:t xml:space="preserve">The prices of common maintenance and repair of household goods also grew relatively strongly </w:t>
            </w:r>
            <w:r w:rsidR="00CA1BD6" w:rsidRPr="009C0696">
              <w:rPr>
                <w:lang w:val="en-GB"/>
              </w:rPr>
              <w:t>(3</w:t>
            </w:r>
            <w:r w:rsidR="00E771F0" w:rsidRPr="009C0696">
              <w:rPr>
                <w:lang w:val="en-GB"/>
              </w:rPr>
              <w:t>.</w:t>
            </w:r>
            <w:r w:rsidR="00CA1BD6" w:rsidRPr="009C0696">
              <w:rPr>
                <w:lang w:val="en-GB"/>
              </w:rPr>
              <w:t>7%).</w:t>
            </w:r>
            <w:r w:rsidR="00B732FE" w:rsidRPr="009C0696">
              <w:rPr>
                <w:lang w:val="en-GB"/>
              </w:rPr>
              <w:t xml:space="preserve"> In Q</w:t>
            </w:r>
            <w:r w:rsidR="00CA1BD6" w:rsidRPr="009C0696">
              <w:rPr>
                <w:lang w:val="en-GB"/>
              </w:rPr>
              <w:t>4</w:t>
            </w:r>
            <w:r w:rsidR="00B732FE" w:rsidRPr="009C0696">
              <w:rPr>
                <w:lang w:val="en-GB"/>
              </w:rPr>
              <w:t xml:space="preserve">, the year-on-year growth of imputed rents </w:t>
            </w:r>
            <w:r w:rsidR="00CA1BD6" w:rsidRPr="009C0696">
              <w:rPr>
                <w:lang w:val="en-GB"/>
              </w:rPr>
              <w:t>(5</w:t>
            </w:r>
            <w:r w:rsidR="00B732FE" w:rsidRPr="009C0696">
              <w:rPr>
                <w:lang w:val="en-GB"/>
              </w:rPr>
              <w:t>.</w:t>
            </w:r>
            <w:r w:rsidR="00CA1BD6" w:rsidRPr="009C0696">
              <w:rPr>
                <w:lang w:val="en-GB"/>
              </w:rPr>
              <w:t>4%), ele</w:t>
            </w:r>
            <w:r w:rsidR="00B732FE" w:rsidRPr="009C0696">
              <w:rPr>
                <w:lang w:val="en-GB"/>
              </w:rPr>
              <w:t xml:space="preserve">ctricity, gas and energies </w:t>
            </w:r>
            <w:r w:rsidR="00CA1BD6" w:rsidRPr="009C0696">
              <w:rPr>
                <w:lang w:val="en-GB"/>
              </w:rPr>
              <w:t>(2</w:t>
            </w:r>
            <w:r w:rsidR="00B732FE" w:rsidRPr="009C0696">
              <w:rPr>
                <w:lang w:val="en-GB"/>
              </w:rPr>
              <w:t>.</w:t>
            </w:r>
            <w:r w:rsidR="00CA1BD6" w:rsidRPr="009C0696">
              <w:rPr>
                <w:lang w:val="en-GB"/>
              </w:rPr>
              <w:t xml:space="preserve">8%) </w:t>
            </w:r>
            <w:r w:rsidR="00B732FE" w:rsidRPr="009C0696">
              <w:rPr>
                <w:lang w:val="en-GB"/>
              </w:rPr>
              <w:t xml:space="preserve">as well as common maintenance and repairs </w:t>
            </w:r>
            <w:r w:rsidR="00CA1BD6" w:rsidRPr="009C0696">
              <w:rPr>
                <w:lang w:val="en-GB"/>
              </w:rPr>
              <w:t>(4</w:t>
            </w:r>
            <w:r w:rsidR="00B732FE" w:rsidRPr="009C0696">
              <w:rPr>
                <w:lang w:val="en-GB"/>
              </w:rPr>
              <w:t>.</w:t>
            </w:r>
            <w:r w:rsidR="00CA1BD6" w:rsidRPr="009C0696">
              <w:rPr>
                <w:lang w:val="en-GB"/>
              </w:rPr>
              <w:t>1%)</w:t>
            </w:r>
            <w:r w:rsidR="00B732FE" w:rsidRPr="009C0696">
              <w:rPr>
                <w:lang w:val="en-GB"/>
              </w:rPr>
              <w:t xml:space="preserve"> strengthened</w:t>
            </w:r>
            <w:r w:rsidR="00CA1BD6" w:rsidRPr="009C0696">
              <w:rPr>
                <w:lang w:val="en-GB"/>
              </w:rPr>
              <w:t xml:space="preserve">. </w:t>
            </w:r>
            <w:r w:rsidR="00E771F0" w:rsidRPr="009C0696">
              <w:rPr>
                <w:lang w:val="en-GB"/>
              </w:rPr>
              <w:t xml:space="preserve">The year-on-year addition to the prices of rents from flats remained on the strong level </w:t>
            </w:r>
            <w:r w:rsidR="00CA1BD6" w:rsidRPr="009C0696">
              <w:rPr>
                <w:lang w:val="en-GB"/>
              </w:rPr>
              <w:t>(3</w:t>
            </w:r>
            <w:r w:rsidR="00E771F0" w:rsidRPr="009C0696">
              <w:rPr>
                <w:lang w:val="en-GB"/>
              </w:rPr>
              <w:t>.</w:t>
            </w:r>
            <w:r w:rsidR="00CA1BD6" w:rsidRPr="009C0696">
              <w:rPr>
                <w:lang w:val="en-GB"/>
              </w:rPr>
              <w:t>3%)</w:t>
            </w:r>
            <w:r w:rsidR="00E771F0" w:rsidRPr="009C0696">
              <w:rPr>
                <w:lang w:val="en-GB"/>
              </w:rPr>
              <w:t xml:space="preserve">. </w:t>
            </w:r>
          </w:p>
        </w:tc>
      </w:tr>
      <w:tr w:rsidR="00CA1BD6" w:rsidRPr="009C0696" w:rsidTr="002505E3">
        <w:trPr>
          <w:trHeight w:val="145"/>
        </w:trPr>
        <w:tc>
          <w:tcPr>
            <w:tcW w:w="1801" w:type="dxa"/>
            <w:shd w:val="clear" w:color="auto" w:fill="auto"/>
            <w:tcMar>
              <w:left w:w="0" w:type="dxa"/>
            </w:tcMar>
          </w:tcPr>
          <w:p w:rsidR="00CA1BD6" w:rsidRPr="009C0696" w:rsidRDefault="00934F44" w:rsidP="00934F44">
            <w:pPr>
              <w:pStyle w:val="Marginlie"/>
              <w:rPr>
                <w:spacing w:val="0"/>
                <w:lang w:val="en-GB"/>
              </w:rPr>
            </w:pPr>
            <w:r w:rsidRPr="009C0696">
              <w:rPr>
                <w:spacing w:val="0"/>
                <w:lang w:val="en-GB"/>
              </w:rPr>
              <w:t>Year-on-year increase of the o</w:t>
            </w:r>
            <w:r w:rsidR="00B77CE4" w:rsidRPr="009C0696">
              <w:rPr>
                <w:spacing w:val="0"/>
                <w:lang w:val="en-GB"/>
              </w:rPr>
              <w:t>il prices affected the cost of t</w:t>
            </w:r>
            <w:r w:rsidRPr="009C0696">
              <w:rPr>
                <w:spacing w:val="0"/>
                <w:lang w:val="en-GB"/>
              </w:rPr>
              <w:t>ransportation for consumers.</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B77CE4" w:rsidP="008067D4">
            <w:pPr>
              <w:rPr>
                <w:lang w:val="en-GB"/>
              </w:rPr>
            </w:pPr>
            <w:r w:rsidRPr="009C0696">
              <w:rPr>
                <w:lang w:val="en-GB"/>
              </w:rPr>
              <w:t>Prices of t</w:t>
            </w:r>
            <w:r w:rsidR="0047553A" w:rsidRPr="009C0696">
              <w:rPr>
                <w:lang w:val="en-GB"/>
              </w:rPr>
              <w:t xml:space="preserve">ransportation increased by </w:t>
            </w:r>
            <w:r w:rsidR="00CA1BD6" w:rsidRPr="009C0696">
              <w:rPr>
                <w:lang w:val="en-GB"/>
              </w:rPr>
              <w:t>2</w:t>
            </w:r>
            <w:r w:rsidR="0047553A" w:rsidRPr="009C0696">
              <w:rPr>
                <w:lang w:val="en-GB"/>
              </w:rPr>
              <w:t>.</w:t>
            </w:r>
            <w:r w:rsidR="00CA1BD6" w:rsidRPr="009C0696">
              <w:rPr>
                <w:lang w:val="en-GB"/>
              </w:rPr>
              <w:t>8%</w:t>
            </w:r>
            <w:r w:rsidR="0047553A" w:rsidRPr="009C0696">
              <w:rPr>
                <w:lang w:val="en-GB"/>
              </w:rPr>
              <w:t xml:space="preserve"> last year</w:t>
            </w:r>
            <w:r w:rsidR="00CA1BD6" w:rsidRPr="009C0696">
              <w:rPr>
                <w:lang w:val="en-GB"/>
              </w:rPr>
              <w:t xml:space="preserve">, </w:t>
            </w:r>
            <w:r w:rsidR="0047553A" w:rsidRPr="009C0696">
              <w:rPr>
                <w:lang w:val="en-GB"/>
              </w:rPr>
              <w:t xml:space="preserve">which is less than in year </w:t>
            </w:r>
            <w:r w:rsidR="00CA1BD6" w:rsidRPr="009C0696">
              <w:rPr>
                <w:lang w:val="en-GB"/>
              </w:rPr>
              <w:t xml:space="preserve">2017. </w:t>
            </w:r>
            <w:r w:rsidR="0047553A" w:rsidRPr="009C0696">
              <w:rPr>
                <w:lang w:val="en-GB"/>
              </w:rPr>
              <w:t xml:space="preserve">While the cost of operating transport vehicles, which are </w:t>
            </w:r>
            <w:r w:rsidR="00F040BC" w:rsidRPr="009C0696">
              <w:rPr>
                <w:lang w:val="en-GB"/>
              </w:rPr>
              <w:t>dependent</w:t>
            </w:r>
            <w:r w:rsidR="0047553A" w:rsidRPr="009C0696">
              <w:rPr>
                <w:lang w:val="en-GB"/>
              </w:rPr>
              <w:t xml:space="preserve"> on the oil prices, kept the dynamics from the preceding year </w:t>
            </w:r>
            <w:r w:rsidR="00CA1BD6" w:rsidRPr="009C0696">
              <w:rPr>
                <w:lang w:val="en-GB"/>
              </w:rPr>
              <w:t>(5</w:t>
            </w:r>
            <w:r w:rsidR="0047553A" w:rsidRPr="009C0696">
              <w:rPr>
                <w:lang w:val="en-GB"/>
              </w:rPr>
              <w:t>.</w:t>
            </w:r>
            <w:r w:rsidR="00CA1BD6" w:rsidRPr="009C0696">
              <w:rPr>
                <w:lang w:val="en-GB"/>
              </w:rPr>
              <w:t xml:space="preserve">3%), </w:t>
            </w:r>
            <w:r w:rsidR="0047553A" w:rsidRPr="009C0696">
              <w:rPr>
                <w:lang w:val="en-GB"/>
              </w:rPr>
              <w:t xml:space="preserve">prices of purchases of motor vehicles, motorcycles and </w:t>
            </w:r>
            <w:r w:rsidR="00427B59" w:rsidRPr="009C0696">
              <w:rPr>
                <w:lang w:val="en-GB"/>
              </w:rPr>
              <w:t xml:space="preserve">bicycles grew slower </w:t>
            </w:r>
            <w:r w:rsidR="00CA1BD6" w:rsidRPr="009C0696">
              <w:rPr>
                <w:lang w:val="en-GB"/>
              </w:rPr>
              <w:t>(1</w:t>
            </w:r>
            <w:r w:rsidR="00427B59" w:rsidRPr="009C0696">
              <w:rPr>
                <w:lang w:val="en-GB"/>
              </w:rPr>
              <w:t>.</w:t>
            </w:r>
            <w:r w:rsidR="00CA1BD6" w:rsidRPr="009C0696">
              <w:rPr>
                <w:lang w:val="en-GB"/>
              </w:rPr>
              <w:t>9%).</w:t>
            </w:r>
            <w:r w:rsidR="00427B59" w:rsidRPr="009C0696">
              <w:rPr>
                <w:lang w:val="en-GB"/>
              </w:rPr>
              <w:t xml:space="preserve"> The average price of oil Brent was rising till</w:t>
            </w:r>
            <w:r w:rsidR="00F040BC" w:rsidRPr="009C0696">
              <w:rPr>
                <w:lang w:val="en-GB"/>
              </w:rPr>
              <w:t xml:space="preserve"> October</w:t>
            </w:r>
            <w:r w:rsidR="00CA1BD6" w:rsidRPr="009C0696">
              <w:rPr>
                <w:rStyle w:val="Znakapoznpodarou"/>
                <w:lang w:val="en-GB"/>
              </w:rPr>
              <w:footnoteReference w:id="44"/>
            </w:r>
            <w:r w:rsidR="00CA1BD6" w:rsidRPr="009C0696">
              <w:rPr>
                <w:lang w:val="en-GB"/>
              </w:rPr>
              <w:t xml:space="preserve">. </w:t>
            </w:r>
            <w:r w:rsidR="00F040BC" w:rsidRPr="009C0696">
              <w:rPr>
                <w:lang w:val="en-GB"/>
              </w:rPr>
              <w:t xml:space="preserve">However, it sank notably in the last two months of the year. It was reflected also in the dynamics of prices of transportation in Q4. It weakened to </w:t>
            </w:r>
            <w:r w:rsidR="00CA1BD6" w:rsidRPr="009C0696">
              <w:rPr>
                <w:lang w:val="en-GB"/>
              </w:rPr>
              <w:t>2</w:t>
            </w:r>
            <w:r w:rsidR="00F040BC" w:rsidRPr="009C0696">
              <w:rPr>
                <w:lang w:val="en-GB"/>
              </w:rPr>
              <w:t>.</w:t>
            </w:r>
            <w:r w:rsidR="00CA1BD6" w:rsidRPr="009C0696">
              <w:rPr>
                <w:lang w:val="en-GB"/>
              </w:rPr>
              <w:t xml:space="preserve">6%. </w:t>
            </w:r>
            <w:r w:rsidR="00F040BC" w:rsidRPr="009C0696">
              <w:rPr>
                <w:lang w:val="en-GB"/>
              </w:rPr>
              <w:t xml:space="preserve">Apart from the smaller growth of prices of operating the transport vehicles </w:t>
            </w:r>
            <w:r w:rsidR="00CA1BD6" w:rsidRPr="009C0696">
              <w:rPr>
                <w:lang w:val="en-GB"/>
              </w:rPr>
              <w:t>(7</w:t>
            </w:r>
            <w:r w:rsidR="00F040BC" w:rsidRPr="009C0696">
              <w:rPr>
                <w:lang w:val="en-GB"/>
              </w:rPr>
              <w:t>.</w:t>
            </w:r>
            <w:r w:rsidR="00CA1BD6" w:rsidRPr="009C0696">
              <w:rPr>
                <w:lang w:val="en-GB"/>
              </w:rPr>
              <w:t>6%)</w:t>
            </w:r>
            <w:r w:rsidR="00F040BC" w:rsidRPr="009C0696">
              <w:rPr>
                <w:lang w:val="en-GB"/>
              </w:rPr>
              <w:t xml:space="preserve">, the addition to prices of their purchase considerably decreased </w:t>
            </w:r>
            <w:r w:rsidR="00CA1BD6" w:rsidRPr="009C0696">
              <w:rPr>
                <w:lang w:val="en-GB"/>
              </w:rPr>
              <w:t>(0</w:t>
            </w:r>
            <w:r w:rsidR="00F040BC" w:rsidRPr="009C0696">
              <w:rPr>
                <w:lang w:val="en-GB"/>
              </w:rPr>
              <w:t>.</w:t>
            </w:r>
            <w:r w:rsidR="00CA1BD6" w:rsidRPr="009C0696">
              <w:rPr>
                <w:lang w:val="en-GB"/>
              </w:rPr>
              <w:t xml:space="preserve">8%). </w:t>
            </w:r>
            <w:r w:rsidR="008067D4" w:rsidRPr="009C0696">
              <w:rPr>
                <w:lang w:val="en-GB"/>
              </w:rPr>
              <w:t xml:space="preserve">Cost of transportation services fell markedly year-on-year towards the end of the year </w:t>
            </w:r>
            <w:r w:rsidR="00CA1BD6" w:rsidRPr="009C0696">
              <w:rPr>
                <w:lang w:val="en-GB"/>
              </w:rPr>
              <w:t>(</w:t>
            </w:r>
            <w:r w:rsidR="00BD59F1">
              <w:rPr>
                <w:lang w:val="en-GB"/>
              </w:rPr>
              <w:noBreakHyphen/>
            </w:r>
            <w:r w:rsidR="00CA1BD6" w:rsidRPr="009C0696">
              <w:rPr>
                <w:lang w:val="en-GB"/>
              </w:rPr>
              <w:t>7</w:t>
            </w:r>
            <w:r w:rsidR="008067D4" w:rsidRPr="009C0696">
              <w:rPr>
                <w:lang w:val="en-GB"/>
              </w:rPr>
              <w:t>.</w:t>
            </w:r>
            <w:r w:rsidR="00CA1BD6" w:rsidRPr="009C0696">
              <w:rPr>
                <w:lang w:val="en-GB"/>
              </w:rPr>
              <w:t xml:space="preserve">6%). </w:t>
            </w:r>
            <w:r w:rsidR="008067D4" w:rsidRPr="009C0696">
              <w:rPr>
                <w:lang w:val="en-GB"/>
              </w:rPr>
              <w:t xml:space="preserve">Discounts for students and seniors were mostly reflected here. </w:t>
            </w:r>
            <w:r w:rsidR="00CA1BD6" w:rsidRPr="009C0696">
              <w:rPr>
                <w:lang w:val="en-GB"/>
              </w:rPr>
              <w:t xml:space="preserve">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F7FC7" w:rsidRDefault="00CA1BD6" w:rsidP="00723435">
            <w:pPr>
              <w:spacing w:after="0"/>
              <w:rPr>
                <w:b/>
                <w:szCs w:val="20"/>
                <w:lang w:val="en-GB"/>
              </w:rPr>
            </w:pPr>
            <w:r w:rsidRPr="009C0696">
              <w:rPr>
                <w:rFonts w:cs="Arial"/>
                <w:b/>
                <w:bCs/>
                <w:color w:val="000000"/>
                <w:sz w:val="18"/>
                <w:szCs w:val="18"/>
                <w:lang w:val="en-GB"/>
              </w:rPr>
              <w:t xml:space="preserve"> </w:t>
            </w:r>
            <w:r w:rsidR="00F040BC" w:rsidRPr="009F7FC7">
              <w:rPr>
                <w:rFonts w:cs="Arial"/>
                <w:b/>
                <w:bCs/>
                <w:color w:val="000000"/>
                <w:szCs w:val="20"/>
                <w:lang w:val="en-GB"/>
              </w:rPr>
              <w:t xml:space="preserve">Chart </w:t>
            </w:r>
            <w:proofErr w:type="gramStart"/>
            <w:r w:rsidRPr="009F7FC7">
              <w:rPr>
                <w:rFonts w:cs="Arial"/>
                <w:b/>
                <w:bCs/>
                <w:color w:val="000000"/>
                <w:szCs w:val="20"/>
                <w:lang w:val="en-GB"/>
              </w:rPr>
              <w:t xml:space="preserve">11  </w:t>
            </w:r>
            <w:r w:rsidR="00CA5554" w:rsidRPr="009F7FC7">
              <w:rPr>
                <w:b/>
                <w:spacing w:val="-4"/>
                <w:szCs w:val="20"/>
                <w:lang w:val="en-GB"/>
              </w:rPr>
              <w:t>Prices</w:t>
            </w:r>
            <w:proofErr w:type="gramEnd"/>
            <w:r w:rsidR="00CA5554" w:rsidRPr="009F7FC7">
              <w:rPr>
                <w:b/>
                <w:spacing w:val="-4"/>
                <w:szCs w:val="20"/>
                <w:lang w:val="en-GB"/>
              </w:rPr>
              <w:t xml:space="preserve"> in the selected divisions of the consumer price index </w:t>
            </w:r>
            <w:r w:rsidR="00CA5554" w:rsidRPr="009F7FC7">
              <w:rPr>
                <w:rFonts w:cs="Arial"/>
                <w:color w:val="000000"/>
                <w:szCs w:val="20"/>
                <w:lang w:val="en-GB"/>
              </w:rPr>
              <w:t>(y/y in %)</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765E9057" wp14:editId="3F3C2B5E">
                  <wp:extent cx="4737600" cy="3553200"/>
                  <wp:effectExtent l="0" t="0" r="6350" b="0"/>
                  <wp:docPr id="45" name="Graf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7E2618" w:rsidRPr="009C0696" w:rsidRDefault="00141B44" w:rsidP="002505E3">
            <w:pPr>
              <w:rPr>
                <w:sz w:val="14"/>
                <w:szCs w:val="14"/>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5765CD" w:rsidP="00CE38E2">
            <w:pPr>
              <w:pStyle w:val="Marginlie"/>
              <w:rPr>
                <w:spacing w:val="0"/>
                <w:lang w:val="en-GB"/>
              </w:rPr>
            </w:pPr>
            <w:r w:rsidRPr="009C0696">
              <w:rPr>
                <w:spacing w:val="0"/>
                <w:lang w:val="en-GB"/>
              </w:rPr>
              <w:lastRenderedPageBreak/>
              <w:t xml:space="preserve">Prices of food and non-alcoholic product grew milder last year compared to </w:t>
            </w:r>
            <w:r w:rsidR="00CA1BD6" w:rsidRPr="009C0696">
              <w:rPr>
                <w:spacing w:val="0"/>
                <w:lang w:val="en-GB"/>
              </w:rPr>
              <w:t xml:space="preserve">2017. </w:t>
            </w:r>
            <w:r w:rsidR="00CE38E2" w:rsidRPr="009C0696">
              <w:rPr>
                <w:spacing w:val="0"/>
                <w:lang w:val="en-GB"/>
              </w:rPr>
              <w:t>They recorded year-on-year decrease at the end of the year.</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CE38E2" w:rsidP="00732136">
            <w:pPr>
              <w:rPr>
                <w:lang w:val="en-GB"/>
              </w:rPr>
            </w:pPr>
            <w:r w:rsidRPr="009C0696">
              <w:rPr>
                <w:lang w:val="en-GB"/>
              </w:rPr>
              <w:t xml:space="preserve">Prices of food and non-alcoholic beverages grew by </w:t>
            </w:r>
            <w:r w:rsidR="00CA1BD6" w:rsidRPr="009C0696">
              <w:rPr>
                <w:lang w:val="en-GB"/>
              </w:rPr>
              <w:t>1</w:t>
            </w:r>
            <w:r w:rsidRPr="009C0696">
              <w:rPr>
                <w:lang w:val="en-GB"/>
              </w:rPr>
              <w:t>.</w:t>
            </w:r>
            <w:r w:rsidR="00CA1BD6" w:rsidRPr="009C0696">
              <w:rPr>
                <w:lang w:val="en-GB"/>
              </w:rPr>
              <w:t>3%</w:t>
            </w:r>
            <w:r w:rsidRPr="009C0696">
              <w:rPr>
                <w:lang w:val="en-GB"/>
              </w:rPr>
              <w:t xml:space="preserve"> in 2018</w:t>
            </w:r>
            <w:r w:rsidR="00CA1BD6" w:rsidRPr="009C0696">
              <w:rPr>
                <w:lang w:val="en-GB"/>
              </w:rPr>
              <w:t xml:space="preserve">. </w:t>
            </w:r>
            <w:r w:rsidRPr="009C0696">
              <w:rPr>
                <w:lang w:val="en-GB"/>
              </w:rPr>
              <w:t xml:space="preserve">It comprises a significantly lower level compared to year </w:t>
            </w:r>
            <w:r w:rsidR="00CA1BD6" w:rsidRPr="009C0696">
              <w:rPr>
                <w:lang w:val="en-GB"/>
              </w:rPr>
              <w:t>2017 (5</w:t>
            </w:r>
            <w:r w:rsidRPr="009C0696">
              <w:rPr>
                <w:lang w:val="en-GB"/>
              </w:rPr>
              <w:t>.</w:t>
            </w:r>
            <w:r w:rsidR="00CA1BD6" w:rsidRPr="009C0696">
              <w:rPr>
                <w:lang w:val="en-GB"/>
              </w:rPr>
              <w:t xml:space="preserve">2%). </w:t>
            </w:r>
            <w:r w:rsidR="00C73101" w:rsidRPr="009C0696">
              <w:rPr>
                <w:lang w:val="en-GB"/>
              </w:rPr>
              <w:t xml:space="preserve">Prices of baking products and cereals </w:t>
            </w:r>
            <w:r w:rsidR="00F655EF" w:rsidRPr="009C0696">
              <w:rPr>
                <w:lang w:val="en-GB"/>
              </w:rPr>
              <w:t>remained</w:t>
            </w:r>
            <w:r w:rsidR="00C73101" w:rsidRPr="009C0696">
              <w:rPr>
                <w:lang w:val="en-GB"/>
              </w:rPr>
              <w:t xml:space="preserve"> nearly the same in comparison to year </w:t>
            </w:r>
            <w:r w:rsidR="00CA1BD6" w:rsidRPr="009C0696">
              <w:rPr>
                <w:lang w:val="en-GB"/>
              </w:rPr>
              <w:t>2017</w:t>
            </w:r>
            <w:r w:rsidR="00C73101" w:rsidRPr="009C0696">
              <w:rPr>
                <w:lang w:val="en-GB"/>
              </w:rPr>
              <w:t xml:space="preserve"> </w:t>
            </w:r>
            <w:r w:rsidR="00CA1BD6" w:rsidRPr="009C0696">
              <w:rPr>
                <w:lang w:val="en-GB"/>
              </w:rPr>
              <w:t>(0</w:t>
            </w:r>
            <w:r w:rsidR="00C73101" w:rsidRPr="009C0696">
              <w:rPr>
                <w:lang w:val="en-GB"/>
              </w:rPr>
              <w:t>.</w:t>
            </w:r>
            <w:r w:rsidR="00CA1BD6" w:rsidRPr="009C0696">
              <w:rPr>
                <w:lang w:val="en-GB"/>
              </w:rPr>
              <w:t xml:space="preserve">3%), </w:t>
            </w:r>
            <w:r w:rsidR="00C73101" w:rsidRPr="009C0696">
              <w:rPr>
                <w:lang w:val="en-GB"/>
              </w:rPr>
              <w:t xml:space="preserve">increase of prices of meat </w:t>
            </w:r>
            <w:r w:rsidR="00F655EF" w:rsidRPr="009C0696">
              <w:rPr>
                <w:lang w:val="en-GB"/>
              </w:rPr>
              <w:t>notably</w:t>
            </w:r>
            <w:r w:rsidR="00C73101" w:rsidRPr="009C0696">
              <w:rPr>
                <w:lang w:val="en-GB"/>
              </w:rPr>
              <w:t xml:space="preserve"> mitigated </w:t>
            </w:r>
            <w:r w:rsidR="00CA1BD6" w:rsidRPr="009C0696">
              <w:rPr>
                <w:lang w:val="en-GB"/>
              </w:rPr>
              <w:t>(1</w:t>
            </w:r>
            <w:r w:rsidR="00C73101" w:rsidRPr="009C0696">
              <w:rPr>
                <w:lang w:val="en-GB"/>
              </w:rPr>
              <w:t>.</w:t>
            </w:r>
            <w:r w:rsidR="00CA1BD6" w:rsidRPr="009C0696">
              <w:rPr>
                <w:lang w:val="en-GB"/>
              </w:rPr>
              <w:t xml:space="preserve">2%). </w:t>
            </w:r>
            <w:r w:rsidR="00C73101" w:rsidRPr="009C0696">
              <w:rPr>
                <w:lang w:val="en-GB"/>
              </w:rPr>
              <w:t xml:space="preserve">Prices of milk, cheese and eggs had stronger dynamics </w:t>
            </w:r>
            <w:r w:rsidR="00CA1BD6" w:rsidRPr="009C0696">
              <w:rPr>
                <w:lang w:val="en-GB"/>
              </w:rPr>
              <w:t>(3</w:t>
            </w:r>
            <w:r w:rsidR="00C73101" w:rsidRPr="009C0696">
              <w:rPr>
                <w:lang w:val="en-GB"/>
              </w:rPr>
              <w:t>.</w:t>
            </w:r>
            <w:r w:rsidR="00CA1BD6" w:rsidRPr="009C0696">
              <w:rPr>
                <w:lang w:val="en-GB"/>
              </w:rPr>
              <w:t xml:space="preserve">8%, </w:t>
            </w:r>
            <w:r w:rsidR="00C73101" w:rsidRPr="009C0696">
              <w:rPr>
                <w:lang w:val="en-GB"/>
              </w:rPr>
              <w:t xml:space="preserve">however much less compared to year </w:t>
            </w:r>
            <w:r w:rsidR="00CA1BD6" w:rsidRPr="009C0696">
              <w:rPr>
                <w:lang w:val="en-GB"/>
              </w:rPr>
              <w:t>2017) a</w:t>
            </w:r>
            <w:r w:rsidR="00C73101" w:rsidRPr="009C0696">
              <w:rPr>
                <w:lang w:val="en-GB"/>
              </w:rPr>
              <w:t xml:space="preserve">nd also prices of oils and fats </w:t>
            </w:r>
            <w:r w:rsidR="00CA1BD6" w:rsidRPr="009C0696">
              <w:rPr>
                <w:lang w:val="en-GB"/>
              </w:rPr>
              <w:t>(4</w:t>
            </w:r>
            <w:r w:rsidR="00C73101" w:rsidRPr="009C0696">
              <w:rPr>
                <w:lang w:val="en-GB"/>
              </w:rPr>
              <w:t>.</w:t>
            </w:r>
            <w:r w:rsidR="00CA1BD6" w:rsidRPr="009C0696">
              <w:rPr>
                <w:lang w:val="en-GB"/>
              </w:rPr>
              <w:t xml:space="preserve">0%). </w:t>
            </w:r>
            <w:r w:rsidR="00732136" w:rsidRPr="009C0696">
              <w:rPr>
                <w:lang w:val="en-GB"/>
              </w:rPr>
              <w:t xml:space="preserve">Year-on-year dynamics of prices of food and non-alcoholic beverages featured a downward tendency during the year. </w:t>
            </w:r>
            <w:proofErr w:type="gramStart"/>
            <w:r w:rsidR="00732136" w:rsidRPr="009C0696">
              <w:rPr>
                <w:lang w:val="en-GB"/>
              </w:rPr>
              <w:t>Thus</w:t>
            </w:r>
            <w:proofErr w:type="gramEnd"/>
            <w:r w:rsidR="00732136" w:rsidRPr="009C0696">
              <w:rPr>
                <w:lang w:val="en-GB"/>
              </w:rPr>
              <w:t xml:space="preserve"> the prices of this division fell for the first time since Q3 2016 in Q4 </w:t>
            </w:r>
            <w:r w:rsidR="00CA1BD6" w:rsidRPr="009C0696">
              <w:rPr>
                <w:lang w:val="en-GB"/>
              </w:rPr>
              <w:t>(-0</w:t>
            </w:r>
            <w:r w:rsidR="00732136" w:rsidRPr="009C0696">
              <w:rPr>
                <w:lang w:val="en-GB"/>
              </w:rPr>
              <w:t>.</w:t>
            </w:r>
            <w:r w:rsidR="00CA1BD6" w:rsidRPr="009C0696">
              <w:rPr>
                <w:lang w:val="en-GB"/>
              </w:rPr>
              <w:t xml:space="preserve">5%). </w:t>
            </w:r>
            <w:r w:rsidR="00732136" w:rsidRPr="009C0696">
              <w:rPr>
                <w:lang w:val="en-GB"/>
              </w:rPr>
              <w:t xml:space="preserve">All classes of consumption classification shared the decrease apart for the vegetables and other food products. Prices of alcoholic beverages and tobacco increased by </w:t>
            </w:r>
            <w:r w:rsidR="00CA1BD6" w:rsidRPr="009C0696">
              <w:rPr>
                <w:lang w:val="en-GB"/>
              </w:rPr>
              <w:t>3</w:t>
            </w:r>
            <w:r w:rsidR="00732136" w:rsidRPr="009C0696">
              <w:rPr>
                <w:lang w:val="en-GB"/>
              </w:rPr>
              <w:t>.</w:t>
            </w:r>
            <w:r w:rsidR="00CA1BD6" w:rsidRPr="009C0696">
              <w:rPr>
                <w:lang w:val="en-GB"/>
              </w:rPr>
              <w:t>0%</w:t>
            </w:r>
            <w:r w:rsidR="00732136" w:rsidRPr="009C0696">
              <w:rPr>
                <w:lang w:val="en-GB"/>
              </w:rPr>
              <w:t xml:space="preserve"> last year</w:t>
            </w:r>
            <w:r w:rsidR="00CA1BD6" w:rsidRPr="009C0696">
              <w:rPr>
                <w:lang w:val="en-GB"/>
              </w:rPr>
              <w:t xml:space="preserve">. </w:t>
            </w:r>
            <w:r w:rsidR="00732136" w:rsidRPr="009C0696">
              <w:rPr>
                <w:lang w:val="en-GB"/>
              </w:rPr>
              <w:t xml:space="preserve">Prices of food service activities and accommodation increased by </w:t>
            </w:r>
            <w:r w:rsidR="00CA1BD6" w:rsidRPr="009C0696">
              <w:rPr>
                <w:lang w:val="en-GB"/>
              </w:rPr>
              <w:t>3</w:t>
            </w:r>
            <w:r w:rsidR="00732136" w:rsidRPr="009C0696">
              <w:rPr>
                <w:lang w:val="en-GB"/>
              </w:rPr>
              <w:t>.</w:t>
            </w:r>
            <w:r w:rsidR="00CA1BD6" w:rsidRPr="009C0696">
              <w:rPr>
                <w:lang w:val="en-GB"/>
              </w:rPr>
              <w:t>6%.</w:t>
            </w:r>
            <w:r w:rsidR="00732136" w:rsidRPr="009C0696">
              <w:rPr>
                <w:lang w:val="en-GB"/>
              </w:rPr>
              <w:t xml:space="preserve"> Raised prices of household equipment and </w:t>
            </w:r>
            <w:r w:rsidR="00CA1BD6" w:rsidRPr="009C0696">
              <w:rPr>
                <w:lang w:val="en-GB"/>
              </w:rPr>
              <w:t>(1</w:t>
            </w:r>
            <w:r w:rsidR="00732136" w:rsidRPr="009C0696">
              <w:rPr>
                <w:lang w:val="en-GB"/>
              </w:rPr>
              <w:t>.</w:t>
            </w:r>
            <w:r w:rsidR="00CA1BD6" w:rsidRPr="009C0696">
              <w:rPr>
                <w:lang w:val="en-GB"/>
              </w:rPr>
              <w:t>5%) a</w:t>
            </w:r>
            <w:r w:rsidR="00732136" w:rsidRPr="009C0696">
              <w:rPr>
                <w:lang w:val="en-GB"/>
              </w:rPr>
              <w:t xml:space="preserve">nd costs of health </w:t>
            </w:r>
            <w:r w:rsidR="00CA1BD6" w:rsidRPr="009C0696">
              <w:rPr>
                <w:lang w:val="en-GB"/>
              </w:rPr>
              <w:t>(3</w:t>
            </w:r>
            <w:r w:rsidR="00732136" w:rsidRPr="009C0696">
              <w:rPr>
                <w:lang w:val="en-GB"/>
              </w:rPr>
              <w:t>.</w:t>
            </w:r>
            <w:r w:rsidR="00CA1BD6" w:rsidRPr="009C0696">
              <w:rPr>
                <w:lang w:val="en-GB"/>
              </w:rPr>
              <w:t>7%)</w:t>
            </w:r>
            <w:r w:rsidR="00732136" w:rsidRPr="009C0696">
              <w:rPr>
                <w:lang w:val="en-GB"/>
              </w:rPr>
              <w:t xml:space="preserve"> also contributed to the growth of the total index</w:t>
            </w:r>
            <w:r w:rsidR="00CA1BD6" w:rsidRPr="009C0696">
              <w:rPr>
                <w:lang w:val="en-GB"/>
              </w:rPr>
              <w:t xml:space="preserve">. </w:t>
            </w:r>
            <w:r w:rsidR="005765CD" w:rsidRPr="009C0696">
              <w:rPr>
                <w:lang w:val="en-GB"/>
              </w:rPr>
              <w:t xml:space="preserve">Prices of wearing apparel and footwear in contrast fell last year </w:t>
            </w:r>
            <w:r w:rsidR="00CA1BD6" w:rsidRPr="009C0696">
              <w:rPr>
                <w:lang w:val="en-GB"/>
              </w:rPr>
              <w:t>(</w:t>
            </w:r>
            <w:r w:rsidR="00CA1BD6" w:rsidRPr="009C0696">
              <w:rPr>
                <w:lang w:val="en-GB"/>
              </w:rPr>
              <w:noBreakHyphen/>
              <w:t>1</w:t>
            </w:r>
            <w:r w:rsidR="005765CD" w:rsidRPr="009C0696">
              <w:rPr>
                <w:lang w:val="en-GB"/>
              </w:rPr>
              <w:t>.</w:t>
            </w:r>
            <w:r w:rsidR="00CA1BD6" w:rsidRPr="009C0696">
              <w:rPr>
                <w:lang w:val="en-GB"/>
              </w:rPr>
              <w:t xml:space="preserve">1%).  </w:t>
            </w:r>
          </w:p>
        </w:tc>
      </w:tr>
      <w:tr w:rsidR="00CA1BD6" w:rsidRPr="009C0696" w:rsidTr="002505E3">
        <w:trPr>
          <w:trHeight w:val="145"/>
        </w:trPr>
        <w:tc>
          <w:tcPr>
            <w:tcW w:w="1801" w:type="dxa"/>
            <w:shd w:val="clear" w:color="auto" w:fill="auto"/>
            <w:tcMar>
              <w:left w:w="0" w:type="dxa"/>
            </w:tcMar>
          </w:tcPr>
          <w:p w:rsidR="00CA1BD6" w:rsidRPr="009C0696" w:rsidRDefault="0088056A" w:rsidP="0088056A">
            <w:pPr>
              <w:pStyle w:val="Marginlie"/>
              <w:rPr>
                <w:spacing w:val="0"/>
                <w:lang w:val="en-GB"/>
              </w:rPr>
            </w:pPr>
            <w:r w:rsidRPr="009C0696">
              <w:rPr>
                <w:spacing w:val="0"/>
                <w:lang w:val="en-GB"/>
              </w:rPr>
              <w:t xml:space="preserve">Consumer prices in the EU maintained a stable growth around </w:t>
            </w:r>
            <w:r w:rsidR="00CA1BD6" w:rsidRPr="009C0696">
              <w:rPr>
                <w:spacing w:val="0"/>
                <w:lang w:val="en-GB"/>
              </w:rPr>
              <w:t>2</w:t>
            </w:r>
            <w:r w:rsidRPr="009C0696">
              <w:rPr>
                <w:spacing w:val="0"/>
                <w:lang w:val="en-GB"/>
              </w:rPr>
              <w:t>.</w:t>
            </w:r>
            <w:r w:rsidR="00CA1BD6" w:rsidRPr="009C0696">
              <w:rPr>
                <w:spacing w:val="0"/>
                <w:lang w:val="en-GB"/>
              </w:rPr>
              <w:t>0%.</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8056A" w:rsidP="00B77CE4">
            <w:pPr>
              <w:rPr>
                <w:lang w:val="en-GB"/>
              </w:rPr>
            </w:pPr>
            <w:r w:rsidRPr="009C0696">
              <w:rPr>
                <w:lang w:val="en-GB"/>
              </w:rPr>
              <w:t xml:space="preserve">Total increase of consumer prices in the EU attained </w:t>
            </w:r>
            <w:r w:rsidR="00CA1BD6" w:rsidRPr="009C0696">
              <w:rPr>
                <w:lang w:val="en-GB"/>
              </w:rPr>
              <w:t>1</w:t>
            </w:r>
            <w:r w:rsidRPr="009C0696">
              <w:rPr>
                <w:lang w:val="en-GB"/>
              </w:rPr>
              <w:t>.</w:t>
            </w:r>
            <w:r w:rsidR="00CA1BD6" w:rsidRPr="009C0696">
              <w:rPr>
                <w:lang w:val="en-GB"/>
              </w:rPr>
              <w:t>9%</w:t>
            </w:r>
            <w:r w:rsidRPr="009C0696">
              <w:rPr>
                <w:lang w:val="en-GB"/>
              </w:rPr>
              <w:t xml:space="preserve"> last year</w:t>
            </w:r>
            <w:r w:rsidR="00CA1BD6" w:rsidRPr="009C0696">
              <w:rPr>
                <w:lang w:val="en-GB"/>
              </w:rPr>
              <w:t xml:space="preserve">. </w:t>
            </w:r>
            <w:r w:rsidRPr="009C0696">
              <w:rPr>
                <w:lang w:val="en-GB"/>
              </w:rPr>
              <w:t xml:space="preserve">The year-on-year dynamics accelerated during the first three quarters and mildly slowed down towards the end of the year </w:t>
            </w:r>
            <w:r w:rsidR="00CA1BD6" w:rsidRPr="009C0696">
              <w:rPr>
                <w:lang w:val="en-GB"/>
              </w:rPr>
              <w:t>(2</w:t>
            </w:r>
            <w:r w:rsidRPr="009C0696">
              <w:rPr>
                <w:lang w:val="en-GB"/>
              </w:rPr>
              <w:t>.</w:t>
            </w:r>
            <w:r w:rsidR="00CA1BD6" w:rsidRPr="009C0696">
              <w:rPr>
                <w:lang w:val="en-GB"/>
              </w:rPr>
              <w:t xml:space="preserve">0% </w:t>
            </w:r>
            <w:r w:rsidRPr="009C0696">
              <w:rPr>
                <w:lang w:val="en-GB"/>
              </w:rPr>
              <w:t>in Q</w:t>
            </w:r>
            <w:r w:rsidR="00CA1BD6" w:rsidRPr="009C0696">
              <w:rPr>
                <w:lang w:val="en-GB"/>
              </w:rPr>
              <w:t xml:space="preserve">4). </w:t>
            </w:r>
            <w:r w:rsidRPr="009C0696">
              <w:rPr>
                <w:lang w:val="en-GB"/>
              </w:rPr>
              <w:t xml:space="preserve">Growth of prices was relatively even among individual divisions of the consumption classification. </w:t>
            </w:r>
            <w:r w:rsidR="004900AB" w:rsidRPr="009C0696">
              <w:rPr>
                <w:lang w:val="en-GB"/>
              </w:rPr>
              <w:t xml:space="preserve">Mainly the increase of prices of energies and fuels led to the acceleration of dynamics for prices of housing and energies </w:t>
            </w:r>
            <w:r w:rsidR="00CA1BD6" w:rsidRPr="009C0696">
              <w:rPr>
                <w:lang w:val="en-GB"/>
              </w:rPr>
              <w:t>(2</w:t>
            </w:r>
            <w:r w:rsidR="004900AB" w:rsidRPr="009C0696">
              <w:rPr>
                <w:lang w:val="en-GB"/>
              </w:rPr>
              <w:t>.</w:t>
            </w:r>
            <w:r w:rsidR="00CA1BD6" w:rsidRPr="009C0696">
              <w:rPr>
                <w:lang w:val="en-GB"/>
              </w:rPr>
              <w:t xml:space="preserve">5% </w:t>
            </w:r>
            <w:r w:rsidR="004900AB" w:rsidRPr="009C0696">
              <w:rPr>
                <w:lang w:val="en-GB"/>
              </w:rPr>
              <w:t>for the whole year</w:t>
            </w:r>
            <w:r w:rsidR="00CA1BD6" w:rsidRPr="009C0696">
              <w:rPr>
                <w:lang w:val="en-GB"/>
              </w:rPr>
              <w:t>, 3</w:t>
            </w:r>
            <w:r w:rsidR="004900AB" w:rsidRPr="009C0696">
              <w:rPr>
                <w:lang w:val="en-GB"/>
              </w:rPr>
              <w:t>.</w:t>
            </w:r>
            <w:r w:rsidR="00CA1BD6" w:rsidRPr="009C0696">
              <w:rPr>
                <w:lang w:val="en-GB"/>
              </w:rPr>
              <w:t>2%</w:t>
            </w:r>
            <w:r w:rsidR="004900AB" w:rsidRPr="009C0696">
              <w:rPr>
                <w:lang w:val="en-GB"/>
              </w:rPr>
              <w:t xml:space="preserve"> in Q</w:t>
            </w:r>
            <w:r w:rsidR="00CA1BD6" w:rsidRPr="009C0696">
              <w:rPr>
                <w:lang w:val="en-GB"/>
              </w:rPr>
              <w:t xml:space="preserve">4). </w:t>
            </w:r>
            <w:r w:rsidR="004900AB" w:rsidRPr="009C0696">
              <w:rPr>
                <w:lang w:val="en-GB"/>
              </w:rPr>
              <w:t xml:space="preserve">Prices of transportation grew by </w:t>
            </w:r>
            <w:r w:rsidR="00CA1BD6" w:rsidRPr="009C0696">
              <w:rPr>
                <w:lang w:val="en-GB"/>
              </w:rPr>
              <w:t>3</w:t>
            </w:r>
            <w:r w:rsidR="004900AB" w:rsidRPr="009C0696">
              <w:rPr>
                <w:lang w:val="en-GB"/>
              </w:rPr>
              <w:t>.</w:t>
            </w:r>
            <w:r w:rsidR="00CA1BD6" w:rsidRPr="009C0696">
              <w:rPr>
                <w:lang w:val="en-GB"/>
              </w:rPr>
              <w:t>5%</w:t>
            </w:r>
            <w:r w:rsidR="004900AB" w:rsidRPr="009C0696">
              <w:rPr>
                <w:lang w:val="en-GB"/>
              </w:rPr>
              <w:t xml:space="preserve"> last year </w:t>
            </w:r>
            <w:r w:rsidR="00CA1BD6" w:rsidRPr="009C0696">
              <w:rPr>
                <w:lang w:val="en-GB"/>
              </w:rPr>
              <w:t>(3</w:t>
            </w:r>
            <w:r w:rsidR="004900AB" w:rsidRPr="009C0696">
              <w:rPr>
                <w:lang w:val="en-GB"/>
              </w:rPr>
              <w:t>.</w:t>
            </w:r>
            <w:r w:rsidR="00CA1BD6" w:rsidRPr="009C0696">
              <w:rPr>
                <w:lang w:val="en-GB"/>
              </w:rPr>
              <w:t>8%</w:t>
            </w:r>
            <w:r w:rsidR="004900AB" w:rsidRPr="009C0696">
              <w:rPr>
                <w:lang w:val="en-GB"/>
              </w:rPr>
              <w:t xml:space="preserve"> in Q</w:t>
            </w:r>
            <w:r w:rsidR="00CA1BD6" w:rsidRPr="009C0696">
              <w:rPr>
                <w:lang w:val="en-GB"/>
              </w:rPr>
              <w:t>4).</w:t>
            </w:r>
            <w:r w:rsidR="004900AB" w:rsidRPr="009C0696">
              <w:rPr>
                <w:lang w:val="en-GB"/>
              </w:rPr>
              <w:t xml:space="preserve"> Larger decrease of prices was recorded only for the prices of postal services and telecommunications </w:t>
            </w:r>
            <w:r w:rsidR="00CA1BD6" w:rsidRPr="009C0696">
              <w:rPr>
                <w:lang w:val="en-GB"/>
              </w:rPr>
              <w:t>(</w:t>
            </w:r>
            <w:r w:rsidR="00CA1BD6" w:rsidRPr="009C0696">
              <w:rPr>
                <w:lang w:val="en-GB"/>
              </w:rPr>
              <w:noBreakHyphen/>
              <w:t>0</w:t>
            </w:r>
            <w:r w:rsidR="004900AB" w:rsidRPr="009C0696">
              <w:rPr>
                <w:lang w:val="en-GB"/>
              </w:rPr>
              <w:t>.</w:t>
            </w:r>
            <w:r w:rsidR="00CA1BD6" w:rsidRPr="009C0696">
              <w:rPr>
                <w:lang w:val="en-GB"/>
              </w:rPr>
              <w:t xml:space="preserve">8% </w:t>
            </w:r>
            <w:r w:rsidR="004900AB" w:rsidRPr="009C0696">
              <w:rPr>
                <w:lang w:val="en-GB"/>
              </w:rPr>
              <w:t>for the whole year</w:t>
            </w:r>
            <w:r w:rsidR="00CA1BD6" w:rsidRPr="009C0696">
              <w:rPr>
                <w:lang w:val="en-GB"/>
              </w:rPr>
              <w:t>, -1</w:t>
            </w:r>
            <w:r w:rsidR="004900AB" w:rsidRPr="009C0696">
              <w:rPr>
                <w:lang w:val="en-GB"/>
              </w:rPr>
              <w:t>.</w:t>
            </w:r>
            <w:r w:rsidR="00CA1BD6" w:rsidRPr="009C0696">
              <w:rPr>
                <w:lang w:val="en-GB"/>
              </w:rPr>
              <w:t>4%</w:t>
            </w:r>
            <w:r w:rsidR="004900AB" w:rsidRPr="009C0696">
              <w:rPr>
                <w:lang w:val="en-GB"/>
              </w:rPr>
              <w:t xml:space="preserve"> in Q</w:t>
            </w:r>
            <w:r w:rsidR="00CA1BD6" w:rsidRPr="009C0696">
              <w:rPr>
                <w:lang w:val="en-GB"/>
              </w:rPr>
              <w:t xml:space="preserve">4). </w:t>
            </w:r>
            <w:r w:rsidR="008537E8" w:rsidRPr="009C0696">
              <w:rPr>
                <w:lang w:val="en-GB"/>
              </w:rPr>
              <w:t xml:space="preserve">Especially the considerable slump of prices of phones and fax equipment had a large effect. </w:t>
            </w:r>
            <w:r w:rsidR="00210E56" w:rsidRPr="009C0696">
              <w:rPr>
                <w:lang w:val="en-GB"/>
              </w:rPr>
              <w:t xml:space="preserve">Level of consumer prices grew across all EU member states last year. Prices increased the most in Romania </w:t>
            </w:r>
            <w:r w:rsidR="00CA1BD6" w:rsidRPr="009C0696">
              <w:rPr>
                <w:lang w:val="en-GB"/>
              </w:rPr>
              <w:t>(4</w:t>
            </w:r>
            <w:r w:rsidR="00210E56" w:rsidRPr="009C0696">
              <w:rPr>
                <w:lang w:val="en-GB"/>
              </w:rPr>
              <w:t>.</w:t>
            </w:r>
            <w:r w:rsidR="00CA1BD6" w:rsidRPr="009C0696">
              <w:rPr>
                <w:lang w:val="en-GB"/>
              </w:rPr>
              <w:t>1%), Eston</w:t>
            </w:r>
            <w:r w:rsidR="00210E56" w:rsidRPr="009C0696">
              <w:rPr>
                <w:lang w:val="en-GB"/>
              </w:rPr>
              <w:t xml:space="preserve">ia </w:t>
            </w:r>
            <w:r w:rsidR="00CA1BD6" w:rsidRPr="009C0696">
              <w:rPr>
                <w:lang w:val="en-GB"/>
              </w:rPr>
              <w:t>(3</w:t>
            </w:r>
            <w:r w:rsidR="00210E56" w:rsidRPr="009C0696">
              <w:rPr>
                <w:lang w:val="en-GB"/>
              </w:rPr>
              <w:t>.</w:t>
            </w:r>
            <w:r w:rsidR="00CA1BD6" w:rsidRPr="009C0696">
              <w:rPr>
                <w:lang w:val="en-GB"/>
              </w:rPr>
              <w:t>4%) a</w:t>
            </w:r>
            <w:r w:rsidR="00210E56" w:rsidRPr="009C0696">
              <w:rPr>
                <w:lang w:val="en-GB"/>
              </w:rPr>
              <w:t xml:space="preserve">nd Hungary </w:t>
            </w:r>
            <w:r w:rsidR="00CA1BD6" w:rsidRPr="009C0696">
              <w:rPr>
                <w:lang w:val="en-GB"/>
              </w:rPr>
              <w:t>(2</w:t>
            </w:r>
            <w:r w:rsidR="00210E56" w:rsidRPr="009C0696">
              <w:rPr>
                <w:lang w:val="en-GB"/>
              </w:rPr>
              <w:t>.</w:t>
            </w:r>
            <w:r w:rsidR="00CA1BD6" w:rsidRPr="009C0696">
              <w:rPr>
                <w:lang w:val="en-GB"/>
              </w:rPr>
              <w:t xml:space="preserve">9%). </w:t>
            </w:r>
            <w:r w:rsidR="00210E56" w:rsidRPr="009C0696">
              <w:rPr>
                <w:lang w:val="en-GB"/>
              </w:rPr>
              <w:t xml:space="preserve">Growth was less than </w:t>
            </w:r>
            <w:r w:rsidR="00CA1BD6" w:rsidRPr="009C0696">
              <w:rPr>
                <w:lang w:val="en-GB"/>
              </w:rPr>
              <w:t>1</w:t>
            </w:r>
            <w:r w:rsidR="00CD5798" w:rsidRPr="009C0696">
              <w:rPr>
                <w:lang w:val="en-GB"/>
              </w:rPr>
              <w:t>.</w:t>
            </w:r>
            <w:r w:rsidR="00CA1BD6" w:rsidRPr="009C0696">
              <w:rPr>
                <w:lang w:val="en-GB"/>
              </w:rPr>
              <w:t xml:space="preserve">0% </w:t>
            </w:r>
            <w:r w:rsidR="00CD5798" w:rsidRPr="009C0696">
              <w:rPr>
                <w:lang w:val="en-GB"/>
              </w:rPr>
              <w:t xml:space="preserve">in Denmark </w:t>
            </w:r>
            <w:r w:rsidR="00CA1BD6" w:rsidRPr="009C0696">
              <w:rPr>
                <w:lang w:val="en-GB"/>
              </w:rPr>
              <w:t>(0</w:t>
            </w:r>
            <w:r w:rsidR="00CD5798" w:rsidRPr="009C0696">
              <w:rPr>
                <w:lang w:val="en-GB"/>
              </w:rPr>
              <w:t>.</w:t>
            </w:r>
            <w:r w:rsidR="00CA1BD6" w:rsidRPr="009C0696">
              <w:rPr>
                <w:lang w:val="en-GB"/>
              </w:rPr>
              <w:t>7%), Ir</w:t>
            </w:r>
            <w:r w:rsidR="00CD5798" w:rsidRPr="009C0696">
              <w:rPr>
                <w:lang w:val="en-GB"/>
              </w:rPr>
              <w:t xml:space="preserve">eland </w:t>
            </w:r>
            <w:r w:rsidR="00CA1BD6" w:rsidRPr="009C0696">
              <w:rPr>
                <w:lang w:val="en-GB"/>
              </w:rPr>
              <w:t>(0</w:t>
            </w:r>
            <w:r w:rsidR="00CD5798" w:rsidRPr="009C0696">
              <w:rPr>
                <w:lang w:val="en-GB"/>
              </w:rPr>
              <w:t>.</w:t>
            </w:r>
            <w:r w:rsidR="00CA1BD6" w:rsidRPr="009C0696">
              <w:rPr>
                <w:lang w:val="en-GB"/>
              </w:rPr>
              <w:t xml:space="preserve">7%), </w:t>
            </w:r>
            <w:r w:rsidR="00CD5798" w:rsidRPr="009C0696">
              <w:rPr>
                <w:lang w:val="en-GB"/>
              </w:rPr>
              <w:t xml:space="preserve">Greece </w:t>
            </w:r>
            <w:r w:rsidR="00CA1BD6" w:rsidRPr="009C0696">
              <w:rPr>
                <w:lang w:val="en-GB"/>
              </w:rPr>
              <w:t>(0</w:t>
            </w:r>
            <w:r w:rsidR="00CD5798" w:rsidRPr="009C0696">
              <w:rPr>
                <w:lang w:val="en-GB"/>
              </w:rPr>
              <w:t>.</w:t>
            </w:r>
            <w:r w:rsidR="00CA1BD6" w:rsidRPr="009C0696">
              <w:rPr>
                <w:lang w:val="en-GB"/>
              </w:rPr>
              <w:t>8%) a</w:t>
            </w:r>
            <w:r w:rsidR="00CD5798" w:rsidRPr="009C0696">
              <w:rPr>
                <w:lang w:val="en-GB"/>
              </w:rPr>
              <w:t xml:space="preserve">nd Cyprus </w:t>
            </w:r>
            <w:r w:rsidR="00CA1BD6" w:rsidRPr="009C0696">
              <w:rPr>
                <w:lang w:val="en-GB"/>
              </w:rPr>
              <w:t>(0</w:t>
            </w:r>
            <w:r w:rsidR="00CD5798" w:rsidRPr="009C0696">
              <w:rPr>
                <w:lang w:val="en-GB"/>
              </w:rPr>
              <w:t>.</w:t>
            </w:r>
            <w:r w:rsidR="00CA1BD6" w:rsidRPr="009C0696">
              <w:rPr>
                <w:lang w:val="en-GB"/>
              </w:rPr>
              <w:t xml:space="preserve">8%). </w:t>
            </w:r>
            <w:r w:rsidR="008537E8" w:rsidRPr="009C0696">
              <w:rPr>
                <w:lang w:val="en-GB"/>
              </w:rPr>
              <w:t xml:space="preserve">The trio of countries, which dominated the prices growth in Q4, is the same as for the results of the whole year </w:t>
            </w:r>
            <w:r w:rsidR="00CA1BD6" w:rsidRPr="009C0696">
              <w:rPr>
                <w:lang w:val="en-GB"/>
              </w:rPr>
              <w:t>(Eston</w:t>
            </w:r>
            <w:r w:rsidR="008537E8" w:rsidRPr="009C0696">
              <w:rPr>
                <w:lang w:val="en-GB"/>
              </w:rPr>
              <w:t xml:space="preserve">ia </w:t>
            </w:r>
            <w:r w:rsidR="00CA1BD6" w:rsidRPr="009C0696">
              <w:rPr>
                <w:lang w:val="en-GB"/>
              </w:rPr>
              <w:t>3</w:t>
            </w:r>
            <w:r w:rsidR="008537E8" w:rsidRPr="009C0696">
              <w:rPr>
                <w:lang w:val="en-GB"/>
              </w:rPr>
              <w:t>.</w:t>
            </w:r>
            <w:r w:rsidR="00CA1BD6" w:rsidRPr="009C0696">
              <w:rPr>
                <w:lang w:val="en-GB"/>
              </w:rPr>
              <w:t>7%, R</w:t>
            </w:r>
            <w:r w:rsidR="008537E8" w:rsidRPr="009C0696">
              <w:rPr>
                <w:lang w:val="en-GB"/>
              </w:rPr>
              <w:t xml:space="preserve">omania </w:t>
            </w:r>
            <w:r w:rsidR="00CA1BD6" w:rsidRPr="009C0696">
              <w:rPr>
                <w:lang w:val="en-GB"/>
              </w:rPr>
              <w:t>3</w:t>
            </w:r>
            <w:r w:rsidR="008537E8" w:rsidRPr="009C0696">
              <w:rPr>
                <w:lang w:val="en-GB"/>
              </w:rPr>
              <w:t>.</w:t>
            </w:r>
            <w:r w:rsidR="00CA1BD6" w:rsidRPr="009C0696">
              <w:rPr>
                <w:lang w:val="en-GB"/>
              </w:rPr>
              <w:t xml:space="preserve">5%, </w:t>
            </w:r>
            <w:r w:rsidR="008537E8" w:rsidRPr="009C0696">
              <w:rPr>
                <w:lang w:val="en-GB"/>
              </w:rPr>
              <w:t xml:space="preserve">Hungary </w:t>
            </w:r>
            <w:r w:rsidR="00CA1BD6" w:rsidRPr="009C0696">
              <w:rPr>
                <w:lang w:val="en-GB"/>
              </w:rPr>
              <w:t>3</w:t>
            </w:r>
            <w:r w:rsidR="008537E8" w:rsidRPr="009C0696">
              <w:rPr>
                <w:lang w:val="en-GB"/>
              </w:rPr>
              <w:t>.</w:t>
            </w:r>
            <w:r w:rsidR="00CA1BD6" w:rsidRPr="009C0696">
              <w:rPr>
                <w:lang w:val="en-GB"/>
              </w:rPr>
              <w:t xml:space="preserve">3%). </w:t>
            </w:r>
            <w:r w:rsidR="00C009D1" w:rsidRPr="009C0696">
              <w:rPr>
                <w:lang w:val="en-GB"/>
              </w:rPr>
              <w:t xml:space="preserve">Prices grew negligibly at the end of the year in Denmark </w:t>
            </w:r>
            <w:r w:rsidR="00CA1BD6" w:rsidRPr="009C0696">
              <w:rPr>
                <w:lang w:val="en-GB"/>
              </w:rPr>
              <w:t>(0</w:t>
            </w:r>
            <w:r w:rsidR="00C009D1" w:rsidRPr="009C0696">
              <w:rPr>
                <w:lang w:val="en-GB"/>
              </w:rPr>
              <w:t>.</w:t>
            </w:r>
            <w:r w:rsidR="00CA1BD6" w:rsidRPr="009C0696">
              <w:rPr>
                <w:lang w:val="en-GB"/>
              </w:rPr>
              <w:t>7</w:t>
            </w:r>
            <w:r w:rsidR="00C009D1" w:rsidRPr="009C0696">
              <w:rPr>
                <w:lang w:val="en-GB"/>
              </w:rPr>
              <w:t xml:space="preserve">%), Portugal </w:t>
            </w:r>
            <w:r w:rsidR="00CA1BD6" w:rsidRPr="009C0696">
              <w:rPr>
                <w:lang w:val="en-GB"/>
              </w:rPr>
              <w:t>(0</w:t>
            </w:r>
            <w:r w:rsidR="00C009D1" w:rsidRPr="009C0696">
              <w:rPr>
                <w:lang w:val="en-GB"/>
              </w:rPr>
              <w:t>.</w:t>
            </w:r>
            <w:r w:rsidR="00CA1BD6" w:rsidRPr="009C0696">
              <w:rPr>
                <w:lang w:val="en-GB"/>
              </w:rPr>
              <w:t>9%) a</w:t>
            </w:r>
            <w:r w:rsidR="00C009D1" w:rsidRPr="009C0696">
              <w:rPr>
                <w:lang w:val="en-GB"/>
              </w:rPr>
              <w:t>nd</w:t>
            </w:r>
            <w:r w:rsidR="00CA1BD6" w:rsidRPr="009C0696">
              <w:rPr>
                <w:lang w:val="en-GB"/>
              </w:rPr>
              <w:t xml:space="preserve"> Ir</w:t>
            </w:r>
            <w:r w:rsidR="00C009D1" w:rsidRPr="009C0696">
              <w:rPr>
                <w:lang w:val="en-GB"/>
              </w:rPr>
              <w:t xml:space="preserve">eland </w:t>
            </w:r>
            <w:r w:rsidR="00CA1BD6" w:rsidRPr="009C0696">
              <w:rPr>
                <w:lang w:val="en-GB"/>
              </w:rPr>
              <w:t>(0</w:t>
            </w:r>
            <w:r w:rsidR="00C009D1" w:rsidRPr="009C0696">
              <w:rPr>
                <w:lang w:val="en-GB"/>
              </w:rPr>
              <w:t>.</w:t>
            </w:r>
            <w:r w:rsidR="00CA1BD6" w:rsidRPr="009C0696">
              <w:rPr>
                <w:lang w:val="en-GB"/>
              </w:rPr>
              <w:t xml:space="preserve">9%).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F7FC7" w:rsidRDefault="00732136" w:rsidP="00732136">
            <w:pPr>
              <w:spacing w:after="0"/>
              <w:rPr>
                <w:b/>
                <w:szCs w:val="20"/>
                <w:lang w:val="en-GB"/>
              </w:rPr>
            </w:pPr>
            <w:r w:rsidRPr="009F7FC7">
              <w:rPr>
                <w:b/>
                <w:szCs w:val="20"/>
                <w:lang w:val="en-GB" w:eastAsia="en-US"/>
              </w:rPr>
              <w:t xml:space="preserve">Chart </w:t>
            </w:r>
            <w:proofErr w:type="gramStart"/>
            <w:r w:rsidR="00CA1BD6" w:rsidRPr="009F7FC7">
              <w:rPr>
                <w:b/>
                <w:szCs w:val="20"/>
                <w:lang w:val="en-GB" w:eastAsia="en-US"/>
              </w:rPr>
              <w:t xml:space="preserve">12  </w:t>
            </w:r>
            <w:r w:rsidR="0031239E" w:rsidRPr="009F7FC7">
              <w:rPr>
                <w:b/>
                <w:szCs w:val="20"/>
                <w:lang w:val="en-GB" w:eastAsia="en-US"/>
              </w:rPr>
              <w:t>Prices</w:t>
            </w:r>
            <w:proofErr w:type="gramEnd"/>
            <w:r w:rsidR="0031239E" w:rsidRPr="009F7FC7">
              <w:rPr>
                <w:b/>
                <w:szCs w:val="20"/>
                <w:lang w:val="en-GB" w:eastAsia="en-US"/>
              </w:rPr>
              <w:t xml:space="preserve"> of real estate </w:t>
            </w:r>
            <w:r w:rsidR="0031239E" w:rsidRPr="009F7FC7">
              <w:rPr>
                <w:szCs w:val="20"/>
                <w:lang w:val="en-GB" w:eastAsia="en-US"/>
              </w:rPr>
              <w:t>(year-on-year change, in %)</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965797">
            <w:pPr>
              <w:pStyle w:val="Marginlie"/>
              <w:rPr>
                <w:spacing w:val="0"/>
                <w:lang w:val="en-GB"/>
              </w:rPr>
            </w:pPr>
          </w:p>
        </w:tc>
        <w:tc>
          <w:tcPr>
            <w:tcW w:w="228" w:type="dxa"/>
            <w:vMerge/>
            <w:shd w:val="clear" w:color="auto" w:fill="auto"/>
          </w:tcPr>
          <w:p w:rsidR="00CA1BD6" w:rsidRPr="009C0696" w:rsidRDefault="00CA1BD6" w:rsidP="00965797">
            <w:pPr>
              <w:pStyle w:val="Textpoznpodarou"/>
              <w:jc w:val="both"/>
              <w:rPr>
                <w:lang w:val="en-GB"/>
              </w:rPr>
            </w:pPr>
          </w:p>
        </w:tc>
        <w:tc>
          <w:tcPr>
            <w:tcW w:w="7610" w:type="dxa"/>
            <w:shd w:val="clear" w:color="auto" w:fill="auto"/>
          </w:tcPr>
          <w:p w:rsidR="00CA1BD6" w:rsidRPr="009C0696" w:rsidRDefault="002505E3" w:rsidP="00965797">
            <w:pPr>
              <w:spacing w:after="0"/>
              <w:rPr>
                <w:lang w:val="en-GB"/>
              </w:rPr>
            </w:pPr>
            <w:r>
              <w:rPr>
                <w:noProof/>
              </w:rPr>
              <w:drawing>
                <wp:inline distT="0" distB="0" distL="0" distR="0" wp14:anchorId="530E92CF" wp14:editId="782D7640">
                  <wp:extent cx="4737600" cy="3553200"/>
                  <wp:effectExtent l="0" t="0" r="6350" b="0"/>
                  <wp:docPr id="46" name="Graf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965797">
            <w:pPr>
              <w:pStyle w:val="Marginlie"/>
              <w:rPr>
                <w:spacing w:val="0"/>
                <w:lang w:val="en-GB"/>
              </w:rPr>
            </w:pPr>
          </w:p>
        </w:tc>
        <w:tc>
          <w:tcPr>
            <w:tcW w:w="228" w:type="dxa"/>
            <w:vMerge/>
            <w:shd w:val="clear" w:color="auto" w:fill="auto"/>
            <w:tcMar>
              <w:left w:w="0" w:type="dxa"/>
            </w:tcMar>
          </w:tcPr>
          <w:p w:rsidR="00CA1BD6" w:rsidRPr="009C0696" w:rsidRDefault="00CA1BD6" w:rsidP="00965797">
            <w:pPr>
              <w:pStyle w:val="Textpoznpodarou"/>
              <w:jc w:val="both"/>
              <w:rPr>
                <w:lang w:val="en-GB"/>
              </w:rPr>
            </w:pPr>
          </w:p>
        </w:tc>
        <w:tc>
          <w:tcPr>
            <w:tcW w:w="7610" w:type="dxa"/>
            <w:shd w:val="clear" w:color="auto" w:fill="auto"/>
            <w:tcMar>
              <w:left w:w="0" w:type="dxa"/>
            </w:tcMar>
          </w:tcPr>
          <w:p w:rsidR="008C198E" w:rsidRPr="009C0696" w:rsidRDefault="00141B44" w:rsidP="002505E3">
            <w:pPr>
              <w:spacing w:after="0"/>
              <w:rPr>
                <w:sz w:val="14"/>
                <w:szCs w:val="14"/>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7F08A4" w:rsidP="007F08A4">
            <w:pPr>
              <w:pStyle w:val="Marginlie"/>
              <w:rPr>
                <w:spacing w:val="0"/>
                <w:lang w:val="en-GB"/>
              </w:rPr>
            </w:pPr>
            <w:r w:rsidRPr="009C0696">
              <w:rPr>
                <w:spacing w:val="0"/>
                <w:lang w:val="en-GB"/>
              </w:rPr>
              <w:lastRenderedPageBreak/>
              <w:t xml:space="preserve">Prices of flats continued in the relative strong growth. </w:t>
            </w:r>
          </w:p>
        </w:tc>
        <w:tc>
          <w:tcPr>
            <w:tcW w:w="228" w:type="dxa"/>
            <w:shd w:val="clear" w:color="auto" w:fill="auto"/>
            <w:tcMar>
              <w:left w:w="0" w:type="dxa"/>
            </w:tcMar>
          </w:tcPr>
          <w:p w:rsidR="00CA1BD6" w:rsidRPr="009C0696" w:rsidRDefault="00CA1BD6" w:rsidP="00723435">
            <w:pPr>
              <w:pStyle w:val="Textpoznpodarou1"/>
              <w:jc w:val="both"/>
              <w:rPr>
                <w:highlight w:val="yellow"/>
                <w:lang w:val="en-GB"/>
              </w:rPr>
            </w:pPr>
          </w:p>
        </w:tc>
        <w:tc>
          <w:tcPr>
            <w:tcW w:w="7610" w:type="dxa"/>
            <w:shd w:val="clear" w:color="auto" w:fill="auto"/>
            <w:tcMar>
              <w:left w:w="0" w:type="dxa"/>
            </w:tcMar>
          </w:tcPr>
          <w:p w:rsidR="00CA1BD6" w:rsidRPr="009C0696" w:rsidRDefault="007F08A4" w:rsidP="00855EFE">
            <w:pPr>
              <w:rPr>
                <w:lang w:val="en-GB"/>
              </w:rPr>
            </w:pPr>
            <w:r w:rsidRPr="009C0696">
              <w:rPr>
                <w:lang w:val="en-GB"/>
              </w:rPr>
              <w:t xml:space="preserve">The dynamics of prices of flats started losing </w:t>
            </w:r>
            <w:r w:rsidR="003622EE" w:rsidRPr="009C0696">
              <w:rPr>
                <w:lang w:val="en-GB"/>
              </w:rPr>
              <w:t>strength</w:t>
            </w:r>
            <w:r w:rsidRPr="009C0696">
              <w:rPr>
                <w:lang w:val="en-GB"/>
              </w:rPr>
              <w:t xml:space="preserve"> at the turn of years </w:t>
            </w:r>
            <w:r w:rsidR="00CA1BD6" w:rsidRPr="009C0696">
              <w:rPr>
                <w:lang w:val="en-GB"/>
              </w:rPr>
              <w:t>2017</w:t>
            </w:r>
            <w:r w:rsidRPr="009C0696">
              <w:rPr>
                <w:lang w:val="en-GB"/>
              </w:rPr>
              <w:t xml:space="preserve"> </w:t>
            </w:r>
            <w:r w:rsidR="00855EFE" w:rsidRPr="009C0696">
              <w:rPr>
                <w:lang w:val="en-GB"/>
              </w:rPr>
              <w:t>and 2018</w:t>
            </w:r>
            <w:r w:rsidRPr="009C0696">
              <w:rPr>
                <w:lang w:val="en-GB"/>
              </w:rPr>
              <w:t xml:space="preserve"> and it seemed, that its peak already passed. It was valid for supply prices of flats, whose year-on-year growth was </w:t>
            </w:r>
            <w:r w:rsidR="003622EE" w:rsidRPr="009C0696">
              <w:rPr>
                <w:lang w:val="en-GB"/>
              </w:rPr>
              <w:t>continually</w:t>
            </w:r>
            <w:r w:rsidRPr="009C0696">
              <w:rPr>
                <w:lang w:val="en-GB"/>
              </w:rPr>
              <w:t xml:space="preserve"> slackening, still it kept a fast pace.  </w:t>
            </w:r>
            <w:r w:rsidR="00CA1BD6" w:rsidRPr="009C0696">
              <w:rPr>
                <w:lang w:val="en-GB"/>
              </w:rPr>
              <w:t xml:space="preserve"> </w:t>
            </w:r>
            <w:r w:rsidRPr="009C0696">
              <w:rPr>
                <w:lang w:val="en-GB"/>
              </w:rPr>
              <w:t xml:space="preserve">The supply prices </w:t>
            </w:r>
            <w:r w:rsidR="00E06050" w:rsidRPr="009C0696">
              <w:rPr>
                <w:lang w:val="en-GB"/>
              </w:rPr>
              <w:t xml:space="preserve">of flats in the CR increased in total by </w:t>
            </w:r>
            <w:r w:rsidR="00CA1BD6" w:rsidRPr="009C0696">
              <w:rPr>
                <w:lang w:val="en-GB"/>
              </w:rPr>
              <w:t>10</w:t>
            </w:r>
            <w:r w:rsidR="00E06050" w:rsidRPr="009C0696">
              <w:rPr>
                <w:lang w:val="en-GB"/>
              </w:rPr>
              <w:t>.</w:t>
            </w:r>
            <w:r w:rsidR="00CA1BD6" w:rsidRPr="009C0696">
              <w:rPr>
                <w:lang w:val="en-GB"/>
              </w:rPr>
              <w:t>7%</w:t>
            </w:r>
            <w:r w:rsidR="00E06050" w:rsidRPr="009C0696">
              <w:rPr>
                <w:lang w:val="en-GB"/>
              </w:rPr>
              <w:t xml:space="preserve"> last year compared to year 2017</w:t>
            </w:r>
            <w:r w:rsidR="00CA1BD6" w:rsidRPr="009C0696">
              <w:rPr>
                <w:lang w:val="en-GB"/>
              </w:rPr>
              <w:t xml:space="preserve">, </w:t>
            </w:r>
            <w:r w:rsidR="00E06050" w:rsidRPr="009C0696">
              <w:rPr>
                <w:lang w:val="en-GB"/>
              </w:rPr>
              <w:t xml:space="preserve">it was </w:t>
            </w:r>
            <w:r w:rsidR="00CA1BD6" w:rsidRPr="009C0696">
              <w:rPr>
                <w:lang w:val="en-GB"/>
              </w:rPr>
              <w:t>12</w:t>
            </w:r>
            <w:r w:rsidR="00E06050" w:rsidRPr="009C0696">
              <w:rPr>
                <w:lang w:val="en-GB"/>
              </w:rPr>
              <w:t>.</w:t>
            </w:r>
            <w:r w:rsidR="00CA1BD6" w:rsidRPr="009C0696">
              <w:rPr>
                <w:lang w:val="en-GB"/>
              </w:rPr>
              <w:t>1%</w:t>
            </w:r>
            <w:r w:rsidR="00E06050" w:rsidRPr="009C0696">
              <w:rPr>
                <w:lang w:val="en-GB"/>
              </w:rPr>
              <w:t xml:space="preserve"> in Prague</w:t>
            </w:r>
            <w:r w:rsidR="00CA1BD6" w:rsidRPr="009C0696">
              <w:rPr>
                <w:lang w:val="en-GB"/>
              </w:rPr>
              <w:t xml:space="preserve"> (16</w:t>
            </w:r>
            <w:r w:rsidR="00E06050" w:rsidRPr="009C0696">
              <w:rPr>
                <w:lang w:val="en-GB"/>
              </w:rPr>
              <w:t>.</w:t>
            </w:r>
            <w:r w:rsidR="00CA1BD6" w:rsidRPr="009C0696">
              <w:rPr>
                <w:lang w:val="en-GB"/>
              </w:rPr>
              <w:t>4%</w:t>
            </w:r>
            <w:r w:rsidR="00E06050" w:rsidRPr="009C0696">
              <w:rPr>
                <w:lang w:val="en-GB"/>
              </w:rPr>
              <w:t xml:space="preserve"> for year </w:t>
            </w:r>
            <w:r w:rsidR="00CA1BD6" w:rsidRPr="009C0696">
              <w:rPr>
                <w:lang w:val="en-GB"/>
              </w:rPr>
              <w:t xml:space="preserve">2017). </w:t>
            </w:r>
            <w:r w:rsidR="003622EE" w:rsidRPr="009C0696">
              <w:rPr>
                <w:lang w:val="en-GB"/>
              </w:rPr>
              <w:t xml:space="preserve">In contrast, the growth of the supply prices of flats outside of Prague considerably increased pace last year </w:t>
            </w:r>
            <w:r w:rsidR="00CA1BD6" w:rsidRPr="009C0696">
              <w:rPr>
                <w:lang w:val="en-GB"/>
              </w:rPr>
              <w:t>(</w:t>
            </w:r>
            <w:r w:rsidR="003622EE" w:rsidRPr="009C0696">
              <w:rPr>
                <w:lang w:val="en-GB"/>
              </w:rPr>
              <w:t xml:space="preserve">from </w:t>
            </w:r>
            <w:r w:rsidR="00CA1BD6" w:rsidRPr="009C0696">
              <w:rPr>
                <w:lang w:val="en-GB"/>
              </w:rPr>
              <w:t>4</w:t>
            </w:r>
            <w:r w:rsidR="003622EE" w:rsidRPr="009C0696">
              <w:rPr>
                <w:lang w:val="en-GB"/>
              </w:rPr>
              <w:t>.</w:t>
            </w:r>
            <w:r w:rsidR="00CA1BD6" w:rsidRPr="009C0696">
              <w:rPr>
                <w:lang w:val="en-GB"/>
              </w:rPr>
              <w:t xml:space="preserve">7% </w:t>
            </w:r>
            <w:r w:rsidR="003622EE" w:rsidRPr="009C0696">
              <w:rPr>
                <w:lang w:val="en-GB"/>
              </w:rPr>
              <w:t xml:space="preserve">in </w:t>
            </w:r>
            <w:r w:rsidR="00CA1BD6" w:rsidRPr="009C0696">
              <w:rPr>
                <w:lang w:val="en-GB"/>
              </w:rPr>
              <w:t>2017</w:t>
            </w:r>
            <w:r w:rsidR="003622EE" w:rsidRPr="009C0696">
              <w:rPr>
                <w:lang w:val="en-GB"/>
              </w:rPr>
              <w:t xml:space="preserve"> to </w:t>
            </w:r>
            <w:r w:rsidR="00CA1BD6" w:rsidRPr="009C0696">
              <w:rPr>
                <w:lang w:val="en-GB"/>
              </w:rPr>
              <w:t>8</w:t>
            </w:r>
            <w:r w:rsidR="003622EE" w:rsidRPr="009C0696">
              <w:rPr>
                <w:lang w:val="en-GB"/>
              </w:rPr>
              <w:t>.</w:t>
            </w:r>
            <w:r w:rsidR="00044670">
              <w:rPr>
                <w:lang w:val="en-GB"/>
              </w:rPr>
              <w:t>8</w:t>
            </w:r>
            <w:r w:rsidR="00CA1BD6" w:rsidRPr="009C0696">
              <w:rPr>
                <w:lang w:val="en-GB"/>
              </w:rPr>
              <w:t xml:space="preserve">%), </w:t>
            </w:r>
            <w:r w:rsidR="00343A89" w:rsidRPr="009C0696">
              <w:rPr>
                <w:lang w:val="en-GB"/>
              </w:rPr>
              <w:t xml:space="preserve">which was likely the consequence of the situation in other large cities </w:t>
            </w:r>
            <w:r w:rsidR="00CA1BD6" w:rsidRPr="009C0696">
              <w:rPr>
                <w:lang w:val="en-GB"/>
              </w:rPr>
              <w:t>(</w:t>
            </w:r>
            <w:r w:rsidR="00343A89" w:rsidRPr="009C0696">
              <w:rPr>
                <w:lang w:val="en-GB"/>
              </w:rPr>
              <w:t xml:space="preserve">mainly </w:t>
            </w:r>
            <w:r w:rsidR="00CA1BD6" w:rsidRPr="009C0696">
              <w:rPr>
                <w:lang w:val="en-GB"/>
              </w:rPr>
              <w:t xml:space="preserve">Brno). </w:t>
            </w:r>
            <w:r w:rsidR="00304F1F" w:rsidRPr="009C0696">
              <w:rPr>
                <w:lang w:val="en-GB"/>
              </w:rPr>
              <w:t>Supply prices increased year-on-year by 8.5% in the CR in Q</w:t>
            </w:r>
            <w:r w:rsidR="00CA1BD6" w:rsidRPr="009C0696">
              <w:rPr>
                <w:lang w:val="en-GB"/>
              </w:rPr>
              <w:t>4</w:t>
            </w:r>
            <w:r w:rsidR="00304F1F" w:rsidRPr="009C0696">
              <w:rPr>
                <w:lang w:val="en-GB"/>
              </w:rPr>
              <w:t xml:space="preserve"> and by 8.8% in Prague. Year-on-year dynamics of realised prices of </w:t>
            </w:r>
            <w:r w:rsidR="00855EFE">
              <w:rPr>
                <w:lang w:val="en-GB"/>
              </w:rPr>
              <w:t>second hand</w:t>
            </w:r>
            <w:r w:rsidR="00304F1F" w:rsidRPr="009C0696">
              <w:rPr>
                <w:lang w:val="en-GB"/>
              </w:rPr>
              <w:t xml:space="preserve"> flats on the contrary started to accelerate again in H2. </w:t>
            </w:r>
            <w:r w:rsidR="00CD1262" w:rsidRPr="009C0696">
              <w:rPr>
                <w:lang w:val="en-GB"/>
              </w:rPr>
              <w:t xml:space="preserve">Prices increased by 9.5% in the whole CR last year </w:t>
            </w:r>
            <w:r w:rsidR="00CA1BD6" w:rsidRPr="009C0696">
              <w:rPr>
                <w:lang w:val="en-GB"/>
              </w:rPr>
              <w:t>(</w:t>
            </w:r>
            <w:r w:rsidR="00CD1262" w:rsidRPr="009C0696">
              <w:rPr>
                <w:lang w:val="en-GB"/>
              </w:rPr>
              <w:t>by 11.4% in Q4 itself</w:t>
            </w:r>
            <w:r w:rsidR="00CA1BD6" w:rsidRPr="009C0696">
              <w:rPr>
                <w:lang w:val="en-GB"/>
              </w:rPr>
              <w:t xml:space="preserve">). </w:t>
            </w:r>
            <w:r w:rsidR="00234482" w:rsidRPr="009C0696">
              <w:rPr>
                <w:lang w:val="en-GB"/>
              </w:rPr>
              <w:t xml:space="preserve">Total growth was 6.7% in Prague last year, which can be linked to a certain ceiling, that the demand can still bear </w:t>
            </w:r>
            <w:r w:rsidR="00CA1BD6" w:rsidRPr="009C0696">
              <w:rPr>
                <w:lang w:val="en-GB"/>
              </w:rPr>
              <w:t>(</w:t>
            </w:r>
            <w:r w:rsidR="00234482" w:rsidRPr="009C0696">
              <w:rPr>
                <w:lang w:val="en-GB"/>
              </w:rPr>
              <w:t xml:space="preserve">total level of prices of flats in Prague is considerably higher compared to the rest of the CR, </w:t>
            </w:r>
            <w:r w:rsidR="00E43673" w:rsidRPr="009C0696">
              <w:rPr>
                <w:lang w:val="en-GB"/>
              </w:rPr>
              <w:t xml:space="preserve">high relative increase thus hit the interested parties more strongly). Realised prices of </w:t>
            </w:r>
            <w:r w:rsidR="00855EFE">
              <w:rPr>
                <w:lang w:val="en-GB"/>
              </w:rPr>
              <w:t>second hand</w:t>
            </w:r>
            <w:r w:rsidR="00E43673" w:rsidRPr="009C0696">
              <w:rPr>
                <w:lang w:val="en-GB"/>
              </w:rPr>
              <w:t xml:space="preserve"> flats outside Prague were also rising more strongly compared to the previous </w:t>
            </w:r>
            <w:r w:rsidR="00CA1BD6" w:rsidRPr="009C0696">
              <w:rPr>
                <w:lang w:val="en-GB"/>
              </w:rPr>
              <w:t>(10</w:t>
            </w:r>
            <w:r w:rsidR="00E43673" w:rsidRPr="009C0696">
              <w:rPr>
                <w:lang w:val="en-GB"/>
              </w:rPr>
              <w:t>.</w:t>
            </w:r>
            <w:r w:rsidR="00CA1BD6" w:rsidRPr="009C0696">
              <w:rPr>
                <w:lang w:val="en-GB"/>
              </w:rPr>
              <w:t xml:space="preserve">4% </w:t>
            </w:r>
            <w:r w:rsidR="00E43673" w:rsidRPr="009C0696">
              <w:rPr>
                <w:lang w:val="en-GB"/>
              </w:rPr>
              <w:t>for the whole year</w:t>
            </w:r>
            <w:r w:rsidR="00CA1BD6" w:rsidRPr="009C0696">
              <w:rPr>
                <w:lang w:val="en-GB"/>
              </w:rPr>
              <w:t xml:space="preserve">, </w:t>
            </w:r>
            <w:r w:rsidR="00E43673" w:rsidRPr="009C0696">
              <w:rPr>
                <w:lang w:val="en-GB"/>
              </w:rPr>
              <w:t>by 12.2% in Q</w:t>
            </w:r>
            <w:r w:rsidR="00CA1BD6" w:rsidRPr="009C0696">
              <w:rPr>
                <w:lang w:val="en-GB"/>
              </w:rPr>
              <w:t xml:space="preserve">4).       </w:t>
            </w:r>
          </w:p>
        </w:tc>
      </w:tr>
      <w:tr w:rsidR="00CA1BD6" w:rsidRPr="009C0696" w:rsidTr="002505E3">
        <w:trPr>
          <w:trHeight w:val="145"/>
        </w:trPr>
        <w:tc>
          <w:tcPr>
            <w:tcW w:w="1801" w:type="dxa"/>
            <w:shd w:val="clear" w:color="auto" w:fill="auto"/>
            <w:tcMar>
              <w:left w:w="0" w:type="dxa"/>
            </w:tcMar>
          </w:tcPr>
          <w:p w:rsidR="00CA1BD6" w:rsidRPr="009C0696" w:rsidRDefault="001B55D7" w:rsidP="001B55D7">
            <w:pPr>
              <w:pStyle w:val="Marginlie"/>
              <w:rPr>
                <w:spacing w:val="0"/>
                <w:lang w:val="en-GB"/>
              </w:rPr>
            </w:pPr>
            <w:r w:rsidRPr="009C0696">
              <w:rPr>
                <w:spacing w:val="0"/>
                <w:lang w:val="en-GB"/>
              </w:rPr>
              <w:t>Development of prices of oil was the main factor affecting the prices of industrial producers.</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1B55D7" w:rsidP="00A35ACA">
            <w:pPr>
              <w:rPr>
                <w:lang w:val="en-GB"/>
              </w:rPr>
            </w:pPr>
            <w:r w:rsidRPr="009C0696">
              <w:rPr>
                <w:lang w:val="en-GB"/>
              </w:rPr>
              <w:t xml:space="preserve">Prices of industrial producers increased by </w:t>
            </w:r>
            <w:r w:rsidR="00CA1BD6" w:rsidRPr="009C0696">
              <w:rPr>
                <w:lang w:val="en-GB"/>
              </w:rPr>
              <w:t>2</w:t>
            </w:r>
            <w:r w:rsidRPr="009C0696">
              <w:rPr>
                <w:lang w:val="en-GB"/>
              </w:rPr>
              <w:t>.</w:t>
            </w:r>
            <w:r w:rsidR="00CA1BD6" w:rsidRPr="009C0696">
              <w:rPr>
                <w:lang w:val="en-GB"/>
              </w:rPr>
              <w:t>0%</w:t>
            </w:r>
            <w:r w:rsidRPr="009C0696">
              <w:rPr>
                <w:lang w:val="en-GB"/>
              </w:rPr>
              <w:t xml:space="preserve"> last year</w:t>
            </w:r>
            <w:r w:rsidR="00CA1BD6" w:rsidRPr="009C0696">
              <w:rPr>
                <w:lang w:val="en-GB"/>
              </w:rPr>
              <w:t xml:space="preserve">. </w:t>
            </w:r>
            <w:r w:rsidR="006A072C" w:rsidRPr="009C0696">
              <w:rPr>
                <w:lang w:val="en-GB"/>
              </w:rPr>
              <w:t xml:space="preserve">The main factor behind their year-on-year dynamics was then the development of the oil prices. Prices in manufacturing grew by </w:t>
            </w:r>
            <w:r w:rsidR="00CA1BD6" w:rsidRPr="009C0696">
              <w:rPr>
                <w:lang w:val="en-GB"/>
              </w:rPr>
              <w:t>1</w:t>
            </w:r>
            <w:r w:rsidR="006A072C" w:rsidRPr="009C0696">
              <w:rPr>
                <w:lang w:val="en-GB"/>
              </w:rPr>
              <w:t>.</w:t>
            </w:r>
            <w:r w:rsidR="00CA1BD6" w:rsidRPr="009C0696">
              <w:rPr>
                <w:lang w:val="en-GB"/>
              </w:rPr>
              <w:t xml:space="preserve">8%. </w:t>
            </w:r>
            <w:r w:rsidR="006A072C" w:rsidRPr="009C0696">
              <w:rPr>
                <w:lang w:val="en-GB"/>
              </w:rPr>
              <w:t xml:space="preserve">It was mostly due to the contribution of prices of coke and refined oil products. Prices of basic metals and metal products also significantly </w:t>
            </w:r>
            <w:r w:rsidR="00F44640" w:rsidRPr="009C0696">
              <w:rPr>
                <w:lang w:val="en-GB"/>
              </w:rPr>
              <w:t xml:space="preserve">grew </w:t>
            </w:r>
            <w:r w:rsidR="00CA1BD6" w:rsidRPr="009C0696">
              <w:rPr>
                <w:lang w:val="en-GB"/>
              </w:rPr>
              <w:t>(3</w:t>
            </w:r>
            <w:r w:rsidR="006A072C" w:rsidRPr="009C0696">
              <w:rPr>
                <w:lang w:val="en-GB"/>
              </w:rPr>
              <w:t>.</w:t>
            </w:r>
            <w:r w:rsidR="00CA1BD6" w:rsidRPr="009C0696">
              <w:rPr>
                <w:lang w:val="en-GB"/>
              </w:rPr>
              <w:t xml:space="preserve">4%). </w:t>
            </w:r>
            <w:r w:rsidR="00BE5B92" w:rsidRPr="009C0696">
              <w:rPr>
                <w:lang w:val="en-GB"/>
              </w:rPr>
              <w:t xml:space="preserve">Prices of chemical products </w:t>
            </w:r>
            <w:r w:rsidR="00CA1BD6" w:rsidRPr="009C0696">
              <w:rPr>
                <w:lang w:val="en-GB"/>
              </w:rPr>
              <w:t>(1</w:t>
            </w:r>
            <w:r w:rsidR="00BE5B92" w:rsidRPr="009C0696">
              <w:rPr>
                <w:lang w:val="en-GB"/>
              </w:rPr>
              <w:t>.</w:t>
            </w:r>
            <w:r w:rsidR="00CA1BD6" w:rsidRPr="009C0696">
              <w:rPr>
                <w:lang w:val="en-GB"/>
              </w:rPr>
              <w:t xml:space="preserve">5%), </w:t>
            </w:r>
            <w:r w:rsidR="00BE5B92" w:rsidRPr="009C0696">
              <w:rPr>
                <w:lang w:val="en-GB"/>
              </w:rPr>
              <w:t xml:space="preserve">basic pharmaceutical products </w:t>
            </w:r>
            <w:r w:rsidR="00CA1BD6" w:rsidRPr="009C0696">
              <w:rPr>
                <w:lang w:val="en-GB"/>
              </w:rPr>
              <w:t>(2</w:t>
            </w:r>
            <w:r w:rsidR="00BE5B92" w:rsidRPr="009C0696">
              <w:rPr>
                <w:lang w:val="en-GB"/>
              </w:rPr>
              <w:t>.</w:t>
            </w:r>
            <w:r w:rsidR="00CA1BD6" w:rsidRPr="009C0696">
              <w:rPr>
                <w:lang w:val="en-GB"/>
              </w:rPr>
              <w:t>7%)</w:t>
            </w:r>
            <w:r w:rsidR="00BE5B92" w:rsidRPr="009C0696">
              <w:rPr>
                <w:lang w:val="en-GB"/>
              </w:rPr>
              <w:t xml:space="preserve"> or furniture </w:t>
            </w:r>
            <w:r w:rsidR="00CA1BD6" w:rsidRPr="009C0696">
              <w:rPr>
                <w:lang w:val="en-GB"/>
              </w:rPr>
              <w:t>(2</w:t>
            </w:r>
            <w:r w:rsidR="00BE5B92" w:rsidRPr="009C0696">
              <w:rPr>
                <w:lang w:val="en-GB"/>
              </w:rPr>
              <w:t>.</w:t>
            </w:r>
            <w:r w:rsidR="00CA1BD6" w:rsidRPr="009C0696">
              <w:rPr>
                <w:lang w:val="en-GB"/>
              </w:rPr>
              <w:t>3%)</w:t>
            </w:r>
            <w:r w:rsidR="00BE5B92" w:rsidRPr="009C0696">
              <w:rPr>
                <w:lang w:val="en-GB"/>
              </w:rPr>
              <w:t xml:space="preserve"> also mildly grew</w:t>
            </w:r>
            <w:r w:rsidR="00CA1BD6" w:rsidRPr="009C0696">
              <w:rPr>
                <w:lang w:val="en-GB"/>
              </w:rPr>
              <w:t xml:space="preserve">. </w:t>
            </w:r>
            <w:r w:rsidR="00D864D0" w:rsidRPr="009C0696">
              <w:rPr>
                <w:lang w:val="en-GB"/>
              </w:rPr>
              <w:t xml:space="preserve">Drop for transportation vehicles of 1.7% had a negative impact on the size of index of industrial producer prices. </w:t>
            </w:r>
            <w:r w:rsidR="00CA1BD6" w:rsidRPr="009C0696">
              <w:rPr>
                <w:lang w:val="en-GB"/>
              </w:rPr>
              <w:t>S</w:t>
            </w:r>
            <w:r w:rsidR="00D864D0" w:rsidRPr="009C0696">
              <w:rPr>
                <w:lang w:val="en-GB"/>
              </w:rPr>
              <w:t xml:space="preserve">trong year-on-year growth occurred for the prices of mining and quarrying </w:t>
            </w:r>
            <w:r w:rsidR="00CA1BD6" w:rsidRPr="009C0696">
              <w:rPr>
                <w:lang w:val="en-GB"/>
              </w:rPr>
              <w:t>(7</w:t>
            </w:r>
            <w:r w:rsidR="00D864D0" w:rsidRPr="009C0696">
              <w:rPr>
                <w:lang w:val="en-GB"/>
              </w:rPr>
              <w:t>.</w:t>
            </w:r>
            <w:r w:rsidR="00CA1BD6" w:rsidRPr="009C0696">
              <w:rPr>
                <w:lang w:val="en-GB"/>
              </w:rPr>
              <w:t>6%)</w:t>
            </w:r>
            <w:r w:rsidR="00D864D0" w:rsidRPr="009C0696">
              <w:rPr>
                <w:lang w:val="en-GB"/>
              </w:rPr>
              <w:t xml:space="preserve"> for the whole year</w:t>
            </w:r>
            <w:r w:rsidR="00CA1BD6" w:rsidRPr="009C0696">
              <w:rPr>
                <w:lang w:val="en-GB"/>
              </w:rPr>
              <w:t xml:space="preserve">. </w:t>
            </w:r>
            <w:r w:rsidR="00A35ACA" w:rsidRPr="009C0696">
              <w:rPr>
                <w:lang w:val="en-GB"/>
              </w:rPr>
              <w:t xml:space="preserve">Growth of prices of electricity, gas, steam and air conditioning supply </w:t>
            </w:r>
            <w:r w:rsidR="00CA1BD6" w:rsidRPr="009C0696">
              <w:rPr>
                <w:lang w:val="en-GB"/>
              </w:rPr>
              <w:t>(2</w:t>
            </w:r>
            <w:r w:rsidR="00A35ACA" w:rsidRPr="009C0696">
              <w:rPr>
                <w:lang w:val="en-GB"/>
              </w:rPr>
              <w:t>.</w:t>
            </w:r>
            <w:r w:rsidR="00CA1BD6" w:rsidRPr="009C0696">
              <w:rPr>
                <w:lang w:val="en-GB"/>
              </w:rPr>
              <w:t>2%)</w:t>
            </w:r>
            <w:r w:rsidR="00A35ACA" w:rsidRPr="009C0696">
              <w:rPr>
                <w:lang w:val="en-GB"/>
              </w:rPr>
              <w:t xml:space="preserve"> also accelerated during the whole year</w:t>
            </w:r>
            <w:r w:rsidR="00CA1BD6" w:rsidRPr="009C0696">
              <w:rPr>
                <w:lang w:val="en-GB"/>
              </w:rPr>
              <w:t xml:space="preserve">. </w:t>
            </w:r>
            <w:r w:rsidR="00A35ACA" w:rsidRPr="009C0696">
              <w:rPr>
                <w:lang w:val="en-GB"/>
              </w:rPr>
              <w:t xml:space="preserve">Prices of water supply and sewerage increased by </w:t>
            </w:r>
            <w:r w:rsidR="00CA1BD6" w:rsidRPr="009C0696">
              <w:rPr>
                <w:lang w:val="en-GB"/>
              </w:rPr>
              <w:t>1</w:t>
            </w:r>
            <w:r w:rsidR="00A35ACA" w:rsidRPr="009C0696">
              <w:rPr>
                <w:lang w:val="en-GB"/>
              </w:rPr>
              <w:t>.</w:t>
            </w:r>
            <w:r w:rsidR="00CA1BD6" w:rsidRPr="009C0696">
              <w:rPr>
                <w:lang w:val="en-GB"/>
              </w:rPr>
              <w:t>9</w:t>
            </w:r>
            <w:r w:rsidR="00A35ACA" w:rsidRPr="009C0696">
              <w:rPr>
                <w:lang w:val="en-GB"/>
              </w:rPr>
              <w:t>%</w:t>
            </w:r>
            <w:r w:rsidR="00CA1BD6" w:rsidRPr="009C0696">
              <w:rPr>
                <w:lang w:val="en-GB"/>
              </w:rPr>
              <w:t xml:space="preserve">. </w:t>
            </w:r>
          </w:p>
        </w:tc>
      </w:tr>
      <w:tr w:rsidR="00CA1BD6" w:rsidRPr="009C0696" w:rsidTr="002505E3">
        <w:trPr>
          <w:trHeight w:val="170"/>
        </w:trPr>
        <w:tc>
          <w:tcPr>
            <w:tcW w:w="1801" w:type="dxa"/>
            <w:vMerge w:val="restart"/>
            <w:shd w:val="clear" w:color="auto" w:fill="auto"/>
            <w:tcMar>
              <w:left w:w="0" w:type="dxa"/>
            </w:tcMar>
          </w:tcPr>
          <w:p w:rsidR="00CA1BD6" w:rsidRPr="009C0696" w:rsidRDefault="00CA1BD6" w:rsidP="00723435">
            <w:pPr>
              <w:pStyle w:val="Marginlie"/>
              <w:rPr>
                <w:spacing w:val="0"/>
                <w:lang w:val="en-GB"/>
              </w:rPr>
            </w:pPr>
          </w:p>
        </w:tc>
        <w:tc>
          <w:tcPr>
            <w:tcW w:w="228" w:type="dxa"/>
            <w:vMerge w:val="restart"/>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382CDE" w:rsidRDefault="00141B44" w:rsidP="00141B44">
            <w:pPr>
              <w:spacing w:after="0"/>
              <w:rPr>
                <w:b/>
                <w:spacing w:val="-2"/>
                <w:szCs w:val="20"/>
                <w:lang w:val="en-GB"/>
              </w:rPr>
            </w:pPr>
            <w:r w:rsidRPr="00382CDE">
              <w:rPr>
                <w:b/>
                <w:spacing w:val="-2"/>
                <w:szCs w:val="20"/>
                <w:lang w:val="en-GB"/>
              </w:rPr>
              <w:t xml:space="preserve">Chart </w:t>
            </w:r>
            <w:r w:rsidR="00CA1BD6" w:rsidRPr="00382CDE">
              <w:rPr>
                <w:b/>
                <w:spacing w:val="-2"/>
                <w:szCs w:val="20"/>
                <w:lang w:val="en-GB"/>
              </w:rPr>
              <w:t xml:space="preserve">13  </w:t>
            </w:r>
            <w:r w:rsidR="000B6C5C" w:rsidRPr="00382CDE">
              <w:rPr>
                <w:b/>
                <w:spacing w:val="-2"/>
                <w:szCs w:val="20"/>
                <w:lang w:val="en-GB"/>
              </w:rPr>
              <w:t xml:space="preserve">Prices of main groups of industrial producers </w:t>
            </w:r>
            <w:r w:rsidR="000B6C5C" w:rsidRPr="00382CDE">
              <w:rPr>
                <w:spacing w:val="-2"/>
                <w:szCs w:val="20"/>
                <w:lang w:val="en-GB"/>
              </w:rPr>
              <w:t>(year-on-year change, in %, based on CZ-CPA classification)</w:t>
            </w:r>
          </w:p>
        </w:tc>
      </w:tr>
      <w:tr w:rsidR="00CA1BD6" w:rsidRPr="009C0696" w:rsidTr="002505E3">
        <w:tblPrEx>
          <w:tblCellMar>
            <w:left w:w="70" w:type="dxa"/>
            <w:right w:w="70" w:type="dxa"/>
          </w:tblCellMar>
        </w:tblPrEx>
        <w:trPr>
          <w:trHeight w:val="170"/>
        </w:trPr>
        <w:tc>
          <w:tcPr>
            <w:tcW w:w="1801" w:type="dxa"/>
            <w:vMerge/>
            <w:shd w:val="clear" w:color="auto" w:fill="auto"/>
          </w:tcPr>
          <w:p w:rsidR="00CA1BD6" w:rsidRPr="009C0696" w:rsidRDefault="00CA1BD6" w:rsidP="008458BD">
            <w:pPr>
              <w:pStyle w:val="Marginlie"/>
              <w:rPr>
                <w:spacing w:val="0"/>
                <w:lang w:val="en-GB"/>
              </w:rPr>
            </w:pPr>
          </w:p>
        </w:tc>
        <w:tc>
          <w:tcPr>
            <w:tcW w:w="228" w:type="dxa"/>
            <w:vMerge/>
            <w:shd w:val="clear" w:color="auto" w:fill="auto"/>
          </w:tcPr>
          <w:p w:rsidR="00CA1BD6" w:rsidRPr="009C0696" w:rsidRDefault="00CA1BD6" w:rsidP="008458BD">
            <w:pPr>
              <w:pStyle w:val="Textpoznpodarou1"/>
              <w:jc w:val="both"/>
              <w:rPr>
                <w:lang w:val="en-GB"/>
              </w:rPr>
            </w:pPr>
          </w:p>
        </w:tc>
        <w:tc>
          <w:tcPr>
            <w:tcW w:w="7610" w:type="dxa"/>
            <w:shd w:val="clear" w:color="auto" w:fill="auto"/>
          </w:tcPr>
          <w:p w:rsidR="00CA1BD6" w:rsidRPr="009C0696" w:rsidRDefault="002505E3" w:rsidP="00CC6FE5">
            <w:pPr>
              <w:rPr>
                <w:lang w:val="en-GB"/>
              </w:rPr>
            </w:pPr>
            <w:r>
              <w:rPr>
                <w:noProof/>
              </w:rPr>
              <w:drawing>
                <wp:inline distT="0" distB="0" distL="0" distR="0" wp14:anchorId="440C90DC" wp14:editId="42E3C038">
                  <wp:extent cx="4737600" cy="3553200"/>
                  <wp:effectExtent l="0" t="0" r="6350" b="0"/>
                  <wp:docPr id="47" name="Graf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CA1BD6" w:rsidRPr="009C0696" w:rsidTr="002505E3">
        <w:trPr>
          <w:trHeight w:val="170"/>
        </w:trPr>
        <w:tc>
          <w:tcPr>
            <w:tcW w:w="1801" w:type="dxa"/>
            <w:vMerge/>
            <w:shd w:val="clear" w:color="auto" w:fill="auto"/>
            <w:tcMar>
              <w:left w:w="0" w:type="dxa"/>
            </w:tcMar>
          </w:tcPr>
          <w:p w:rsidR="00CA1BD6" w:rsidRPr="009C0696" w:rsidRDefault="00CA1BD6" w:rsidP="008458BD">
            <w:pPr>
              <w:pStyle w:val="Marginlie"/>
              <w:rPr>
                <w:spacing w:val="0"/>
                <w:lang w:val="en-GB"/>
              </w:rPr>
            </w:pPr>
          </w:p>
        </w:tc>
        <w:tc>
          <w:tcPr>
            <w:tcW w:w="228" w:type="dxa"/>
            <w:vMerge/>
            <w:shd w:val="clear" w:color="auto" w:fill="auto"/>
            <w:tcMar>
              <w:left w:w="0" w:type="dxa"/>
            </w:tcMar>
          </w:tcPr>
          <w:p w:rsidR="00CA1BD6" w:rsidRPr="009C0696" w:rsidRDefault="00CA1BD6" w:rsidP="008458BD">
            <w:pPr>
              <w:pStyle w:val="Textpoznpodarou1"/>
              <w:jc w:val="both"/>
              <w:rPr>
                <w:lang w:val="en-GB"/>
              </w:rPr>
            </w:pPr>
          </w:p>
        </w:tc>
        <w:tc>
          <w:tcPr>
            <w:tcW w:w="7610" w:type="dxa"/>
            <w:shd w:val="clear" w:color="auto" w:fill="auto"/>
            <w:tcMar>
              <w:left w:w="0" w:type="dxa"/>
            </w:tcMar>
          </w:tcPr>
          <w:p w:rsidR="0089708C" w:rsidRPr="009C0696" w:rsidRDefault="00141B44" w:rsidP="00A1412D">
            <w:pPr>
              <w:spacing w:after="0"/>
              <w:rPr>
                <w:lang w:val="en-GB"/>
              </w:rPr>
            </w:pPr>
            <w:r w:rsidRPr="009C0696">
              <w:rPr>
                <w:sz w:val="14"/>
                <w:szCs w:val="14"/>
                <w:lang w:val="en-GB"/>
              </w:rPr>
              <w:t>Source</w:t>
            </w:r>
            <w:r w:rsidR="00CA1BD6" w:rsidRPr="009C0696">
              <w:rPr>
                <w:sz w:val="14"/>
                <w:szCs w:val="14"/>
                <w:lang w:val="en-GB"/>
              </w:rPr>
              <w:t xml:space="preserve">: </w:t>
            </w:r>
            <w:r w:rsidRPr="009C0696">
              <w:rPr>
                <w:sz w:val="14"/>
                <w:szCs w:val="14"/>
                <w:lang w:val="en-GB"/>
              </w:rPr>
              <w:t>CZSO</w:t>
            </w:r>
          </w:p>
        </w:tc>
      </w:tr>
      <w:tr w:rsidR="00CA1BD6" w:rsidRPr="009C0696" w:rsidTr="002505E3">
        <w:trPr>
          <w:trHeight w:val="145"/>
        </w:trPr>
        <w:tc>
          <w:tcPr>
            <w:tcW w:w="1801" w:type="dxa"/>
            <w:shd w:val="clear" w:color="auto" w:fill="auto"/>
            <w:tcMar>
              <w:left w:w="0" w:type="dxa"/>
            </w:tcMar>
          </w:tcPr>
          <w:p w:rsidR="00CA1BD6" w:rsidRPr="009C0696" w:rsidRDefault="004C393C" w:rsidP="004C393C">
            <w:pPr>
              <w:pStyle w:val="Marginlie"/>
              <w:rPr>
                <w:spacing w:val="0"/>
                <w:lang w:val="en-GB"/>
              </w:rPr>
            </w:pPr>
            <w:r w:rsidRPr="009C0696">
              <w:rPr>
                <w:spacing w:val="0"/>
                <w:lang w:val="en-GB"/>
              </w:rPr>
              <w:lastRenderedPageBreak/>
              <w:t xml:space="preserve">Growth of the industrial producer prices peaked in Q4.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B74AE" w:rsidP="00414F2C">
            <w:pPr>
              <w:rPr>
                <w:lang w:val="en-GB"/>
              </w:rPr>
            </w:pPr>
            <w:r w:rsidRPr="009C0696">
              <w:rPr>
                <w:lang w:val="en-GB"/>
              </w:rPr>
              <w:t>The growth of industrial producer prices peaked in Q</w:t>
            </w:r>
            <w:r w:rsidR="00CA1BD6" w:rsidRPr="009C0696">
              <w:rPr>
                <w:lang w:val="en-GB"/>
              </w:rPr>
              <w:t>4</w:t>
            </w:r>
            <w:r w:rsidRPr="009C0696">
              <w:rPr>
                <w:lang w:val="en-GB"/>
              </w:rPr>
              <w:t xml:space="preserve"> </w:t>
            </w:r>
            <w:r w:rsidR="00CA1BD6" w:rsidRPr="009C0696">
              <w:rPr>
                <w:lang w:val="en-GB"/>
              </w:rPr>
              <w:t>(3</w:t>
            </w:r>
            <w:r w:rsidRPr="009C0696">
              <w:rPr>
                <w:lang w:val="en-GB"/>
              </w:rPr>
              <w:t>.</w:t>
            </w:r>
            <w:r w:rsidR="00CA1BD6" w:rsidRPr="009C0696">
              <w:rPr>
                <w:lang w:val="en-GB"/>
              </w:rPr>
              <w:t xml:space="preserve">4%). </w:t>
            </w:r>
            <w:r w:rsidRPr="009C0696">
              <w:rPr>
                <w:lang w:val="en-GB"/>
              </w:rPr>
              <w:t xml:space="preserve">Impact of the raised oil prices year-on-year again played a key role </w:t>
            </w:r>
            <w:r w:rsidR="00CA1BD6" w:rsidRPr="009C0696">
              <w:rPr>
                <w:lang w:val="en-GB"/>
              </w:rPr>
              <w:t>(</w:t>
            </w:r>
            <w:r w:rsidR="00FE2E2B" w:rsidRPr="009C0696">
              <w:rPr>
                <w:lang w:val="en-GB"/>
              </w:rPr>
              <w:t xml:space="preserve">the year-end </w:t>
            </w:r>
            <w:r w:rsidRPr="009C0696">
              <w:rPr>
                <w:lang w:val="en-GB"/>
              </w:rPr>
              <w:t>slump</w:t>
            </w:r>
            <w:r w:rsidR="00FE2E2B" w:rsidRPr="009C0696">
              <w:rPr>
                <w:lang w:val="en-GB"/>
              </w:rPr>
              <w:t xml:space="preserve"> was apparent only in the December result and did not manage to affect the whole quarter markedly</w:t>
            </w:r>
            <w:r w:rsidR="00CA1BD6" w:rsidRPr="009C0696">
              <w:rPr>
                <w:lang w:val="en-GB"/>
              </w:rPr>
              <w:t xml:space="preserve">). </w:t>
            </w:r>
            <w:r w:rsidR="00FE2E2B" w:rsidRPr="009C0696">
              <w:rPr>
                <w:lang w:val="en-GB"/>
              </w:rPr>
              <w:t xml:space="preserve">Prices increased by 3.3% in manufacturing at the end of the year, they were mostly impacted by the prices of coke and refined oil products and metals and metal product </w:t>
            </w:r>
            <w:r w:rsidR="00CA1BD6" w:rsidRPr="009C0696">
              <w:rPr>
                <w:lang w:val="en-GB"/>
              </w:rPr>
              <w:t>(4</w:t>
            </w:r>
            <w:r w:rsidR="00FE2E2B" w:rsidRPr="009C0696">
              <w:rPr>
                <w:lang w:val="en-GB"/>
              </w:rPr>
              <w:t>.</w:t>
            </w:r>
            <w:r w:rsidR="00CA1BD6" w:rsidRPr="009C0696">
              <w:rPr>
                <w:lang w:val="en-GB"/>
              </w:rPr>
              <w:t xml:space="preserve">0%). </w:t>
            </w:r>
            <w:r w:rsidR="004C393C" w:rsidRPr="009C0696">
              <w:rPr>
                <w:lang w:val="en-GB"/>
              </w:rPr>
              <w:t>Also in Q4, the 14 quarters lasting series of year-on-year fa</w:t>
            </w:r>
            <w:r w:rsidR="00FE2E2B" w:rsidRPr="009C0696">
              <w:rPr>
                <w:lang w:val="en-GB"/>
              </w:rPr>
              <w:t>lls of prices of t</w:t>
            </w:r>
            <w:r w:rsidR="004C393C" w:rsidRPr="009C0696">
              <w:rPr>
                <w:lang w:val="en-GB"/>
              </w:rPr>
              <w:t xml:space="preserve">ransportation vehicles was interrupted </w:t>
            </w:r>
            <w:r w:rsidR="00CA1BD6" w:rsidRPr="009C0696">
              <w:rPr>
                <w:lang w:val="en-GB"/>
              </w:rPr>
              <w:t>(0</w:t>
            </w:r>
            <w:r w:rsidR="004C393C" w:rsidRPr="009C0696">
              <w:rPr>
                <w:lang w:val="en-GB"/>
              </w:rPr>
              <w:t>.</w:t>
            </w:r>
            <w:r w:rsidR="00CA1BD6" w:rsidRPr="009C0696">
              <w:rPr>
                <w:lang w:val="en-GB"/>
              </w:rPr>
              <w:t xml:space="preserve">5%). </w:t>
            </w:r>
            <w:r w:rsidR="004C393C" w:rsidRPr="009C0696">
              <w:rPr>
                <w:lang w:val="en-GB"/>
              </w:rPr>
              <w:t xml:space="preserve">Prices of mining and quarrying rose by </w:t>
            </w:r>
            <w:r w:rsidR="00CA1BD6" w:rsidRPr="009C0696">
              <w:rPr>
                <w:lang w:val="en-GB"/>
              </w:rPr>
              <w:t>8</w:t>
            </w:r>
            <w:r w:rsidR="004C393C" w:rsidRPr="009C0696">
              <w:rPr>
                <w:lang w:val="en-GB"/>
              </w:rPr>
              <w:t>.</w:t>
            </w:r>
            <w:r w:rsidR="00CA1BD6" w:rsidRPr="009C0696">
              <w:rPr>
                <w:lang w:val="en-GB"/>
              </w:rPr>
              <w:t xml:space="preserve">8%. </w:t>
            </w:r>
            <w:r w:rsidR="00414F2C" w:rsidRPr="009C0696">
              <w:rPr>
                <w:lang w:val="en-GB"/>
              </w:rPr>
              <w:t xml:space="preserve">Acceleration of the dynamics of prices of electricity, gas, steam and air conditioning supply continued also in the monitored period </w:t>
            </w:r>
            <w:r w:rsidR="00CA1BD6" w:rsidRPr="009C0696">
              <w:rPr>
                <w:lang w:val="en-GB"/>
              </w:rPr>
              <w:t>(2</w:t>
            </w:r>
            <w:r w:rsidR="00414F2C" w:rsidRPr="009C0696">
              <w:rPr>
                <w:lang w:val="en-GB"/>
              </w:rPr>
              <w:t>.</w:t>
            </w:r>
            <w:r w:rsidR="00CA1BD6" w:rsidRPr="009C0696">
              <w:rPr>
                <w:lang w:val="en-GB"/>
              </w:rPr>
              <w:t>8%).</w:t>
            </w:r>
          </w:p>
        </w:tc>
      </w:tr>
      <w:tr w:rsidR="00CA1BD6" w:rsidRPr="009C0696" w:rsidTr="002505E3">
        <w:trPr>
          <w:trHeight w:val="145"/>
        </w:trPr>
        <w:tc>
          <w:tcPr>
            <w:tcW w:w="1801" w:type="dxa"/>
            <w:shd w:val="clear" w:color="auto" w:fill="auto"/>
            <w:tcMar>
              <w:left w:w="0" w:type="dxa"/>
            </w:tcMar>
          </w:tcPr>
          <w:p w:rsidR="00CA1BD6" w:rsidRPr="009C0696" w:rsidRDefault="00176B1A" w:rsidP="00176B1A">
            <w:pPr>
              <w:pStyle w:val="Marginlie"/>
              <w:rPr>
                <w:spacing w:val="0"/>
                <w:lang w:val="en-GB"/>
              </w:rPr>
            </w:pPr>
            <w:r w:rsidRPr="009C0696">
              <w:rPr>
                <w:spacing w:val="0"/>
                <w:lang w:val="en-GB"/>
              </w:rPr>
              <w:t xml:space="preserve">Prices of oil and electricity significantly impacted the development of producer prices in the EU.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CA1BD6" w:rsidP="001B3EC5">
            <w:pPr>
              <w:rPr>
                <w:lang w:val="en-GB"/>
              </w:rPr>
            </w:pPr>
            <w:r w:rsidRPr="009C0696">
              <w:rPr>
                <w:lang w:val="en-GB"/>
              </w:rPr>
              <w:t>Glob</w:t>
            </w:r>
            <w:r w:rsidR="00CA44A3" w:rsidRPr="009C0696">
              <w:rPr>
                <w:lang w:val="en-GB"/>
              </w:rPr>
              <w:t>al influence of the prices of oil was also apparent in the dynamics of prices of industrial producers in the EU. The index grew by 3.5% in total last year, by 4.2% in Q</w:t>
            </w:r>
            <w:r w:rsidRPr="009C0696">
              <w:rPr>
                <w:lang w:val="en-GB"/>
              </w:rPr>
              <w:t>4.</w:t>
            </w:r>
            <w:r w:rsidR="00CA44A3" w:rsidRPr="009C0696">
              <w:rPr>
                <w:lang w:val="en-GB"/>
              </w:rPr>
              <w:t xml:space="preserve"> </w:t>
            </w:r>
            <w:proofErr w:type="gramStart"/>
            <w:r w:rsidR="00CA44A3" w:rsidRPr="009C0696">
              <w:rPr>
                <w:lang w:val="en-GB"/>
              </w:rPr>
              <w:t>Similarly</w:t>
            </w:r>
            <w:proofErr w:type="gramEnd"/>
            <w:r w:rsidR="00CA44A3" w:rsidRPr="009C0696">
              <w:rPr>
                <w:lang w:val="en-GB"/>
              </w:rPr>
              <w:t xml:space="preserve"> to the CR, prices of mining and quarrying grew by a very strong rate of growth in the EU </w:t>
            </w:r>
            <w:r w:rsidRPr="009C0696">
              <w:rPr>
                <w:lang w:val="en-GB"/>
              </w:rPr>
              <w:t>(14</w:t>
            </w:r>
            <w:r w:rsidR="00CA44A3" w:rsidRPr="009C0696">
              <w:rPr>
                <w:lang w:val="en-GB"/>
              </w:rPr>
              <w:t>.</w:t>
            </w:r>
            <w:r w:rsidRPr="009C0696">
              <w:rPr>
                <w:lang w:val="en-GB"/>
              </w:rPr>
              <w:t xml:space="preserve">4% </w:t>
            </w:r>
            <w:r w:rsidR="00CA44A3" w:rsidRPr="009C0696">
              <w:rPr>
                <w:lang w:val="en-GB"/>
              </w:rPr>
              <w:t>for the whole year</w:t>
            </w:r>
            <w:r w:rsidRPr="009C0696">
              <w:rPr>
                <w:lang w:val="en-GB"/>
              </w:rPr>
              <w:t>, 10</w:t>
            </w:r>
            <w:r w:rsidR="00CA44A3" w:rsidRPr="009C0696">
              <w:rPr>
                <w:lang w:val="en-GB"/>
              </w:rPr>
              <w:t>.</w:t>
            </w:r>
            <w:r w:rsidRPr="009C0696">
              <w:rPr>
                <w:lang w:val="en-GB"/>
              </w:rPr>
              <w:t xml:space="preserve">6% </w:t>
            </w:r>
            <w:r w:rsidR="00CA44A3" w:rsidRPr="009C0696">
              <w:rPr>
                <w:lang w:val="en-GB"/>
              </w:rPr>
              <w:t>in Q</w:t>
            </w:r>
            <w:r w:rsidRPr="009C0696">
              <w:rPr>
                <w:lang w:val="en-GB"/>
              </w:rPr>
              <w:t xml:space="preserve">4). </w:t>
            </w:r>
            <w:r w:rsidR="00CA44A3" w:rsidRPr="009C0696">
              <w:rPr>
                <w:lang w:val="en-GB"/>
              </w:rPr>
              <w:t xml:space="preserve">Prices in manufacturing increased by 2.7% in the Union last year </w:t>
            </w:r>
            <w:r w:rsidRPr="009C0696">
              <w:rPr>
                <w:lang w:val="en-GB"/>
              </w:rPr>
              <w:t>(</w:t>
            </w:r>
            <w:r w:rsidR="00CA44A3" w:rsidRPr="009C0696">
              <w:rPr>
                <w:lang w:val="en-GB"/>
              </w:rPr>
              <w:t>by the same pace as in Q</w:t>
            </w:r>
            <w:r w:rsidRPr="009C0696">
              <w:rPr>
                <w:lang w:val="en-GB"/>
              </w:rPr>
              <w:t xml:space="preserve">4). </w:t>
            </w:r>
            <w:r w:rsidR="00B46CB8" w:rsidRPr="009C0696">
              <w:rPr>
                <w:lang w:val="en-GB"/>
              </w:rPr>
              <w:t xml:space="preserve">Year-on-year dynamics of prices of electricity, gas, steam and air conditioning supply were accelerating during the whole year </w:t>
            </w:r>
            <w:r w:rsidRPr="009C0696">
              <w:rPr>
                <w:lang w:val="en-GB"/>
              </w:rPr>
              <w:t>(6</w:t>
            </w:r>
            <w:r w:rsidR="00B46CB8" w:rsidRPr="009C0696">
              <w:rPr>
                <w:lang w:val="en-GB"/>
              </w:rPr>
              <w:t>.</w:t>
            </w:r>
            <w:r w:rsidRPr="009C0696">
              <w:rPr>
                <w:lang w:val="en-GB"/>
              </w:rPr>
              <w:t xml:space="preserve">7% </w:t>
            </w:r>
            <w:r w:rsidR="00B46CB8" w:rsidRPr="009C0696">
              <w:rPr>
                <w:lang w:val="en-GB"/>
              </w:rPr>
              <w:t>for the whole year,</w:t>
            </w:r>
            <w:r w:rsidRPr="009C0696">
              <w:rPr>
                <w:lang w:val="en-GB"/>
              </w:rPr>
              <w:t xml:space="preserve"> 10</w:t>
            </w:r>
            <w:r w:rsidR="00B46CB8" w:rsidRPr="009C0696">
              <w:rPr>
                <w:lang w:val="en-GB"/>
              </w:rPr>
              <w:t>.</w:t>
            </w:r>
            <w:r w:rsidRPr="009C0696">
              <w:rPr>
                <w:lang w:val="en-GB"/>
              </w:rPr>
              <w:t>6%</w:t>
            </w:r>
            <w:r w:rsidR="00B46CB8" w:rsidRPr="009C0696">
              <w:rPr>
                <w:lang w:val="en-GB"/>
              </w:rPr>
              <w:t xml:space="preserve"> in Q</w:t>
            </w:r>
            <w:r w:rsidRPr="009C0696">
              <w:rPr>
                <w:lang w:val="en-GB"/>
              </w:rPr>
              <w:t>4).</w:t>
            </w:r>
            <w:r w:rsidR="00B46CB8" w:rsidRPr="009C0696">
              <w:rPr>
                <w:lang w:val="en-GB"/>
              </w:rPr>
              <w:t xml:space="preserve"> Producer prices grew the most in </w:t>
            </w:r>
            <w:r w:rsidRPr="009C0696">
              <w:rPr>
                <w:lang w:val="en-GB"/>
              </w:rPr>
              <w:t>2018</w:t>
            </w:r>
            <w:r w:rsidR="00B46CB8" w:rsidRPr="009C0696">
              <w:rPr>
                <w:lang w:val="en-GB"/>
              </w:rPr>
              <w:t xml:space="preserve"> in Estonia </w:t>
            </w:r>
            <w:r w:rsidRPr="009C0696">
              <w:rPr>
                <w:lang w:val="en-GB"/>
              </w:rPr>
              <w:t>(7</w:t>
            </w:r>
            <w:r w:rsidR="00B46CB8" w:rsidRPr="009C0696">
              <w:rPr>
                <w:lang w:val="en-GB"/>
              </w:rPr>
              <w:t>.</w:t>
            </w:r>
            <w:r w:rsidRPr="009C0696">
              <w:rPr>
                <w:lang w:val="en-GB"/>
              </w:rPr>
              <w:t>1%) a</w:t>
            </w:r>
            <w:r w:rsidR="00B46CB8" w:rsidRPr="009C0696">
              <w:rPr>
                <w:lang w:val="en-GB"/>
              </w:rPr>
              <w:t>nd</w:t>
            </w:r>
            <w:r w:rsidRPr="009C0696">
              <w:rPr>
                <w:lang w:val="en-GB"/>
              </w:rPr>
              <w:t xml:space="preserve"> Belg</w:t>
            </w:r>
            <w:r w:rsidR="00B46CB8" w:rsidRPr="009C0696">
              <w:rPr>
                <w:lang w:val="en-GB"/>
              </w:rPr>
              <w:t>ium</w:t>
            </w:r>
            <w:r w:rsidRPr="009C0696">
              <w:rPr>
                <w:lang w:val="en-GB"/>
              </w:rPr>
              <w:t xml:space="preserve"> (7</w:t>
            </w:r>
            <w:r w:rsidR="00B46CB8" w:rsidRPr="009C0696">
              <w:rPr>
                <w:lang w:val="en-GB"/>
              </w:rPr>
              <w:t>.</w:t>
            </w:r>
            <w:r w:rsidRPr="009C0696">
              <w:rPr>
                <w:lang w:val="en-GB"/>
              </w:rPr>
              <w:t xml:space="preserve">1%). </w:t>
            </w:r>
            <w:r w:rsidR="00AD1F05" w:rsidRPr="009C0696">
              <w:rPr>
                <w:lang w:val="en-GB"/>
              </w:rPr>
              <w:t>Both countries featured a large increase of prices in the section of electricity, gas, steam and air</w:t>
            </w:r>
            <w:r w:rsidR="00BD59F1">
              <w:rPr>
                <w:lang w:val="en-GB"/>
              </w:rPr>
              <w:noBreakHyphen/>
            </w:r>
            <w:r w:rsidR="00AD1F05" w:rsidRPr="009C0696">
              <w:rPr>
                <w:lang w:val="en-GB"/>
              </w:rPr>
              <w:t xml:space="preserve">conditioning supply. </w:t>
            </w:r>
            <w:r w:rsidR="00452906" w:rsidRPr="009C0696">
              <w:rPr>
                <w:lang w:val="en-GB"/>
              </w:rPr>
              <w:t xml:space="preserve">In Belgium, prices of manufacturing also displayed a strong growth. </w:t>
            </w:r>
            <w:r w:rsidR="00642910" w:rsidRPr="009C0696">
              <w:rPr>
                <w:lang w:val="en-GB"/>
              </w:rPr>
              <w:t xml:space="preserve">Producer prices recorded </w:t>
            </w:r>
            <w:r w:rsidRPr="009C0696">
              <w:rPr>
                <w:lang w:val="en-GB"/>
              </w:rPr>
              <w:t>6</w:t>
            </w:r>
            <w:r w:rsidR="00642910" w:rsidRPr="009C0696">
              <w:rPr>
                <w:lang w:val="en-GB"/>
              </w:rPr>
              <w:t>.</w:t>
            </w:r>
            <w:r w:rsidRPr="009C0696">
              <w:rPr>
                <w:lang w:val="en-GB"/>
              </w:rPr>
              <w:t xml:space="preserve">4% </w:t>
            </w:r>
            <w:r w:rsidR="00642910" w:rsidRPr="009C0696">
              <w:rPr>
                <w:lang w:val="en-GB"/>
              </w:rPr>
              <w:t xml:space="preserve">growth in Denmark. </w:t>
            </w:r>
            <w:r w:rsidR="001B3EC5" w:rsidRPr="009C0696">
              <w:rPr>
                <w:lang w:val="en-GB"/>
              </w:rPr>
              <w:t>The addition to prices of mining and quarrying (especially energies) was significant here</w:t>
            </w:r>
            <w:r w:rsidRPr="009C0696">
              <w:rPr>
                <w:lang w:val="en-GB"/>
              </w:rPr>
              <w:t>.</w:t>
            </w:r>
            <w:r w:rsidR="001B3EC5" w:rsidRPr="009C0696">
              <w:rPr>
                <w:lang w:val="en-GB"/>
              </w:rPr>
              <w:t xml:space="preserve"> Producer prices experienced a fall only in Ireland last year </w:t>
            </w:r>
            <w:r w:rsidRPr="009C0696">
              <w:rPr>
                <w:lang w:val="en-GB"/>
              </w:rPr>
              <w:t>(-1</w:t>
            </w:r>
            <w:r w:rsidR="001B3EC5" w:rsidRPr="009C0696">
              <w:rPr>
                <w:lang w:val="en-GB"/>
              </w:rPr>
              <w:t>.</w:t>
            </w:r>
            <w:r w:rsidRPr="009C0696">
              <w:rPr>
                <w:lang w:val="en-GB"/>
              </w:rPr>
              <w:t xml:space="preserve">9%, </w:t>
            </w:r>
            <w:r w:rsidR="001B3EC5" w:rsidRPr="009C0696">
              <w:rPr>
                <w:lang w:val="en-GB"/>
              </w:rPr>
              <w:t>prices in mining and quarrying were sinking here</w:t>
            </w:r>
            <w:r w:rsidRPr="009C0696">
              <w:rPr>
                <w:lang w:val="en-GB"/>
              </w:rPr>
              <w:t xml:space="preserve">). </w:t>
            </w:r>
            <w:r w:rsidR="001B3EC5" w:rsidRPr="009C0696">
              <w:rPr>
                <w:lang w:val="en-GB"/>
              </w:rPr>
              <w:t xml:space="preserve">Producer prices reached a weak growth in Luxembourg </w:t>
            </w:r>
            <w:r w:rsidRPr="009C0696">
              <w:rPr>
                <w:lang w:val="en-GB"/>
              </w:rPr>
              <w:t>(0</w:t>
            </w:r>
            <w:r w:rsidR="001B3EC5" w:rsidRPr="009C0696">
              <w:rPr>
                <w:lang w:val="en-GB"/>
              </w:rPr>
              <w:t>.</w:t>
            </w:r>
            <w:r w:rsidRPr="009C0696">
              <w:rPr>
                <w:lang w:val="en-GB"/>
              </w:rPr>
              <w:t>6%) a</w:t>
            </w:r>
            <w:r w:rsidR="001B3EC5" w:rsidRPr="009C0696">
              <w:rPr>
                <w:lang w:val="en-GB"/>
              </w:rPr>
              <w:t xml:space="preserve">nd in Malta </w:t>
            </w:r>
            <w:r w:rsidRPr="009C0696">
              <w:rPr>
                <w:lang w:val="en-GB"/>
              </w:rPr>
              <w:t>(0</w:t>
            </w:r>
            <w:r w:rsidR="001B3EC5" w:rsidRPr="009C0696">
              <w:rPr>
                <w:lang w:val="en-GB"/>
              </w:rPr>
              <w:t>.</w:t>
            </w:r>
            <w:r w:rsidRPr="009C0696">
              <w:rPr>
                <w:lang w:val="en-GB"/>
              </w:rPr>
              <w:t xml:space="preserve">9%). </w:t>
            </w:r>
            <w:r w:rsidR="001B3EC5" w:rsidRPr="009C0696">
              <w:rPr>
                <w:lang w:val="en-GB"/>
              </w:rPr>
              <w:t xml:space="preserve">In both countries, the prices of electricity, gas, steam and air conditioning supply stagnated in contrast to the European trend. </w:t>
            </w:r>
            <w:r w:rsidRPr="009C0696">
              <w:rPr>
                <w:lang w:val="en-GB"/>
              </w:rPr>
              <w:t xml:space="preserve">     </w:t>
            </w:r>
          </w:p>
        </w:tc>
      </w:tr>
      <w:tr w:rsidR="00CA1BD6" w:rsidRPr="009C0696" w:rsidTr="002505E3">
        <w:trPr>
          <w:trHeight w:val="145"/>
        </w:trPr>
        <w:tc>
          <w:tcPr>
            <w:tcW w:w="1801" w:type="dxa"/>
            <w:shd w:val="clear" w:color="auto" w:fill="auto"/>
            <w:tcMar>
              <w:left w:w="0" w:type="dxa"/>
            </w:tcMar>
          </w:tcPr>
          <w:p w:rsidR="00CA1BD6" w:rsidRPr="009C0696" w:rsidRDefault="00642910" w:rsidP="00642910">
            <w:pPr>
              <w:pStyle w:val="Marginlie"/>
              <w:rPr>
                <w:spacing w:val="0"/>
                <w:lang w:val="en-GB"/>
              </w:rPr>
            </w:pPr>
            <w:r w:rsidRPr="009C0696">
              <w:rPr>
                <w:spacing w:val="0"/>
                <w:lang w:val="en-GB"/>
              </w:rPr>
              <w:t xml:space="preserve">Index of prices of construction works went up the most in the last 10 years last year.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1B3EC5" w:rsidP="00853F59">
            <w:pPr>
              <w:rPr>
                <w:lang w:val="en-GB"/>
              </w:rPr>
            </w:pPr>
            <w:r w:rsidRPr="009C0696">
              <w:rPr>
                <w:lang w:val="en-GB"/>
              </w:rPr>
              <w:t xml:space="preserve">Index of construction work prices grew by 3.2% in </w:t>
            </w:r>
            <w:r w:rsidR="00CA1BD6" w:rsidRPr="009C0696">
              <w:rPr>
                <w:lang w:val="en-GB"/>
              </w:rPr>
              <w:t>2018</w:t>
            </w:r>
            <w:r w:rsidRPr="009C0696">
              <w:rPr>
                <w:lang w:val="en-GB"/>
              </w:rPr>
              <w:t xml:space="preserve">, which is the most since year </w:t>
            </w:r>
            <w:r w:rsidR="00CA1BD6" w:rsidRPr="009C0696">
              <w:rPr>
                <w:lang w:val="en-GB"/>
              </w:rPr>
              <w:t xml:space="preserve">2008. </w:t>
            </w:r>
            <w:r w:rsidRPr="009C0696">
              <w:rPr>
                <w:lang w:val="en-GB"/>
              </w:rPr>
              <w:t xml:space="preserve">Prices of materials and products used in construction went up by </w:t>
            </w:r>
            <w:r w:rsidR="00CA1BD6" w:rsidRPr="009C0696">
              <w:rPr>
                <w:lang w:val="en-GB"/>
              </w:rPr>
              <w:t>3</w:t>
            </w:r>
            <w:r w:rsidRPr="009C0696">
              <w:rPr>
                <w:lang w:val="en-GB"/>
              </w:rPr>
              <w:t>.</w:t>
            </w:r>
            <w:r w:rsidR="00CA1BD6" w:rsidRPr="009C0696">
              <w:rPr>
                <w:lang w:val="en-GB"/>
              </w:rPr>
              <w:t>5%</w:t>
            </w:r>
            <w:r w:rsidRPr="009C0696">
              <w:rPr>
                <w:lang w:val="en-GB"/>
              </w:rPr>
              <w:t xml:space="preserve"> The year-on-year dynamics of construction work prices accelerated </w:t>
            </w:r>
            <w:r w:rsidR="00050E97" w:rsidRPr="009C0696">
              <w:rPr>
                <w:lang w:val="en-GB"/>
              </w:rPr>
              <w:t xml:space="preserve">in the course of </w:t>
            </w:r>
            <w:r w:rsidRPr="009C0696">
              <w:rPr>
                <w:lang w:val="en-GB"/>
              </w:rPr>
              <w:t>the year</w:t>
            </w:r>
            <w:r w:rsidR="00CA1BD6" w:rsidRPr="009C0696">
              <w:rPr>
                <w:lang w:val="en-GB"/>
              </w:rPr>
              <w:t>.</w:t>
            </w:r>
            <w:r w:rsidR="00050E97" w:rsidRPr="009C0696">
              <w:rPr>
                <w:lang w:val="en-GB"/>
              </w:rPr>
              <w:t xml:space="preserve"> </w:t>
            </w:r>
            <w:r w:rsidR="00BE4314" w:rsidRPr="009C0696">
              <w:rPr>
                <w:lang w:val="en-GB"/>
              </w:rPr>
              <w:t>The year-on-year addition thus reached 4.0% in Q</w:t>
            </w:r>
            <w:r w:rsidR="00CA1BD6" w:rsidRPr="009C0696">
              <w:rPr>
                <w:lang w:val="en-GB"/>
              </w:rPr>
              <w:t>4.</w:t>
            </w:r>
            <w:r w:rsidR="00BE4314" w:rsidRPr="009C0696">
              <w:rPr>
                <w:lang w:val="en-GB"/>
              </w:rPr>
              <w:t xml:space="preserve"> For the prices of materials and products used in construction it comprised of </w:t>
            </w:r>
            <w:r w:rsidR="00CA1BD6" w:rsidRPr="009C0696">
              <w:rPr>
                <w:lang w:val="en-GB"/>
              </w:rPr>
              <w:t>4</w:t>
            </w:r>
            <w:r w:rsidR="00BE4314" w:rsidRPr="009C0696">
              <w:rPr>
                <w:lang w:val="en-GB"/>
              </w:rPr>
              <w:t>.</w:t>
            </w:r>
            <w:r w:rsidR="00CA1BD6" w:rsidRPr="009C0696">
              <w:rPr>
                <w:lang w:val="en-GB"/>
              </w:rPr>
              <w:t xml:space="preserve">8%. </w:t>
            </w:r>
            <w:r w:rsidR="00BE4314" w:rsidRPr="009C0696">
              <w:rPr>
                <w:lang w:val="en-GB"/>
              </w:rPr>
              <w:t xml:space="preserve">Prices of buildings increased by </w:t>
            </w:r>
            <w:r w:rsidR="00CA1BD6" w:rsidRPr="009C0696">
              <w:rPr>
                <w:lang w:val="en-GB"/>
              </w:rPr>
              <w:t>3</w:t>
            </w:r>
            <w:r w:rsidR="00BE4314" w:rsidRPr="009C0696">
              <w:rPr>
                <w:lang w:val="en-GB"/>
              </w:rPr>
              <w:t>.</w:t>
            </w:r>
            <w:r w:rsidR="00CA1BD6" w:rsidRPr="009C0696">
              <w:rPr>
                <w:lang w:val="en-GB"/>
              </w:rPr>
              <w:t xml:space="preserve">3%, </w:t>
            </w:r>
            <w:r w:rsidR="00BE4314" w:rsidRPr="009C0696">
              <w:rPr>
                <w:lang w:val="en-GB"/>
              </w:rPr>
              <w:t xml:space="preserve">prices of engineering works grew by </w:t>
            </w:r>
            <w:r w:rsidR="00CA1BD6" w:rsidRPr="009C0696">
              <w:rPr>
                <w:lang w:val="en-GB"/>
              </w:rPr>
              <w:t>3</w:t>
            </w:r>
            <w:r w:rsidR="00BE4314" w:rsidRPr="009C0696">
              <w:rPr>
                <w:lang w:val="en-GB"/>
              </w:rPr>
              <w:t>.</w:t>
            </w:r>
            <w:r w:rsidR="00CA1BD6" w:rsidRPr="009C0696">
              <w:rPr>
                <w:lang w:val="en-GB"/>
              </w:rPr>
              <w:t xml:space="preserve">1%. </w:t>
            </w:r>
            <w:r w:rsidR="00D6758B" w:rsidRPr="009C0696">
              <w:rPr>
                <w:lang w:val="en-GB"/>
              </w:rPr>
              <w:t>In Q</w:t>
            </w:r>
            <w:r w:rsidR="00CA1BD6" w:rsidRPr="009C0696">
              <w:rPr>
                <w:lang w:val="en-GB"/>
              </w:rPr>
              <w:t>4</w:t>
            </w:r>
            <w:r w:rsidR="00D6758B" w:rsidRPr="009C0696">
              <w:rPr>
                <w:lang w:val="en-GB"/>
              </w:rPr>
              <w:t xml:space="preserve">, the growth for both categories of construction works </w:t>
            </w:r>
            <w:r w:rsidR="00853F59" w:rsidRPr="009C0696">
              <w:rPr>
                <w:lang w:val="en-GB"/>
              </w:rPr>
              <w:t xml:space="preserve">aligned on </w:t>
            </w:r>
            <w:r w:rsidR="00CA1BD6" w:rsidRPr="009C0696">
              <w:rPr>
                <w:lang w:val="en-GB"/>
              </w:rPr>
              <w:t>4</w:t>
            </w:r>
            <w:r w:rsidR="00853F59" w:rsidRPr="009C0696">
              <w:rPr>
                <w:lang w:val="en-GB"/>
              </w:rPr>
              <w:t>.</w:t>
            </w:r>
            <w:r w:rsidR="00CA1BD6" w:rsidRPr="009C0696">
              <w:rPr>
                <w:lang w:val="en-GB"/>
              </w:rPr>
              <w:t xml:space="preserve">0%.   </w:t>
            </w:r>
          </w:p>
        </w:tc>
      </w:tr>
      <w:tr w:rsidR="00CA1BD6" w:rsidRPr="009C0696" w:rsidTr="002505E3">
        <w:trPr>
          <w:trHeight w:val="145"/>
        </w:trPr>
        <w:tc>
          <w:tcPr>
            <w:tcW w:w="1801" w:type="dxa"/>
            <w:shd w:val="clear" w:color="auto" w:fill="auto"/>
            <w:tcMar>
              <w:left w:w="0" w:type="dxa"/>
            </w:tcMar>
          </w:tcPr>
          <w:p w:rsidR="00CA1BD6" w:rsidRPr="009C0696" w:rsidRDefault="00853F59" w:rsidP="00853F59">
            <w:pPr>
              <w:pStyle w:val="Marginlie"/>
              <w:rPr>
                <w:spacing w:val="0"/>
                <w:lang w:val="en-GB"/>
              </w:rPr>
            </w:pPr>
            <w:r w:rsidRPr="009C0696">
              <w:rPr>
                <w:spacing w:val="0"/>
                <w:lang w:val="en-GB"/>
              </w:rPr>
              <w:t xml:space="preserve">Year-on-year dynamics of prices of market services </w:t>
            </w:r>
            <w:r w:rsidR="0037599A" w:rsidRPr="009C0696">
              <w:rPr>
                <w:spacing w:val="0"/>
                <w:lang w:val="en-GB"/>
              </w:rPr>
              <w:t>strengthened</w:t>
            </w:r>
            <w:r w:rsidRPr="009C0696">
              <w:rPr>
                <w:spacing w:val="0"/>
                <w:lang w:val="en-GB"/>
              </w:rPr>
              <w:t xml:space="preserve"> towards the end of last year. </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853F59" w:rsidP="00D06E66">
            <w:pPr>
              <w:rPr>
                <w:lang w:val="en-GB"/>
              </w:rPr>
            </w:pPr>
            <w:r w:rsidRPr="009C0696">
              <w:rPr>
                <w:lang w:val="en-GB"/>
              </w:rPr>
              <w:t>Prices of markets services grew by 1.</w:t>
            </w:r>
            <w:r w:rsidR="00CA1BD6" w:rsidRPr="009C0696">
              <w:rPr>
                <w:lang w:val="en-GB"/>
              </w:rPr>
              <w:t>8%</w:t>
            </w:r>
            <w:r w:rsidRPr="009C0696">
              <w:rPr>
                <w:lang w:val="en-GB"/>
              </w:rPr>
              <w:t xml:space="preserve"> last year</w:t>
            </w:r>
            <w:r w:rsidR="00CA1BD6" w:rsidRPr="009C0696">
              <w:rPr>
                <w:lang w:val="en-GB"/>
              </w:rPr>
              <w:t>,</w:t>
            </w:r>
            <w:r w:rsidRPr="009C0696">
              <w:rPr>
                <w:lang w:val="en-GB"/>
              </w:rPr>
              <w:t xml:space="preserve"> which is by </w:t>
            </w:r>
            <w:r w:rsidR="00CA1BD6" w:rsidRPr="009C0696">
              <w:rPr>
                <w:lang w:val="en-GB"/>
              </w:rPr>
              <w:t>0</w:t>
            </w:r>
            <w:r w:rsidRPr="009C0696">
              <w:rPr>
                <w:lang w:val="en-GB"/>
              </w:rPr>
              <w:t>.</w:t>
            </w:r>
            <w:r w:rsidR="00CA1BD6" w:rsidRPr="009C0696">
              <w:rPr>
                <w:lang w:val="en-GB"/>
              </w:rPr>
              <w:t>5 p.</w:t>
            </w:r>
            <w:r w:rsidRPr="009C0696">
              <w:rPr>
                <w:lang w:val="en-GB"/>
              </w:rPr>
              <w:t xml:space="preserve">p. more than in the preceding year. Heightened demand connected to the economic growth as well as raised wages, which traditionally belong to the largest cost in services, were affecting the dynamics. </w:t>
            </w:r>
            <w:r w:rsidR="006B1975" w:rsidRPr="009C0696">
              <w:rPr>
                <w:lang w:val="en-GB"/>
              </w:rPr>
              <w:t xml:space="preserve">The last year´s growth of prices of market services was the most influenced by the development in services in the area of employment </w:t>
            </w:r>
            <w:r w:rsidR="00CA1BD6" w:rsidRPr="009C0696">
              <w:rPr>
                <w:lang w:val="en-GB"/>
              </w:rPr>
              <w:t>(10</w:t>
            </w:r>
            <w:r w:rsidR="006B1975" w:rsidRPr="009C0696">
              <w:rPr>
                <w:lang w:val="en-GB"/>
              </w:rPr>
              <w:t>.</w:t>
            </w:r>
            <w:r w:rsidR="00CA1BD6" w:rsidRPr="009C0696">
              <w:rPr>
                <w:lang w:val="en-GB"/>
              </w:rPr>
              <w:t>5%),</w:t>
            </w:r>
            <w:r w:rsidR="006B1975" w:rsidRPr="009C0696">
              <w:rPr>
                <w:lang w:val="en-GB"/>
              </w:rPr>
              <w:t xml:space="preserve"> by prices of insurance, </w:t>
            </w:r>
            <w:r w:rsidR="00A66B98" w:rsidRPr="009C0696">
              <w:rPr>
                <w:lang w:val="en-GB"/>
              </w:rPr>
              <w:t xml:space="preserve">reinsurance and pension funding </w:t>
            </w:r>
            <w:r w:rsidR="00CA1BD6" w:rsidRPr="009C0696">
              <w:rPr>
                <w:lang w:val="en-GB"/>
              </w:rPr>
              <w:t>(4</w:t>
            </w:r>
            <w:r w:rsidR="00A66B98" w:rsidRPr="009C0696">
              <w:rPr>
                <w:lang w:val="en-GB"/>
              </w:rPr>
              <w:t>.</w:t>
            </w:r>
            <w:r w:rsidR="00CA1BD6" w:rsidRPr="009C0696">
              <w:rPr>
                <w:lang w:val="en-GB"/>
              </w:rPr>
              <w:t>6%) a</w:t>
            </w:r>
            <w:r w:rsidR="00A66B98" w:rsidRPr="009C0696">
              <w:rPr>
                <w:lang w:val="en-GB"/>
              </w:rPr>
              <w:t xml:space="preserve">nd services in the real estate area </w:t>
            </w:r>
            <w:r w:rsidR="00CA1BD6" w:rsidRPr="009C0696">
              <w:rPr>
                <w:lang w:val="en-GB"/>
              </w:rPr>
              <w:t>(2</w:t>
            </w:r>
            <w:r w:rsidR="00A66B98" w:rsidRPr="009C0696">
              <w:rPr>
                <w:lang w:val="en-GB"/>
              </w:rPr>
              <w:t>.</w:t>
            </w:r>
            <w:r w:rsidR="00CA1BD6" w:rsidRPr="009C0696">
              <w:rPr>
                <w:lang w:val="en-GB"/>
              </w:rPr>
              <w:t xml:space="preserve">8%). </w:t>
            </w:r>
            <w:r w:rsidR="00405B98" w:rsidRPr="009C0696">
              <w:rPr>
                <w:lang w:val="en-GB"/>
              </w:rPr>
              <w:t xml:space="preserve">Additions to the prices of architectural and engineering services (2.7%) and land and pipe transportation (1.2%) were also important. </w:t>
            </w:r>
            <w:r w:rsidR="00A66B98" w:rsidRPr="009C0696">
              <w:rPr>
                <w:lang w:val="en-GB"/>
              </w:rPr>
              <w:t xml:space="preserve">Prices of </w:t>
            </w:r>
            <w:r w:rsidR="005331EF" w:rsidRPr="009C0696">
              <w:rPr>
                <w:lang w:val="en-GB"/>
              </w:rPr>
              <w:t xml:space="preserve">security and investigation activities (8.9%), cleaning activities (7.2%) or postal and courier services (5.1%) </w:t>
            </w:r>
            <w:r w:rsidR="00A66B98" w:rsidRPr="009C0696">
              <w:rPr>
                <w:lang w:val="en-GB"/>
              </w:rPr>
              <w:t>were also raised significantly</w:t>
            </w:r>
            <w:r w:rsidR="00CA1BD6" w:rsidRPr="009C0696">
              <w:rPr>
                <w:lang w:val="en-GB"/>
              </w:rPr>
              <w:t xml:space="preserve">. </w:t>
            </w:r>
            <w:r w:rsidR="00A66B98" w:rsidRPr="009C0696">
              <w:rPr>
                <w:lang w:val="en-GB"/>
              </w:rPr>
              <w:t xml:space="preserve">On the contrary, the prices fell by </w:t>
            </w:r>
            <w:r w:rsidR="00CA1BD6" w:rsidRPr="009C0696">
              <w:rPr>
                <w:lang w:val="en-GB"/>
              </w:rPr>
              <w:t>2</w:t>
            </w:r>
            <w:r w:rsidR="00A66B98" w:rsidRPr="009C0696">
              <w:rPr>
                <w:lang w:val="en-GB"/>
              </w:rPr>
              <w:t>.</w:t>
            </w:r>
            <w:r w:rsidR="00CA1BD6" w:rsidRPr="009C0696">
              <w:rPr>
                <w:lang w:val="en-GB"/>
              </w:rPr>
              <w:t xml:space="preserve">3% </w:t>
            </w:r>
            <w:r w:rsidR="00A66B98" w:rsidRPr="009C0696">
              <w:rPr>
                <w:lang w:val="en-GB"/>
              </w:rPr>
              <w:t xml:space="preserve">in warehousing and support services activities in transportation. </w:t>
            </w:r>
            <w:r w:rsidR="00D4026D" w:rsidRPr="009C0696">
              <w:rPr>
                <w:lang w:val="en-GB"/>
              </w:rPr>
              <w:t xml:space="preserve">In Q4 only, the prices of market services grew by </w:t>
            </w:r>
            <w:r w:rsidR="00CA1BD6" w:rsidRPr="009C0696">
              <w:rPr>
                <w:lang w:val="en-GB"/>
              </w:rPr>
              <w:t>2</w:t>
            </w:r>
            <w:r w:rsidR="00D4026D" w:rsidRPr="009C0696">
              <w:rPr>
                <w:lang w:val="en-GB"/>
              </w:rPr>
              <w:t>.</w:t>
            </w:r>
            <w:r w:rsidR="00CA1BD6" w:rsidRPr="009C0696">
              <w:rPr>
                <w:lang w:val="en-GB"/>
              </w:rPr>
              <w:t>0%.</w:t>
            </w:r>
            <w:r w:rsidR="00D4026D" w:rsidRPr="009C0696">
              <w:rPr>
                <w:lang w:val="en-GB"/>
              </w:rPr>
              <w:t xml:space="preserve"> Development in the last quarter did not differ much from the whole year. </w:t>
            </w:r>
            <w:r w:rsidR="001C3A69" w:rsidRPr="009C0696">
              <w:rPr>
                <w:lang w:val="en-GB"/>
              </w:rPr>
              <w:t xml:space="preserve">Prices of land and pipe transportation grew by </w:t>
            </w:r>
            <w:r w:rsidR="00CA1BD6" w:rsidRPr="009C0696">
              <w:rPr>
                <w:lang w:val="en-GB"/>
              </w:rPr>
              <w:t>1</w:t>
            </w:r>
            <w:r w:rsidR="001C3A69" w:rsidRPr="009C0696">
              <w:rPr>
                <w:lang w:val="en-GB"/>
              </w:rPr>
              <w:t>.</w:t>
            </w:r>
            <w:r w:rsidR="00CA1BD6" w:rsidRPr="009C0696">
              <w:rPr>
                <w:lang w:val="en-GB"/>
              </w:rPr>
              <w:t>6%, p</w:t>
            </w:r>
            <w:r w:rsidR="001C3A69" w:rsidRPr="009C0696">
              <w:rPr>
                <w:lang w:val="en-GB"/>
              </w:rPr>
              <w:t xml:space="preserve">rices of postal and courier services by </w:t>
            </w:r>
            <w:r w:rsidR="00CA1BD6" w:rsidRPr="009C0696">
              <w:rPr>
                <w:lang w:val="en-GB"/>
              </w:rPr>
              <w:t>6</w:t>
            </w:r>
            <w:r w:rsidR="001C3A69" w:rsidRPr="009C0696">
              <w:rPr>
                <w:lang w:val="en-GB"/>
              </w:rPr>
              <w:t>.</w:t>
            </w:r>
            <w:r w:rsidR="00CA1BD6" w:rsidRPr="009C0696">
              <w:rPr>
                <w:lang w:val="en-GB"/>
              </w:rPr>
              <w:t xml:space="preserve">1%, </w:t>
            </w:r>
            <w:r w:rsidR="001C3A69" w:rsidRPr="009C0696">
              <w:rPr>
                <w:lang w:val="en-GB"/>
              </w:rPr>
              <w:t>services in the area of real estate by 3.</w:t>
            </w:r>
            <w:r w:rsidR="00CA1BD6" w:rsidRPr="009C0696">
              <w:rPr>
                <w:lang w:val="en-GB"/>
              </w:rPr>
              <w:t>1%,</w:t>
            </w:r>
            <w:r w:rsidR="001C3A69" w:rsidRPr="009C0696">
              <w:rPr>
                <w:lang w:val="en-GB"/>
              </w:rPr>
              <w:t xml:space="preserve"> services in the employment area by </w:t>
            </w:r>
            <w:r w:rsidR="00CA1BD6" w:rsidRPr="009C0696">
              <w:rPr>
                <w:lang w:val="en-GB"/>
              </w:rPr>
              <w:t>7</w:t>
            </w:r>
            <w:r w:rsidR="001C3A69" w:rsidRPr="009C0696">
              <w:rPr>
                <w:lang w:val="en-GB"/>
              </w:rPr>
              <w:t>.</w:t>
            </w:r>
            <w:r w:rsidR="00CA1BD6" w:rsidRPr="009C0696">
              <w:rPr>
                <w:lang w:val="en-GB"/>
              </w:rPr>
              <w:t xml:space="preserve">4%. </w:t>
            </w:r>
            <w:r w:rsidR="005600FF" w:rsidRPr="009C0696">
              <w:rPr>
                <w:lang w:val="en-GB"/>
              </w:rPr>
              <w:t xml:space="preserve">Growth of prices of advertising services and market research (5.3%) as well as insurance (6.4%) strengthened at the end of the year. Prices of warehousing and support service activities in transportation continued falling </w:t>
            </w:r>
            <w:r w:rsidR="00D06E66" w:rsidRPr="009C0696">
              <w:rPr>
                <w:lang w:val="en-GB"/>
              </w:rPr>
              <w:t>(</w:t>
            </w:r>
            <w:r w:rsidR="00CA1BD6" w:rsidRPr="009C0696">
              <w:rPr>
                <w:lang w:val="en-GB"/>
              </w:rPr>
              <w:t>-2</w:t>
            </w:r>
            <w:r w:rsidR="00D06E66" w:rsidRPr="009C0696">
              <w:rPr>
                <w:lang w:val="en-GB"/>
              </w:rPr>
              <w:t>.</w:t>
            </w:r>
            <w:r w:rsidR="00CA1BD6" w:rsidRPr="009C0696">
              <w:rPr>
                <w:lang w:val="en-GB"/>
              </w:rPr>
              <w:t>3%).</w:t>
            </w:r>
          </w:p>
        </w:tc>
      </w:tr>
      <w:tr w:rsidR="00CA1BD6" w:rsidRPr="009C0696" w:rsidTr="002505E3">
        <w:trPr>
          <w:trHeight w:val="145"/>
        </w:trPr>
        <w:tc>
          <w:tcPr>
            <w:tcW w:w="1801" w:type="dxa"/>
            <w:shd w:val="clear" w:color="auto" w:fill="auto"/>
            <w:tcMar>
              <w:left w:w="0" w:type="dxa"/>
            </w:tcMar>
          </w:tcPr>
          <w:p w:rsidR="00CA1BD6" w:rsidRPr="009C0696" w:rsidRDefault="00D4026D" w:rsidP="00D4026D">
            <w:pPr>
              <w:pStyle w:val="Marginlie"/>
              <w:rPr>
                <w:spacing w:val="0"/>
                <w:lang w:val="en-GB"/>
              </w:rPr>
            </w:pPr>
            <w:r w:rsidRPr="009C0696">
              <w:rPr>
                <w:spacing w:val="0"/>
                <w:lang w:val="en-GB"/>
              </w:rPr>
              <w:lastRenderedPageBreak/>
              <w:t xml:space="preserve">Prices of </w:t>
            </w:r>
            <w:r w:rsidR="00EF0C83" w:rsidRPr="009C0696">
              <w:rPr>
                <w:spacing w:val="0"/>
                <w:lang w:val="en-GB"/>
              </w:rPr>
              <w:t>agricultural</w:t>
            </w:r>
            <w:r w:rsidRPr="009C0696">
              <w:rPr>
                <w:spacing w:val="0"/>
                <w:lang w:val="en-GB"/>
              </w:rPr>
              <w:t xml:space="preserve"> producers stagnated </w:t>
            </w:r>
            <w:r w:rsidR="00EF0C83" w:rsidRPr="009C0696">
              <w:rPr>
                <w:spacing w:val="0"/>
                <w:lang w:val="en-GB"/>
              </w:rPr>
              <w:t>following</w:t>
            </w:r>
            <w:r w:rsidRPr="009C0696">
              <w:rPr>
                <w:spacing w:val="0"/>
                <w:lang w:val="en-GB"/>
              </w:rPr>
              <w:t xml:space="preserve"> strong year of </w:t>
            </w:r>
            <w:r w:rsidR="00CA1BD6" w:rsidRPr="009C0696">
              <w:rPr>
                <w:spacing w:val="0"/>
                <w:lang w:val="en-GB"/>
              </w:rPr>
              <w:t>2017.</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087356" w:rsidP="00F44640">
            <w:pPr>
              <w:rPr>
                <w:lang w:val="en-GB"/>
              </w:rPr>
            </w:pPr>
            <w:r w:rsidRPr="009C0696">
              <w:rPr>
                <w:lang w:val="en-GB"/>
              </w:rPr>
              <w:t xml:space="preserve">Addition to prices of agricultural producers was only 0.1% in </w:t>
            </w:r>
            <w:r w:rsidR="00CA1BD6" w:rsidRPr="009C0696">
              <w:rPr>
                <w:lang w:val="en-GB"/>
              </w:rPr>
              <w:t xml:space="preserve">2018. </w:t>
            </w:r>
            <w:r w:rsidRPr="009C0696">
              <w:rPr>
                <w:lang w:val="en-GB"/>
              </w:rPr>
              <w:t xml:space="preserve">While the prices of the plant production grew by </w:t>
            </w:r>
            <w:r w:rsidR="00CA1BD6" w:rsidRPr="009C0696">
              <w:rPr>
                <w:lang w:val="en-GB"/>
              </w:rPr>
              <w:t>2</w:t>
            </w:r>
            <w:r w:rsidRPr="009C0696">
              <w:rPr>
                <w:lang w:val="en-GB"/>
              </w:rPr>
              <w:t>.</w:t>
            </w:r>
            <w:r w:rsidR="00CA1BD6" w:rsidRPr="009C0696">
              <w:rPr>
                <w:lang w:val="en-GB"/>
              </w:rPr>
              <w:t>5% a</w:t>
            </w:r>
            <w:r w:rsidRPr="009C0696">
              <w:rPr>
                <w:lang w:val="en-GB"/>
              </w:rPr>
              <w:t xml:space="preserve">nd the growth </w:t>
            </w:r>
            <w:r w:rsidR="00EF0C83" w:rsidRPr="009C0696">
              <w:rPr>
                <w:lang w:val="en-GB"/>
              </w:rPr>
              <w:t>strengthened</w:t>
            </w:r>
            <w:r w:rsidRPr="009C0696">
              <w:rPr>
                <w:lang w:val="en-GB"/>
              </w:rPr>
              <w:t xml:space="preserve">, the animal production experienced a fall of </w:t>
            </w:r>
            <w:r w:rsidR="00CA1BD6" w:rsidRPr="009C0696">
              <w:rPr>
                <w:lang w:val="en-GB"/>
              </w:rPr>
              <w:t>2</w:t>
            </w:r>
            <w:r w:rsidRPr="009C0696">
              <w:rPr>
                <w:lang w:val="en-GB"/>
              </w:rPr>
              <w:t>.</w:t>
            </w:r>
            <w:r w:rsidR="00CA1BD6" w:rsidRPr="009C0696">
              <w:rPr>
                <w:lang w:val="en-GB"/>
              </w:rPr>
              <w:t xml:space="preserve">8%. </w:t>
            </w:r>
            <w:r w:rsidR="00EF0C83" w:rsidRPr="009C0696">
              <w:rPr>
                <w:lang w:val="en-GB"/>
              </w:rPr>
              <w:t xml:space="preserve">Growth of prices of cereals markedly accelerated </w:t>
            </w:r>
            <w:r w:rsidR="00CA1BD6" w:rsidRPr="009C0696">
              <w:rPr>
                <w:lang w:val="en-GB"/>
              </w:rPr>
              <w:t>(7</w:t>
            </w:r>
            <w:r w:rsidR="00EF0C83" w:rsidRPr="009C0696">
              <w:rPr>
                <w:lang w:val="en-GB"/>
              </w:rPr>
              <w:t>.</w:t>
            </w:r>
            <w:r w:rsidR="00CA1BD6" w:rsidRPr="009C0696">
              <w:rPr>
                <w:lang w:val="en-GB"/>
              </w:rPr>
              <w:t xml:space="preserve">4%). </w:t>
            </w:r>
            <w:r w:rsidR="00EF0C83" w:rsidRPr="009C0696">
              <w:rPr>
                <w:lang w:val="en-GB"/>
              </w:rPr>
              <w:t xml:space="preserve">It was valid especially for wheat </w:t>
            </w:r>
            <w:r w:rsidR="00CA1BD6" w:rsidRPr="009C0696">
              <w:rPr>
                <w:lang w:val="en-GB"/>
              </w:rPr>
              <w:t>(7</w:t>
            </w:r>
            <w:r w:rsidR="00EF0C83" w:rsidRPr="009C0696">
              <w:rPr>
                <w:lang w:val="en-GB"/>
              </w:rPr>
              <w:t>.</w:t>
            </w:r>
            <w:r w:rsidR="00CA1BD6" w:rsidRPr="009C0696">
              <w:rPr>
                <w:lang w:val="en-GB"/>
              </w:rPr>
              <w:t xml:space="preserve">1%), </w:t>
            </w:r>
            <w:r w:rsidR="00EF0C83" w:rsidRPr="009C0696">
              <w:rPr>
                <w:lang w:val="en-GB"/>
              </w:rPr>
              <w:t xml:space="preserve">rye </w:t>
            </w:r>
            <w:r w:rsidR="00CA1BD6" w:rsidRPr="009C0696">
              <w:rPr>
                <w:lang w:val="en-GB"/>
              </w:rPr>
              <w:t>(8</w:t>
            </w:r>
            <w:r w:rsidR="00EF0C83" w:rsidRPr="009C0696">
              <w:rPr>
                <w:lang w:val="en-GB"/>
              </w:rPr>
              <w:t>.</w:t>
            </w:r>
            <w:r w:rsidR="00CA1BD6" w:rsidRPr="009C0696">
              <w:rPr>
                <w:lang w:val="en-GB"/>
              </w:rPr>
              <w:t>8%) a</w:t>
            </w:r>
            <w:r w:rsidR="00EF0C83" w:rsidRPr="009C0696">
              <w:rPr>
                <w:lang w:val="en-GB"/>
              </w:rPr>
              <w:t xml:space="preserve">nd barley </w:t>
            </w:r>
            <w:r w:rsidR="00CA1BD6" w:rsidRPr="009C0696">
              <w:rPr>
                <w:lang w:val="en-GB"/>
              </w:rPr>
              <w:t>(8</w:t>
            </w:r>
            <w:r w:rsidR="00EF0C83" w:rsidRPr="009C0696">
              <w:rPr>
                <w:lang w:val="en-GB"/>
              </w:rPr>
              <w:t>.</w:t>
            </w:r>
            <w:r w:rsidR="00CA1BD6" w:rsidRPr="009C0696">
              <w:rPr>
                <w:lang w:val="en-GB"/>
              </w:rPr>
              <w:t xml:space="preserve">8%). </w:t>
            </w:r>
            <w:r w:rsidR="007D3A5A" w:rsidRPr="009C0696">
              <w:rPr>
                <w:lang w:val="en-GB"/>
              </w:rPr>
              <w:t>It was the consequence especially of the low last year´s harvest, which was common to most</w:t>
            </w:r>
            <w:r w:rsidR="001408D0" w:rsidRPr="009C0696">
              <w:rPr>
                <w:lang w:val="en-GB"/>
              </w:rPr>
              <w:t xml:space="preserve"> European produce</w:t>
            </w:r>
            <w:r w:rsidR="00EF0C83" w:rsidRPr="009C0696">
              <w:rPr>
                <w:lang w:val="en-GB"/>
              </w:rPr>
              <w:t>r</w:t>
            </w:r>
            <w:r w:rsidR="001408D0" w:rsidRPr="009C0696">
              <w:rPr>
                <w:lang w:val="en-GB"/>
              </w:rPr>
              <w:t xml:space="preserve">s. </w:t>
            </w:r>
            <w:r w:rsidR="00EF0C83" w:rsidRPr="009C0696">
              <w:rPr>
                <w:lang w:val="en-GB"/>
              </w:rPr>
              <w:t xml:space="preserve">Prices of industrial crops were falling </w:t>
            </w:r>
            <w:r w:rsidR="00CA1BD6" w:rsidRPr="009C0696">
              <w:rPr>
                <w:lang w:val="en-GB"/>
              </w:rPr>
              <w:t>(-3</w:t>
            </w:r>
            <w:r w:rsidR="00EF0C83" w:rsidRPr="009C0696">
              <w:rPr>
                <w:lang w:val="en-GB"/>
              </w:rPr>
              <w:t>.</w:t>
            </w:r>
            <w:r w:rsidR="00CA1BD6" w:rsidRPr="009C0696">
              <w:rPr>
                <w:lang w:val="en-GB"/>
              </w:rPr>
              <w:t>8%),</w:t>
            </w:r>
            <w:r w:rsidR="00EF0C83" w:rsidRPr="009C0696">
              <w:rPr>
                <w:lang w:val="en-GB"/>
              </w:rPr>
              <w:t xml:space="preserve"> especially of</w:t>
            </w:r>
            <w:r w:rsidR="00F44640" w:rsidRPr="009C0696">
              <w:rPr>
                <w:lang w:val="en-GB"/>
              </w:rPr>
              <w:t xml:space="preserve"> </w:t>
            </w:r>
            <w:r w:rsidR="001E13CF" w:rsidRPr="009C0696">
              <w:rPr>
                <w:lang w:val="en-GB"/>
              </w:rPr>
              <w:t xml:space="preserve">oil plants </w:t>
            </w:r>
            <w:r w:rsidR="00CA1BD6" w:rsidRPr="009C0696">
              <w:rPr>
                <w:lang w:val="en-GB"/>
              </w:rPr>
              <w:t>(-5</w:t>
            </w:r>
            <w:r w:rsidR="001E13CF" w:rsidRPr="009C0696">
              <w:rPr>
                <w:lang w:val="en-GB"/>
              </w:rPr>
              <w:t>.</w:t>
            </w:r>
            <w:r w:rsidR="00CA1BD6" w:rsidRPr="009C0696">
              <w:rPr>
                <w:lang w:val="en-GB"/>
              </w:rPr>
              <w:t>5%).</w:t>
            </w:r>
            <w:r w:rsidR="001E13CF" w:rsidRPr="009C0696">
              <w:rPr>
                <w:lang w:val="en-GB"/>
              </w:rPr>
              <w:t xml:space="preserve"> Prices of vegetables and garden products considerably increased </w:t>
            </w:r>
            <w:r w:rsidR="00CA1BD6" w:rsidRPr="009C0696">
              <w:rPr>
                <w:lang w:val="en-GB"/>
              </w:rPr>
              <w:t>(13</w:t>
            </w:r>
            <w:r w:rsidR="001E13CF" w:rsidRPr="009C0696">
              <w:rPr>
                <w:lang w:val="en-GB"/>
              </w:rPr>
              <w:t>.</w:t>
            </w:r>
            <w:r w:rsidR="00CA1BD6" w:rsidRPr="009C0696">
              <w:rPr>
                <w:lang w:val="en-GB"/>
              </w:rPr>
              <w:t xml:space="preserve">0%). </w:t>
            </w:r>
            <w:r w:rsidR="004B320E" w:rsidRPr="009C0696">
              <w:rPr>
                <w:lang w:val="en-GB"/>
              </w:rPr>
              <w:t xml:space="preserve">Prices of potatoes grew mildly </w:t>
            </w:r>
            <w:r w:rsidR="00CA1BD6" w:rsidRPr="009C0696">
              <w:rPr>
                <w:lang w:val="en-GB"/>
              </w:rPr>
              <w:t>(3</w:t>
            </w:r>
            <w:r w:rsidR="004B320E" w:rsidRPr="009C0696">
              <w:rPr>
                <w:lang w:val="en-GB"/>
              </w:rPr>
              <w:t>.</w:t>
            </w:r>
            <w:r w:rsidR="00CA1BD6" w:rsidRPr="009C0696">
              <w:rPr>
                <w:lang w:val="en-GB"/>
              </w:rPr>
              <w:t xml:space="preserve">2%). </w:t>
            </w:r>
            <w:r w:rsidR="00517588" w:rsidRPr="009C0696">
              <w:rPr>
                <w:lang w:val="en-GB"/>
              </w:rPr>
              <w:t xml:space="preserve">Prices of fruit sharply decreased thanks to good harvest </w:t>
            </w:r>
            <w:r w:rsidR="00CA1BD6" w:rsidRPr="009C0696">
              <w:rPr>
                <w:lang w:val="en-GB"/>
              </w:rPr>
              <w:t>(-26</w:t>
            </w:r>
            <w:r w:rsidR="00517588" w:rsidRPr="009C0696">
              <w:rPr>
                <w:lang w:val="en-GB"/>
              </w:rPr>
              <w:t>.</w:t>
            </w:r>
            <w:r w:rsidR="00CA1BD6" w:rsidRPr="009C0696">
              <w:rPr>
                <w:lang w:val="en-GB"/>
              </w:rPr>
              <w:t xml:space="preserve">3%, </w:t>
            </w:r>
            <w:r w:rsidR="00517588" w:rsidRPr="009C0696">
              <w:rPr>
                <w:lang w:val="en-GB"/>
              </w:rPr>
              <w:t xml:space="preserve">the price level returned to the value before year </w:t>
            </w:r>
            <w:r w:rsidR="00CA1BD6" w:rsidRPr="009C0696">
              <w:rPr>
                <w:lang w:val="en-GB"/>
              </w:rPr>
              <w:t xml:space="preserve">2017, </w:t>
            </w:r>
            <w:r w:rsidR="00517588" w:rsidRPr="009C0696">
              <w:rPr>
                <w:lang w:val="en-GB"/>
              </w:rPr>
              <w:t>when prices increased by one third</w:t>
            </w:r>
            <w:r w:rsidR="00CA1BD6" w:rsidRPr="009C0696">
              <w:rPr>
                <w:lang w:val="en-GB"/>
              </w:rPr>
              <w:t xml:space="preserve">). </w:t>
            </w:r>
            <w:r w:rsidR="00517588" w:rsidRPr="009C0696">
              <w:rPr>
                <w:lang w:val="en-GB"/>
              </w:rPr>
              <w:t xml:space="preserve">Prices of animal production were influenced by the drop of the prices of live animals by </w:t>
            </w:r>
            <w:r w:rsidR="00CA1BD6" w:rsidRPr="009C0696">
              <w:rPr>
                <w:lang w:val="en-GB"/>
              </w:rPr>
              <w:t>7</w:t>
            </w:r>
            <w:r w:rsidR="00517588" w:rsidRPr="009C0696">
              <w:rPr>
                <w:lang w:val="en-GB"/>
              </w:rPr>
              <w:t>.</w:t>
            </w:r>
            <w:r w:rsidR="00CA1BD6" w:rsidRPr="009C0696">
              <w:rPr>
                <w:lang w:val="en-GB"/>
              </w:rPr>
              <w:t>5% (</w:t>
            </w:r>
            <w:r w:rsidR="00517588" w:rsidRPr="009C0696">
              <w:rPr>
                <w:lang w:val="en-GB"/>
              </w:rPr>
              <w:t xml:space="preserve">mainly pigs and piglets </w:t>
            </w:r>
            <w:r w:rsidR="00CA1BD6" w:rsidRPr="009C0696">
              <w:rPr>
                <w:lang w:val="en-GB"/>
              </w:rPr>
              <w:t>-15</w:t>
            </w:r>
            <w:r w:rsidR="00517588" w:rsidRPr="009C0696">
              <w:rPr>
                <w:lang w:val="en-GB"/>
              </w:rPr>
              <w:t>.</w:t>
            </w:r>
            <w:r w:rsidR="00CA1BD6" w:rsidRPr="009C0696">
              <w:rPr>
                <w:lang w:val="en-GB"/>
              </w:rPr>
              <w:t xml:space="preserve">8%). </w:t>
            </w:r>
            <w:r w:rsidR="00517588" w:rsidRPr="009C0696">
              <w:rPr>
                <w:lang w:val="en-GB"/>
              </w:rPr>
              <w:t xml:space="preserve">Animal products maintained the price level following its spike from year </w:t>
            </w:r>
            <w:r w:rsidR="00CA1BD6" w:rsidRPr="009C0696">
              <w:rPr>
                <w:lang w:val="en-GB"/>
              </w:rPr>
              <w:t>2017.</w:t>
            </w:r>
            <w:r w:rsidR="00517588" w:rsidRPr="009C0696">
              <w:rPr>
                <w:lang w:val="en-GB"/>
              </w:rPr>
              <w:t xml:space="preserve"> </w:t>
            </w:r>
            <w:r w:rsidR="00CA1BD6" w:rsidRPr="009C0696">
              <w:rPr>
                <w:lang w:val="en-GB"/>
              </w:rPr>
              <w:t xml:space="preserve"> </w:t>
            </w:r>
            <w:r w:rsidR="00517588" w:rsidRPr="009C0696">
              <w:rPr>
                <w:lang w:val="en-GB"/>
              </w:rPr>
              <w:t xml:space="preserve">They grew by </w:t>
            </w:r>
            <w:r w:rsidR="00CA1BD6" w:rsidRPr="009C0696">
              <w:rPr>
                <w:lang w:val="en-GB"/>
              </w:rPr>
              <w:t>1</w:t>
            </w:r>
            <w:r w:rsidR="00517588" w:rsidRPr="009C0696">
              <w:rPr>
                <w:lang w:val="en-GB"/>
              </w:rPr>
              <w:t>.</w:t>
            </w:r>
            <w:r w:rsidR="00CA1BD6" w:rsidRPr="009C0696">
              <w:rPr>
                <w:lang w:val="en-GB"/>
              </w:rPr>
              <w:t>0%</w:t>
            </w:r>
            <w:r w:rsidR="00517588" w:rsidRPr="009C0696">
              <w:rPr>
                <w:lang w:val="en-GB"/>
              </w:rPr>
              <w:t xml:space="preserve"> last year</w:t>
            </w:r>
            <w:r w:rsidR="00CA1BD6" w:rsidRPr="009C0696">
              <w:rPr>
                <w:lang w:val="en-GB"/>
              </w:rPr>
              <w:t xml:space="preserve">. </w:t>
            </w:r>
            <w:r w:rsidR="00517588" w:rsidRPr="009C0696">
              <w:rPr>
                <w:lang w:val="en-GB"/>
              </w:rPr>
              <w:t xml:space="preserve">Prices of milk increased by </w:t>
            </w:r>
            <w:r w:rsidR="00CA1BD6" w:rsidRPr="009C0696">
              <w:rPr>
                <w:lang w:val="en-GB"/>
              </w:rPr>
              <w:t>2</w:t>
            </w:r>
            <w:r w:rsidR="00517588" w:rsidRPr="009C0696">
              <w:rPr>
                <w:lang w:val="en-GB"/>
              </w:rPr>
              <w:t>.</w:t>
            </w:r>
            <w:r w:rsidR="00CA1BD6" w:rsidRPr="009C0696">
              <w:rPr>
                <w:lang w:val="en-GB"/>
              </w:rPr>
              <w:t>1% a</w:t>
            </w:r>
            <w:r w:rsidR="00517588" w:rsidRPr="009C0696">
              <w:rPr>
                <w:lang w:val="en-GB"/>
              </w:rPr>
              <w:t xml:space="preserve">nd prices of eggs dropped by </w:t>
            </w:r>
            <w:r w:rsidR="00CA1BD6" w:rsidRPr="009C0696">
              <w:rPr>
                <w:lang w:val="en-GB"/>
              </w:rPr>
              <w:t>9</w:t>
            </w:r>
            <w:r w:rsidR="00517588" w:rsidRPr="009C0696">
              <w:rPr>
                <w:lang w:val="en-GB"/>
              </w:rPr>
              <w:t>.</w:t>
            </w:r>
            <w:r w:rsidR="00CA1BD6" w:rsidRPr="009C0696">
              <w:rPr>
                <w:lang w:val="en-GB"/>
              </w:rPr>
              <w:t xml:space="preserve">6%. </w:t>
            </w:r>
            <w:r w:rsidR="00517588" w:rsidRPr="009C0696">
              <w:rPr>
                <w:lang w:val="en-GB"/>
              </w:rPr>
              <w:t xml:space="preserve">Final quarter of the year saw the year-on-year addition to prices of agricultural producers </w:t>
            </w:r>
            <w:r w:rsidR="001C0A2B" w:rsidRPr="009C0696">
              <w:rPr>
                <w:lang w:val="en-GB"/>
              </w:rPr>
              <w:t>rise by</w:t>
            </w:r>
            <w:r w:rsidR="00517588" w:rsidRPr="009C0696">
              <w:rPr>
                <w:lang w:val="en-GB"/>
              </w:rPr>
              <w:t xml:space="preserve"> </w:t>
            </w:r>
            <w:r w:rsidR="00CA1BD6" w:rsidRPr="009C0696">
              <w:rPr>
                <w:lang w:val="en-GB"/>
              </w:rPr>
              <w:t>1</w:t>
            </w:r>
            <w:r w:rsidR="00517588" w:rsidRPr="009C0696">
              <w:rPr>
                <w:lang w:val="en-GB"/>
              </w:rPr>
              <w:t>.</w:t>
            </w:r>
            <w:r w:rsidR="00CA1BD6" w:rsidRPr="009C0696">
              <w:rPr>
                <w:lang w:val="en-GB"/>
              </w:rPr>
              <w:t xml:space="preserve">6%. </w:t>
            </w:r>
            <w:r w:rsidR="001C0A2B" w:rsidRPr="009C0696">
              <w:rPr>
                <w:lang w:val="en-GB"/>
              </w:rPr>
              <w:t xml:space="preserve">It was mostly thanks to the plant production </w:t>
            </w:r>
            <w:r w:rsidR="00CA1BD6" w:rsidRPr="009C0696">
              <w:rPr>
                <w:lang w:val="en-GB"/>
              </w:rPr>
              <w:t>(6</w:t>
            </w:r>
            <w:r w:rsidR="001C0A2B" w:rsidRPr="009C0696">
              <w:rPr>
                <w:lang w:val="en-GB"/>
              </w:rPr>
              <w:t>.</w:t>
            </w:r>
            <w:r w:rsidR="00CA1BD6" w:rsidRPr="009C0696">
              <w:rPr>
                <w:lang w:val="en-GB"/>
              </w:rPr>
              <w:t xml:space="preserve">9%), </w:t>
            </w:r>
            <w:r w:rsidR="001C0A2B" w:rsidRPr="009C0696">
              <w:rPr>
                <w:lang w:val="en-GB"/>
              </w:rPr>
              <w:t xml:space="preserve">which fully reflected the lower harvest (prices of wheat </w:t>
            </w:r>
            <w:r w:rsidR="00CA1BD6" w:rsidRPr="009C0696">
              <w:rPr>
                <w:lang w:val="en-GB"/>
              </w:rPr>
              <w:t>+15</w:t>
            </w:r>
            <w:r w:rsidR="001C0A2B" w:rsidRPr="009C0696">
              <w:rPr>
                <w:lang w:val="en-GB"/>
              </w:rPr>
              <w:t>.</w:t>
            </w:r>
            <w:r w:rsidR="00CA1BD6" w:rsidRPr="009C0696">
              <w:rPr>
                <w:lang w:val="en-GB"/>
              </w:rPr>
              <w:t xml:space="preserve">7%, </w:t>
            </w:r>
            <w:r w:rsidR="001C0A2B" w:rsidRPr="009C0696">
              <w:rPr>
                <w:lang w:val="en-GB"/>
              </w:rPr>
              <w:t xml:space="preserve">barley </w:t>
            </w:r>
            <w:r w:rsidR="00CA1BD6" w:rsidRPr="009C0696">
              <w:rPr>
                <w:lang w:val="en-GB"/>
              </w:rPr>
              <w:t>+16</w:t>
            </w:r>
            <w:r w:rsidR="001C0A2B" w:rsidRPr="009C0696">
              <w:rPr>
                <w:lang w:val="en-GB"/>
              </w:rPr>
              <w:t>.</w:t>
            </w:r>
            <w:r w:rsidR="00CA1BD6" w:rsidRPr="009C0696">
              <w:rPr>
                <w:lang w:val="en-GB"/>
              </w:rPr>
              <w:t xml:space="preserve">0%, </w:t>
            </w:r>
            <w:r w:rsidR="001C0A2B" w:rsidRPr="009C0696">
              <w:rPr>
                <w:lang w:val="en-GB"/>
              </w:rPr>
              <w:t xml:space="preserve">poppy seed </w:t>
            </w:r>
            <w:r w:rsidR="00CA1BD6" w:rsidRPr="009C0696">
              <w:rPr>
                <w:lang w:val="en-GB"/>
              </w:rPr>
              <w:t>+82</w:t>
            </w:r>
            <w:r w:rsidR="001C0A2B" w:rsidRPr="009C0696">
              <w:rPr>
                <w:lang w:val="en-GB"/>
              </w:rPr>
              <w:t>.</w:t>
            </w:r>
            <w:r w:rsidR="00CA1BD6" w:rsidRPr="009C0696">
              <w:rPr>
                <w:lang w:val="en-GB"/>
              </w:rPr>
              <w:t xml:space="preserve">6%). </w:t>
            </w:r>
            <w:r w:rsidR="001C0A2B" w:rsidRPr="009C0696">
              <w:rPr>
                <w:lang w:val="en-GB"/>
              </w:rPr>
              <w:t xml:space="preserve">Animal production recorded deepening fall </w:t>
            </w:r>
            <w:r w:rsidR="00CA1BD6" w:rsidRPr="009C0696">
              <w:rPr>
                <w:lang w:val="en-GB"/>
              </w:rPr>
              <w:t>(-6</w:t>
            </w:r>
            <w:r w:rsidR="001C0A2B" w:rsidRPr="009C0696">
              <w:rPr>
                <w:lang w:val="en-GB"/>
              </w:rPr>
              <w:t>.</w:t>
            </w:r>
            <w:r w:rsidR="00CA1BD6" w:rsidRPr="009C0696">
              <w:rPr>
                <w:lang w:val="en-GB"/>
              </w:rPr>
              <w:t xml:space="preserve">7%).     </w:t>
            </w:r>
          </w:p>
        </w:tc>
      </w:tr>
      <w:tr w:rsidR="00CA1BD6" w:rsidRPr="009C0696" w:rsidTr="002505E3">
        <w:trPr>
          <w:trHeight w:val="145"/>
        </w:trPr>
        <w:tc>
          <w:tcPr>
            <w:tcW w:w="1801" w:type="dxa"/>
            <w:shd w:val="clear" w:color="auto" w:fill="auto"/>
            <w:tcMar>
              <w:left w:w="0" w:type="dxa"/>
            </w:tcMar>
          </w:tcPr>
          <w:p w:rsidR="00CA1BD6" w:rsidRPr="009C0696" w:rsidRDefault="00517588" w:rsidP="00517588">
            <w:pPr>
              <w:pStyle w:val="Marginlie"/>
              <w:rPr>
                <w:spacing w:val="0"/>
                <w:lang w:val="en-GB"/>
              </w:rPr>
            </w:pPr>
            <w:r w:rsidRPr="009C0696">
              <w:rPr>
                <w:spacing w:val="0"/>
                <w:lang w:val="en-GB"/>
              </w:rPr>
              <w:t>Prices of export grew in Q4</w:t>
            </w:r>
            <w:r w:rsidR="00CA1BD6" w:rsidRPr="009C0696">
              <w:rPr>
                <w:spacing w:val="0"/>
                <w:lang w:val="en-GB"/>
              </w:rPr>
              <w:t>.</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B63B09" w:rsidP="005651B0">
            <w:pPr>
              <w:rPr>
                <w:lang w:val="en-GB"/>
              </w:rPr>
            </w:pPr>
            <w:r w:rsidRPr="009C0696">
              <w:rPr>
                <w:lang w:val="en-GB"/>
              </w:rPr>
              <w:t xml:space="preserve">Export prices fell by </w:t>
            </w:r>
            <w:r w:rsidR="00CA1BD6" w:rsidRPr="009C0696">
              <w:rPr>
                <w:lang w:val="en-GB"/>
              </w:rPr>
              <w:t>0</w:t>
            </w:r>
            <w:r w:rsidRPr="009C0696">
              <w:rPr>
                <w:lang w:val="en-GB"/>
              </w:rPr>
              <w:t>.</w:t>
            </w:r>
            <w:r w:rsidR="00CA1BD6" w:rsidRPr="009C0696">
              <w:rPr>
                <w:lang w:val="en-GB"/>
              </w:rPr>
              <w:t>3%</w:t>
            </w:r>
            <w:r w:rsidRPr="009C0696">
              <w:rPr>
                <w:lang w:val="en-GB"/>
              </w:rPr>
              <w:t xml:space="preserve"> for the whole year 2018</w:t>
            </w:r>
            <w:r w:rsidR="00CA1BD6" w:rsidRPr="009C0696">
              <w:rPr>
                <w:lang w:val="en-GB"/>
              </w:rPr>
              <w:t xml:space="preserve">. </w:t>
            </w:r>
            <w:r w:rsidRPr="009C0696">
              <w:rPr>
                <w:lang w:val="en-GB"/>
              </w:rPr>
              <w:t xml:space="preserve">The presence of foreign exchange rate differences compared to year 2017 was the factor the most affecting the year-on-year dynamics during the year. The year-on-year appreciation of koruna against euro as well as dollar thus pushed the price growth down in the first half year </w:t>
            </w:r>
            <w:r w:rsidR="00CA1BD6" w:rsidRPr="009C0696">
              <w:rPr>
                <w:lang w:val="en-GB"/>
              </w:rPr>
              <w:t>(-4</w:t>
            </w:r>
            <w:r w:rsidRPr="009C0696">
              <w:rPr>
                <w:lang w:val="en-GB"/>
              </w:rPr>
              <w:t>.</w:t>
            </w:r>
            <w:r w:rsidR="00CA1BD6" w:rsidRPr="009C0696">
              <w:rPr>
                <w:lang w:val="en-GB"/>
              </w:rPr>
              <w:t>4% a</w:t>
            </w:r>
            <w:r w:rsidRPr="009C0696">
              <w:rPr>
                <w:lang w:val="en-GB"/>
              </w:rPr>
              <w:t>nd</w:t>
            </w:r>
            <w:r w:rsidR="00CA1BD6" w:rsidRPr="009C0696">
              <w:rPr>
                <w:lang w:val="en-GB"/>
              </w:rPr>
              <w:t> </w:t>
            </w:r>
            <w:r w:rsidR="00BD59F1">
              <w:rPr>
                <w:lang w:val="en-GB"/>
              </w:rPr>
              <w:noBreakHyphen/>
            </w:r>
            <w:r w:rsidR="00CA1BD6" w:rsidRPr="009C0696">
              <w:rPr>
                <w:lang w:val="en-GB"/>
              </w:rPr>
              <w:t>1</w:t>
            </w:r>
            <w:r w:rsidRPr="009C0696">
              <w:rPr>
                <w:lang w:val="en-GB"/>
              </w:rPr>
              <w:t>.</w:t>
            </w:r>
            <w:r w:rsidR="00CA1BD6" w:rsidRPr="009C0696">
              <w:rPr>
                <w:lang w:val="en-GB"/>
              </w:rPr>
              <w:t xml:space="preserve">6% </w:t>
            </w:r>
            <w:r w:rsidRPr="009C0696">
              <w:rPr>
                <w:lang w:val="en-GB"/>
              </w:rPr>
              <w:t>in Q</w:t>
            </w:r>
            <w:r w:rsidR="00CA1BD6" w:rsidRPr="009C0696">
              <w:rPr>
                <w:lang w:val="en-GB"/>
              </w:rPr>
              <w:t>1</w:t>
            </w:r>
            <w:r w:rsidRPr="009C0696">
              <w:rPr>
                <w:lang w:val="en-GB"/>
              </w:rPr>
              <w:t xml:space="preserve"> and </w:t>
            </w:r>
            <w:r w:rsidR="00CA1BD6" w:rsidRPr="009C0696">
              <w:rPr>
                <w:lang w:val="en-GB"/>
              </w:rPr>
              <w:t xml:space="preserve">2). </w:t>
            </w:r>
            <w:r w:rsidRPr="009C0696">
              <w:rPr>
                <w:lang w:val="en-GB"/>
              </w:rPr>
              <w:t>Effect of the exchange rate considerably weakened in H</w:t>
            </w:r>
            <w:r w:rsidR="00CA1BD6" w:rsidRPr="009C0696">
              <w:rPr>
                <w:lang w:val="en-GB"/>
              </w:rPr>
              <w:t>2</w:t>
            </w:r>
            <w:r w:rsidRPr="009C0696">
              <w:rPr>
                <w:lang w:val="en-GB"/>
              </w:rPr>
              <w:t xml:space="preserve"> and the prices of export started to grow year-on-year</w:t>
            </w:r>
            <w:r w:rsidR="00CA1BD6" w:rsidRPr="009C0696">
              <w:rPr>
                <w:lang w:val="en-GB"/>
              </w:rPr>
              <w:t>.</w:t>
            </w:r>
            <w:r w:rsidRPr="009C0696">
              <w:rPr>
                <w:lang w:val="en-GB"/>
              </w:rPr>
              <w:t xml:space="preserve"> </w:t>
            </w:r>
            <w:r w:rsidR="005651B0" w:rsidRPr="009C0696">
              <w:rPr>
                <w:lang w:val="en-GB"/>
              </w:rPr>
              <w:t xml:space="preserve">Prices of exported machinery and transport equipment fell by </w:t>
            </w:r>
            <w:r w:rsidR="00CA1BD6" w:rsidRPr="009C0696">
              <w:rPr>
                <w:lang w:val="en-GB"/>
              </w:rPr>
              <w:t>-1</w:t>
            </w:r>
            <w:r w:rsidR="005651B0" w:rsidRPr="009C0696">
              <w:rPr>
                <w:lang w:val="en-GB"/>
              </w:rPr>
              <w:t>.</w:t>
            </w:r>
            <w:r w:rsidR="00CA1BD6" w:rsidRPr="009C0696">
              <w:rPr>
                <w:lang w:val="en-GB"/>
              </w:rPr>
              <w:t xml:space="preserve">7%, </w:t>
            </w:r>
            <w:r w:rsidR="005651B0" w:rsidRPr="009C0696">
              <w:rPr>
                <w:lang w:val="en-GB"/>
              </w:rPr>
              <w:t xml:space="preserve">prices of industrial consumption goods by </w:t>
            </w:r>
            <w:r w:rsidR="00BD59F1">
              <w:rPr>
                <w:lang w:val="en-GB"/>
              </w:rPr>
              <w:noBreakHyphen/>
            </w:r>
            <w:r w:rsidR="00CA1BD6" w:rsidRPr="009C0696">
              <w:rPr>
                <w:lang w:val="en-GB"/>
              </w:rPr>
              <w:t>1</w:t>
            </w:r>
            <w:r w:rsidR="005651B0" w:rsidRPr="009C0696">
              <w:rPr>
                <w:lang w:val="en-GB"/>
              </w:rPr>
              <w:t>.</w:t>
            </w:r>
            <w:r w:rsidR="00CA1BD6" w:rsidRPr="009C0696">
              <w:rPr>
                <w:lang w:val="en-GB"/>
              </w:rPr>
              <w:t>5% a</w:t>
            </w:r>
            <w:r w:rsidR="005651B0" w:rsidRPr="009C0696">
              <w:rPr>
                <w:lang w:val="en-GB"/>
              </w:rPr>
              <w:t xml:space="preserve">nd food and live animals by </w:t>
            </w:r>
            <w:r w:rsidR="00CA1BD6" w:rsidRPr="009C0696">
              <w:rPr>
                <w:lang w:val="en-GB"/>
              </w:rPr>
              <w:t>-1</w:t>
            </w:r>
            <w:r w:rsidR="005651B0" w:rsidRPr="009C0696">
              <w:rPr>
                <w:lang w:val="en-GB"/>
              </w:rPr>
              <w:t>.</w:t>
            </w:r>
            <w:r w:rsidR="00CA1BD6" w:rsidRPr="009C0696">
              <w:rPr>
                <w:lang w:val="en-GB"/>
              </w:rPr>
              <w:t>4%</w:t>
            </w:r>
            <w:r w:rsidR="005651B0" w:rsidRPr="009C0696">
              <w:rPr>
                <w:lang w:val="en-GB"/>
              </w:rPr>
              <w:t xml:space="preserve"> in 2018</w:t>
            </w:r>
            <w:r w:rsidR="00CA1BD6" w:rsidRPr="009C0696">
              <w:rPr>
                <w:lang w:val="en-GB"/>
              </w:rPr>
              <w:t xml:space="preserve">. </w:t>
            </w:r>
            <w:r w:rsidR="005651B0" w:rsidRPr="009C0696">
              <w:rPr>
                <w:lang w:val="en-GB"/>
              </w:rPr>
              <w:t xml:space="preserve">Prices of semi-finished products </w:t>
            </w:r>
            <w:r w:rsidR="00CA1BD6" w:rsidRPr="009C0696">
              <w:rPr>
                <w:lang w:val="en-GB"/>
              </w:rPr>
              <w:t>(2</w:t>
            </w:r>
            <w:r w:rsidR="005651B0" w:rsidRPr="009C0696">
              <w:rPr>
                <w:lang w:val="en-GB"/>
              </w:rPr>
              <w:t>.</w:t>
            </w:r>
            <w:r w:rsidR="00CA1BD6" w:rsidRPr="009C0696">
              <w:rPr>
                <w:lang w:val="en-GB"/>
              </w:rPr>
              <w:t>6%), </w:t>
            </w:r>
            <w:r w:rsidR="005651B0" w:rsidRPr="009C0696">
              <w:rPr>
                <w:lang w:val="en-GB"/>
              </w:rPr>
              <w:t xml:space="preserve">beverages and tobacco </w:t>
            </w:r>
            <w:r w:rsidR="00CA1BD6" w:rsidRPr="009C0696">
              <w:rPr>
                <w:lang w:val="en-GB"/>
              </w:rPr>
              <w:t>(2</w:t>
            </w:r>
            <w:r w:rsidR="005651B0" w:rsidRPr="009C0696">
              <w:rPr>
                <w:lang w:val="en-GB"/>
              </w:rPr>
              <w:t>.</w:t>
            </w:r>
            <w:r w:rsidR="00CA1BD6" w:rsidRPr="009C0696">
              <w:rPr>
                <w:lang w:val="en-GB"/>
              </w:rPr>
              <w:t>7%)</w:t>
            </w:r>
            <w:r w:rsidR="005651B0" w:rsidRPr="009C0696">
              <w:rPr>
                <w:lang w:val="en-GB"/>
              </w:rPr>
              <w:t xml:space="preserve"> and mineral fuels </w:t>
            </w:r>
            <w:r w:rsidR="00855EFE" w:rsidRPr="009C0696">
              <w:rPr>
                <w:lang w:val="en-GB"/>
              </w:rPr>
              <w:t xml:space="preserve">and </w:t>
            </w:r>
            <w:r w:rsidR="005A7CF8" w:rsidRPr="009C0696">
              <w:rPr>
                <w:lang w:val="en-GB"/>
              </w:rPr>
              <w:br/>
            </w:r>
            <w:r w:rsidR="005651B0" w:rsidRPr="009C0696">
              <w:rPr>
                <w:lang w:val="en-GB"/>
              </w:rPr>
              <w:t xml:space="preserve">grease </w:t>
            </w:r>
            <w:r w:rsidR="00CA1BD6" w:rsidRPr="009C0696">
              <w:rPr>
                <w:lang w:val="en-GB"/>
              </w:rPr>
              <w:t>(7</w:t>
            </w:r>
            <w:r w:rsidR="005651B0" w:rsidRPr="009C0696">
              <w:rPr>
                <w:lang w:val="en-GB"/>
              </w:rPr>
              <w:t>.</w:t>
            </w:r>
            <w:r w:rsidR="00CA1BD6" w:rsidRPr="009C0696">
              <w:rPr>
                <w:lang w:val="en-GB"/>
              </w:rPr>
              <w:t xml:space="preserve">6%). </w:t>
            </w:r>
            <w:r w:rsidR="00E47DFE" w:rsidRPr="009C0696">
              <w:rPr>
                <w:lang w:val="en-GB"/>
              </w:rPr>
              <w:t>Export prices rose by 3.4% in Q</w:t>
            </w:r>
            <w:r w:rsidR="00CA1BD6" w:rsidRPr="009C0696">
              <w:rPr>
                <w:lang w:val="en-GB"/>
              </w:rPr>
              <w:t>4.</w:t>
            </w:r>
            <w:r w:rsidR="00E47DFE" w:rsidRPr="009C0696">
              <w:rPr>
                <w:lang w:val="en-GB"/>
              </w:rPr>
              <w:t xml:space="preserve"> </w:t>
            </w:r>
            <w:r w:rsidR="00336DDB" w:rsidRPr="009C0696">
              <w:rPr>
                <w:lang w:val="en-GB"/>
              </w:rPr>
              <w:t>Simultaneously some items experienced a developmental turn – from year-on-year declines they got into growth</w:t>
            </w:r>
            <w:r w:rsidR="00CA1BD6" w:rsidRPr="009C0696">
              <w:rPr>
                <w:lang w:val="en-GB"/>
              </w:rPr>
              <w:t>. T</w:t>
            </w:r>
            <w:r w:rsidR="00E47DFE" w:rsidRPr="009C0696">
              <w:rPr>
                <w:lang w:val="en-GB"/>
              </w:rPr>
              <w:t xml:space="preserve">hat is the case of the prices of food and live animals </w:t>
            </w:r>
            <w:r w:rsidR="00CA1BD6" w:rsidRPr="009C0696">
              <w:rPr>
                <w:lang w:val="en-GB"/>
              </w:rPr>
              <w:t>(2</w:t>
            </w:r>
            <w:r w:rsidR="00E47DFE" w:rsidRPr="009C0696">
              <w:rPr>
                <w:lang w:val="en-GB"/>
              </w:rPr>
              <w:t>.</w:t>
            </w:r>
            <w:r w:rsidR="00CA1BD6" w:rsidRPr="009C0696">
              <w:rPr>
                <w:lang w:val="en-GB"/>
              </w:rPr>
              <w:t>7%),</w:t>
            </w:r>
            <w:r w:rsidR="00E47DFE" w:rsidRPr="009C0696">
              <w:rPr>
                <w:lang w:val="en-GB"/>
              </w:rPr>
              <w:t xml:space="preserve"> machinery and transport </w:t>
            </w:r>
            <w:r w:rsidR="00CA1BD6" w:rsidRPr="009C0696">
              <w:rPr>
                <w:lang w:val="en-GB"/>
              </w:rPr>
              <w:t>(1</w:t>
            </w:r>
            <w:r w:rsidR="00E47DFE" w:rsidRPr="009C0696">
              <w:rPr>
                <w:lang w:val="en-GB"/>
              </w:rPr>
              <w:t>.</w:t>
            </w:r>
            <w:r w:rsidR="00CA1BD6" w:rsidRPr="009C0696">
              <w:rPr>
                <w:lang w:val="en-GB"/>
              </w:rPr>
              <w:t xml:space="preserve">8%, </w:t>
            </w:r>
            <w:r w:rsidR="00E47DFE" w:rsidRPr="009C0696">
              <w:rPr>
                <w:lang w:val="en-GB"/>
              </w:rPr>
              <w:t>first growth from Q</w:t>
            </w:r>
            <w:r w:rsidR="00CA1BD6" w:rsidRPr="009C0696">
              <w:rPr>
                <w:lang w:val="en-GB"/>
              </w:rPr>
              <w:t>2</w:t>
            </w:r>
            <w:r w:rsidR="00E47DFE" w:rsidRPr="009C0696">
              <w:rPr>
                <w:lang w:val="en-GB"/>
              </w:rPr>
              <w:t xml:space="preserve"> </w:t>
            </w:r>
            <w:r w:rsidR="00CA1BD6" w:rsidRPr="009C0696">
              <w:rPr>
                <w:lang w:val="en-GB"/>
              </w:rPr>
              <w:t xml:space="preserve">2015) </w:t>
            </w:r>
            <w:r w:rsidR="00E47DFE" w:rsidRPr="009C0696">
              <w:rPr>
                <w:lang w:val="en-GB"/>
              </w:rPr>
              <w:t xml:space="preserve">as well as industrial consumption goods </w:t>
            </w:r>
            <w:r w:rsidR="00CA1BD6" w:rsidRPr="009C0696">
              <w:rPr>
                <w:lang w:val="en-GB"/>
              </w:rPr>
              <w:t>(3</w:t>
            </w:r>
            <w:r w:rsidR="00E47DFE" w:rsidRPr="009C0696">
              <w:rPr>
                <w:lang w:val="en-GB"/>
              </w:rPr>
              <w:t>.</w:t>
            </w:r>
            <w:r w:rsidR="00CA1BD6" w:rsidRPr="009C0696">
              <w:rPr>
                <w:lang w:val="en-GB"/>
              </w:rPr>
              <w:t>5%).</w:t>
            </w:r>
          </w:p>
        </w:tc>
      </w:tr>
      <w:tr w:rsidR="00CA1BD6" w:rsidRPr="009C0696" w:rsidTr="002505E3">
        <w:trPr>
          <w:trHeight w:val="145"/>
        </w:trPr>
        <w:tc>
          <w:tcPr>
            <w:tcW w:w="1801" w:type="dxa"/>
            <w:shd w:val="clear" w:color="auto" w:fill="auto"/>
            <w:tcMar>
              <w:left w:w="0" w:type="dxa"/>
            </w:tcMar>
          </w:tcPr>
          <w:p w:rsidR="00CA1BD6" w:rsidRPr="009C0696" w:rsidRDefault="00DF1857" w:rsidP="00DF1857">
            <w:pPr>
              <w:pStyle w:val="Marginlie"/>
              <w:rPr>
                <w:spacing w:val="0"/>
                <w:lang w:val="en-GB"/>
              </w:rPr>
            </w:pPr>
            <w:r w:rsidRPr="009C0696">
              <w:rPr>
                <w:spacing w:val="0"/>
                <w:lang w:val="en-GB"/>
              </w:rPr>
              <w:t xml:space="preserve">Terms of trade were positive in </w:t>
            </w:r>
            <w:r w:rsidR="00CA1BD6" w:rsidRPr="009C0696">
              <w:rPr>
                <w:spacing w:val="0"/>
                <w:lang w:val="en-GB"/>
              </w:rPr>
              <w:t>2018.</w:t>
            </w:r>
          </w:p>
        </w:tc>
        <w:tc>
          <w:tcPr>
            <w:tcW w:w="228" w:type="dxa"/>
            <w:shd w:val="clear" w:color="auto" w:fill="auto"/>
            <w:tcMar>
              <w:left w:w="0" w:type="dxa"/>
            </w:tcMar>
          </w:tcPr>
          <w:p w:rsidR="00CA1BD6" w:rsidRPr="009C0696" w:rsidRDefault="00CA1BD6" w:rsidP="00723435">
            <w:pPr>
              <w:pStyle w:val="Textpoznpodarou1"/>
              <w:jc w:val="both"/>
              <w:rPr>
                <w:lang w:val="en-GB"/>
              </w:rPr>
            </w:pPr>
          </w:p>
        </w:tc>
        <w:tc>
          <w:tcPr>
            <w:tcW w:w="7610" w:type="dxa"/>
            <w:shd w:val="clear" w:color="auto" w:fill="auto"/>
            <w:tcMar>
              <w:left w:w="0" w:type="dxa"/>
            </w:tcMar>
          </w:tcPr>
          <w:p w:rsidR="00CA1BD6" w:rsidRPr="009C0696" w:rsidRDefault="00DF1857" w:rsidP="00F379A9">
            <w:pPr>
              <w:rPr>
                <w:lang w:val="en-GB"/>
              </w:rPr>
            </w:pPr>
            <w:r w:rsidRPr="009C0696">
              <w:rPr>
                <w:lang w:val="en-GB"/>
              </w:rPr>
              <w:t xml:space="preserve">Year-on-year dynamics of the import prices resembled the case of export prices. The prices of import decreased by </w:t>
            </w:r>
            <w:r w:rsidR="00CA1BD6" w:rsidRPr="009C0696">
              <w:rPr>
                <w:lang w:val="en-GB"/>
              </w:rPr>
              <w:t>-0</w:t>
            </w:r>
            <w:r w:rsidRPr="009C0696">
              <w:rPr>
                <w:lang w:val="en-GB"/>
              </w:rPr>
              <w:t>.</w:t>
            </w:r>
            <w:r w:rsidR="00CA1BD6" w:rsidRPr="009C0696">
              <w:rPr>
                <w:lang w:val="en-GB"/>
              </w:rPr>
              <w:t>7%</w:t>
            </w:r>
            <w:r w:rsidRPr="009C0696">
              <w:rPr>
                <w:lang w:val="en-GB"/>
              </w:rPr>
              <w:t xml:space="preserve"> in 2018</w:t>
            </w:r>
            <w:r w:rsidR="00CA1BD6" w:rsidRPr="009C0696">
              <w:rPr>
                <w:lang w:val="en-GB"/>
              </w:rPr>
              <w:t xml:space="preserve">, </w:t>
            </w:r>
            <w:r w:rsidR="00D6670E" w:rsidRPr="009C0696">
              <w:rPr>
                <w:lang w:val="en-GB"/>
              </w:rPr>
              <w:t>which was the consequence of especially H</w:t>
            </w:r>
            <w:r w:rsidR="00CA1BD6" w:rsidRPr="009C0696">
              <w:rPr>
                <w:lang w:val="en-GB"/>
              </w:rPr>
              <w:t>1</w:t>
            </w:r>
            <w:r w:rsidR="00D6670E" w:rsidRPr="009C0696">
              <w:rPr>
                <w:lang w:val="en-GB"/>
              </w:rPr>
              <w:t xml:space="preserve">, when significant year-on-year falls occurred also due to the koruna appreciation. In the second half of the year, the prices started to grow. </w:t>
            </w:r>
            <w:r w:rsidR="00705C4B" w:rsidRPr="009C0696">
              <w:rPr>
                <w:lang w:val="en-GB"/>
              </w:rPr>
              <w:t xml:space="preserve">Prices of imported machinery and transport equipment fell last year by </w:t>
            </w:r>
            <w:r w:rsidR="00CA1BD6" w:rsidRPr="009C0696">
              <w:rPr>
                <w:lang w:val="en-GB"/>
              </w:rPr>
              <w:t>-3</w:t>
            </w:r>
            <w:r w:rsidR="00705C4B" w:rsidRPr="009C0696">
              <w:rPr>
                <w:lang w:val="en-GB"/>
              </w:rPr>
              <w:t>.</w:t>
            </w:r>
            <w:r w:rsidR="00CA1BD6" w:rsidRPr="009C0696">
              <w:rPr>
                <w:lang w:val="en-GB"/>
              </w:rPr>
              <w:t xml:space="preserve">1%, </w:t>
            </w:r>
            <w:r w:rsidR="00705C4B" w:rsidRPr="009C0696">
              <w:rPr>
                <w:lang w:val="en-GB"/>
              </w:rPr>
              <w:t xml:space="preserve">industrial consumption goods by </w:t>
            </w:r>
            <w:r w:rsidR="00CA1BD6" w:rsidRPr="009C0696">
              <w:rPr>
                <w:lang w:val="en-GB"/>
              </w:rPr>
              <w:t>-3</w:t>
            </w:r>
            <w:r w:rsidR="00705C4B" w:rsidRPr="009C0696">
              <w:rPr>
                <w:lang w:val="en-GB"/>
              </w:rPr>
              <w:t>.</w:t>
            </w:r>
            <w:r w:rsidR="00CA1BD6" w:rsidRPr="009C0696">
              <w:rPr>
                <w:lang w:val="en-GB"/>
              </w:rPr>
              <w:t xml:space="preserve">3%, </w:t>
            </w:r>
            <w:r w:rsidR="00705C4B" w:rsidRPr="009C0696">
              <w:rPr>
                <w:lang w:val="en-GB"/>
              </w:rPr>
              <w:t xml:space="preserve">food and live animals by </w:t>
            </w:r>
            <w:r w:rsidR="00CA1BD6" w:rsidRPr="009C0696">
              <w:rPr>
                <w:lang w:val="en-GB"/>
              </w:rPr>
              <w:t>-5</w:t>
            </w:r>
            <w:r w:rsidR="00705C4B" w:rsidRPr="009C0696">
              <w:rPr>
                <w:lang w:val="en-GB"/>
              </w:rPr>
              <w:t>.</w:t>
            </w:r>
            <w:r w:rsidR="00CA1BD6" w:rsidRPr="009C0696">
              <w:rPr>
                <w:lang w:val="en-GB"/>
              </w:rPr>
              <w:t>2% a</w:t>
            </w:r>
            <w:r w:rsidR="00705C4B" w:rsidRPr="009C0696">
              <w:rPr>
                <w:lang w:val="en-GB"/>
              </w:rPr>
              <w:t xml:space="preserve">nd other materials by </w:t>
            </w:r>
            <w:r w:rsidR="00BD59F1">
              <w:rPr>
                <w:lang w:val="en-GB"/>
              </w:rPr>
              <w:noBreakHyphen/>
            </w:r>
            <w:r w:rsidR="00CA1BD6" w:rsidRPr="009C0696">
              <w:rPr>
                <w:lang w:val="en-GB"/>
              </w:rPr>
              <w:t>5</w:t>
            </w:r>
            <w:r w:rsidR="00705C4B" w:rsidRPr="009C0696">
              <w:rPr>
                <w:lang w:val="en-GB"/>
              </w:rPr>
              <w:t>.</w:t>
            </w:r>
            <w:r w:rsidR="00CA1BD6" w:rsidRPr="009C0696">
              <w:rPr>
                <w:lang w:val="en-GB"/>
              </w:rPr>
              <w:t>6%</w:t>
            </w:r>
            <w:r w:rsidR="00705C4B" w:rsidRPr="009C0696">
              <w:rPr>
                <w:lang w:val="en-GB"/>
              </w:rPr>
              <w:t xml:space="preserve"> fell last year</w:t>
            </w:r>
            <w:r w:rsidR="00CA1BD6" w:rsidRPr="009C0696">
              <w:rPr>
                <w:lang w:val="en-GB"/>
              </w:rPr>
              <w:t xml:space="preserve">. </w:t>
            </w:r>
            <w:r w:rsidR="003C6C63" w:rsidRPr="009C0696">
              <w:rPr>
                <w:lang w:val="en-GB"/>
              </w:rPr>
              <w:t xml:space="preserve">Prices of mineral fuels grew markedly </w:t>
            </w:r>
            <w:r w:rsidR="00CA1BD6" w:rsidRPr="009C0696">
              <w:rPr>
                <w:lang w:val="en-GB"/>
              </w:rPr>
              <w:t>(16</w:t>
            </w:r>
            <w:r w:rsidR="003C6C63" w:rsidRPr="009C0696">
              <w:rPr>
                <w:lang w:val="en-GB"/>
              </w:rPr>
              <w:t>.</w:t>
            </w:r>
            <w:r w:rsidR="00CA1BD6" w:rsidRPr="009C0696">
              <w:rPr>
                <w:lang w:val="en-GB"/>
              </w:rPr>
              <w:t xml:space="preserve">8%). </w:t>
            </w:r>
            <w:r w:rsidR="003C6C63" w:rsidRPr="009C0696">
              <w:rPr>
                <w:lang w:val="en-GB"/>
              </w:rPr>
              <w:t xml:space="preserve">Terms of trade arrived at </w:t>
            </w:r>
            <w:r w:rsidR="00CA1BD6" w:rsidRPr="009C0696">
              <w:rPr>
                <w:lang w:val="en-GB"/>
              </w:rPr>
              <w:t>100</w:t>
            </w:r>
            <w:r w:rsidR="003C6C63" w:rsidRPr="009C0696">
              <w:rPr>
                <w:lang w:val="en-GB"/>
              </w:rPr>
              <w:t>.</w:t>
            </w:r>
            <w:r w:rsidR="00CA1BD6" w:rsidRPr="009C0696">
              <w:rPr>
                <w:lang w:val="en-GB"/>
              </w:rPr>
              <w:t>4%</w:t>
            </w:r>
            <w:r w:rsidR="003C6C63" w:rsidRPr="009C0696">
              <w:rPr>
                <w:lang w:val="en-GB"/>
              </w:rPr>
              <w:t xml:space="preserve"> in 2018</w:t>
            </w:r>
            <w:r w:rsidR="00CA1BD6" w:rsidRPr="009C0696">
              <w:rPr>
                <w:lang w:val="en-GB"/>
              </w:rPr>
              <w:t>.</w:t>
            </w:r>
            <w:r w:rsidR="003C6C63" w:rsidRPr="009C0696">
              <w:rPr>
                <w:lang w:val="en-GB"/>
              </w:rPr>
              <w:t xml:space="preserve"> Trade with machinery and transport equipment </w:t>
            </w:r>
            <w:r w:rsidR="00CA1BD6" w:rsidRPr="009C0696">
              <w:rPr>
                <w:lang w:val="en-GB"/>
              </w:rPr>
              <w:t>(101</w:t>
            </w:r>
            <w:r w:rsidR="003C6C63" w:rsidRPr="009C0696">
              <w:rPr>
                <w:lang w:val="en-GB"/>
              </w:rPr>
              <w:t>.</w:t>
            </w:r>
            <w:r w:rsidR="00CA1BD6" w:rsidRPr="009C0696">
              <w:rPr>
                <w:lang w:val="en-GB"/>
              </w:rPr>
              <w:t>4%),</w:t>
            </w:r>
            <w:r w:rsidR="00F379A9" w:rsidRPr="009C0696">
              <w:rPr>
                <w:lang w:val="en-GB"/>
              </w:rPr>
              <w:t xml:space="preserve"> industrial consumption goods </w:t>
            </w:r>
            <w:r w:rsidR="00CA1BD6" w:rsidRPr="009C0696">
              <w:rPr>
                <w:lang w:val="en-GB"/>
              </w:rPr>
              <w:t>(101</w:t>
            </w:r>
            <w:r w:rsidR="00F379A9" w:rsidRPr="009C0696">
              <w:rPr>
                <w:lang w:val="en-GB"/>
              </w:rPr>
              <w:t>.</w:t>
            </w:r>
            <w:r w:rsidR="00CA1BD6" w:rsidRPr="009C0696">
              <w:rPr>
                <w:lang w:val="en-GB"/>
              </w:rPr>
              <w:t xml:space="preserve">9%), </w:t>
            </w:r>
            <w:r w:rsidR="00F379A9" w:rsidRPr="009C0696">
              <w:rPr>
                <w:lang w:val="en-GB"/>
              </w:rPr>
              <w:t xml:space="preserve">semi-finished products </w:t>
            </w:r>
            <w:r w:rsidR="00CA1BD6" w:rsidRPr="009C0696">
              <w:rPr>
                <w:lang w:val="en-GB"/>
              </w:rPr>
              <w:t>(102</w:t>
            </w:r>
            <w:r w:rsidR="00F379A9" w:rsidRPr="009C0696">
              <w:rPr>
                <w:lang w:val="en-GB"/>
              </w:rPr>
              <w:t>.</w:t>
            </w:r>
            <w:r w:rsidR="00CA1BD6" w:rsidRPr="009C0696">
              <w:rPr>
                <w:lang w:val="en-GB"/>
              </w:rPr>
              <w:t>4%) a</w:t>
            </w:r>
            <w:r w:rsidR="00F379A9" w:rsidRPr="009C0696">
              <w:rPr>
                <w:lang w:val="en-GB"/>
              </w:rPr>
              <w:t xml:space="preserve">nd other materials </w:t>
            </w:r>
            <w:r w:rsidR="00CA1BD6" w:rsidRPr="009C0696">
              <w:rPr>
                <w:lang w:val="en-GB"/>
              </w:rPr>
              <w:t>(106</w:t>
            </w:r>
            <w:r w:rsidR="00F379A9" w:rsidRPr="009C0696">
              <w:rPr>
                <w:lang w:val="en-GB"/>
              </w:rPr>
              <w:t>.</w:t>
            </w:r>
            <w:r w:rsidR="00CA1BD6" w:rsidRPr="009C0696">
              <w:rPr>
                <w:lang w:val="en-GB"/>
              </w:rPr>
              <w:t>1%)</w:t>
            </w:r>
            <w:r w:rsidR="00EA596C" w:rsidRPr="009C0696">
              <w:rPr>
                <w:lang w:val="en-GB"/>
              </w:rPr>
              <w:t xml:space="preserve"> achieved positive terms of trade</w:t>
            </w:r>
            <w:r w:rsidR="00CA1BD6" w:rsidRPr="009C0696">
              <w:rPr>
                <w:lang w:val="en-GB"/>
              </w:rPr>
              <w:t xml:space="preserve">. </w:t>
            </w:r>
            <w:r w:rsidR="00EA596C" w:rsidRPr="009C0696">
              <w:rPr>
                <w:lang w:val="en-GB"/>
              </w:rPr>
              <w:t xml:space="preserve">On the other hand, trade with mineral fuels and grease </w:t>
            </w:r>
            <w:r w:rsidR="00CA1BD6" w:rsidRPr="009C0696">
              <w:rPr>
                <w:lang w:val="en-GB"/>
              </w:rPr>
              <w:t>(92</w:t>
            </w:r>
            <w:r w:rsidR="00EA596C" w:rsidRPr="009C0696">
              <w:rPr>
                <w:lang w:val="en-GB"/>
              </w:rPr>
              <w:t>.</w:t>
            </w:r>
            <w:r w:rsidR="00CA1BD6" w:rsidRPr="009C0696">
              <w:rPr>
                <w:lang w:val="en-GB"/>
              </w:rPr>
              <w:t>1%) a</w:t>
            </w:r>
            <w:r w:rsidR="00EA596C" w:rsidRPr="009C0696">
              <w:rPr>
                <w:lang w:val="en-GB"/>
              </w:rPr>
              <w:t xml:space="preserve">nd chemical products </w:t>
            </w:r>
            <w:r w:rsidR="00CA1BD6" w:rsidRPr="009C0696">
              <w:rPr>
                <w:lang w:val="en-GB"/>
              </w:rPr>
              <w:t>(98</w:t>
            </w:r>
            <w:r w:rsidR="00EA596C" w:rsidRPr="009C0696">
              <w:rPr>
                <w:lang w:val="en-GB"/>
              </w:rPr>
              <w:t>.</w:t>
            </w:r>
            <w:r w:rsidR="00CA1BD6" w:rsidRPr="009C0696">
              <w:rPr>
                <w:lang w:val="en-GB"/>
              </w:rPr>
              <w:t>4%)</w:t>
            </w:r>
            <w:r w:rsidR="00EA596C" w:rsidRPr="009C0696">
              <w:rPr>
                <w:lang w:val="en-GB"/>
              </w:rPr>
              <w:t xml:space="preserve"> had negative terms of trade</w:t>
            </w:r>
            <w:r w:rsidR="00CA1BD6" w:rsidRPr="009C0696">
              <w:rPr>
                <w:lang w:val="en-GB"/>
              </w:rPr>
              <w:t xml:space="preserve">.     </w:t>
            </w:r>
          </w:p>
        </w:tc>
      </w:tr>
    </w:tbl>
    <w:p w:rsidR="00CA1BD6" w:rsidRPr="009C0696" w:rsidRDefault="00CA1BD6" w:rsidP="000D3058">
      <w:pPr>
        <w:pStyle w:val="Nadpis11"/>
        <w:rPr>
          <w:lang w:val="en-GB"/>
        </w:rPr>
      </w:pPr>
    </w:p>
    <w:p w:rsidR="00CA1BD6" w:rsidRPr="009C0696" w:rsidRDefault="00CA1BD6">
      <w:pPr>
        <w:spacing w:after="0" w:line="240" w:lineRule="auto"/>
        <w:jc w:val="left"/>
        <w:rPr>
          <w:rFonts w:eastAsia="MS Gothic"/>
          <w:b/>
          <w:bCs/>
          <w:color w:val="71818C"/>
          <w:sz w:val="32"/>
          <w:szCs w:val="28"/>
          <w:lang w:val="en-GB"/>
        </w:rPr>
      </w:pPr>
      <w:r w:rsidRPr="009C0696">
        <w:rPr>
          <w:lang w:val="en-GB"/>
        </w:rPr>
        <w:br w:type="page"/>
      </w:r>
    </w:p>
    <w:p w:rsidR="00B4411A" w:rsidRPr="009C0696" w:rsidRDefault="00935BD4" w:rsidP="000D3058">
      <w:pPr>
        <w:pStyle w:val="Nadpis11"/>
        <w:rPr>
          <w:lang w:val="en-GB"/>
        </w:rPr>
      </w:pPr>
      <w:bookmarkStart w:id="11" w:name="_Toc5708394"/>
      <w:r w:rsidRPr="009C0696">
        <w:rPr>
          <w:lang w:val="en-GB"/>
        </w:rPr>
        <w:lastRenderedPageBreak/>
        <w:t>6</w:t>
      </w:r>
      <w:r w:rsidR="000D3058" w:rsidRPr="009C0696">
        <w:rPr>
          <w:lang w:val="en-GB"/>
        </w:rPr>
        <w:t xml:space="preserve">. </w:t>
      </w:r>
      <w:r w:rsidR="00DA368A" w:rsidRPr="009C0696">
        <w:rPr>
          <w:lang w:val="en-GB"/>
        </w:rPr>
        <w:t>Labour Market</w:t>
      </w:r>
      <w:bookmarkEnd w:id="11"/>
    </w:p>
    <w:tbl>
      <w:tblPr>
        <w:tblW w:w="9644" w:type="dxa"/>
        <w:tblInd w:w="-20" w:type="dxa"/>
        <w:tblCellMar>
          <w:left w:w="0" w:type="dxa"/>
          <w:right w:w="0" w:type="dxa"/>
        </w:tblCellMar>
        <w:tblLook w:val="00A0" w:firstRow="1" w:lastRow="0" w:firstColumn="1" w:lastColumn="0" w:noHBand="0" w:noVBand="0"/>
      </w:tblPr>
      <w:tblGrid>
        <w:gridCol w:w="1807"/>
        <w:gridCol w:w="227"/>
        <w:gridCol w:w="7610"/>
      </w:tblGrid>
      <w:tr w:rsidR="006D1E89" w:rsidRPr="009C0696" w:rsidTr="00B9632F">
        <w:trPr>
          <w:trHeight w:val="145"/>
        </w:trPr>
        <w:tc>
          <w:tcPr>
            <w:tcW w:w="1807" w:type="dxa"/>
            <w:shd w:val="clear" w:color="auto" w:fill="auto"/>
            <w:tcMar>
              <w:left w:w="0" w:type="dxa"/>
            </w:tcMar>
          </w:tcPr>
          <w:p w:rsidR="006D1E89" w:rsidRPr="009C0696" w:rsidRDefault="006D1E89" w:rsidP="00FF036B">
            <w:pPr>
              <w:pStyle w:val="Marginlie"/>
              <w:rPr>
                <w:lang w:val="en-GB"/>
              </w:rPr>
            </w:pPr>
            <w:r w:rsidRPr="009C0696">
              <w:rPr>
                <w:lang w:val="en-GB"/>
              </w:rPr>
              <w:t>S</w:t>
            </w:r>
            <w:r w:rsidR="00FF036B" w:rsidRPr="009C0696">
              <w:rPr>
                <w:lang w:val="en-GB"/>
              </w:rPr>
              <w:t>wift growth of employment continued already fourth year in a row. It was however slowing down in the course of the last year.</w:t>
            </w:r>
          </w:p>
        </w:tc>
        <w:tc>
          <w:tcPr>
            <w:tcW w:w="227" w:type="dxa"/>
            <w:shd w:val="clear" w:color="auto" w:fill="auto"/>
            <w:tcMar>
              <w:left w:w="0" w:type="dxa"/>
            </w:tcMar>
          </w:tcPr>
          <w:p w:rsidR="006D1E89" w:rsidRPr="009C0696" w:rsidRDefault="006D1E89" w:rsidP="00723435">
            <w:pPr>
              <w:pStyle w:val="Textpoznpodarou"/>
              <w:jc w:val="both"/>
              <w:rPr>
                <w:spacing w:val="-4"/>
                <w:lang w:val="en-GB"/>
              </w:rPr>
            </w:pPr>
          </w:p>
        </w:tc>
        <w:tc>
          <w:tcPr>
            <w:tcW w:w="7610" w:type="dxa"/>
            <w:shd w:val="clear" w:color="auto" w:fill="auto"/>
            <w:tcMar>
              <w:left w:w="0" w:type="dxa"/>
            </w:tcMar>
          </w:tcPr>
          <w:p w:rsidR="006D1E89" w:rsidRPr="00B9632F" w:rsidRDefault="00F83FF0" w:rsidP="00976378">
            <w:pPr>
              <w:spacing w:after="200"/>
              <w:rPr>
                <w:spacing w:val="-4"/>
                <w:lang w:val="en-GB"/>
              </w:rPr>
            </w:pPr>
            <w:r w:rsidRPr="00B9632F">
              <w:rPr>
                <w:spacing w:val="-4"/>
                <w:lang w:val="en-GB"/>
              </w:rPr>
              <w:t xml:space="preserve">The domestic labour market </w:t>
            </w:r>
            <w:r w:rsidR="00624E09" w:rsidRPr="00B9632F">
              <w:rPr>
                <w:spacing w:val="-4"/>
                <w:lang w:val="en-GB"/>
              </w:rPr>
              <w:t>experienced</w:t>
            </w:r>
            <w:r w:rsidRPr="00B9632F">
              <w:rPr>
                <w:spacing w:val="-4"/>
                <w:lang w:val="en-GB"/>
              </w:rPr>
              <w:t xml:space="preserve"> a peak </w:t>
            </w:r>
            <w:r w:rsidR="00624E09" w:rsidRPr="00B9632F">
              <w:rPr>
                <w:spacing w:val="-4"/>
                <w:lang w:val="en-GB"/>
              </w:rPr>
              <w:t>period</w:t>
            </w:r>
            <w:r w:rsidRPr="00B9632F">
              <w:rPr>
                <w:spacing w:val="-4"/>
                <w:lang w:val="en-GB"/>
              </w:rPr>
              <w:t xml:space="preserve"> in </w:t>
            </w:r>
            <w:r w:rsidR="006D1E89" w:rsidRPr="00B9632F">
              <w:rPr>
                <w:spacing w:val="-4"/>
                <w:lang w:val="en-GB"/>
              </w:rPr>
              <w:t xml:space="preserve">2018. </w:t>
            </w:r>
            <w:r w:rsidRPr="00B9632F">
              <w:rPr>
                <w:spacing w:val="-4"/>
                <w:lang w:val="en-GB"/>
              </w:rPr>
              <w:t>Number of workers</w:t>
            </w:r>
            <w:r w:rsidR="006D1E89" w:rsidRPr="00B9632F">
              <w:rPr>
                <w:rStyle w:val="Znakapoznpodarou"/>
                <w:color w:val="0D0D0D" w:themeColor="text1" w:themeTint="F2"/>
                <w:spacing w:val="-4"/>
                <w:lang w:val="en-GB"/>
              </w:rPr>
              <w:footnoteReference w:id="45"/>
            </w:r>
            <w:r w:rsidR="006D1E89" w:rsidRPr="00B9632F">
              <w:rPr>
                <w:spacing w:val="-4"/>
                <w:lang w:val="en-GB"/>
              </w:rPr>
              <w:t xml:space="preserve"> </w:t>
            </w:r>
            <w:r w:rsidRPr="00B9632F">
              <w:rPr>
                <w:spacing w:val="-4"/>
                <w:lang w:val="en-GB"/>
              </w:rPr>
              <w:t xml:space="preserve">grew by </w:t>
            </w:r>
            <w:r w:rsidR="006D1E89" w:rsidRPr="00B9632F">
              <w:rPr>
                <w:spacing w:val="-4"/>
                <w:lang w:val="en-GB"/>
              </w:rPr>
              <w:t>1</w:t>
            </w:r>
            <w:r w:rsidRPr="00B9632F">
              <w:rPr>
                <w:spacing w:val="-4"/>
                <w:lang w:val="en-GB"/>
              </w:rPr>
              <w:t>.</w:t>
            </w:r>
            <w:r w:rsidR="006D1E89" w:rsidRPr="00B9632F">
              <w:rPr>
                <w:spacing w:val="-4"/>
                <w:lang w:val="en-GB"/>
              </w:rPr>
              <w:t>6%</w:t>
            </w:r>
            <w:r w:rsidRPr="00B9632F">
              <w:rPr>
                <w:spacing w:val="-4"/>
                <w:lang w:val="en-GB"/>
              </w:rPr>
              <w:t xml:space="preserve"> compared to year 2017</w:t>
            </w:r>
            <w:r w:rsidR="006D1E89" w:rsidRPr="00B9632F">
              <w:rPr>
                <w:spacing w:val="-4"/>
                <w:lang w:val="en-GB"/>
              </w:rPr>
              <w:t xml:space="preserve">, </w:t>
            </w:r>
            <w:r w:rsidRPr="00B9632F">
              <w:rPr>
                <w:spacing w:val="-4"/>
                <w:lang w:val="en-GB"/>
              </w:rPr>
              <w:t xml:space="preserve">at the same time it grew by similar rate of growth also in the </w:t>
            </w:r>
            <w:r w:rsidR="00624E09" w:rsidRPr="00B9632F">
              <w:rPr>
                <w:spacing w:val="-4"/>
                <w:lang w:val="en-GB"/>
              </w:rPr>
              <w:t>previous</w:t>
            </w:r>
            <w:r w:rsidRPr="00B9632F">
              <w:rPr>
                <w:spacing w:val="-4"/>
                <w:lang w:val="en-GB"/>
              </w:rPr>
              <w:t xml:space="preserve"> three </w:t>
            </w:r>
            <w:r w:rsidR="00624E09" w:rsidRPr="00B9632F">
              <w:rPr>
                <w:spacing w:val="-4"/>
                <w:lang w:val="en-GB"/>
              </w:rPr>
              <w:t>years</w:t>
            </w:r>
            <w:r w:rsidRPr="00B9632F">
              <w:rPr>
                <w:spacing w:val="-4"/>
                <w:lang w:val="en-GB"/>
              </w:rPr>
              <w:t xml:space="preserve">. However, a reduction of pace was apparent in the course of the last year. While the total employment </w:t>
            </w:r>
            <w:r w:rsidR="00624E09" w:rsidRPr="00B9632F">
              <w:rPr>
                <w:spacing w:val="-4"/>
                <w:lang w:val="en-GB"/>
              </w:rPr>
              <w:t>strengthened</w:t>
            </w:r>
            <w:r w:rsidRPr="00B9632F">
              <w:rPr>
                <w:spacing w:val="-4"/>
                <w:lang w:val="en-GB"/>
              </w:rPr>
              <w:t xml:space="preserve"> by </w:t>
            </w:r>
            <w:r w:rsidR="00624E09" w:rsidRPr="00B9632F">
              <w:rPr>
                <w:spacing w:val="-4"/>
                <w:lang w:val="en-GB"/>
              </w:rPr>
              <w:t>0.6% in Q1</w:t>
            </w:r>
            <w:r w:rsidR="00363817" w:rsidRPr="00B9632F">
              <w:rPr>
                <w:spacing w:val="-4"/>
                <w:lang w:val="en-GB"/>
              </w:rPr>
              <w:t xml:space="preserve"> </w:t>
            </w:r>
            <w:r w:rsidR="00624E09" w:rsidRPr="00B9632F">
              <w:rPr>
                <w:spacing w:val="-4"/>
                <w:lang w:val="en-GB"/>
              </w:rPr>
              <w:t xml:space="preserve">and </w:t>
            </w:r>
            <w:r w:rsidR="006D1E89" w:rsidRPr="00B9632F">
              <w:rPr>
                <w:spacing w:val="-4"/>
                <w:lang w:val="en-GB"/>
              </w:rPr>
              <w:t>2</w:t>
            </w:r>
            <w:r w:rsidR="00624E09" w:rsidRPr="00B9632F">
              <w:rPr>
                <w:spacing w:val="-4"/>
                <w:lang w:val="en-GB"/>
              </w:rPr>
              <w:t xml:space="preserve"> quarter-on-quarter, it already stagnated in Q</w:t>
            </w:r>
            <w:r w:rsidR="006D1E89" w:rsidRPr="00B9632F">
              <w:rPr>
                <w:spacing w:val="-4"/>
                <w:lang w:val="en-GB"/>
              </w:rPr>
              <w:t>3</w:t>
            </w:r>
            <w:r w:rsidR="00624E09" w:rsidRPr="00B9632F">
              <w:rPr>
                <w:spacing w:val="-4"/>
                <w:lang w:val="en-GB"/>
              </w:rPr>
              <w:t xml:space="preserve"> and reached a growth of 0.4% in the remaining part of the year. </w:t>
            </w:r>
            <w:r w:rsidR="00976378" w:rsidRPr="00B9632F">
              <w:rPr>
                <w:spacing w:val="-4"/>
                <w:lang w:val="en-GB"/>
              </w:rPr>
              <w:t xml:space="preserve">Under the influence of contraction of the economy in the CR and EU as well as growing uncertainties on the foreign markets, </w:t>
            </w:r>
            <w:r w:rsidR="00363817" w:rsidRPr="00B9632F">
              <w:rPr>
                <w:spacing w:val="-4"/>
                <w:lang w:val="en-GB"/>
              </w:rPr>
              <w:t xml:space="preserve">businesses gradually corrected their optimistic expectations of further employment growth from the beginning of the year 2018 </w:t>
            </w:r>
            <w:r w:rsidR="006D1E89" w:rsidRPr="00B9632F">
              <w:rPr>
                <w:spacing w:val="-4"/>
                <w:lang w:val="en-GB"/>
              </w:rPr>
              <w:t>– t</w:t>
            </w:r>
            <w:r w:rsidR="00363817" w:rsidRPr="00B9632F">
              <w:rPr>
                <w:spacing w:val="-4"/>
                <w:lang w:val="en-GB"/>
              </w:rPr>
              <w:t>his was valid especially for industry and selected services</w:t>
            </w:r>
            <w:r w:rsidR="006D1E89" w:rsidRPr="00B9632F">
              <w:rPr>
                <w:spacing w:val="-4"/>
                <w:lang w:val="en-GB"/>
              </w:rPr>
              <w:t xml:space="preserve">, </w:t>
            </w:r>
            <w:r w:rsidR="00D671CD" w:rsidRPr="00B9632F">
              <w:rPr>
                <w:spacing w:val="-4"/>
                <w:lang w:val="en-GB"/>
              </w:rPr>
              <w:t>the further strengthening positive outlooks in construction went in contrast in the opposite direction</w:t>
            </w:r>
            <w:r w:rsidR="006D1E89" w:rsidRPr="00B9632F">
              <w:rPr>
                <w:rStyle w:val="Znakapoznpodarou"/>
                <w:spacing w:val="-4"/>
                <w:lang w:val="en-GB"/>
              </w:rPr>
              <w:footnoteReference w:id="46"/>
            </w:r>
            <w:r w:rsidR="006D1E89" w:rsidRPr="00B9632F">
              <w:rPr>
                <w:spacing w:val="-4"/>
                <w:lang w:val="en-GB"/>
              </w:rPr>
              <w:t xml:space="preserve">. </w:t>
            </w:r>
            <w:r w:rsidR="00D671CD" w:rsidRPr="00B9632F">
              <w:rPr>
                <w:spacing w:val="-4"/>
                <w:lang w:val="en-GB"/>
              </w:rPr>
              <w:t xml:space="preserve">It could have contributed to a moderate </w:t>
            </w:r>
            <w:r w:rsidR="00363817" w:rsidRPr="00B9632F">
              <w:rPr>
                <w:spacing w:val="-4"/>
                <w:lang w:val="en-GB"/>
              </w:rPr>
              <w:t>easing of a strong tension on the labour market stemming from the lack of easily accessible resources of available labour force</w:t>
            </w:r>
            <w:r w:rsidR="006D1E89" w:rsidRPr="00B9632F">
              <w:rPr>
                <w:rStyle w:val="Znakapoznpodarou"/>
                <w:spacing w:val="-4"/>
                <w:lang w:val="en-GB"/>
              </w:rPr>
              <w:footnoteReference w:id="47"/>
            </w:r>
            <w:r w:rsidR="006D1E89" w:rsidRPr="00B9632F">
              <w:rPr>
                <w:spacing w:val="-4"/>
                <w:lang w:val="en-GB"/>
              </w:rPr>
              <w:t>.</w:t>
            </w:r>
          </w:p>
        </w:tc>
      </w:tr>
      <w:tr w:rsidR="006D1E89" w:rsidRPr="009C0696" w:rsidTr="00A91AF6">
        <w:trPr>
          <w:trHeight w:val="98"/>
        </w:trPr>
        <w:tc>
          <w:tcPr>
            <w:tcW w:w="1807" w:type="dxa"/>
            <w:vMerge w:val="restart"/>
            <w:shd w:val="clear" w:color="auto" w:fill="auto"/>
            <w:tcMar>
              <w:left w:w="0" w:type="dxa"/>
            </w:tcMar>
          </w:tcPr>
          <w:p w:rsidR="006D1E89" w:rsidRPr="009C0696" w:rsidRDefault="006D1E89" w:rsidP="00723435">
            <w:pPr>
              <w:pStyle w:val="Marginlie"/>
              <w:rPr>
                <w:lang w:val="en-GB"/>
              </w:rPr>
            </w:pPr>
          </w:p>
        </w:tc>
        <w:tc>
          <w:tcPr>
            <w:tcW w:w="227" w:type="dxa"/>
            <w:vMerge w:val="restart"/>
            <w:shd w:val="clear" w:color="auto" w:fill="auto"/>
            <w:tcMar>
              <w:left w:w="0" w:type="dxa"/>
            </w:tcMar>
          </w:tcPr>
          <w:p w:rsidR="006D1E89" w:rsidRPr="009C0696" w:rsidRDefault="006D1E89" w:rsidP="00723435">
            <w:pPr>
              <w:pStyle w:val="Textpoznpodarou"/>
              <w:jc w:val="both"/>
              <w:rPr>
                <w:spacing w:val="-4"/>
                <w:lang w:val="en-GB"/>
              </w:rPr>
            </w:pPr>
          </w:p>
        </w:tc>
        <w:tc>
          <w:tcPr>
            <w:tcW w:w="7610" w:type="dxa"/>
            <w:shd w:val="clear" w:color="auto" w:fill="auto"/>
            <w:tcMar>
              <w:left w:w="0" w:type="dxa"/>
            </w:tcMar>
          </w:tcPr>
          <w:p w:rsidR="006D1E89" w:rsidRPr="009F7FC7" w:rsidRDefault="00DA368A" w:rsidP="009F7FC7">
            <w:pPr>
              <w:spacing w:after="40" w:line="240" w:lineRule="auto"/>
              <w:jc w:val="left"/>
              <w:rPr>
                <w:spacing w:val="-2"/>
                <w:szCs w:val="20"/>
                <w:lang w:val="en-GB"/>
              </w:rPr>
            </w:pPr>
            <w:r w:rsidRPr="009F7FC7">
              <w:rPr>
                <w:rFonts w:cs="Arial"/>
                <w:b/>
                <w:bCs/>
                <w:color w:val="000000"/>
                <w:szCs w:val="20"/>
                <w:lang w:val="en-GB"/>
              </w:rPr>
              <w:t xml:space="preserve">Chart </w:t>
            </w:r>
            <w:r w:rsidR="00E378B1" w:rsidRPr="009F7FC7">
              <w:rPr>
                <w:rFonts w:cs="Arial"/>
                <w:b/>
                <w:bCs/>
                <w:color w:val="000000"/>
                <w:szCs w:val="20"/>
                <w:lang w:val="en-GB"/>
              </w:rPr>
              <w:t>14</w:t>
            </w:r>
            <w:r w:rsidR="006D1E89" w:rsidRPr="009F7FC7">
              <w:rPr>
                <w:rFonts w:cs="Arial"/>
                <w:b/>
                <w:bCs/>
                <w:color w:val="000000"/>
                <w:szCs w:val="20"/>
                <w:lang w:val="en-GB"/>
              </w:rPr>
              <w:t xml:space="preserve">  </w:t>
            </w:r>
            <w:r w:rsidRPr="009F7FC7">
              <w:rPr>
                <w:rFonts w:cs="Arial"/>
                <w:b/>
                <w:bCs/>
                <w:color w:val="000000"/>
                <w:szCs w:val="20"/>
                <w:lang w:val="en-GB"/>
              </w:rPr>
              <w:t xml:space="preserve">Total employment </w:t>
            </w:r>
            <w:r w:rsidR="006D1E89" w:rsidRPr="009F7FC7">
              <w:rPr>
                <w:szCs w:val="20"/>
                <w:lang w:val="en-GB" w:eastAsia="en-US"/>
              </w:rPr>
              <w:t>(</w:t>
            </w:r>
            <w:r w:rsidRPr="009F7FC7">
              <w:rPr>
                <w:szCs w:val="20"/>
                <w:lang w:val="en-GB" w:eastAsia="en-US"/>
              </w:rPr>
              <w:t xml:space="preserve">year-on-year in </w:t>
            </w:r>
            <w:r w:rsidR="006D1E89" w:rsidRPr="009F7FC7">
              <w:rPr>
                <w:bCs/>
                <w:spacing w:val="-2"/>
                <w:szCs w:val="20"/>
                <w:lang w:val="en-GB"/>
              </w:rPr>
              <w:t xml:space="preserve">%) </w:t>
            </w:r>
            <w:r w:rsidR="006D1E89" w:rsidRPr="009F7FC7">
              <w:rPr>
                <w:b/>
                <w:bCs/>
                <w:spacing w:val="-2"/>
                <w:szCs w:val="20"/>
                <w:lang w:val="en-GB"/>
              </w:rPr>
              <w:t>a</w:t>
            </w:r>
            <w:r w:rsidRPr="009F7FC7">
              <w:rPr>
                <w:b/>
                <w:bCs/>
                <w:spacing w:val="-2"/>
                <w:szCs w:val="20"/>
                <w:lang w:val="en-GB"/>
              </w:rPr>
              <w:t xml:space="preserve">nd </w:t>
            </w:r>
            <w:r w:rsidR="0089708C" w:rsidRPr="009F7FC7">
              <w:rPr>
                <w:b/>
                <w:bCs/>
                <w:spacing w:val="-2"/>
                <w:szCs w:val="20"/>
                <w:lang w:val="en-GB"/>
              </w:rPr>
              <w:t xml:space="preserve">contributions of main branches to year-on-year employment change </w:t>
            </w:r>
            <w:r w:rsidR="006D1E89" w:rsidRPr="009F7FC7">
              <w:rPr>
                <w:bCs/>
                <w:spacing w:val="-2"/>
                <w:szCs w:val="20"/>
                <w:lang w:val="en-GB"/>
              </w:rPr>
              <w:t>(</w:t>
            </w:r>
            <w:r w:rsidR="0050387A" w:rsidRPr="009F7FC7">
              <w:rPr>
                <w:bCs/>
                <w:spacing w:val="-2"/>
                <w:szCs w:val="20"/>
                <w:lang w:val="en-GB"/>
              </w:rPr>
              <w:t>in percentage points</w:t>
            </w:r>
            <w:r w:rsidR="006D1E89" w:rsidRPr="009F7FC7">
              <w:rPr>
                <w:bCs/>
                <w:spacing w:val="-2"/>
                <w:szCs w:val="20"/>
                <w:lang w:val="en-GB"/>
              </w:rPr>
              <w:t>)</w:t>
            </w:r>
          </w:p>
        </w:tc>
      </w:tr>
      <w:tr w:rsidR="006D1E89" w:rsidRPr="009C0696" w:rsidTr="00A91AF6">
        <w:tblPrEx>
          <w:tblCellMar>
            <w:left w:w="70" w:type="dxa"/>
            <w:right w:w="70" w:type="dxa"/>
          </w:tblCellMar>
        </w:tblPrEx>
        <w:trPr>
          <w:trHeight w:val="96"/>
        </w:trPr>
        <w:tc>
          <w:tcPr>
            <w:tcW w:w="1807" w:type="dxa"/>
            <w:vMerge/>
            <w:shd w:val="clear" w:color="auto" w:fill="auto"/>
          </w:tcPr>
          <w:p w:rsidR="006D1E89" w:rsidRPr="009C0696" w:rsidRDefault="006D1E89" w:rsidP="00723435">
            <w:pPr>
              <w:pStyle w:val="Marginlie"/>
              <w:rPr>
                <w:lang w:val="en-GB"/>
              </w:rPr>
            </w:pPr>
          </w:p>
        </w:tc>
        <w:tc>
          <w:tcPr>
            <w:tcW w:w="227" w:type="dxa"/>
            <w:vMerge/>
            <w:shd w:val="clear" w:color="auto" w:fill="auto"/>
          </w:tcPr>
          <w:p w:rsidR="006D1E89" w:rsidRPr="009C0696" w:rsidRDefault="006D1E89" w:rsidP="00723435">
            <w:pPr>
              <w:pStyle w:val="Textpoznpodarou"/>
              <w:jc w:val="both"/>
              <w:rPr>
                <w:spacing w:val="-4"/>
                <w:lang w:val="en-GB"/>
              </w:rPr>
            </w:pPr>
          </w:p>
        </w:tc>
        <w:tc>
          <w:tcPr>
            <w:tcW w:w="7610" w:type="dxa"/>
            <w:shd w:val="clear" w:color="auto" w:fill="auto"/>
          </w:tcPr>
          <w:p w:rsidR="006D1E89" w:rsidRPr="009C0696" w:rsidRDefault="00A91AF6" w:rsidP="00723435">
            <w:pPr>
              <w:spacing w:after="40" w:line="240" w:lineRule="auto"/>
              <w:rPr>
                <w:spacing w:val="-2"/>
                <w:lang w:val="en-GB"/>
              </w:rPr>
            </w:pPr>
            <w:r>
              <w:rPr>
                <w:noProof/>
              </w:rPr>
              <w:drawing>
                <wp:inline distT="0" distB="0" distL="0" distR="0" wp14:anchorId="10ACF8F1" wp14:editId="571BA3E3">
                  <wp:extent cx="4741598" cy="3547811"/>
                  <wp:effectExtent l="0" t="0" r="1905" b="0"/>
                  <wp:docPr id="3"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6D1E89" w:rsidRPr="009C0696" w:rsidTr="00B9632F">
        <w:trPr>
          <w:trHeight w:val="96"/>
        </w:trPr>
        <w:tc>
          <w:tcPr>
            <w:tcW w:w="1807" w:type="dxa"/>
            <w:vMerge/>
            <w:shd w:val="clear" w:color="auto" w:fill="auto"/>
            <w:tcMar>
              <w:left w:w="0" w:type="dxa"/>
            </w:tcMar>
          </w:tcPr>
          <w:p w:rsidR="006D1E89" w:rsidRPr="009C0696" w:rsidRDefault="006D1E89" w:rsidP="00723435">
            <w:pPr>
              <w:pStyle w:val="Marginlie"/>
              <w:rPr>
                <w:lang w:val="en-GB"/>
              </w:rPr>
            </w:pPr>
          </w:p>
        </w:tc>
        <w:tc>
          <w:tcPr>
            <w:tcW w:w="227" w:type="dxa"/>
            <w:vMerge/>
            <w:shd w:val="clear" w:color="auto" w:fill="auto"/>
            <w:tcMar>
              <w:left w:w="0" w:type="dxa"/>
            </w:tcMar>
          </w:tcPr>
          <w:p w:rsidR="006D1E89" w:rsidRPr="009C0696" w:rsidRDefault="006D1E89" w:rsidP="00723435">
            <w:pPr>
              <w:pStyle w:val="Textpoznpodarou"/>
              <w:jc w:val="both"/>
              <w:rPr>
                <w:spacing w:val="-4"/>
                <w:lang w:val="en-GB"/>
              </w:rPr>
            </w:pPr>
          </w:p>
        </w:tc>
        <w:tc>
          <w:tcPr>
            <w:tcW w:w="7610" w:type="dxa"/>
            <w:shd w:val="clear" w:color="auto" w:fill="auto"/>
            <w:tcMar>
              <w:left w:w="0" w:type="dxa"/>
            </w:tcMar>
          </w:tcPr>
          <w:p w:rsidR="00F57E16" w:rsidRPr="009C0696" w:rsidRDefault="006D1E89" w:rsidP="00CE69DA">
            <w:pPr>
              <w:spacing w:after="0" w:line="240" w:lineRule="auto"/>
              <w:rPr>
                <w:rFonts w:cs="Arial"/>
                <w:sz w:val="14"/>
                <w:szCs w:val="14"/>
                <w:lang w:val="en-GB"/>
              </w:rPr>
            </w:pPr>
            <w:r w:rsidRPr="009C0696">
              <w:rPr>
                <w:rFonts w:cs="Arial"/>
                <w:sz w:val="14"/>
                <w:szCs w:val="14"/>
                <w:lang w:val="en-GB"/>
              </w:rPr>
              <w:t>*</w:t>
            </w:r>
            <w:r w:rsidR="00F57E16" w:rsidRPr="009C0696">
              <w:rPr>
                <w:rFonts w:cs="Arial"/>
                <w:sz w:val="14"/>
                <w:szCs w:val="14"/>
                <w:lang w:val="en-GB"/>
              </w:rPr>
              <w:t>Includes branches</w:t>
            </w:r>
            <w:r w:rsidRPr="009C0696">
              <w:rPr>
                <w:rFonts w:cs="Arial"/>
                <w:sz w:val="14"/>
                <w:szCs w:val="14"/>
                <w:lang w:val="en-GB"/>
              </w:rPr>
              <w:t xml:space="preserve">: </w:t>
            </w:r>
            <w:r w:rsidR="00F57E16" w:rsidRPr="009C0696">
              <w:rPr>
                <w:rFonts w:cs="Arial"/>
                <w:sz w:val="14"/>
                <w:szCs w:val="14"/>
                <w:lang w:val="en-GB"/>
              </w:rPr>
              <w:t>Mining and energetics, Financial and insurance activities</w:t>
            </w:r>
            <w:r w:rsidRPr="009C0696">
              <w:rPr>
                <w:rFonts w:cs="Arial"/>
                <w:sz w:val="14"/>
                <w:szCs w:val="14"/>
                <w:lang w:val="en-GB"/>
              </w:rPr>
              <w:t xml:space="preserve">, </w:t>
            </w:r>
            <w:r w:rsidR="00F57E16" w:rsidRPr="009C0696">
              <w:rPr>
                <w:rFonts w:cs="Arial"/>
                <w:sz w:val="14"/>
                <w:szCs w:val="14"/>
                <w:lang w:val="en-GB"/>
              </w:rPr>
              <w:t xml:space="preserve">Real estate activities, Culture, amusement and recreation activities, Other services. </w:t>
            </w:r>
            <w:r w:rsidRPr="009C0696">
              <w:rPr>
                <w:rFonts w:cs="Arial"/>
                <w:sz w:val="14"/>
                <w:szCs w:val="14"/>
                <w:lang w:val="en-GB"/>
              </w:rPr>
              <w:t xml:space="preserve">                                                                          </w:t>
            </w:r>
            <w:r w:rsidR="00CE69DA" w:rsidRPr="009C0696">
              <w:rPr>
                <w:rFonts w:cs="Arial"/>
                <w:sz w:val="14"/>
                <w:szCs w:val="14"/>
                <w:lang w:val="en-GB"/>
              </w:rPr>
              <w:t>Source</w:t>
            </w:r>
            <w:r w:rsidRPr="009C0696">
              <w:rPr>
                <w:rFonts w:cs="Arial"/>
                <w:sz w:val="14"/>
                <w:szCs w:val="14"/>
                <w:lang w:val="en-GB"/>
              </w:rPr>
              <w:t xml:space="preserve">: </w:t>
            </w:r>
            <w:r w:rsidR="00CE69DA" w:rsidRPr="009C0696">
              <w:rPr>
                <w:rFonts w:cs="Arial"/>
                <w:sz w:val="14"/>
                <w:szCs w:val="14"/>
                <w:lang w:val="en-GB"/>
              </w:rPr>
              <w:t>CZSO</w:t>
            </w:r>
            <w:r w:rsidRPr="009C0696">
              <w:rPr>
                <w:rFonts w:cs="Arial"/>
                <w:sz w:val="14"/>
                <w:szCs w:val="14"/>
                <w:lang w:val="en-GB"/>
              </w:rPr>
              <w:t xml:space="preserve"> (</w:t>
            </w:r>
            <w:r w:rsidR="00CE69DA" w:rsidRPr="009C0696">
              <w:rPr>
                <w:rFonts w:cs="Arial"/>
                <w:sz w:val="14"/>
                <w:szCs w:val="14"/>
                <w:lang w:val="en-GB"/>
              </w:rPr>
              <w:t>national accounts)</w:t>
            </w:r>
          </w:p>
          <w:p w:rsidR="00E161D9" w:rsidRPr="009C0696" w:rsidRDefault="00E161D9" w:rsidP="00A91AF6">
            <w:pPr>
              <w:spacing w:after="0" w:line="240" w:lineRule="auto"/>
              <w:rPr>
                <w:spacing w:val="-2"/>
                <w:lang w:val="en-GB"/>
              </w:rPr>
            </w:pPr>
          </w:p>
        </w:tc>
      </w:tr>
      <w:tr w:rsidR="00B9632F" w:rsidRPr="009C0696" w:rsidTr="00B9632F">
        <w:trPr>
          <w:trHeight w:val="145"/>
        </w:trPr>
        <w:tc>
          <w:tcPr>
            <w:tcW w:w="1807" w:type="dxa"/>
            <w:shd w:val="clear" w:color="auto" w:fill="auto"/>
            <w:tcMar>
              <w:left w:w="0" w:type="dxa"/>
            </w:tcMar>
          </w:tcPr>
          <w:p w:rsidR="00B9632F" w:rsidRPr="00B9632F" w:rsidRDefault="00B9632F" w:rsidP="00B9632F">
            <w:pPr>
              <w:pStyle w:val="Marginlie"/>
              <w:rPr>
                <w:spacing w:val="-3"/>
                <w:lang w:val="en-GB"/>
              </w:rPr>
            </w:pPr>
            <w:r w:rsidRPr="00B9632F">
              <w:rPr>
                <w:spacing w:val="-3"/>
                <w:lang w:val="en-GB"/>
              </w:rPr>
              <w:t>Employment increased last year mostly due to the higher engagement of the economically inactive persons and growing foreign migration last year.</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00"/>
              <w:rPr>
                <w:spacing w:val="-2"/>
                <w:lang w:val="en-GB"/>
              </w:rPr>
            </w:pPr>
            <w:r>
              <w:rPr>
                <w:spacing w:val="-2"/>
                <w:lang w:val="en-GB"/>
              </w:rPr>
              <w:t xml:space="preserve">Almost </w:t>
            </w:r>
            <w:r w:rsidRPr="009C0696">
              <w:rPr>
                <w:spacing w:val="-2"/>
                <w:lang w:val="en-GB"/>
              </w:rPr>
              <w:t xml:space="preserve">5.45 mil persons </w:t>
            </w:r>
            <w:proofErr w:type="gramStart"/>
            <w:r w:rsidRPr="009C0696">
              <w:rPr>
                <w:spacing w:val="-2"/>
                <w:lang w:val="en-GB"/>
              </w:rPr>
              <w:t>were employed</w:t>
            </w:r>
            <w:proofErr w:type="gramEnd"/>
            <w:r w:rsidRPr="009C0696">
              <w:rPr>
                <w:spacing w:val="-2"/>
                <w:lang w:val="en-GB"/>
              </w:rPr>
              <w:t xml:space="preserve"> in the CR in Q4 2018, the most in the contemporary history. Given the fact, that the levels of unemployed persons did not change markedly during the last year, mainly the higher engagement of the formerly economically inactive persons and further also the growing foreign migration contributed to the year-on-year growth of employment (+83 thousand) last year</w:t>
            </w:r>
            <w:r w:rsidRPr="009C0696">
              <w:rPr>
                <w:rStyle w:val="Znakapoznpodarou"/>
                <w:spacing w:val="-2"/>
                <w:lang w:val="en-GB"/>
              </w:rPr>
              <w:footnoteReference w:id="48"/>
            </w:r>
            <w:r w:rsidRPr="009C0696">
              <w:rPr>
                <w:spacing w:val="-2"/>
                <w:lang w:val="en-GB"/>
              </w:rPr>
              <w:t xml:space="preserve">. Important </w:t>
            </w:r>
            <w:r w:rsidRPr="009C0696">
              <w:rPr>
                <w:spacing w:val="-2"/>
                <w:lang w:val="en-GB"/>
              </w:rPr>
              <w:lastRenderedPageBreak/>
              <w:t xml:space="preserve">structural changes continued – people from the </w:t>
            </w:r>
            <w:r w:rsidR="00BE6F74">
              <w:rPr>
                <w:spacing w:val="-2"/>
                <w:lang w:val="en-GB"/>
              </w:rPr>
              <w:t>strong population cohorts</w:t>
            </w:r>
            <w:r w:rsidRPr="009C0696">
              <w:rPr>
                <w:spacing w:val="-2"/>
                <w:lang w:val="en-GB"/>
              </w:rPr>
              <w:t xml:space="preserve"> </w:t>
            </w:r>
            <w:r w:rsidR="00BE6F74">
              <w:rPr>
                <w:spacing w:val="-2"/>
                <w:lang w:val="en-GB"/>
              </w:rPr>
              <w:t>(form</w:t>
            </w:r>
            <w:r w:rsidRPr="009C0696">
              <w:rPr>
                <w:spacing w:val="-2"/>
                <w:lang w:val="en-GB"/>
              </w:rPr>
              <w:t xml:space="preserve"> the 70s</w:t>
            </w:r>
            <w:r w:rsidR="00BE6F74">
              <w:rPr>
                <w:spacing w:val="-2"/>
                <w:lang w:val="en-GB"/>
              </w:rPr>
              <w:t>)</w:t>
            </w:r>
            <w:r w:rsidRPr="009C0696">
              <w:rPr>
                <w:spacing w:val="-2"/>
                <w:lang w:val="en-GB"/>
              </w:rPr>
              <w:t xml:space="preserve"> were moving into the age with the largest rate of economic participation. Decline of the number of employed in the youngest age groups was fully offset by higher activity of persons close to the end of the productive age due to the effect of lengthening</w:t>
            </w:r>
            <w:r w:rsidR="00221DEA">
              <w:rPr>
                <w:spacing w:val="-2"/>
                <w:lang w:val="en-GB"/>
              </w:rPr>
              <w:t xml:space="preserve"> both legal and real</w:t>
            </w:r>
            <w:r w:rsidRPr="009C0696">
              <w:rPr>
                <w:spacing w:val="-2"/>
                <w:lang w:val="en-GB"/>
              </w:rPr>
              <w:t xml:space="preserve"> age of retirement.  </w:t>
            </w:r>
          </w:p>
        </w:tc>
      </w:tr>
      <w:tr w:rsidR="00B9632F" w:rsidRPr="009C0696" w:rsidTr="00B9632F">
        <w:trPr>
          <w:trHeight w:val="145"/>
        </w:trPr>
        <w:tc>
          <w:tcPr>
            <w:tcW w:w="1807" w:type="dxa"/>
            <w:shd w:val="clear" w:color="auto" w:fill="auto"/>
            <w:tcMar>
              <w:left w:w="0" w:type="dxa"/>
            </w:tcMar>
          </w:tcPr>
          <w:p w:rsidR="00B9632F" w:rsidRPr="009C0696" w:rsidRDefault="00B9632F" w:rsidP="00B9632F">
            <w:pPr>
              <w:pStyle w:val="Marginlie"/>
              <w:rPr>
                <w:spacing w:val="-3"/>
                <w:lang w:val="en-GB"/>
              </w:rPr>
            </w:pPr>
            <w:r w:rsidRPr="009C0696">
              <w:rPr>
                <w:spacing w:val="-3"/>
                <w:lang w:val="en-GB"/>
              </w:rPr>
              <w:t>Mostly employees contributed to the year-on-year growth of the number of workers. Among branches, the services thrived, on the contrary employment still was not rising</w:t>
            </w:r>
            <w:r>
              <w:rPr>
                <w:spacing w:val="-3"/>
                <w:lang w:val="en-GB"/>
              </w:rPr>
              <w:t xml:space="preserve"> </w:t>
            </w:r>
            <w:r w:rsidRPr="009C0696">
              <w:rPr>
                <w:spacing w:val="-3"/>
                <w:lang w:val="en-GB"/>
              </w:rPr>
              <w:t xml:space="preserve">in construction.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20"/>
              <w:rPr>
                <w:rFonts w:cs="Arial"/>
                <w:color w:val="0D0D0D" w:themeColor="text1" w:themeTint="F2"/>
                <w:spacing w:val="-2"/>
                <w:lang w:val="en-GB"/>
              </w:rPr>
            </w:pPr>
            <w:r w:rsidRPr="009C0696">
              <w:rPr>
                <w:spacing w:val="-2"/>
                <w:lang w:val="en-GB"/>
              </w:rPr>
              <w:t xml:space="preserve">Mainly employees contributed to the growth of the total employment in 2018. Number of self-employed was growing for the third year in a row, but only by a slow pace </w:t>
            </w:r>
            <w:r w:rsidRPr="009C0696">
              <w:rPr>
                <w:rFonts w:cs="Arial"/>
                <w:color w:val="0D0D0D" w:themeColor="text1" w:themeTint="F2"/>
                <w:spacing w:val="-2"/>
                <w:lang w:val="en-GB"/>
              </w:rPr>
              <w:t>(by 0.4% last year)</w:t>
            </w:r>
            <w:r w:rsidRPr="009C0696">
              <w:rPr>
                <w:rStyle w:val="Znakapoznpodarou"/>
                <w:color w:val="0D0D0D" w:themeColor="text1" w:themeTint="F2"/>
                <w:spacing w:val="-2"/>
                <w:lang w:val="en-GB"/>
              </w:rPr>
              <w:footnoteReference w:id="49"/>
            </w:r>
            <w:r w:rsidRPr="009C0696">
              <w:rPr>
                <w:rFonts w:cs="Arial"/>
                <w:color w:val="0D0D0D" w:themeColor="text1" w:themeTint="F2"/>
                <w:spacing w:val="-2"/>
                <w:lang w:val="en-GB"/>
              </w:rPr>
              <w:t>. From the view of branches, the services sector shared in the growth of the total employment by nearly three quarters, mainly information and communication (+4.6%) as well as branches with the predominant public sector (+2.4%) flourished. However, manufacturing still also maintained the important role, with the employment growth rate not losing pace mainly thanks to the agency workers last year (1.8%). In construction the other way around, despite swiftly growing output and orders the employment growth was not launched yet (</w:t>
            </w:r>
            <w:r w:rsidRPr="009C0696">
              <w:rPr>
                <w:spacing w:val="-2"/>
                <w:lang w:val="en-GB"/>
              </w:rPr>
              <w:t>–</w:t>
            </w:r>
            <w:r w:rsidRPr="009C0696">
              <w:rPr>
                <w:rFonts w:cs="Arial"/>
                <w:color w:val="0D0D0D" w:themeColor="text1" w:themeTint="F2"/>
                <w:spacing w:val="-2"/>
                <w:lang w:val="en-GB"/>
              </w:rPr>
              <w:t>0.4%)</w:t>
            </w:r>
            <w:r w:rsidRPr="009C0696">
              <w:rPr>
                <w:rStyle w:val="Znakapoznpodarou"/>
                <w:color w:val="0D0D0D" w:themeColor="text1" w:themeTint="F2"/>
                <w:spacing w:val="-2"/>
                <w:lang w:val="en-GB"/>
              </w:rPr>
              <w:footnoteReference w:id="50"/>
            </w:r>
            <w:r w:rsidRPr="009C0696">
              <w:rPr>
                <w:rFonts w:cs="Arial"/>
                <w:color w:val="0D0D0D" w:themeColor="text1" w:themeTint="F2"/>
                <w:spacing w:val="-2"/>
                <w:lang w:val="en-GB"/>
              </w:rPr>
              <w:t xml:space="preserve">. Number of workers was also slightly reduced in the primary sector last year. </w:t>
            </w:r>
          </w:p>
        </w:tc>
      </w:tr>
      <w:tr w:rsidR="00B9632F" w:rsidRPr="009C0696" w:rsidTr="00B9632F">
        <w:trPr>
          <w:trHeight w:val="98"/>
        </w:trPr>
        <w:tc>
          <w:tcPr>
            <w:tcW w:w="1807" w:type="dxa"/>
            <w:vMerge w:val="restart"/>
            <w:shd w:val="clear" w:color="auto" w:fill="auto"/>
            <w:tcMar>
              <w:left w:w="0" w:type="dxa"/>
            </w:tcMar>
          </w:tcPr>
          <w:p w:rsidR="00B9632F" w:rsidRPr="009C0696" w:rsidRDefault="00B9632F" w:rsidP="00B9632F">
            <w:pPr>
              <w:pStyle w:val="Marginlie"/>
              <w:rPr>
                <w:lang w:val="en-GB"/>
              </w:rPr>
            </w:pPr>
          </w:p>
        </w:tc>
        <w:tc>
          <w:tcPr>
            <w:tcW w:w="227" w:type="dxa"/>
            <w:vMerge w:val="restart"/>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40" w:line="240" w:lineRule="auto"/>
              <w:rPr>
                <w:spacing w:val="-2"/>
                <w:lang w:val="en-GB"/>
              </w:rPr>
            </w:pPr>
            <w:r w:rsidRPr="009C0696">
              <w:rPr>
                <w:b/>
                <w:spacing w:val="-2"/>
                <w:lang w:val="en-GB"/>
              </w:rPr>
              <w:t>Chart 15  General</w:t>
            </w:r>
            <w:r w:rsidRPr="009C0696">
              <w:rPr>
                <w:rFonts w:cs="Arial"/>
                <w:b/>
                <w:bCs/>
                <w:spacing w:val="-2"/>
                <w:lang w:val="en-GB"/>
              </w:rPr>
              <w:t xml:space="preserve"> unemployment rate of males and females, share of selected groups of persons on all unemployed </w:t>
            </w:r>
            <w:r w:rsidRPr="009C0696">
              <w:rPr>
                <w:rFonts w:cs="Arial"/>
                <w:bCs/>
                <w:spacing w:val="-2"/>
                <w:lang w:val="en-GB"/>
              </w:rPr>
              <w:t xml:space="preserve">(in %) </w:t>
            </w:r>
            <w:r w:rsidRPr="009C0696">
              <w:rPr>
                <w:rFonts w:cs="Arial"/>
                <w:b/>
                <w:bCs/>
                <w:spacing w:val="-2"/>
                <w:lang w:val="en-GB"/>
              </w:rPr>
              <w:t xml:space="preserve">and economically inactive wanting to work </w:t>
            </w:r>
            <w:r w:rsidRPr="009C0696">
              <w:rPr>
                <w:rFonts w:cs="Arial"/>
                <w:bCs/>
                <w:spacing w:val="-2"/>
                <w:lang w:val="en-GB"/>
              </w:rPr>
              <w:t>(in thousand) *</w:t>
            </w:r>
          </w:p>
        </w:tc>
      </w:tr>
      <w:tr w:rsidR="00B9632F" w:rsidRPr="009C0696" w:rsidTr="00A91AF6">
        <w:tblPrEx>
          <w:tblCellMar>
            <w:left w:w="70" w:type="dxa"/>
            <w:right w:w="70" w:type="dxa"/>
          </w:tblCellMar>
        </w:tblPrEx>
        <w:trPr>
          <w:trHeight w:val="96"/>
        </w:trPr>
        <w:tc>
          <w:tcPr>
            <w:tcW w:w="1807" w:type="dxa"/>
            <w:vMerge/>
            <w:shd w:val="clear" w:color="auto" w:fill="auto"/>
          </w:tcPr>
          <w:p w:rsidR="00B9632F" w:rsidRPr="009C0696" w:rsidRDefault="00B9632F" w:rsidP="00B9632F">
            <w:pPr>
              <w:pStyle w:val="Marginlie"/>
              <w:rPr>
                <w:lang w:val="en-GB"/>
              </w:rPr>
            </w:pPr>
          </w:p>
        </w:tc>
        <w:tc>
          <w:tcPr>
            <w:tcW w:w="227" w:type="dxa"/>
            <w:vMerge/>
            <w:shd w:val="clear" w:color="auto" w:fill="auto"/>
          </w:tcPr>
          <w:p w:rsidR="00B9632F" w:rsidRPr="009C0696" w:rsidRDefault="00B9632F" w:rsidP="00B9632F">
            <w:pPr>
              <w:pStyle w:val="Textpoznpodarou"/>
              <w:jc w:val="both"/>
              <w:rPr>
                <w:spacing w:val="-4"/>
                <w:lang w:val="en-GB"/>
              </w:rPr>
            </w:pPr>
          </w:p>
        </w:tc>
        <w:tc>
          <w:tcPr>
            <w:tcW w:w="7610" w:type="dxa"/>
            <w:shd w:val="clear" w:color="auto" w:fill="auto"/>
          </w:tcPr>
          <w:p w:rsidR="00B9632F" w:rsidRPr="009C0696" w:rsidRDefault="00B9632F" w:rsidP="00B9632F">
            <w:pPr>
              <w:spacing w:after="40" w:line="240" w:lineRule="auto"/>
              <w:rPr>
                <w:spacing w:val="-2"/>
                <w:lang w:val="en-GB"/>
              </w:rPr>
            </w:pPr>
            <w:r>
              <w:rPr>
                <w:noProof/>
              </w:rPr>
              <w:drawing>
                <wp:inline distT="0" distB="0" distL="0" distR="0" wp14:anchorId="642351C9" wp14:editId="3A057213">
                  <wp:extent cx="4738005" cy="3498011"/>
                  <wp:effectExtent l="0" t="0" r="5715" b="7620"/>
                  <wp:docPr id="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B9632F" w:rsidRPr="009C0696" w:rsidTr="00A91AF6">
        <w:trPr>
          <w:trHeight w:val="96"/>
        </w:trPr>
        <w:tc>
          <w:tcPr>
            <w:tcW w:w="1807" w:type="dxa"/>
            <w:vMerge/>
            <w:shd w:val="clear" w:color="auto" w:fill="auto"/>
            <w:tcMar>
              <w:left w:w="0" w:type="dxa"/>
            </w:tcMar>
          </w:tcPr>
          <w:p w:rsidR="00B9632F" w:rsidRPr="009C0696" w:rsidRDefault="00B9632F" w:rsidP="00B9632F">
            <w:pPr>
              <w:pStyle w:val="Marginlie"/>
              <w:rPr>
                <w:lang w:val="en-GB"/>
              </w:rPr>
            </w:pPr>
          </w:p>
        </w:tc>
        <w:tc>
          <w:tcPr>
            <w:tcW w:w="227" w:type="dxa"/>
            <w:vMerge/>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0" w:line="240" w:lineRule="auto"/>
              <w:jc w:val="left"/>
              <w:rPr>
                <w:rFonts w:cs="Arial"/>
                <w:color w:val="0D0D0D" w:themeColor="text1" w:themeTint="F2"/>
                <w:sz w:val="14"/>
                <w:szCs w:val="14"/>
                <w:lang w:val="en-GB"/>
              </w:rPr>
            </w:pPr>
            <w:r w:rsidRPr="009C0696">
              <w:rPr>
                <w:rFonts w:cs="Arial"/>
                <w:color w:val="0D0D0D" w:themeColor="text1" w:themeTint="F2"/>
                <w:sz w:val="14"/>
                <w:szCs w:val="14"/>
                <w:lang w:val="en-GB"/>
              </w:rPr>
              <w:t xml:space="preserve">Note: all data related to unemployment are seasonally adjusted.                                                                                       * </w:t>
            </w:r>
            <w:r>
              <w:rPr>
                <w:rFonts w:cs="Arial"/>
                <w:color w:val="0D0D0D" w:themeColor="text1" w:themeTint="F2"/>
                <w:sz w:val="14"/>
                <w:szCs w:val="14"/>
                <w:lang w:val="en-GB"/>
              </w:rPr>
              <w:t>*</w:t>
            </w:r>
            <w:r w:rsidRPr="009C0696">
              <w:rPr>
                <w:rFonts w:cs="Arial"/>
                <w:color w:val="0D0D0D" w:themeColor="text1" w:themeTint="F2"/>
                <w:sz w:val="14"/>
                <w:szCs w:val="14"/>
                <w:lang w:val="en-GB"/>
              </w:rPr>
              <w:t xml:space="preserve">Persons who are not part of the labour force, are not actively seeking employment (and thus do not meet the conditions of ILO for unemployed), however state that they would like to work. </w:t>
            </w:r>
          </w:p>
          <w:p w:rsidR="00B9632F" w:rsidRPr="00A91AF6" w:rsidRDefault="00B9632F" w:rsidP="00B9632F">
            <w:pPr>
              <w:spacing w:after="200" w:line="240" w:lineRule="auto"/>
              <w:jc w:val="left"/>
              <w:rPr>
                <w:rFonts w:cs="Arial"/>
                <w:color w:val="0D0D0D" w:themeColor="text1" w:themeTint="F2"/>
                <w:sz w:val="14"/>
                <w:szCs w:val="14"/>
                <w:lang w:val="en-GB"/>
              </w:rPr>
            </w:pPr>
            <w:r w:rsidRPr="009C0696">
              <w:rPr>
                <w:rFonts w:cs="Arial"/>
                <w:color w:val="0D0D0D" w:themeColor="text1" w:themeTint="F2"/>
                <w:sz w:val="14"/>
                <w:szCs w:val="14"/>
                <w:lang w:val="en-GB"/>
              </w:rPr>
              <w:t>Source: CZSO (LFSS – Labour Force Sample Survey)</w:t>
            </w:r>
          </w:p>
        </w:tc>
      </w:tr>
      <w:tr w:rsidR="00B9632F" w:rsidRPr="009C0696" w:rsidTr="00A91AF6">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Fall of the gener</w:t>
            </w:r>
            <w:r w:rsidR="00175388">
              <w:rPr>
                <w:lang w:val="en-GB"/>
              </w:rPr>
              <w:t>al unemployment rate almost</w:t>
            </w:r>
            <w:r w:rsidRPr="009C0696">
              <w:rPr>
                <w:lang w:val="en-GB"/>
              </w:rPr>
              <w:t xml:space="preserve"> halted during the year 2018.</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20"/>
              <w:rPr>
                <w:spacing w:val="-3"/>
                <w:lang w:val="en-GB"/>
              </w:rPr>
            </w:pPr>
            <w:r w:rsidRPr="009C0696">
              <w:rPr>
                <w:spacing w:val="-3"/>
                <w:lang w:val="en-GB"/>
              </w:rPr>
              <w:t xml:space="preserve">Seasonally adjusted general unemployment rate fell already only negligibly in year 2018. In December, only 1.9% of economically active males aged 15 to 64 years, resp. 2.7% females, year-on-year by 0.1, resp. 0.3 p.p. less, were without a job. Persons, who were </w:t>
            </w:r>
            <w:r w:rsidRPr="009C0696">
              <w:rPr>
                <w:spacing w:val="-3"/>
                <w:lang w:val="en-GB"/>
              </w:rPr>
              <w:lastRenderedPageBreak/>
              <w:t>without a job for more than one year, contributed from more than one half to the reduction of the total unemployment in the last three years. However, their contribution notably shrank in Q4 2018 only and the proportion of long-term unemployed in total unemployment even mildly increased quarter-on-quarter (to 31.4%). Still it does not alter the fact, that the total unemployment consists predominantly of the natural frictional component already several quarters a</w:t>
            </w:r>
            <w:r w:rsidR="00175388">
              <w:rPr>
                <w:spacing w:val="-3"/>
                <w:lang w:val="en-GB"/>
              </w:rPr>
              <w:t xml:space="preserve">nd possibilities for its further reduction </w:t>
            </w:r>
            <w:proofErr w:type="gramStart"/>
            <w:r w:rsidR="00175388">
              <w:rPr>
                <w:spacing w:val="-3"/>
                <w:lang w:val="en-GB"/>
              </w:rPr>
              <w:t>were</w:t>
            </w:r>
            <w:r w:rsidRPr="009C0696">
              <w:rPr>
                <w:spacing w:val="-3"/>
                <w:lang w:val="en-GB"/>
              </w:rPr>
              <w:t xml:space="preserve"> thus already exhausted</w:t>
            </w:r>
            <w:proofErr w:type="gramEnd"/>
            <w:r w:rsidRPr="009C0696">
              <w:rPr>
                <w:spacing w:val="-3"/>
                <w:lang w:val="en-GB"/>
              </w:rPr>
              <w:t xml:space="preserve"> for the most part. </w:t>
            </w:r>
          </w:p>
        </w:tc>
      </w:tr>
      <w:tr w:rsidR="00B9632F" w:rsidRPr="009C0696" w:rsidTr="00A91AF6">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The unemploymen</w:t>
            </w:r>
            <w:r w:rsidR="00DD7150">
              <w:rPr>
                <w:lang w:val="en-GB"/>
              </w:rPr>
              <w:t>t rate fell to historical minimum</w:t>
            </w:r>
            <w:r w:rsidRPr="009C0696">
              <w:rPr>
                <w:lang w:val="en-GB"/>
              </w:rPr>
              <w:t xml:space="preserve"> in most of the newer member EU states.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20"/>
              <w:rPr>
                <w:spacing w:val="-3"/>
                <w:lang w:val="en-GB"/>
              </w:rPr>
            </w:pPr>
            <w:r w:rsidRPr="009C0696">
              <w:rPr>
                <w:spacing w:val="-3"/>
                <w:lang w:val="en-GB"/>
              </w:rPr>
              <w:t xml:space="preserve">The CR further kept the position of a country with the lowest unemployment rate among the EU states – it was valid six quarters in a row for the employment of females and even nineteen for males. </w:t>
            </w:r>
            <w:proofErr w:type="gramStart"/>
            <w:r w:rsidRPr="009C0696">
              <w:rPr>
                <w:spacing w:val="-3"/>
                <w:lang w:val="en-GB"/>
              </w:rPr>
              <w:t>Also</w:t>
            </w:r>
            <w:proofErr w:type="gramEnd"/>
            <w:r w:rsidRPr="009C0696">
              <w:rPr>
                <w:spacing w:val="-3"/>
                <w:lang w:val="en-GB"/>
              </w:rPr>
              <w:t xml:space="preserve"> the proportion of the long-term component on the total unemployment was by more than 10 p.p. lower compared to the average in the Union in the CR at the end of the last year. Total unemployment rate fell to historical minima in majority of newer member countries (except for Slovenia, Cyprus and the Baltic states), but also for instance in Germany or Great Britain (in comparable time series since the beginning of 90s). On the contrary, it stayed without notable fluctuations near the 10% boundary (it decreased only within the range of 1 to 2 p.p. in the last five years) in some of the significant states of the euro area (France or Italy). Also for this reason the unemployment rate in the euro area lingered nearly 1 p.p. above the level of the local minimum from the business cycle peak of the last decade, </w:t>
            </w:r>
            <w:r w:rsidRPr="009C0696">
              <w:rPr>
                <w:rFonts w:cs="Arial"/>
                <w:color w:val="0D0D0D" w:themeColor="text1" w:themeTint="F2"/>
                <w:spacing w:val="-4"/>
                <w:lang w:val="en-GB"/>
              </w:rPr>
              <w:t xml:space="preserve">while it exceeded this own level in the whole EU already in Q2 of the last year. </w:t>
            </w:r>
          </w:p>
        </w:tc>
      </w:tr>
      <w:tr w:rsidR="00B9632F" w:rsidRPr="009C0696" w:rsidTr="00A91AF6">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 xml:space="preserve">Month-on-month growth of the number of job vacancies prevailed already </w:t>
            </w:r>
            <w:r>
              <w:rPr>
                <w:lang w:val="en-GB"/>
              </w:rPr>
              <w:t xml:space="preserve">for </w:t>
            </w:r>
            <w:r w:rsidRPr="009C0696">
              <w:rPr>
                <w:lang w:val="en-GB"/>
              </w:rPr>
              <w:t>full two years. There were record 324 thousand vacancies in the supply of LO at the end of the year.</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20"/>
              <w:rPr>
                <w:spacing w:val="-3"/>
                <w:lang w:val="en-GB"/>
              </w:rPr>
            </w:pPr>
            <w:r w:rsidRPr="009C0696">
              <w:rPr>
                <w:rFonts w:cs="Arial"/>
                <w:color w:val="0D0D0D" w:themeColor="text1" w:themeTint="F2"/>
                <w:spacing w:val="-4"/>
                <w:lang w:val="en-GB"/>
              </w:rPr>
              <w:t>Demand for employees still stays strong in the domestic economy. Number of job vacancies in the supply of the labour offices (LO) grew month-on-month continuously (despite seasonal effects) since the end of year 2016</w:t>
            </w:r>
            <w:r w:rsidRPr="009C0696">
              <w:rPr>
                <w:rStyle w:val="Znakapoznpodarou"/>
                <w:color w:val="0D0D0D" w:themeColor="text1" w:themeTint="F2"/>
                <w:spacing w:val="-4"/>
                <w:lang w:val="en-GB"/>
              </w:rPr>
              <w:footnoteReference w:id="51"/>
            </w:r>
            <w:r w:rsidRPr="009C0696">
              <w:rPr>
                <w:rFonts w:cs="Arial"/>
                <w:color w:val="0D0D0D" w:themeColor="text1" w:themeTint="F2"/>
                <w:spacing w:val="-4"/>
                <w:lang w:val="en-GB"/>
              </w:rPr>
              <w:t>. It contained record 324 thousand vacancies at the end of December 2018, it presented more than double of the number during the business cycle peak of the last decade. Year-on-year addition of vacancies (+107.8 thousand) was nevertheless from the view of the demand for qualifications as well as regions</w:t>
            </w:r>
            <w:r w:rsidRPr="009C0696">
              <w:rPr>
                <w:rStyle w:val="Znakapoznpodarou"/>
                <w:color w:val="0D0D0D" w:themeColor="text1" w:themeTint="F2"/>
                <w:spacing w:val="-4"/>
                <w:lang w:val="en-GB"/>
              </w:rPr>
              <w:footnoteReference w:id="52"/>
            </w:r>
            <w:r w:rsidRPr="009C0696">
              <w:rPr>
                <w:rFonts w:cs="Arial"/>
                <w:color w:val="0D0D0D" w:themeColor="text1" w:themeTint="F2"/>
                <w:spacing w:val="-4"/>
                <w:lang w:val="en-GB"/>
              </w:rPr>
              <w:t xml:space="preserve"> substantially imbalanced. Positions with very low declared demands for qualifications (primary education at most) shared already in 87% of this number. Based on the more detailed data of the LFSS from the previous years it can be assumed, that it concerned for the most part relatively unattractive positions primarily aimed at foreign workers</w:t>
            </w:r>
            <w:r w:rsidRPr="009C0696">
              <w:rPr>
                <w:rStyle w:val="Znakapoznpodarou"/>
                <w:color w:val="0D0D0D" w:themeColor="text1" w:themeTint="F2"/>
                <w:spacing w:val="-4"/>
                <w:lang w:val="en-GB"/>
              </w:rPr>
              <w:footnoteReference w:id="53"/>
            </w:r>
            <w:r w:rsidRPr="009C0696">
              <w:rPr>
                <w:rFonts w:cs="Arial"/>
                <w:color w:val="0D0D0D" w:themeColor="text1" w:themeTint="F2"/>
                <w:spacing w:val="-4"/>
                <w:lang w:val="en-GB"/>
              </w:rPr>
              <w:t xml:space="preserve">. In contrast the supply for persons with secondary education with the school leaving certificate or higher education (which prevail on the domestic labour market) increased only by 4.8 thousand (to 36.6 thousand) in the CR last year and it even moderately decreased in six regions.  </w:t>
            </w:r>
          </w:p>
        </w:tc>
      </w:tr>
      <w:tr w:rsidR="00B9632F" w:rsidRPr="009C0696" w:rsidTr="00A91AF6">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 xml:space="preserve">Excess of job vacancies over job applicants lasts since spring 2018. This ratio remained already stable in the second half of the year.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20"/>
              <w:rPr>
                <w:spacing w:val="-3"/>
                <w:lang w:val="en-GB"/>
              </w:rPr>
            </w:pPr>
            <w:r w:rsidRPr="009C0696">
              <w:rPr>
                <w:spacing w:val="-3"/>
                <w:lang w:val="en-GB"/>
              </w:rPr>
              <w:t>Beginning April 2018, the number of job applicants registered with the LO started to lag behind the number of job vacancies. This ratio was 0.7 at the end of December and it was not falling much anymore in the second half of the last year (due to the slowdown of the rate of growth of new vacancies as well as the seasonal increase of job applicants at the end of the year). Two thirds of regions and more than half of municipalities in the CR</w:t>
            </w:r>
            <w:r w:rsidRPr="009C0696">
              <w:rPr>
                <w:rStyle w:val="Znakapoznpodarou"/>
                <w:spacing w:val="-3"/>
                <w:lang w:val="en-GB"/>
              </w:rPr>
              <w:footnoteReference w:id="54"/>
            </w:r>
            <w:r w:rsidRPr="009C0696">
              <w:rPr>
                <w:spacing w:val="-3"/>
                <w:lang w:val="en-GB"/>
              </w:rPr>
              <w:t xml:space="preserve"> signalled excess demand over supply of labour force at the end of the year. From the view of the qualification classes the same was also valid for specialists (0.7), craftsmen and repairmen (0.4), machine operators </w:t>
            </w:r>
            <w:r w:rsidRPr="009C0696">
              <w:rPr>
                <w:rFonts w:cs="Arial"/>
                <w:color w:val="0D0D0D" w:themeColor="text1" w:themeTint="F2"/>
                <w:spacing w:val="-4"/>
                <w:lang w:val="en-GB"/>
              </w:rPr>
              <w:t>(0.2) and supporting and non-qualified staff (0.9).</w:t>
            </w:r>
          </w:p>
        </w:tc>
      </w:tr>
      <w:tr w:rsidR="00B9632F" w:rsidRPr="009C0696" w:rsidTr="00A91AF6">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lastRenderedPageBreak/>
              <w:t xml:space="preserve">Rate of growth of average wages slightly weakened in Q4. It was connected mostly to the development in the branches with the predominant public </w:t>
            </w:r>
            <w:proofErr w:type="gramStart"/>
            <w:r w:rsidRPr="009C0696">
              <w:rPr>
                <w:lang w:val="en-GB"/>
              </w:rPr>
              <w:t>sector,</w:t>
            </w:r>
            <w:proofErr w:type="gramEnd"/>
            <w:r w:rsidRPr="009C0696">
              <w:rPr>
                <w:lang w:val="en-GB"/>
              </w:rPr>
              <w:t xml:space="preserve"> business sphere however also experienced a </w:t>
            </w:r>
            <w:r w:rsidR="00F55B87">
              <w:rPr>
                <w:lang w:val="en-GB"/>
              </w:rPr>
              <w:t xml:space="preserve">mild </w:t>
            </w:r>
            <w:r w:rsidRPr="009C0696">
              <w:rPr>
                <w:lang w:val="en-GB"/>
              </w:rPr>
              <w:t xml:space="preserve">slowdown.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0"/>
              <w:rPr>
                <w:rFonts w:cs="Arial"/>
                <w:color w:val="0D0D0D" w:themeColor="text1" w:themeTint="F2"/>
                <w:spacing w:val="-4"/>
                <w:lang w:val="en-GB"/>
              </w:rPr>
            </w:pPr>
            <w:r w:rsidRPr="009C0696">
              <w:rPr>
                <w:spacing w:val="-3"/>
                <w:lang w:val="en-GB"/>
              </w:rPr>
              <w:t xml:space="preserve">The gross average nominal wage of employee grew (according to the business statistics) by 8.1% in the economy in 2018. Annual rate of growth grew already fifth year in a row and slightly exceeded the growth from the last decade´s business cycle peak. </w:t>
            </w:r>
            <w:r w:rsidRPr="009C0696">
              <w:rPr>
                <w:rFonts w:cs="Arial"/>
                <w:color w:val="0D0D0D" w:themeColor="text1" w:themeTint="F2"/>
                <w:spacing w:val="-4"/>
                <w:lang w:val="en-GB"/>
              </w:rPr>
              <w:t xml:space="preserve"> Q4 </w:t>
            </w:r>
            <w:r w:rsidR="00F55B87">
              <w:rPr>
                <w:rFonts w:cs="Arial"/>
                <w:color w:val="0D0D0D" w:themeColor="text1" w:themeTint="F2"/>
                <w:spacing w:val="-4"/>
                <w:lang w:val="en-GB"/>
              </w:rPr>
              <w:t xml:space="preserve">2018 </w:t>
            </w:r>
            <w:r w:rsidRPr="009C0696">
              <w:rPr>
                <w:rFonts w:cs="Arial"/>
                <w:color w:val="0D0D0D" w:themeColor="text1" w:themeTint="F2"/>
                <w:spacing w:val="-4"/>
                <w:lang w:val="en-GB"/>
              </w:rPr>
              <w:t>saw a slowdown to 6.9% (quarter-on-quarter pace also lowered to 1.5%, in the preceding part of the year it attained 2.0 to 2.2%). Mainly the education and also public administration (incl. defence and compulsory social security)</w:t>
            </w:r>
            <w:r w:rsidRPr="009C0696">
              <w:rPr>
                <w:rStyle w:val="Znakapoznpodarou"/>
                <w:color w:val="0D0D0D" w:themeColor="text1" w:themeTint="F2"/>
                <w:spacing w:val="-4"/>
                <w:lang w:val="en-GB"/>
              </w:rPr>
              <w:footnoteReference w:id="55"/>
            </w:r>
            <w:r w:rsidRPr="009C0696">
              <w:rPr>
                <w:rFonts w:cs="Arial"/>
                <w:color w:val="0D0D0D" w:themeColor="text1" w:themeTint="F2"/>
                <w:spacing w:val="-4"/>
                <w:lang w:val="en-GB"/>
              </w:rPr>
              <w:t xml:space="preserve"> stood behind this contraction. It was however also apparent in the lesser extent in the majority of branches with the dominance of non-financial businesses</w:t>
            </w:r>
            <w:r w:rsidRPr="009C0696">
              <w:rPr>
                <w:rStyle w:val="Znakapoznpodarou"/>
                <w:color w:val="0D0D0D" w:themeColor="text1" w:themeTint="F2"/>
                <w:spacing w:val="-4"/>
                <w:lang w:val="en-GB"/>
              </w:rPr>
              <w:footnoteReference w:id="56"/>
            </w:r>
            <w:r w:rsidRPr="009C0696">
              <w:rPr>
                <w:rFonts w:cs="Arial"/>
                <w:color w:val="0D0D0D" w:themeColor="text1" w:themeTint="F2"/>
                <w:spacing w:val="-4"/>
                <w:lang w:val="en-GB"/>
              </w:rPr>
              <w:t>. It could have been related to the more prudent outlook (especially of export oriented) businesses into year 2019, drop of their profitability rate as well as the widening scissors between the dynamics of wage costs and the labour productivity (which was happening in the last three years). On the other hand, the still strong demand for employees, which could not have been adequately satiated</w:t>
            </w:r>
            <w:r w:rsidRPr="009C0696">
              <w:rPr>
                <w:rStyle w:val="Znakapoznpodarou"/>
                <w:color w:val="0D0D0D" w:themeColor="text1" w:themeTint="F2"/>
                <w:spacing w:val="-4"/>
                <w:lang w:val="en-GB"/>
              </w:rPr>
              <w:footnoteReference w:id="57"/>
            </w:r>
            <w:r w:rsidRPr="009C0696">
              <w:rPr>
                <w:rFonts w:cs="Arial"/>
                <w:color w:val="0D0D0D" w:themeColor="text1" w:themeTint="F2"/>
                <w:spacing w:val="-4"/>
                <w:lang w:val="en-GB"/>
              </w:rPr>
              <w:t xml:space="preserve"> given the factual exhaustion of domestic job vacancies, prevented larger slowdown of the wage growth in the business sphere.  </w:t>
            </w:r>
          </w:p>
          <w:p w:rsidR="00B9632F" w:rsidRPr="009C0696" w:rsidRDefault="00B9632F" w:rsidP="00B9632F">
            <w:pPr>
              <w:spacing w:after="0"/>
              <w:rPr>
                <w:spacing w:val="-3"/>
                <w:lang w:val="en-GB"/>
              </w:rPr>
            </w:pPr>
          </w:p>
        </w:tc>
      </w:tr>
      <w:tr w:rsidR="00B9632F" w:rsidRPr="009C0696" w:rsidTr="00A91AF6">
        <w:trPr>
          <w:trHeight w:val="98"/>
        </w:trPr>
        <w:tc>
          <w:tcPr>
            <w:tcW w:w="1807" w:type="dxa"/>
            <w:vMerge w:val="restart"/>
            <w:shd w:val="clear" w:color="auto" w:fill="auto"/>
            <w:tcMar>
              <w:left w:w="0" w:type="dxa"/>
            </w:tcMar>
          </w:tcPr>
          <w:p w:rsidR="00B9632F" w:rsidRPr="009C0696" w:rsidRDefault="00B9632F" w:rsidP="00B9632F">
            <w:pPr>
              <w:pStyle w:val="Marginlie"/>
              <w:rPr>
                <w:lang w:val="en-GB"/>
              </w:rPr>
            </w:pPr>
          </w:p>
        </w:tc>
        <w:tc>
          <w:tcPr>
            <w:tcW w:w="227" w:type="dxa"/>
            <w:vMerge w:val="restart"/>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40" w:line="240" w:lineRule="auto"/>
              <w:rPr>
                <w:spacing w:val="-2"/>
                <w:lang w:val="en-GB"/>
              </w:rPr>
            </w:pPr>
            <w:r w:rsidRPr="009C0696">
              <w:rPr>
                <w:b/>
                <w:spacing w:val="-3"/>
                <w:lang w:val="en-GB"/>
              </w:rPr>
              <w:t xml:space="preserve">Chart </w:t>
            </w:r>
            <w:proofErr w:type="gramStart"/>
            <w:r w:rsidRPr="009C0696">
              <w:rPr>
                <w:b/>
                <w:spacing w:val="-3"/>
                <w:lang w:val="en-GB"/>
              </w:rPr>
              <w:t xml:space="preserve">16  </w:t>
            </w:r>
            <w:r w:rsidRPr="009C0696">
              <w:rPr>
                <w:b/>
                <w:lang w:val="en-GB"/>
              </w:rPr>
              <w:t>Average</w:t>
            </w:r>
            <w:proofErr w:type="gramEnd"/>
            <w:r w:rsidRPr="009C0696">
              <w:rPr>
                <w:b/>
                <w:lang w:val="en-GB"/>
              </w:rPr>
              <w:t xml:space="preserve"> gross monthly wage</w:t>
            </w:r>
            <w:r w:rsidRPr="009C0696">
              <w:rPr>
                <w:rFonts w:cs="Arial"/>
                <w:b/>
                <w:bCs/>
                <w:spacing w:val="-2"/>
                <w:lang w:val="en-GB"/>
              </w:rPr>
              <w:t xml:space="preserve">, wage median and labour productivity* </w:t>
            </w:r>
            <w:r w:rsidRPr="009C0696">
              <w:rPr>
                <w:spacing w:val="-3"/>
                <w:lang w:val="en-GB"/>
              </w:rPr>
              <w:t>(year-on-year, in %)</w:t>
            </w:r>
          </w:p>
        </w:tc>
      </w:tr>
      <w:tr w:rsidR="00B9632F" w:rsidRPr="009C0696" w:rsidTr="00A91AF6">
        <w:trPr>
          <w:trHeight w:val="96"/>
        </w:trPr>
        <w:tc>
          <w:tcPr>
            <w:tcW w:w="1807" w:type="dxa"/>
            <w:vMerge/>
            <w:shd w:val="clear" w:color="auto" w:fill="auto"/>
            <w:tcMar>
              <w:left w:w="0" w:type="dxa"/>
            </w:tcMar>
          </w:tcPr>
          <w:p w:rsidR="00B9632F" w:rsidRPr="009C0696" w:rsidRDefault="00B9632F" w:rsidP="00B9632F">
            <w:pPr>
              <w:pStyle w:val="Marginlie"/>
              <w:rPr>
                <w:lang w:val="en-GB"/>
              </w:rPr>
            </w:pPr>
          </w:p>
        </w:tc>
        <w:tc>
          <w:tcPr>
            <w:tcW w:w="227" w:type="dxa"/>
            <w:vMerge/>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40" w:line="240" w:lineRule="auto"/>
              <w:rPr>
                <w:spacing w:val="-2"/>
                <w:lang w:val="en-GB"/>
              </w:rPr>
            </w:pPr>
            <w:r>
              <w:rPr>
                <w:noProof/>
              </w:rPr>
              <w:drawing>
                <wp:inline distT="0" distB="0" distL="0" distR="0" wp14:anchorId="7DF60583" wp14:editId="623E5EC9">
                  <wp:extent cx="4729541" cy="3528000"/>
                  <wp:effectExtent l="0" t="0" r="0" b="0"/>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B9632F" w:rsidRPr="009C0696" w:rsidTr="00A91AF6">
        <w:tblPrEx>
          <w:tblCellMar>
            <w:left w:w="70" w:type="dxa"/>
            <w:right w:w="70" w:type="dxa"/>
          </w:tblCellMar>
        </w:tblPrEx>
        <w:trPr>
          <w:trHeight w:val="96"/>
        </w:trPr>
        <w:tc>
          <w:tcPr>
            <w:tcW w:w="1807" w:type="dxa"/>
            <w:vMerge/>
            <w:shd w:val="clear" w:color="auto" w:fill="auto"/>
          </w:tcPr>
          <w:p w:rsidR="00B9632F" w:rsidRPr="009C0696" w:rsidRDefault="00B9632F" w:rsidP="00B9632F">
            <w:pPr>
              <w:pStyle w:val="Marginlie"/>
              <w:rPr>
                <w:lang w:val="en-GB"/>
              </w:rPr>
            </w:pPr>
          </w:p>
        </w:tc>
        <w:tc>
          <w:tcPr>
            <w:tcW w:w="227" w:type="dxa"/>
            <w:vMerge/>
            <w:shd w:val="clear" w:color="auto" w:fill="auto"/>
          </w:tcPr>
          <w:p w:rsidR="00B9632F" w:rsidRPr="009C0696" w:rsidRDefault="00B9632F" w:rsidP="00B9632F">
            <w:pPr>
              <w:pStyle w:val="Textpoznpodarou"/>
              <w:jc w:val="both"/>
              <w:rPr>
                <w:spacing w:val="-4"/>
                <w:lang w:val="en-GB"/>
              </w:rPr>
            </w:pPr>
          </w:p>
        </w:tc>
        <w:tc>
          <w:tcPr>
            <w:tcW w:w="7610" w:type="dxa"/>
            <w:shd w:val="clear" w:color="auto" w:fill="auto"/>
          </w:tcPr>
          <w:p w:rsidR="00B9632F" w:rsidRPr="00A91AF6" w:rsidRDefault="00B9632F" w:rsidP="00B9632F">
            <w:pPr>
              <w:spacing w:after="200"/>
              <w:jc w:val="left"/>
              <w:rPr>
                <w:rFonts w:cs="Arial"/>
                <w:sz w:val="14"/>
                <w:szCs w:val="14"/>
                <w:lang w:val="en-GB"/>
              </w:rPr>
            </w:pPr>
            <w:r w:rsidRPr="009C0696">
              <w:rPr>
                <w:spacing w:val="-3"/>
                <w:sz w:val="16"/>
                <w:szCs w:val="16"/>
                <w:lang w:val="en-GB"/>
              </w:rPr>
              <w:t>*</w:t>
            </w:r>
            <w:r w:rsidRPr="009C0696">
              <w:rPr>
                <w:spacing w:val="-3"/>
                <w:sz w:val="14"/>
                <w:szCs w:val="14"/>
                <w:lang w:val="en-GB"/>
              </w:rPr>
              <w:t>*</w:t>
            </w:r>
            <w:r w:rsidRPr="009C0696">
              <w:rPr>
                <w:rFonts w:cs="Arial"/>
                <w:sz w:val="14"/>
                <w:szCs w:val="14"/>
                <w:lang w:val="en-GB"/>
              </w:rPr>
              <w:t xml:space="preserve">Share of seasonally non-adjusted GDP and employment (in the national accounts conception)                                                          </w:t>
            </w:r>
            <w:r w:rsidRPr="009C0696">
              <w:rPr>
                <w:spacing w:val="-3"/>
                <w:sz w:val="14"/>
                <w:szCs w:val="14"/>
                <w:lang w:val="en-GB"/>
              </w:rPr>
              <w:t>Source:</w:t>
            </w:r>
            <w:r w:rsidRPr="009C0696">
              <w:rPr>
                <w:rFonts w:cs="Arial"/>
                <w:sz w:val="14"/>
                <w:szCs w:val="14"/>
                <w:lang w:val="en-GB"/>
              </w:rPr>
              <w:t xml:space="preserve"> CZSO (national accounts)</w:t>
            </w:r>
            <w:r>
              <w:rPr>
                <w:noProof/>
              </w:rPr>
              <w:t xml:space="preserve"> </w:t>
            </w:r>
          </w:p>
        </w:tc>
      </w:tr>
      <w:tr w:rsidR="00B9632F" w:rsidRPr="009C0696" w:rsidTr="00DC002D">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 xml:space="preserve">Average earnings grew the fastest in </w:t>
            </w:r>
            <w:proofErr w:type="gramStart"/>
            <w:r w:rsidRPr="009C0696">
              <w:rPr>
                <w:lang w:val="en-GB"/>
              </w:rPr>
              <w:t>education,</w:t>
            </w:r>
            <w:proofErr w:type="gramEnd"/>
            <w:r w:rsidRPr="009C0696">
              <w:rPr>
                <w:lang w:val="en-GB"/>
              </w:rPr>
              <w:t xml:space="preserve"> it was the opposite in financial and insurance activities. </w:t>
            </w: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r w:rsidRPr="009C0696">
              <w:rPr>
                <w:rFonts w:cs="Arial"/>
                <w:color w:val="0D0D0D" w:themeColor="text1" w:themeTint="F2"/>
                <w:spacing w:val="-4"/>
                <w:lang w:val="en-GB"/>
              </w:rPr>
              <w:t xml:space="preserve">Volume of paid out wages in manufacturing slightly lagged behind the pace in the whole economy. </w:t>
            </w:r>
          </w:p>
          <w:p w:rsidR="00B9632F" w:rsidRPr="009C0696" w:rsidRDefault="00B9632F" w:rsidP="00B9632F">
            <w:pPr>
              <w:pStyle w:val="Marginlie"/>
              <w:rPr>
                <w:lang w:val="en-GB"/>
              </w:rPr>
            </w:pPr>
            <w:r w:rsidRPr="009C0696">
              <w:rPr>
                <w:lang w:val="en-GB"/>
              </w:rPr>
              <w:t xml:space="preserve">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9C0696" w:rsidRDefault="00B9632F" w:rsidP="00B9632F">
            <w:pPr>
              <w:spacing w:after="200"/>
              <w:rPr>
                <w:rFonts w:cs="Arial"/>
                <w:color w:val="0D0D0D" w:themeColor="text1" w:themeTint="F2"/>
                <w:spacing w:val="-4"/>
                <w:lang w:val="en-GB"/>
              </w:rPr>
            </w:pPr>
            <w:r w:rsidRPr="009C0696">
              <w:rPr>
                <w:spacing w:val="-2"/>
                <w:lang w:val="en-GB"/>
              </w:rPr>
              <w:t xml:space="preserve">While the year-on-year growth of wages did not differ much between the main economic branches in Q4 2018 (it moved between 5 and 8%, only the peripheral by weight mining and quarrying recorded weaker 3.7%), the development in branches varied more in the yearly perspective. Gross earnings rose the most in education last </w:t>
            </w:r>
            <w:r w:rsidRPr="009C0696">
              <w:rPr>
                <w:spacing w:val="-2"/>
                <w:lang w:val="en-GB"/>
              </w:rPr>
              <w:lastRenderedPageBreak/>
              <w:t xml:space="preserve">year (10.7%), however their average monthly size </w:t>
            </w:r>
            <w:r w:rsidRPr="009C0696">
              <w:rPr>
                <w:rFonts w:cs="Arial"/>
                <w:color w:val="0D0D0D" w:themeColor="text1" w:themeTint="F2"/>
                <w:spacing w:val="-4"/>
                <w:lang w:val="en-GB"/>
              </w:rPr>
              <w:t xml:space="preserve">(31.4 CZK thousand) still mildly lagged behind the level in the national economy. Employees in further branches with the dominance of public sector also gained by a slightly weaker rate of growth. Among other branches, real estate activities, where the growth of average earrings (8.2%) was also accompanied by rising employment, thrived the most and volume of paid out wages thus grew the most in the whole economy (together with energy industry and education activities). Earnings increased by 7.4% in manufacturing and the volume of paid out wages lagged behind the rate of growth in the whole economy here for the first time in the last seven years. Earnings were still stimulated by the increase of the legal minimum wage in accommodation, food service activities and restaurants. Rate of growth of wages (7.6%) here still for the first time after three years lagged behind the development in the whole economy and their absolute size (18.7 CZK thousand) reached only one third of the level of information and communication branch. Financial and insurance activities ascribed the weakest growth among branches last year (5.2%), average earnings grew here by a lower rate of growth compared to the whole economy already fourth year in a row. From the view of the regions, the wage rates of growth did not differ much last year – it was the highest in the Central Bohemia region, </w:t>
            </w:r>
            <w:proofErr w:type="spellStart"/>
            <w:r w:rsidRPr="009C0696">
              <w:rPr>
                <w:rFonts w:cs="Arial"/>
                <w:color w:val="0D0D0D" w:themeColor="text1" w:themeTint="F2"/>
                <w:spacing w:val="-4"/>
                <w:lang w:val="en-GB"/>
              </w:rPr>
              <w:t>Kralovehradecky</w:t>
            </w:r>
            <w:proofErr w:type="spellEnd"/>
            <w:r w:rsidRPr="009C0696">
              <w:rPr>
                <w:rFonts w:cs="Arial"/>
                <w:color w:val="0D0D0D" w:themeColor="text1" w:themeTint="F2"/>
                <w:spacing w:val="-4"/>
                <w:lang w:val="en-GB"/>
              </w:rPr>
              <w:t xml:space="preserve"> region and Olomouc region (+8.8%), the lowest in Prague (7.2%). Below average wage growth given the simultaneous above average growth of the number of employees prevails in the capital city already since the end of the last recession.   </w:t>
            </w:r>
          </w:p>
        </w:tc>
      </w:tr>
      <w:tr w:rsidR="00B9632F" w:rsidRPr="009C0696" w:rsidTr="00DC002D">
        <w:trPr>
          <w:trHeight w:val="145"/>
        </w:trPr>
        <w:tc>
          <w:tcPr>
            <w:tcW w:w="1807" w:type="dxa"/>
            <w:shd w:val="clear" w:color="auto" w:fill="auto"/>
            <w:tcMar>
              <w:left w:w="0" w:type="dxa"/>
            </w:tcMar>
          </w:tcPr>
          <w:p w:rsidR="00B9632F" w:rsidRPr="009C0696" w:rsidRDefault="00B9632F" w:rsidP="00B9632F">
            <w:pPr>
              <w:pStyle w:val="Marginlie"/>
              <w:rPr>
                <w:lang w:val="en-GB"/>
              </w:rPr>
            </w:pPr>
            <w:r w:rsidRPr="009C0696">
              <w:rPr>
                <w:lang w:val="en-GB"/>
              </w:rPr>
              <w:t xml:space="preserve">Moderate decrease of the wage differentiation continued. Purchasing power of wages increased the most in the last sixteen years. </w:t>
            </w:r>
          </w:p>
        </w:tc>
        <w:tc>
          <w:tcPr>
            <w:tcW w:w="227" w:type="dxa"/>
            <w:shd w:val="clear" w:color="auto" w:fill="auto"/>
            <w:tcMar>
              <w:left w:w="0" w:type="dxa"/>
            </w:tcMar>
          </w:tcPr>
          <w:p w:rsidR="00B9632F" w:rsidRPr="009C0696" w:rsidRDefault="00B9632F" w:rsidP="00B9632F">
            <w:pPr>
              <w:pStyle w:val="Textpoznpodarou"/>
              <w:jc w:val="both"/>
              <w:rPr>
                <w:spacing w:val="-4"/>
                <w:lang w:val="en-GB"/>
              </w:rPr>
            </w:pPr>
          </w:p>
        </w:tc>
        <w:tc>
          <w:tcPr>
            <w:tcW w:w="7610" w:type="dxa"/>
            <w:shd w:val="clear" w:color="auto" w:fill="auto"/>
            <w:tcMar>
              <w:left w:w="0" w:type="dxa"/>
            </w:tcMar>
          </w:tcPr>
          <w:p w:rsidR="00B9632F" w:rsidRPr="00DC002D" w:rsidRDefault="00B9632F" w:rsidP="00B9632F">
            <w:pPr>
              <w:spacing w:after="0"/>
              <w:rPr>
                <w:color w:val="0D0D0D" w:themeColor="text1" w:themeTint="F2"/>
                <w:spacing w:val="-2"/>
                <w:lang w:val="en-GB"/>
              </w:rPr>
            </w:pPr>
            <w:r w:rsidRPr="009C0696">
              <w:rPr>
                <w:rFonts w:cs="Arial"/>
                <w:color w:val="0D0D0D" w:themeColor="text1" w:themeTint="F2"/>
                <w:spacing w:val="-4"/>
                <w:lang w:val="en-GB"/>
              </w:rPr>
              <w:t>Wage differentiation between both branches and region kept further shrinking slightly. Lead of the growth of the median wage ahead of the rate of growth of the average wage endures with slight fluctuations already three and a half years.</w:t>
            </w:r>
            <w:r w:rsidRPr="009C0696">
              <w:rPr>
                <w:color w:val="0D0D0D" w:themeColor="text1" w:themeTint="F2"/>
                <w:spacing w:val="-4"/>
                <w:lang w:val="en-GB"/>
              </w:rPr>
              <w:t xml:space="preserve"> It is connected both with the repeated shift of the size of the minimum wage (with the impact on the bands of the guaranteed wage) and the increase of salaries in the sphere regulated by state (especially education, culture or social services). The median wage of employee in the economy grew by 7.1% in Q4 2018, by 8.7% for the whole year. Strong growth of purchasing power of wages represented a positive trend.  It grew by 5.9% last year</w:t>
            </w:r>
            <w:r w:rsidRPr="009C0696">
              <w:rPr>
                <w:color w:val="0D0D0D" w:themeColor="text1" w:themeTint="F2"/>
                <w:spacing w:val="-2"/>
                <w:lang w:val="en-GB"/>
              </w:rPr>
              <w:t>, the most after year 2002.</w:t>
            </w:r>
          </w:p>
        </w:tc>
      </w:tr>
    </w:tbl>
    <w:p w:rsidR="00DC002D" w:rsidRDefault="00DC002D">
      <w:r>
        <w:br w:type="page"/>
      </w:r>
    </w:p>
    <w:p w:rsidR="00935BD4" w:rsidRPr="009C0696" w:rsidRDefault="00935BD4" w:rsidP="000D3058">
      <w:pPr>
        <w:pStyle w:val="Nadpis11"/>
        <w:rPr>
          <w:lang w:val="en-GB"/>
        </w:rPr>
      </w:pPr>
      <w:bookmarkStart w:id="12" w:name="_Toc5708395"/>
      <w:r w:rsidRPr="009C0696">
        <w:rPr>
          <w:lang w:val="en-GB"/>
        </w:rPr>
        <w:lastRenderedPageBreak/>
        <w:t>7. M</w:t>
      </w:r>
      <w:r w:rsidR="00E50E4A" w:rsidRPr="009C0696">
        <w:rPr>
          <w:lang w:val="en-GB"/>
        </w:rPr>
        <w:t>onetary Conditions</w:t>
      </w:r>
      <w:bookmarkEnd w:id="12"/>
    </w:p>
    <w:tbl>
      <w:tblPr>
        <w:tblW w:w="9639" w:type="dxa"/>
        <w:tblInd w:w="-15" w:type="dxa"/>
        <w:tblCellMar>
          <w:left w:w="0" w:type="dxa"/>
          <w:right w:w="0" w:type="dxa"/>
        </w:tblCellMar>
        <w:tblLook w:val="00A0" w:firstRow="1" w:lastRow="0" w:firstColumn="1" w:lastColumn="0" w:noHBand="0" w:noVBand="0"/>
      </w:tblPr>
      <w:tblGrid>
        <w:gridCol w:w="1801"/>
        <w:gridCol w:w="228"/>
        <w:gridCol w:w="7610"/>
      </w:tblGrid>
      <w:tr w:rsidR="001125EF" w:rsidRPr="009C0696" w:rsidTr="001125EF">
        <w:trPr>
          <w:trHeight w:val="145"/>
        </w:trPr>
        <w:tc>
          <w:tcPr>
            <w:tcW w:w="1888" w:type="dxa"/>
            <w:shd w:val="clear" w:color="auto" w:fill="auto"/>
            <w:tcMar>
              <w:left w:w="0" w:type="dxa"/>
            </w:tcMar>
          </w:tcPr>
          <w:p w:rsidR="001125EF" w:rsidRPr="009C0696" w:rsidRDefault="00D75CB7" w:rsidP="00723435">
            <w:pPr>
              <w:pStyle w:val="Marginlie"/>
              <w:rPr>
                <w:lang w:val="en-GB"/>
              </w:rPr>
            </w:pPr>
            <w:r w:rsidRPr="009C0696">
              <w:rPr>
                <w:lang w:val="en-GB"/>
              </w:rPr>
              <w:t>Monetary policy-relevant interest rates were increased five times during the year.</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B42D5F" w:rsidRPr="009C0696" w:rsidRDefault="00D75CB7" w:rsidP="000D2EB3">
            <w:pPr>
              <w:rPr>
                <w:b/>
                <w:bCs/>
                <w:color w:val="71818C"/>
                <w:spacing w:val="-2"/>
                <w:sz w:val="32"/>
                <w:szCs w:val="28"/>
                <w:lang w:val="en-GB"/>
              </w:rPr>
            </w:pPr>
            <w:r w:rsidRPr="009C0696">
              <w:rPr>
                <w:spacing w:val="-2"/>
                <w:lang w:val="en-GB"/>
              </w:rPr>
              <w:t>A gradual return to standard instruments of the monetary policy occurred in the area of the monetary conditions in 2018. The main monetary policy-relevant rate (two-week repo rate) increased five times during the year (in February, June, August, September and November). Interest rate grew from January 0.5% to 1.75%, and consequently it was the highest in the Central Europe by the end of the year 2018. Among the countries outside the euro area, only Romania featured a higher rate. Development of the koruna foreign exchange against euro was not characterised by any larger fluctuations. It balanced between 25 and 26 CZK per euro for the whole year, while it overtook the 26</w:t>
            </w:r>
            <w:r w:rsidR="00BD59F1">
              <w:rPr>
                <w:spacing w:val="-2"/>
                <w:lang w:val="en-GB"/>
              </w:rPr>
              <w:t> </w:t>
            </w:r>
            <w:r w:rsidRPr="009C0696">
              <w:rPr>
                <w:spacing w:val="-2"/>
                <w:lang w:val="en-GB"/>
              </w:rPr>
              <w:t xml:space="preserve">CZK boundary only shortly at the beginning of July and then in November. Koruna foreign exchange against dollar markedly weakened during May (it was on 20.58 CZK per dollar on the 20th April, 22.41 CZK on 29th May). Further </w:t>
            </w:r>
            <w:r w:rsidR="000D2EB3" w:rsidRPr="009C0696">
              <w:rPr>
                <w:spacing w:val="-2"/>
                <w:lang w:val="en-GB"/>
              </w:rPr>
              <w:t>depreciation</w:t>
            </w:r>
            <w:r w:rsidRPr="009C0696">
              <w:rPr>
                <w:spacing w:val="-2"/>
                <w:lang w:val="en-GB"/>
              </w:rPr>
              <w:t xml:space="preserve"> was observed in Q4. It shortly overtook the boundary 23 CZK per dollar in the middle of November, the year 2018 ended on 22.47 CZK. </w:t>
            </w:r>
            <w:r w:rsidR="001125EF" w:rsidRPr="009C0696">
              <w:rPr>
                <w:spacing w:val="-2"/>
                <w:lang w:val="en-GB"/>
              </w:rPr>
              <w:t xml:space="preserve"> </w:t>
            </w:r>
          </w:p>
        </w:tc>
      </w:tr>
      <w:tr w:rsidR="001125EF" w:rsidRPr="009C0696" w:rsidTr="001125EF">
        <w:trPr>
          <w:trHeight w:val="145"/>
        </w:trPr>
        <w:tc>
          <w:tcPr>
            <w:tcW w:w="1888" w:type="dxa"/>
            <w:shd w:val="clear" w:color="auto" w:fill="auto"/>
            <w:tcMar>
              <w:left w:w="0" w:type="dxa"/>
            </w:tcMar>
          </w:tcPr>
          <w:p w:rsidR="001125EF" w:rsidRPr="009C0696" w:rsidRDefault="00D75CB7" w:rsidP="00723435">
            <w:pPr>
              <w:pStyle w:val="Marginlie"/>
              <w:rPr>
                <w:lang w:val="en-GB"/>
              </w:rPr>
            </w:pPr>
            <w:r w:rsidRPr="009C0696">
              <w:rPr>
                <w:lang w:val="en-GB"/>
              </w:rPr>
              <w:t>ČNB continued in application of some instruments of macro-prudential policy.</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9C0696" w:rsidRDefault="008B1581" w:rsidP="00507012">
            <w:pPr>
              <w:rPr>
                <w:spacing w:val="-1"/>
                <w:lang w:val="en-GB"/>
              </w:rPr>
            </w:pPr>
            <w:r w:rsidRPr="009C0696">
              <w:rPr>
                <w:spacing w:val="-2"/>
                <w:lang w:val="en-GB"/>
              </w:rPr>
              <w:t xml:space="preserve">The announced increase of the countercyclical capital buffer </w:t>
            </w:r>
            <w:r w:rsidR="0007450F" w:rsidRPr="009C0696">
              <w:rPr>
                <w:spacing w:val="-2"/>
                <w:lang w:val="en-GB"/>
              </w:rPr>
              <w:t xml:space="preserve">occurred during the year </w:t>
            </w:r>
            <w:r w:rsidR="001125EF" w:rsidRPr="009C0696">
              <w:rPr>
                <w:spacing w:val="-2"/>
                <w:lang w:val="en-GB"/>
              </w:rPr>
              <w:t>(</w:t>
            </w:r>
            <w:r w:rsidR="00902EA5" w:rsidRPr="009C0696">
              <w:rPr>
                <w:spacing w:val="-2"/>
                <w:lang w:val="en-GB"/>
              </w:rPr>
              <w:t xml:space="preserve">starting </w:t>
            </w:r>
            <w:r w:rsidR="001125EF" w:rsidRPr="009C0696">
              <w:rPr>
                <w:spacing w:val="-2"/>
                <w:lang w:val="en-GB"/>
              </w:rPr>
              <w:t>1. 7.</w:t>
            </w:r>
            <w:r w:rsidR="00BE557B" w:rsidRPr="009C0696">
              <w:rPr>
                <w:spacing w:val="-2"/>
                <w:lang w:val="en-GB"/>
              </w:rPr>
              <w:t> </w:t>
            </w:r>
            <w:r w:rsidR="00902EA5" w:rsidRPr="009C0696">
              <w:rPr>
                <w:spacing w:val="-2"/>
                <w:lang w:val="en-GB"/>
              </w:rPr>
              <w:t xml:space="preserve">from </w:t>
            </w:r>
            <w:r w:rsidR="001125EF" w:rsidRPr="009C0696">
              <w:rPr>
                <w:spacing w:val="-2"/>
                <w:lang w:val="en-GB"/>
              </w:rPr>
              <w:t>0</w:t>
            </w:r>
            <w:r w:rsidR="00902EA5" w:rsidRPr="009C0696">
              <w:rPr>
                <w:spacing w:val="-2"/>
                <w:lang w:val="en-GB"/>
              </w:rPr>
              <w:t>.</w:t>
            </w:r>
            <w:r w:rsidR="001125EF" w:rsidRPr="009C0696">
              <w:rPr>
                <w:spacing w:val="-2"/>
                <w:lang w:val="en-GB"/>
              </w:rPr>
              <w:t xml:space="preserve">5% </w:t>
            </w:r>
            <w:r w:rsidR="00902EA5" w:rsidRPr="009C0696">
              <w:rPr>
                <w:spacing w:val="-2"/>
                <w:lang w:val="en-GB"/>
              </w:rPr>
              <w:t xml:space="preserve">to </w:t>
            </w:r>
            <w:r w:rsidR="001125EF" w:rsidRPr="009C0696">
              <w:rPr>
                <w:spacing w:val="-2"/>
                <w:lang w:val="en-GB"/>
              </w:rPr>
              <w:t>1</w:t>
            </w:r>
            <w:r w:rsidR="00902EA5" w:rsidRPr="009C0696">
              <w:rPr>
                <w:spacing w:val="-2"/>
                <w:lang w:val="en-GB"/>
              </w:rPr>
              <w:t>.</w:t>
            </w:r>
            <w:r w:rsidR="001125EF" w:rsidRPr="009C0696">
              <w:rPr>
                <w:spacing w:val="-2"/>
                <w:lang w:val="en-GB"/>
              </w:rPr>
              <w:t xml:space="preserve">0%). </w:t>
            </w:r>
            <w:r w:rsidR="0007450F" w:rsidRPr="009C0696">
              <w:rPr>
                <w:spacing w:val="-2"/>
                <w:lang w:val="en-GB"/>
              </w:rPr>
              <w:t xml:space="preserve">Growth to </w:t>
            </w:r>
            <w:r w:rsidR="001125EF" w:rsidRPr="009C0696">
              <w:rPr>
                <w:spacing w:val="-2"/>
                <w:lang w:val="en-GB"/>
              </w:rPr>
              <w:t>1</w:t>
            </w:r>
            <w:r w:rsidR="0007450F" w:rsidRPr="009C0696">
              <w:rPr>
                <w:spacing w:val="-2"/>
                <w:lang w:val="en-GB"/>
              </w:rPr>
              <w:t>.</w:t>
            </w:r>
            <w:r w:rsidR="001125EF" w:rsidRPr="009C0696">
              <w:rPr>
                <w:spacing w:val="-2"/>
                <w:lang w:val="en-GB"/>
              </w:rPr>
              <w:t xml:space="preserve">5% </w:t>
            </w:r>
            <w:r w:rsidR="0007450F" w:rsidRPr="009C0696">
              <w:rPr>
                <w:spacing w:val="-2"/>
                <w:lang w:val="en-GB"/>
              </w:rPr>
              <w:t xml:space="preserve">was newly introduced from </w:t>
            </w:r>
            <w:r w:rsidR="001125EF" w:rsidRPr="009C0696">
              <w:rPr>
                <w:spacing w:val="-2"/>
                <w:lang w:val="en-GB"/>
              </w:rPr>
              <w:t>1.</w:t>
            </w:r>
            <w:r w:rsidR="00BD59F1">
              <w:rPr>
                <w:spacing w:val="-2"/>
                <w:lang w:val="en-GB"/>
              </w:rPr>
              <w:t> </w:t>
            </w:r>
            <w:r w:rsidR="001125EF" w:rsidRPr="009C0696">
              <w:rPr>
                <w:spacing w:val="-2"/>
                <w:lang w:val="en-GB"/>
              </w:rPr>
              <w:t>7.</w:t>
            </w:r>
            <w:r w:rsidR="00BD59F1">
              <w:rPr>
                <w:spacing w:val="-2"/>
                <w:lang w:val="en-GB"/>
              </w:rPr>
              <w:t> </w:t>
            </w:r>
            <w:r w:rsidR="001125EF" w:rsidRPr="009C0696">
              <w:rPr>
                <w:spacing w:val="-2"/>
                <w:lang w:val="en-GB"/>
              </w:rPr>
              <w:t>2019 (</w:t>
            </w:r>
            <w:r w:rsidR="0007450F" w:rsidRPr="009C0696">
              <w:rPr>
                <w:spacing w:val="-2"/>
                <w:lang w:val="en-GB"/>
              </w:rPr>
              <w:t xml:space="preserve">from </w:t>
            </w:r>
            <w:r w:rsidR="001125EF" w:rsidRPr="009C0696">
              <w:rPr>
                <w:spacing w:val="-2"/>
                <w:lang w:val="en-GB"/>
              </w:rPr>
              <w:t>1</w:t>
            </w:r>
            <w:r w:rsidR="0007450F" w:rsidRPr="009C0696">
              <w:rPr>
                <w:spacing w:val="-2"/>
                <w:lang w:val="en-GB"/>
              </w:rPr>
              <w:t>.</w:t>
            </w:r>
            <w:r w:rsidR="001125EF" w:rsidRPr="009C0696">
              <w:rPr>
                <w:spacing w:val="-2"/>
                <w:lang w:val="en-GB"/>
              </w:rPr>
              <w:t xml:space="preserve">25% </w:t>
            </w:r>
            <w:r w:rsidR="0007450F" w:rsidRPr="009C0696">
              <w:rPr>
                <w:spacing w:val="-2"/>
                <w:lang w:val="en-GB"/>
              </w:rPr>
              <w:t xml:space="preserve">from </w:t>
            </w:r>
            <w:r w:rsidR="001125EF" w:rsidRPr="009C0696">
              <w:rPr>
                <w:spacing w:val="-2"/>
                <w:lang w:val="en-GB"/>
              </w:rPr>
              <w:t xml:space="preserve">1. 1. </w:t>
            </w:r>
            <w:r w:rsidR="0007450F" w:rsidRPr="009C0696">
              <w:rPr>
                <w:spacing w:val="-2"/>
                <w:lang w:val="en-GB"/>
              </w:rPr>
              <w:t>of this year</w:t>
            </w:r>
            <w:r w:rsidR="001125EF" w:rsidRPr="009C0696">
              <w:rPr>
                <w:spacing w:val="-2"/>
                <w:lang w:val="en-GB"/>
              </w:rPr>
              <w:t>) a</w:t>
            </w:r>
            <w:r w:rsidR="007F6E7E" w:rsidRPr="009C0696">
              <w:rPr>
                <w:spacing w:val="-2"/>
                <w:lang w:val="en-GB"/>
              </w:rPr>
              <w:t>nd</w:t>
            </w:r>
            <w:r w:rsidR="001125EF" w:rsidRPr="009C0696">
              <w:rPr>
                <w:spacing w:val="-2"/>
                <w:lang w:val="en-GB"/>
              </w:rPr>
              <w:t xml:space="preserve"> 1</w:t>
            </w:r>
            <w:r w:rsidR="007F6E7E" w:rsidRPr="009C0696">
              <w:rPr>
                <w:spacing w:val="-2"/>
                <w:lang w:val="en-GB"/>
              </w:rPr>
              <w:t>.</w:t>
            </w:r>
            <w:r w:rsidR="001125EF" w:rsidRPr="009C0696">
              <w:rPr>
                <w:spacing w:val="-2"/>
                <w:lang w:val="en-GB"/>
              </w:rPr>
              <w:t xml:space="preserve">75% </w:t>
            </w:r>
            <w:r w:rsidR="007F6E7E" w:rsidRPr="009C0696">
              <w:rPr>
                <w:spacing w:val="-2"/>
                <w:lang w:val="en-GB"/>
              </w:rPr>
              <w:t xml:space="preserve">from </w:t>
            </w:r>
            <w:r w:rsidR="001125EF" w:rsidRPr="009C0696">
              <w:rPr>
                <w:spacing w:val="-2"/>
                <w:lang w:val="en-GB"/>
              </w:rPr>
              <w:t xml:space="preserve">1. 1. 2020. </w:t>
            </w:r>
            <w:r w:rsidR="006F4B69" w:rsidRPr="009C0696">
              <w:rPr>
                <w:spacing w:val="-2"/>
                <w:lang w:val="en-GB"/>
              </w:rPr>
              <w:t xml:space="preserve">CNB executed the macro-prudential policy also using recommendations for the provision of mortgages </w:t>
            </w:r>
            <w:r w:rsidR="001125EF" w:rsidRPr="009C0696">
              <w:rPr>
                <w:spacing w:val="-2"/>
                <w:lang w:val="en-GB"/>
              </w:rPr>
              <w:t>(</w:t>
            </w:r>
            <w:r w:rsidR="006F4B69" w:rsidRPr="009C0696">
              <w:rPr>
                <w:spacing w:val="-2"/>
                <w:lang w:val="en-GB"/>
              </w:rPr>
              <w:t>issued in June</w:t>
            </w:r>
            <w:r w:rsidR="000B75D3" w:rsidRPr="009C0696">
              <w:rPr>
                <w:spacing w:val="-2"/>
                <w:lang w:val="en-GB"/>
              </w:rPr>
              <w:t xml:space="preserve"> 2018</w:t>
            </w:r>
            <w:r w:rsidR="001125EF" w:rsidRPr="009C0696">
              <w:rPr>
                <w:spacing w:val="-2"/>
                <w:lang w:val="en-GB"/>
              </w:rPr>
              <w:t>). N</w:t>
            </w:r>
            <w:r w:rsidR="0007450F" w:rsidRPr="009C0696">
              <w:rPr>
                <w:spacing w:val="-2"/>
                <w:lang w:val="en-GB"/>
              </w:rPr>
              <w:t xml:space="preserve">ewly loans above 90% </w:t>
            </w:r>
            <w:r w:rsidR="00C82778" w:rsidRPr="009C0696">
              <w:rPr>
                <w:spacing w:val="-2"/>
                <w:lang w:val="en-GB"/>
              </w:rPr>
              <w:t xml:space="preserve">of the value of the real estate purchased (LTV) </w:t>
            </w:r>
            <w:r w:rsidR="0007450F" w:rsidRPr="009C0696">
              <w:rPr>
                <w:spacing w:val="-2"/>
                <w:lang w:val="en-GB"/>
              </w:rPr>
              <w:t>should not be provided</w:t>
            </w:r>
            <w:r w:rsidR="00C82778" w:rsidRPr="009C0696">
              <w:rPr>
                <w:spacing w:val="-2"/>
                <w:lang w:val="en-GB"/>
              </w:rPr>
              <w:t>. At the same time, the banks should limit the proportion of loans with</w:t>
            </w:r>
            <w:r w:rsidR="00A22E10" w:rsidRPr="009C0696">
              <w:rPr>
                <w:spacing w:val="-2"/>
                <w:lang w:val="en-GB"/>
              </w:rPr>
              <w:t xml:space="preserve"> LTV between </w:t>
            </w:r>
            <w:r w:rsidR="001125EF" w:rsidRPr="009C0696">
              <w:rPr>
                <w:spacing w:val="-2"/>
                <w:lang w:val="en-GB"/>
              </w:rPr>
              <w:t>80 a</w:t>
            </w:r>
            <w:r w:rsidR="00A22E10" w:rsidRPr="009C0696">
              <w:rPr>
                <w:spacing w:val="-2"/>
                <w:lang w:val="en-GB"/>
              </w:rPr>
              <w:t>nd</w:t>
            </w:r>
            <w:r w:rsidR="001125EF" w:rsidRPr="009C0696">
              <w:rPr>
                <w:spacing w:val="-2"/>
                <w:lang w:val="en-GB"/>
              </w:rPr>
              <w:t xml:space="preserve"> 90% </w:t>
            </w:r>
            <w:r w:rsidR="00A22E10" w:rsidRPr="009C0696">
              <w:rPr>
                <w:spacing w:val="-2"/>
                <w:lang w:val="en-GB"/>
              </w:rPr>
              <w:t xml:space="preserve">to </w:t>
            </w:r>
            <w:r w:rsidR="001125EF" w:rsidRPr="009C0696">
              <w:rPr>
                <w:spacing w:val="-2"/>
                <w:lang w:val="en-GB"/>
              </w:rPr>
              <w:t xml:space="preserve">15% </w:t>
            </w:r>
            <w:r w:rsidR="00A22E10" w:rsidRPr="009C0696">
              <w:rPr>
                <w:spacing w:val="-2"/>
                <w:lang w:val="en-GB"/>
              </w:rPr>
              <w:t xml:space="preserve">of all provided loans. Further, it was accompanied by a recommendation, that the total indebtedness of a client </w:t>
            </w:r>
            <w:r w:rsidR="00507012" w:rsidRPr="009C0696">
              <w:rPr>
                <w:spacing w:val="-2"/>
                <w:lang w:val="en-GB"/>
              </w:rPr>
              <w:t xml:space="preserve">does not exceed the nine fold of their yearly income and the yearly cost of serving the loan were not higher than 40% of their annual income. </w:t>
            </w:r>
            <w:r w:rsidR="001125EF" w:rsidRPr="009C0696">
              <w:rPr>
                <w:spacing w:val="-2"/>
                <w:lang w:val="en-GB"/>
              </w:rPr>
              <w:t xml:space="preserve">  </w:t>
            </w:r>
          </w:p>
        </w:tc>
      </w:tr>
      <w:tr w:rsidR="001125EF" w:rsidRPr="009C0696" w:rsidTr="001125EF">
        <w:trPr>
          <w:trHeight w:val="145"/>
        </w:trPr>
        <w:tc>
          <w:tcPr>
            <w:tcW w:w="1888" w:type="dxa"/>
            <w:shd w:val="clear" w:color="auto" w:fill="auto"/>
            <w:tcMar>
              <w:left w:w="0" w:type="dxa"/>
            </w:tcMar>
          </w:tcPr>
          <w:p w:rsidR="001125EF" w:rsidRPr="009C0696" w:rsidRDefault="000D2EB3" w:rsidP="00637C3D">
            <w:pPr>
              <w:pStyle w:val="Marginlie"/>
              <w:rPr>
                <w:lang w:val="en-GB"/>
              </w:rPr>
            </w:pPr>
            <w:r w:rsidRPr="009C0696">
              <w:rPr>
                <w:lang w:val="en-GB"/>
              </w:rPr>
              <w:t xml:space="preserve">Gradually the </w:t>
            </w:r>
            <w:r w:rsidR="009C0696" w:rsidRPr="009C0696">
              <w:rPr>
                <w:lang w:val="en-GB"/>
              </w:rPr>
              <w:t>interbank</w:t>
            </w:r>
            <w:r w:rsidR="009C0696">
              <w:rPr>
                <w:lang w:val="en-GB"/>
              </w:rPr>
              <w:t xml:space="preserve"> </w:t>
            </w:r>
            <w:r w:rsidR="009C0696" w:rsidRPr="009C0696">
              <w:rPr>
                <w:lang w:val="en-GB"/>
              </w:rPr>
              <w:t>rates</w:t>
            </w:r>
            <w:r w:rsidR="00637C3D" w:rsidRPr="009C0696">
              <w:rPr>
                <w:lang w:val="en-GB"/>
              </w:rPr>
              <w:t xml:space="preserve"> also grew. </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9C0696" w:rsidRDefault="00507012" w:rsidP="009F74E1">
            <w:pPr>
              <w:rPr>
                <w:spacing w:val="-1"/>
                <w:lang w:val="en-GB"/>
              </w:rPr>
            </w:pPr>
            <w:r w:rsidRPr="009C0696">
              <w:rPr>
                <w:spacing w:val="-1"/>
                <w:lang w:val="en-GB"/>
              </w:rPr>
              <w:t xml:space="preserve">Every increase of the monetary policy-relevant interest rate also led to the growth of the interest rates on financial markets. </w:t>
            </w:r>
            <w:r w:rsidR="004A1C10" w:rsidRPr="009C0696">
              <w:rPr>
                <w:spacing w:val="-1"/>
                <w:lang w:val="en-GB"/>
              </w:rPr>
              <w:t xml:space="preserve">The three-month </w:t>
            </w:r>
            <w:r w:rsidR="001125EF" w:rsidRPr="009C0696">
              <w:rPr>
                <w:spacing w:val="-1"/>
                <w:lang w:val="en-GB"/>
              </w:rPr>
              <w:t>PRIBOR</w:t>
            </w:r>
            <w:r w:rsidR="004A1C10" w:rsidRPr="009C0696">
              <w:rPr>
                <w:spacing w:val="-1"/>
                <w:lang w:val="en-GB"/>
              </w:rPr>
              <w:t xml:space="preserve"> rate rose by 1.26 p.p. in the course of the last year </w:t>
            </w:r>
            <w:r w:rsidR="001125EF" w:rsidRPr="009C0696">
              <w:rPr>
                <w:spacing w:val="-1"/>
                <w:lang w:val="en-GB"/>
              </w:rPr>
              <w:t>(</w:t>
            </w:r>
            <w:r w:rsidR="004A1C10" w:rsidRPr="009C0696">
              <w:rPr>
                <w:spacing w:val="-1"/>
                <w:lang w:val="en-GB"/>
              </w:rPr>
              <w:t xml:space="preserve">to </w:t>
            </w:r>
            <w:r w:rsidR="001125EF" w:rsidRPr="009C0696">
              <w:rPr>
                <w:spacing w:val="-1"/>
                <w:lang w:val="en-GB"/>
              </w:rPr>
              <w:t>2</w:t>
            </w:r>
            <w:r w:rsidR="004A1C10" w:rsidRPr="009C0696">
              <w:rPr>
                <w:spacing w:val="-1"/>
                <w:lang w:val="en-GB"/>
              </w:rPr>
              <w:t>.</w:t>
            </w:r>
            <w:r w:rsidR="001125EF" w:rsidRPr="009C0696">
              <w:rPr>
                <w:spacing w:val="-1"/>
                <w:lang w:val="en-GB"/>
              </w:rPr>
              <w:t xml:space="preserve">01% </w:t>
            </w:r>
            <w:r w:rsidR="004A1C10" w:rsidRPr="009C0696">
              <w:rPr>
                <w:spacing w:val="-1"/>
                <w:lang w:val="en-GB"/>
              </w:rPr>
              <w:t xml:space="preserve">as of </w:t>
            </w:r>
            <w:r w:rsidR="001125EF" w:rsidRPr="009C0696">
              <w:rPr>
                <w:spacing w:val="-1"/>
                <w:lang w:val="en-GB"/>
              </w:rPr>
              <w:t xml:space="preserve">31. 12.). </w:t>
            </w:r>
            <w:r w:rsidR="004A1C10" w:rsidRPr="009C0696">
              <w:rPr>
                <w:spacing w:val="-1"/>
                <w:lang w:val="en-GB"/>
              </w:rPr>
              <w:t xml:space="preserve">Yields of the Czech state bonds also recorded a growth, mostly the short-term </w:t>
            </w:r>
            <w:r w:rsidR="001125EF" w:rsidRPr="009C0696">
              <w:rPr>
                <w:spacing w:val="-1"/>
                <w:lang w:val="en-GB"/>
              </w:rPr>
              <w:t>(+1</w:t>
            </w:r>
            <w:r w:rsidR="004A1C10" w:rsidRPr="009C0696">
              <w:rPr>
                <w:spacing w:val="-1"/>
                <w:lang w:val="en-GB"/>
              </w:rPr>
              <w:t>.</w:t>
            </w:r>
            <w:r w:rsidR="001125EF" w:rsidRPr="009C0696">
              <w:rPr>
                <w:spacing w:val="-1"/>
                <w:lang w:val="en-GB"/>
              </w:rPr>
              <w:t>33 p.</w:t>
            </w:r>
            <w:r w:rsidR="004A1C10" w:rsidRPr="009C0696">
              <w:rPr>
                <w:spacing w:val="-1"/>
                <w:lang w:val="en-GB"/>
              </w:rPr>
              <w:t>p.</w:t>
            </w:r>
            <w:r w:rsidR="001125EF" w:rsidRPr="009C0696">
              <w:rPr>
                <w:spacing w:val="-1"/>
                <w:lang w:val="en-GB"/>
              </w:rPr>
              <w:t xml:space="preserve">). </w:t>
            </w:r>
            <w:r w:rsidR="009F74E1" w:rsidRPr="009C0696">
              <w:rPr>
                <w:spacing w:val="-1"/>
                <w:lang w:val="en-GB"/>
              </w:rPr>
              <w:t xml:space="preserve">Bonds with ten-year maturity featured yields by 0.51 p.p. higher at the end of year 2018 than in December </w:t>
            </w:r>
            <w:r w:rsidR="001125EF" w:rsidRPr="009C0696">
              <w:rPr>
                <w:spacing w:val="-1"/>
                <w:lang w:val="en-GB"/>
              </w:rPr>
              <w:t xml:space="preserve">2017. </w:t>
            </w:r>
            <w:r w:rsidR="009F74E1" w:rsidRPr="009C0696">
              <w:rPr>
                <w:spacing w:val="-1"/>
                <w:lang w:val="en-GB"/>
              </w:rPr>
              <w:t xml:space="preserve">Rates however peaked in Q3 and gradually plummeted in Q4. Described development was valid for all bonds in the euro area. Even </w:t>
            </w:r>
            <w:proofErr w:type="gramStart"/>
            <w:r w:rsidR="009F74E1" w:rsidRPr="009C0696">
              <w:rPr>
                <w:spacing w:val="-1"/>
                <w:lang w:val="en-GB"/>
              </w:rPr>
              <w:t>here</w:t>
            </w:r>
            <w:proofErr w:type="gramEnd"/>
            <w:r w:rsidR="009F74E1" w:rsidRPr="009C0696">
              <w:rPr>
                <w:spacing w:val="-1"/>
                <w:lang w:val="en-GB"/>
              </w:rPr>
              <w:t xml:space="preserve"> however the December level of yields was higher than in the previous year. </w:t>
            </w:r>
            <w:r w:rsidR="001125EF" w:rsidRPr="009C0696">
              <w:rPr>
                <w:spacing w:val="-1"/>
                <w:lang w:val="en-GB"/>
              </w:rPr>
              <w:t xml:space="preserve">  </w:t>
            </w:r>
          </w:p>
        </w:tc>
      </w:tr>
      <w:tr w:rsidR="001125EF" w:rsidRPr="009C0696" w:rsidTr="001125EF">
        <w:trPr>
          <w:trHeight w:val="145"/>
        </w:trPr>
        <w:tc>
          <w:tcPr>
            <w:tcW w:w="1888" w:type="dxa"/>
            <w:shd w:val="clear" w:color="auto" w:fill="auto"/>
            <w:tcMar>
              <w:left w:w="0" w:type="dxa"/>
            </w:tcMar>
          </w:tcPr>
          <w:p w:rsidR="001125EF" w:rsidRPr="009C0696" w:rsidRDefault="003944BD" w:rsidP="0002047B">
            <w:pPr>
              <w:pStyle w:val="Marginlie"/>
              <w:rPr>
                <w:lang w:val="en-GB"/>
              </w:rPr>
            </w:pPr>
            <w:r w:rsidRPr="009C0696">
              <w:rPr>
                <w:lang w:val="en-GB"/>
              </w:rPr>
              <w:t xml:space="preserve">Interest rates on current accounts </w:t>
            </w:r>
            <w:r w:rsidR="0002047B" w:rsidRPr="009C0696">
              <w:rPr>
                <w:lang w:val="en-GB"/>
              </w:rPr>
              <w:t xml:space="preserve">bounced back </w:t>
            </w:r>
            <w:r w:rsidRPr="009C0696">
              <w:rPr>
                <w:lang w:val="en-GB"/>
              </w:rPr>
              <w:t xml:space="preserve">especially towards the end of the year. </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9C0696" w:rsidRDefault="003944BD" w:rsidP="00382CDE">
            <w:pPr>
              <w:spacing w:after="360"/>
              <w:rPr>
                <w:spacing w:val="-3"/>
                <w:lang w:val="en-GB"/>
              </w:rPr>
            </w:pPr>
            <w:r w:rsidRPr="009C0696">
              <w:rPr>
                <w:spacing w:val="-3"/>
                <w:lang w:val="en-GB"/>
              </w:rPr>
              <w:t xml:space="preserve">Relatively </w:t>
            </w:r>
            <w:r w:rsidR="003F2481" w:rsidRPr="009C0696">
              <w:rPr>
                <w:spacing w:val="-3"/>
                <w:lang w:val="en-GB"/>
              </w:rPr>
              <w:t xml:space="preserve">fast growth of the monetary policy-relevant interest rates </w:t>
            </w:r>
            <w:r w:rsidRPr="009C0696">
              <w:rPr>
                <w:spacing w:val="-3"/>
                <w:lang w:val="en-GB"/>
              </w:rPr>
              <w:t xml:space="preserve">was with various intensity mirrored </w:t>
            </w:r>
            <w:r w:rsidR="003F2481" w:rsidRPr="009C0696">
              <w:rPr>
                <w:spacing w:val="-3"/>
                <w:lang w:val="en-GB"/>
              </w:rPr>
              <w:t xml:space="preserve">also in the client interest rates last year. </w:t>
            </w:r>
            <w:r w:rsidR="001B7AA5" w:rsidRPr="009C0696">
              <w:rPr>
                <w:spacing w:val="-3"/>
                <w:lang w:val="en-GB"/>
              </w:rPr>
              <w:t>For current accounts, the rates remained at a very low level, even though</w:t>
            </w:r>
            <w:r w:rsidR="00136BFB" w:rsidRPr="009C0696">
              <w:rPr>
                <w:spacing w:val="-3"/>
                <w:lang w:val="en-GB"/>
              </w:rPr>
              <w:t xml:space="preserve"> a negligible growth of the average level </w:t>
            </w:r>
            <w:r w:rsidR="000E5632" w:rsidRPr="009C0696">
              <w:rPr>
                <w:spacing w:val="-3"/>
                <w:lang w:val="en-GB"/>
              </w:rPr>
              <w:t xml:space="preserve">in the order of hundredths did manifest </w:t>
            </w:r>
            <w:r w:rsidR="001125EF" w:rsidRPr="009C0696">
              <w:rPr>
                <w:spacing w:val="-3"/>
                <w:lang w:val="en-GB"/>
              </w:rPr>
              <w:t>(</w:t>
            </w:r>
            <w:r w:rsidR="00941CD3" w:rsidRPr="009C0696">
              <w:rPr>
                <w:spacing w:val="-3"/>
                <w:lang w:val="en-GB"/>
              </w:rPr>
              <w:t>the most between Q3 and 4</w:t>
            </w:r>
            <w:r w:rsidR="001125EF" w:rsidRPr="009C0696">
              <w:rPr>
                <w:spacing w:val="-3"/>
                <w:lang w:val="en-GB"/>
              </w:rPr>
              <w:t xml:space="preserve">). </w:t>
            </w:r>
            <w:r w:rsidR="006D3CD4" w:rsidRPr="009C0696">
              <w:rPr>
                <w:spacing w:val="-3"/>
                <w:lang w:val="en-GB"/>
              </w:rPr>
              <w:t xml:space="preserve">For households it posed the first rise since year </w:t>
            </w:r>
            <w:r w:rsidR="001125EF" w:rsidRPr="009C0696">
              <w:rPr>
                <w:spacing w:val="-3"/>
                <w:lang w:val="en-GB"/>
              </w:rPr>
              <w:t xml:space="preserve">2012, </w:t>
            </w:r>
            <w:r w:rsidR="006D3CD4" w:rsidRPr="009C0696">
              <w:rPr>
                <w:spacing w:val="-3"/>
                <w:lang w:val="en-GB"/>
              </w:rPr>
              <w:t xml:space="preserve">in case of non-financial businesses it was similar </w:t>
            </w:r>
            <w:r w:rsidR="001125EF" w:rsidRPr="009C0696">
              <w:rPr>
                <w:spacing w:val="-3"/>
                <w:lang w:val="en-GB"/>
              </w:rPr>
              <w:t>(</w:t>
            </w:r>
            <w:r w:rsidR="006D3CD4" w:rsidRPr="009C0696">
              <w:rPr>
                <w:spacing w:val="-3"/>
                <w:lang w:val="en-GB"/>
              </w:rPr>
              <w:t>a series of falls was interrupted in Q</w:t>
            </w:r>
            <w:r w:rsidR="001125EF" w:rsidRPr="009C0696">
              <w:rPr>
                <w:spacing w:val="-3"/>
                <w:lang w:val="en-GB"/>
              </w:rPr>
              <w:t>1</w:t>
            </w:r>
            <w:r w:rsidR="006D3CD4" w:rsidRPr="009C0696">
              <w:rPr>
                <w:spacing w:val="-3"/>
                <w:lang w:val="en-GB"/>
              </w:rPr>
              <w:t xml:space="preserve"> </w:t>
            </w:r>
            <w:r w:rsidR="001125EF" w:rsidRPr="009C0696">
              <w:rPr>
                <w:spacing w:val="-3"/>
                <w:lang w:val="en-GB"/>
              </w:rPr>
              <w:t xml:space="preserve">2014). </w:t>
            </w:r>
            <w:r w:rsidR="007C7BE4" w:rsidRPr="009C0696">
              <w:rPr>
                <w:spacing w:val="-3"/>
                <w:lang w:val="en-GB"/>
              </w:rPr>
              <w:t xml:space="preserve">Interest rates on deposits with agreed maturity grew more noticeably. For households they increased by </w:t>
            </w:r>
            <w:r w:rsidR="001125EF" w:rsidRPr="009C0696">
              <w:rPr>
                <w:spacing w:val="-3"/>
                <w:lang w:val="en-GB"/>
              </w:rPr>
              <w:t>0</w:t>
            </w:r>
            <w:r w:rsidR="007C7BE4" w:rsidRPr="009C0696">
              <w:rPr>
                <w:spacing w:val="-3"/>
                <w:lang w:val="en-GB"/>
              </w:rPr>
              <w:t>.</w:t>
            </w:r>
            <w:r w:rsidR="001125EF" w:rsidRPr="009C0696">
              <w:rPr>
                <w:spacing w:val="-3"/>
                <w:lang w:val="en-GB"/>
              </w:rPr>
              <w:t>69 p.</w:t>
            </w:r>
            <w:r w:rsidR="007C7BE4" w:rsidRPr="009C0696">
              <w:rPr>
                <w:spacing w:val="-3"/>
                <w:lang w:val="en-GB"/>
              </w:rPr>
              <w:t xml:space="preserve">p. during the year to </w:t>
            </w:r>
            <w:r w:rsidR="001125EF" w:rsidRPr="009C0696">
              <w:rPr>
                <w:spacing w:val="-3"/>
                <w:lang w:val="en-GB"/>
              </w:rPr>
              <w:t>1</w:t>
            </w:r>
            <w:r w:rsidR="007C7BE4" w:rsidRPr="009C0696">
              <w:rPr>
                <w:spacing w:val="-3"/>
                <w:lang w:val="en-GB"/>
              </w:rPr>
              <w:t>.</w:t>
            </w:r>
            <w:r w:rsidR="001125EF" w:rsidRPr="009C0696">
              <w:rPr>
                <w:spacing w:val="-3"/>
                <w:lang w:val="en-GB"/>
              </w:rPr>
              <w:t>35%</w:t>
            </w:r>
            <w:r w:rsidR="007C7BE4" w:rsidRPr="009C0696">
              <w:rPr>
                <w:spacing w:val="-3"/>
                <w:lang w:val="en-GB"/>
              </w:rPr>
              <w:t xml:space="preserve"> as of </w:t>
            </w:r>
            <w:r w:rsidR="001125EF" w:rsidRPr="009C0696">
              <w:rPr>
                <w:spacing w:val="-3"/>
                <w:lang w:val="en-GB"/>
              </w:rPr>
              <w:t xml:space="preserve">31. 12., </w:t>
            </w:r>
            <w:r w:rsidR="007C7BE4" w:rsidRPr="009C0696">
              <w:rPr>
                <w:spacing w:val="-3"/>
                <w:lang w:val="en-GB"/>
              </w:rPr>
              <w:t xml:space="preserve">for non-financial businesses they increased to </w:t>
            </w:r>
            <w:r w:rsidR="001125EF" w:rsidRPr="009C0696">
              <w:rPr>
                <w:spacing w:val="-3"/>
                <w:lang w:val="en-GB"/>
              </w:rPr>
              <w:t>1</w:t>
            </w:r>
            <w:r w:rsidR="007C7BE4" w:rsidRPr="009C0696">
              <w:rPr>
                <w:spacing w:val="-3"/>
                <w:lang w:val="en-GB"/>
              </w:rPr>
              <w:t>.</w:t>
            </w:r>
            <w:r w:rsidR="001125EF" w:rsidRPr="009C0696">
              <w:rPr>
                <w:spacing w:val="-3"/>
                <w:lang w:val="en-GB"/>
              </w:rPr>
              <w:t xml:space="preserve">23% </w:t>
            </w:r>
            <w:r w:rsidR="007C7BE4" w:rsidRPr="009C0696">
              <w:rPr>
                <w:spacing w:val="-3"/>
                <w:lang w:val="en-GB"/>
              </w:rPr>
              <w:t>towards the end of the year</w:t>
            </w:r>
            <w:r w:rsidR="001125EF" w:rsidRPr="009C0696">
              <w:rPr>
                <w:spacing w:val="-3"/>
                <w:lang w:val="en-GB"/>
              </w:rPr>
              <w:t xml:space="preserve">. </w:t>
            </w:r>
            <w:r w:rsidR="00031BDF" w:rsidRPr="009C0696">
              <w:rPr>
                <w:spacing w:val="-3"/>
                <w:lang w:val="en-GB"/>
              </w:rPr>
              <w:t xml:space="preserve">Both sectors recorded a larger addition only in the second half of the year. Growth of rates on the term deposits also altered the dynamics of the money stock. </w:t>
            </w:r>
            <w:r w:rsidR="005A1F58" w:rsidRPr="009C0696">
              <w:rPr>
                <w:spacing w:val="-3"/>
                <w:lang w:val="en-GB"/>
              </w:rPr>
              <w:t xml:space="preserve">The year-on-year growth of the volume of currency and current deposits markedly slowed down last year. On the other hand, the volume of deposits with agreed maturity rose sharply </w:t>
            </w:r>
            <w:r w:rsidR="001125EF" w:rsidRPr="009C0696">
              <w:rPr>
                <w:spacing w:val="-3"/>
                <w:lang w:val="en-GB"/>
              </w:rPr>
              <w:t>(</w:t>
            </w:r>
            <w:r w:rsidR="005A1F58" w:rsidRPr="009C0696">
              <w:rPr>
                <w:spacing w:val="-3"/>
                <w:lang w:val="en-GB"/>
              </w:rPr>
              <w:t xml:space="preserve">by </w:t>
            </w:r>
            <w:r w:rsidR="001125EF" w:rsidRPr="009C0696">
              <w:rPr>
                <w:spacing w:val="-3"/>
                <w:lang w:val="en-GB"/>
              </w:rPr>
              <w:t>51</w:t>
            </w:r>
            <w:r w:rsidR="005A1F58" w:rsidRPr="009C0696">
              <w:rPr>
                <w:spacing w:val="-3"/>
                <w:lang w:val="en-GB"/>
              </w:rPr>
              <w:t>.</w:t>
            </w:r>
            <w:r w:rsidR="001125EF" w:rsidRPr="009C0696">
              <w:rPr>
                <w:spacing w:val="-3"/>
                <w:lang w:val="en-GB"/>
              </w:rPr>
              <w:t>3</w:t>
            </w:r>
            <w:r w:rsidR="005A1F58" w:rsidRPr="009C0696">
              <w:rPr>
                <w:spacing w:val="-3"/>
                <w:lang w:val="en-GB"/>
              </w:rPr>
              <w:t xml:space="preserve"> bn between Q1 2018 and Q4 2017</w:t>
            </w:r>
            <w:r w:rsidR="001125EF" w:rsidRPr="009C0696">
              <w:rPr>
                <w:spacing w:val="-3"/>
                <w:lang w:val="en-GB"/>
              </w:rPr>
              <w:t>, 32</w:t>
            </w:r>
            <w:r w:rsidR="005A1F58" w:rsidRPr="009C0696">
              <w:rPr>
                <w:spacing w:val="-3"/>
                <w:lang w:val="en-GB"/>
              </w:rPr>
              <w:t>.</w:t>
            </w:r>
            <w:r w:rsidR="001125EF" w:rsidRPr="009C0696">
              <w:rPr>
                <w:spacing w:val="-3"/>
                <w:lang w:val="en-GB"/>
              </w:rPr>
              <w:t xml:space="preserve">2%). </w:t>
            </w:r>
            <w:r w:rsidR="00B5649D" w:rsidRPr="009C0696">
              <w:rPr>
                <w:spacing w:val="-3"/>
                <w:lang w:val="en-GB"/>
              </w:rPr>
              <w:t xml:space="preserve">The new level was more or less maintained during the year. </w:t>
            </w:r>
            <w:r w:rsidR="005A1F58" w:rsidRPr="009C0696">
              <w:rPr>
                <w:spacing w:val="-3"/>
                <w:lang w:val="en-GB"/>
              </w:rPr>
              <w:t xml:space="preserve">Considerable growth of the volume of tradeable instruments continued </w:t>
            </w:r>
            <w:r w:rsidR="001125EF" w:rsidRPr="009C0696">
              <w:rPr>
                <w:spacing w:val="-3"/>
                <w:lang w:val="en-GB"/>
              </w:rPr>
              <w:t>(</w:t>
            </w:r>
            <w:r w:rsidR="005A1F58" w:rsidRPr="009C0696">
              <w:rPr>
                <w:spacing w:val="-3"/>
                <w:lang w:val="en-GB"/>
              </w:rPr>
              <w:t xml:space="preserve">while this item reached volume of 17.3 CZK bn at the end of year </w:t>
            </w:r>
            <w:r w:rsidR="001125EF" w:rsidRPr="009C0696">
              <w:rPr>
                <w:spacing w:val="-3"/>
                <w:lang w:val="en-GB"/>
              </w:rPr>
              <w:t>2016</w:t>
            </w:r>
            <w:r w:rsidR="005A1F58" w:rsidRPr="009C0696">
              <w:rPr>
                <w:spacing w:val="-3"/>
                <w:lang w:val="en-GB"/>
              </w:rPr>
              <w:t xml:space="preserve">, it was 120.1 </w:t>
            </w:r>
            <w:proofErr w:type="spellStart"/>
            <w:r w:rsidR="005A1F58" w:rsidRPr="009C0696">
              <w:rPr>
                <w:spacing w:val="-3"/>
                <w:lang w:val="en-GB"/>
              </w:rPr>
              <w:t>bn</w:t>
            </w:r>
            <w:proofErr w:type="spellEnd"/>
            <w:r w:rsidR="005A1F58" w:rsidRPr="009C0696">
              <w:rPr>
                <w:spacing w:val="-3"/>
                <w:lang w:val="en-GB"/>
              </w:rPr>
              <w:t xml:space="preserve"> in December </w:t>
            </w:r>
            <w:r w:rsidR="001125EF" w:rsidRPr="009C0696">
              <w:rPr>
                <w:spacing w:val="-3"/>
                <w:lang w:val="en-GB"/>
              </w:rPr>
              <w:t>2018).</w:t>
            </w:r>
          </w:p>
        </w:tc>
      </w:tr>
      <w:tr w:rsidR="001125EF" w:rsidRPr="009C0696" w:rsidTr="001125EF">
        <w:trPr>
          <w:trHeight w:val="145"/>
        </w:trPr>
        <w:tc>
          <w:tcPr>
            <w:tcW w:w="1888" w:type="dxa"/>
            <w:shd w:val="clear" w:color="auto" w:fill="auto"/>
            <w:tcMar>
              <w:left w:w="0" w:type="dxa"/>
            </w:tcMar>
          </w:tcPr>
          <w:p w:rsidR="001125EF" w:rsidRPr="009C0696" w:rsidRDefault="00EC1A2B" w:rsidP="00EC1A2B">
            <w:pPr>
              <w:pStyle w:val="Marginlie"/>
              <w:rPr>
                <w:lang w:val="en-GB"/>
              </w:rPr>
            </w:pPr>
            <w:r w:rsidRPr="009C0696">
              <w:rPr>
                <w:lang w:val="en-GB"/>
              </w:rPr>
              <w:lastRenderedPageBreak/>
              <w:t xml:space="preserve">Interest rates on credit for households and non-financial businesses did not avoid growth. </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9C0696" w:rsidRDefault="009A3E7C" w:rsidP="001204EB">
            <w:pPr>
              <w:rPr>
                <w:lang w:val="en-GB"/>
              </w:rPr>
            </w:pPr>
            <w:r w:rsidRPr="009C0696">
              <w:rPr>
                <w:lang w:val="en-GB"/>
              </w:rPr>
              <w:t xml:space="preserve">Average interest rate </w:t>
            </w:r>
            <w:r w:rsidR="00DE3B58" w:rsidRPr="009C0696">
              <w:rPr>
                <w:lang w:val="en-GB"/>
              </w:rPr>
              <w:t xml:space="preserve">of credit for households settled at 4.27% at the end of the last year. Consumer credit had on average assigned interest of 8.63% as of </w:t>
            </w:r>
            <w:r w:rsidR="001125EF" w:rsidRPr="009C0696">
              <w:rPr>
                <w:lang w:val="en-GB"/>
              </w:rPr>
              <w:t>31. 12</w:t>
            </w:r>
            <w:r w:rsidR="00DE3B58" w:rsidRPr="009C0696">
              <w:rPr>
                <w:lang w:val="en-GB"/>
              </w:rPr>
              <w:t xml:space="preserve">., their rate grew for the first time since </w:t>
            </w:r>
            <w:r w:rsidR="001125EF" w:rsidRPr="009C0696">
              <w:rPr>
                <w:lang w:val="en-GB"/>
              </w:rPr>
              <w:t>2014 (</w:t>
            </w:r>
            <w:r w:rsidR="00574552" w:rsidRPr="009C0696">
              <w:rPr>
                <w:lang w:val="en-GB"/>
              </w:rPr>
              <w:t xml:space="preserve">decrease continued only for loans with rates fixed up to one year). </w:t>
            </w:r>
            <w:r w:rsidR="00DE3B58" w:rsidRPr="009C0696">
              <w:rPr>
                <w:lang w:val="en-GB"/>
              </w:rPr>
              <w:t xml:space="preserve">Average interest on </w:t>
            </w:r>
            <w:r w:rsidR="00574552" w:rsidRPr="009C0696">
              <w:rPr>
                <w:lang w:val="en-GB"/>
              </w:rPr>
              <w:t xml:space="preserve">loans for purchasing a new housing real estate climbed to </w:t>
            </w:r>
            <w:r w:rsidR="001125EF" w:rsidRPr="009C0696">
              <w:rPr>
                <w:lang w:val="en-GB"/>
              </w:rPr>
              <w:t>2</w:t>
            </w:r>
            <w:r w:rsidR="00574552" w:rsidRPr="009C0696">
              <w:rPr>
                <w:lang w:val="en-GB"/>
              </w:rPr>
              <w:t>.</w:t>
            </w:r>
            <w:r w:rsidR="001125EF" w:rsidRPr="009C0696">
              <w:rPr>
                <w:lang w:val="en-GB"/>
              </w:rPr>
              <w:t>92%</w:t>
            </w:r>
            <w:r w:rsidR="00574552" w:rsidRPr="009C0696">
              <w:rPr>
                <w:lang w:val="en-GB"/>
              </w:rPr>
              <w:t xml:space="preserve"> at the end of the year</w:t>
            </w:r>
            <w:r w:rsidR="001125EF" w:rsidRPr="009C0696">
              <w:rPr>
                <w:lang w:val="en-GB"/>
              </w:rPr>
              <w:t xml:space="preserve">. </w:t>
            </w:r>
            <w:r w:rsidR="00657C02" w:rsidRPr="009C0696">
              <w:rPr>
                <w:lang w:val="en-GB"/>
              </w:rPr>
              <w:t xml:space="preserve">During the year, the rate was expanding relatively slowly, larger increase manifested only in Q4, specifically for all terms of fixed rate. The loans for non-financial businesses went up in price quite vigorously. </w:t>
            </w:r>
            <w:r w:rsidR="001204EB" w:rsidRPr="009C0696">
              <w:rPr>
                <w:lang w:val="en-GB"/>
              </w:rPr>
              <w:t xml:space="preserve">Interest on loans up to 7.5 mil was 4.13% towards the end of year </w:t>
            </w:r>
            <w:r w:rsidR="001125EF" w:rsidRPr="009C0696">
              <w:rPr>
                <w:lang w:val="en-GB"/>
              </w:rPr>
              <w:t>2018</w:t>
            </w:r>
            <w:r w:rsidR="001204EB" w:rsidRPr="009C0696">
              <w:rPr>
                <w:lang w:val="en-GB"/>
              </w:rPr>
              <w:t xml:space="preserve"> </w:t>
            </w:r>
            <w:r w:rsidR="001125EF" w:rsidRPr="009C0696">
              <w:rPr>
                <w:lang w:val="en-GB"/>
              </w:rPr>
              <w:t>(</w:t>
            </w:r>
            <w:r w:rsidR="001204EB" w:rsidRPr="009C0696">
              <w:rPr>
                <w:lang w:val="en-GB"/>
              </w:rPr>
              <w:t xml:space="preserve">year-on-year growth by </w:t>
            </w:r>
            <w:r w:rsidR="001125EF" w:rsidRPr="009C0696">
              <w:rPr>
                <w:lang w:val="en-GB"/>
              </w:rPr>
              <w:t>0</w:t>
            </w:r>
            <w:r w:rsidR="001204EB" w:rsidRPr="009C0696">
              <w:rPr>
                <w:lang w:val="en-GB"/>
              </w:rPr>
              <w:t>.</w:t>
            </w:r>
            <w:r w:rsidR="001125EF" w:rsidRPr="009C0696">
              <w:rPr>
                <w:lang w:val="en-GB"/>
              </w:rPr>
              <w:t>81 p.</w:t>
            </w:r>
            <w:r w:rsidR="001204EB" w:rsidRPr="009C0696">
              <w:rPr>
                <w:lang w:val="en-GB"/>
              </w:rPr>
              <w:t>p.</w:t>
            </w:r>
            <w:r w:rsidR="001125EF" w:rsidRPr="009C0696">
              <w:rPr>
                <w:lang w:val="en-GB"/>
              </w:rPr>
              <w:t xml:space="preserve">), </w:t>
            </w:r>
            <w:r w:rsidR="001204EB" w:rsidRPr="009C0696">
              <w:rPr>
                <w:lang w:val="en-GB"/>
              </w:rPr>
              <w:t xml:space="preserve">loans between </w:t>
            </w:r>
            <w:r w:rsidR="001125EF" w:rsidRPr="009C0696">
              <w:rPr>
                <w:lang w:val="en-GB"/>
              </w:rPr>
              <w:t>7</w:t>
            </w:r>
            <w:r w:rsidR="001204EB" w:rsidRPr="009C0696">
              <w:rPr>
                <w:lang w:val="en-GB"/>
              </w:rPr>
              <w:t>.</w:t>
            </w:r>
            <w:r w:rsidR="001125EF" w:rsidRPr="009C0696">
              <w:rPr>
                <w:lang w:val="en-GB"/>
              </w:rPr>
              <w:t>5 a</w:t>
            </w:r>
            <w:r w:rsidR="001204EB" w:rsidRPr="009C0696">
              <w:rPr>
                <w:lang w:val="en-GB"/>
              </w:rPr>
              <w:t>nd</w:t>
            </w:r>
            <w:r w:rsidR="001125EF" w:rsidRPr="009C0696">
              <w:rPr>
                <w:lang w:val="en-GB"/>
              </w:rPr>
              <w:t xml:space="preserve"> 30 m</w:t>
            </w:r>
            <w:r w:rsidR="001204EB" w:rsidRPr="009C0696">
              <w:rPr>
                <w:lang w:val="en-GB"/>
              </w:rPr>
              <w:t xml:space="preserve">il had </w:t>
            </w:r>
            <w:r w:rsidR="001125EF" w:rsidRPr="009C0696">
              <w:rPr>
                <w:lang w:val="en-GB"/>
              </w:rPr>
              <w:t>3</w:t>
            </w:r>
            <w:r w:rsidR="001204EB" w:rsidRPr="009C0696">
              <w:rPr>
                <w:lang w:val="en-GB"/>
              </w:rPr>
              <w:t>.</w:t>
            </w:r>
            <w:r w:rsidR="001125EF" w:rsidRPr="009C0696">
              <w:rPr>
                <w:lang w:val="en-GB"/>
              </w:rPr>
              <w:t>55% (+1</w:t>
            </w:r>
            <w:r w:rsidR="001204EB" w:rsidRPr="009C0696">
              <w:rPr>
                <w:lang w:val="en-GB"/>
              </w:rPr>
              <w:t>.</w:t>
            </w:r>
            <w:r w:rsidR="001125EF" w:rsidRPr="009C0696">
              <w:rPr>
                <w:lang w:val="en-GB"/>
              </w:rPr>
              <w:t>14</w:t>
            </w:r>
            <w:r w:rsidR="00BD59F1">
              <w:rPr>
                <w:lang w:val="en-GB"/>
              </w:rPr>
              <w:t> </w:t>
            </w:r>
            <w:r w:rsidR="001125EF" w:rsidRPr="009C0696">
              <w:rPr>
                <w:lang w:val="en-GB"/>
              </w:rPr>
              <w:t>p.</w:t>
            </w:r>
            <w:r w:rsidR="001204EB" w:rsidRPr="009C0696">
              <w:rPr>
                <w:lang w:val="en-GB"/>
              </w:rPr>
              <w:t>p.</w:t>
            </w:r>
            <w:r w:rsidR="001125EF" w:rsidRPr="009C0696">
              <w:rPr>
                <w:lang w:val="en-GB"/>
              </w:rPr>
              <w:t xml:space="preserve">, </w:t>
            </w:r>
            <w:r w:rsidR="001204EB" w:rsidRPr="009C0696">
              <w:rPr>
                <w:lang w:val="en-GB"/>
              </w:rPr>
              <w:t xml:space="preserve">difference between Q3 and 4 was </w:t>
            </w:r>
            <w:r w:rsidR="001125EF" w:rsidRPr="009C0696">
              <w:rPr>
                <w:lang w:val="en-GB"/>
              </w:rPr>
              <w:t>+0</w:t>
            </w:r>
            <w:r w:rsidR="001204EB" w:rsidRPr="009C0696">
              <w:rPr>
                <w:lang w:val="en-GB"/>
              </w:rPr>
              <w:t>.</w:t>
            </w:r>
            <w:r w:rsidR="001125EF" w:rsidRPr="009C0696">
              <w:rPr>
                <w:lang w:val="en-GB"/>
              </w:rPr>
              <w:t>71 p.</w:t>
            </w:r>
            <w:r w:rsidR="001204EB" w:rsidRPr="009C0696">
              <w:rPr>
                <w:lang w:val="en-GB"/>
              </w:rPr>
              <w:t>p.</w:t>
            </w:r>
            <w:r w:rsidR="001125EF" w:rsidRPr="009C0696">
              <w:rPr>
                <w:lang w:val="en-GB"/>
              </w:rPr>
              <w:t xml:space="preserve">). </w:t>
            </w:r>
            <w:r w:rsidR="001204EB" w:rsidRPr="009C0696">
              <w:rPr>
                <w:lang w:val="en-GB"/>
              </w:rPr>
              <w:t xml:space="preserve">Loans above </w:t>
            </w:r>
            <w:r w:rsidR="001125EF" w:rsidRPr="009C0696">
              <w:rPr>
                <w:lang w:val="en-GB"/>
              </w:rPr>
              <w:t>30 m</w:t>
            </w:r>
            <w:r w:rsidR="001204EB" w:rsidRPr="009C0696">
              <w:rPr>
                <w:lang w:val="en-GB"/>
              </w:rPr>
              <w:t xml:space="preserve">il were charged interest 3.22% as of </w:t>
            </w:r>
            <w:r w:rsidR="001125EF" w:rsidRPr="009C0696">
              <w:rPr>
                <w:lang w:val="en-GB"/>
              </w:rPr>
              <w:t>31. 12.</w:t>
            </w:r>
            <w:r w:rsidR="001204EB" w:rsidRPr="009C0696">
              <w:rPr>
                <w:lang w:val="en-GB"/>
              </w:rPr>
              <w:t xml:space="preserve"> </w:t>
            </w:r>
            <w:r w:rsidR="001125EF" w:rsidRPr="009C0696">
              <w:rPr>
                <w:lang w:val="en-GB"/>
              </w:rPr>
              <w:t>(+1</w:t>
            </w:r>
            <w:r w:rsidR="00DE3B58" w:rsidRPr="009C0696">
              <w:rPr>
                <w:lang w:val="en-GB"/>
              </w:rPr>
              <w:t>.</w:t>
            </w:r>
            <w:r w:rsidR="001125EF" w:rsidRPr="009C0696">
              <w:rPr>
                <w:lang w:val="en-GB"/>
              </w:rPr>
              <w:t>0 p.</w:t>
            </w:r>
            <w:r w:rsidR="00DE3B58" w:rsidRPr="009C0696">
              <w:rPr>
                <w:lang w:val="en-GB"/>
              </w:rPr>
              <w:t>p.</w:t>
            </w:r>
            <w:r w:rsidR="001125EF" w:rsidRPr="009C0696">
              <w:rPr>
                <w:lang w:val="en-GB"/>
              </w:rPr>
              <w:t xml:space="preserve">).   </w:t>
            </w:r>
          </w:p>
        </w:tc>
      </w:tr>
      <w:tr w:rsidR="001125EF" w:rsidRPr="009C0696" w:rsidTr="001125EF">
        <w:trPr>
          <w:trHeight w:val="145"/>
        </w:trPr>
        <w:tc>
          <w:tcPr>
            <w:tcW w:w="1888" w:type="dxa"/>
            <w:shd w:val="clear" w:color="auto" w:fill="auto"/>
            <w:tcMar>
              <w:left w:w="0" w:type="dxa"/>
            </w:tcMar>
          </w:tcPr>
          <w:p w:rsidR="001125EF" w:rsidRPr="009C0696" w:rsidRDefault="0049094C" w:rsidP="000D2EB3">
            <w:pPr>
              <w:pStyle w:val="Marginlie"/>
              <w:rPr>
                <w:lang w:val="en-GB"/>
              </w:rPr>
            </w:pPr>
            <w:r w:rsidRPr="009C0696">
              <w:rPr>
                <w:lang w:val="en-GB"/>
              </w:rPr>
              <w:t xml:space="preserve">Volume of credit provided to households kept further growing.  </w:t>
            </w:r>
            <w:r w:rsidR="001125EF" w:rsidRPr="009C0696">
              <w:rPr>
                <w:lang w:val="en-GB"/>
              </w:rPr>
              <w:t xml:space="preserve"> </w:t>
            </w:r>
            <w:r w:rsidRPr="009C0696">
              <w:rPr>
                <w:lang w:val="en-GB"/>
              </w:rPr>
              <w:t xml:space="preserve">Mainly in branches </w:t>
            </w:r>
            <w:r w:rsidR="0010490F" w:rsidRPr="009C0696">
              <w:rPr>
                <w:lang w:val="en-GB"/>
              </w:rPr>
              <w:t>which</w:t>
            </w:r>
            <w:r w:rsidRPr="009C0696">
              <w:rPr>
                <w:lang w:val="en-GB"/>
              </w:rPr>
              <w:t xml:space="preserve"> economically prospered last year, the interest in credit financing picked up</w:t>
            </w:r>
            <w:r w:rsidR="001125EF" w:rsidRPr="009C0696">
              <w:rPr>
                <w:lang w:val="en-GB"/>
              </w:rPr>
              <w:t>.</w:t>
            </w:r>
          </w:p>
        </w:tc>
        <w:tc>
          <w:tcPr>
            <w:tcW w:w="250" w:type="dxa"/>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382CDE" w:rsidRDefault="0010490F" w:rsidP="00B20C52">
            <w:pPr>
              <w:rPr>
                <w:spacing w:val="-2"/>
                <w:lang w:val="en-GB"/>
              </w:rPr>
            </w:pPr>
            <w:r w:rsidRPr="00382CDE">
              <w:rPr>
                <w:spacing w:val="-2"/>
                <w:lang w:val="en-GB"/>
              </w:rPr>
              <w:t xml:space="preserve">Volume of credit provided to households totalled </w:t>
            </w:r>
            <w:r w:rsidR="001125EF" w:rsidRPr="00382CDE">
              <w:rPr>
                <w:spacing w:val="-2"/>
                <w:lang w:val="en-GB"/>
              </w:rPr>
              <w:t>1</w:t>
            </w:r>
            <w:r w:rsidRPr="00382CDE">
              <w:rPr>
                <w:spacing w:val="-2"/>
                <w:lang w:val="en-GB"/>
              </w:rPr>
              <w:t> </w:t>
            </w:r>
            <w:r w:rsidR="001125EF" w:rsidRPr="00382CDE">
              <w:rPr>
                <w:spacing w:val="-2"/>
                <w:lang w:val="en-GB"/>
              </w:rPr>
              <w:t>645</w:t>
            </w:r>
            <w:r w:rsidRPr="00382CDE">
              <w:rPr>
                <w:spacing w:val="-2"/>
                <w:lang w:val="en-GB"/>
              </w:rPr>
              <w:t>.</w:t>
            </w:r>
            <w:r w:rsidR="001125EF" w:rsidRPr="00382CDE">
              <w:rPr>
                <w:spacing w:val="-2"/>
                <w:lang w:val="en-GB"/>
              </w:rPr>
              <w:t xml:space="preserve">8 </w:t>
            </w:r>
            <w:r w:rsidRPr="00382CDE">
              <w:rPr>
                <w:spacing w:val="-2"/>
                <w:lang w:val="en-GB"/>
              </w:rPr>
              <w:t xml:space="preserve">CZK bn towards the end of the last year, which is a year-on-year increase of </w:t>
            </w:r>
            <w:r w:rsidR="001125EF" w:rsidRPr="00382CDE">
              <w:rPr>
                <w:spacing w:val="-2"/>
                <w:lang w:val="en-GB"/>
              </w:rPr>
              <w:t>116</w:t>
            </w:r>
            <w:r w:rsidRPr="00382CDE">
              <w:rPr>
                <w:spacing w:val="-2"/>
                <w:lang w:val="en-GB"/>
              </w:rPr>
              <w:t>.</w:t>
            </w:r>
            <w:r w:rsidR="001125EF" w:rsidRPr="00382CDE">
              <w:rPr>
                <w:spacing w:val="-2"/>
                <w:lang w:val="en-GB"/>
              </w:rPr>
              <w:t xml:space="preserve">0 </w:t>
            </w:r>
            <w:r w:rsidRPr="00382CDE">
              <w:rPr>
                <w:spacing w:val="-2"/>
                <w:lang w:val="en-GB"/>
              </w:rPr>
              <w:t xml:space="preserve">bn </w:t>
            </w:r>
            <w:r w:rsidR="001125EF" w:rsidRPr="00382CDE">
              <w:rPr>
                <w:spacing w:val="-2"/>
                <w:lang w:val="en-GB"/>
              </w:rPr>
              <w:t>(7</w:t>
            </w:r>
            <w:r w:rsidRPr="00382CDE">
              <w:rPr>
                <w:spacing w:val="-2"/>
                <w:lang w:val="en-GB"/>
              </w:rPr>
              <w:t>.</w:t>
            </w:r>
            <w:r w:rsidR="001125EF" w:rsidRPr="00382CDE">
              <w:rPr>
                <w:spacing w:val="-2"/>
                <w:lang w:val="en-GB"/>
              </w:rPr>
              <w:t xml:space="preserve">6%). </w:t>
            </w:r>
            <w:r w:rsidRPr="00382CDE">
              <w:rPr>
                <w:spacing w:val="-2"/>
                <w:lang w:val="en-GB"/>
              </w:rPr>
              <w:t>The dynamics of the consumer credit remained below this level. Mortgages were expanding by a slower pace</w:t>
            </w:r>
            <w:r w:rsidR="005E7074" w:rsidRPr="00382CDE">
              <w:rPr>
                <w:spacing w:val="-2"/>
                <w:lang w:val="en-GB"/>
              </w:rPr>
              <w:t xml:space="preserve"> </w:t>
            </w:r>
            <w:r w:rsidRPr="00382CDE">
              <w:rPr>
                <w:spacing w:val="-2"/>
                <w:lang w:val="en-GB"/>
              </w:rPr>
              <w:t xml:space="preserve">compared to year </w:t>
            </w:r>
            <w:r w:rsidR="001125EF" w:rsidRPr="00382CDE">
              <w:rPr>
                <w:spacing w:val="-2"/>
                <w:lang w:val="en-GB"/>
              </w:rPr>
              <w:t xml:space="preserve">2017, </w:t>
            </w:r>
            <w:r w:rsidR="003151BD" w:rsidRPr="00382CDE">
              <w:rPr>
                <w:spacing w:val="-2"/>
                <w:lang w:val="en-GB"/>
              </w:rPr>
              <w:t xml:space="preserve">year-on-year growth nevertheless exceeded </w:t>
            </w:r>
            <w:r w:rsidR="001125EF" w:rsidRPr="00382CDE">
              <w:rPr>
                <w:spacing w:val="-2"/>
                <w:lang w:val="en-GB"/>
              </w:rPr>
              <w:t>8</w:t>
            </w:r>
            <w:r w:rsidR="003151BD" w:rsidRPr="00382CDE">
              <w:rPr>
                <w:spacing w:val="-2"/>
                <w:lang w:val="en-GB"/>
              </w:rPr>
              <w:t>.</w:t>
            </w:r>
            <w:r w:rsidR="001125EF" w:rsidRPr="00382CDE">
              <w:rPr>
                <w:spacing w:val="-2"/>
                <w:lang w:val="en-GB"/>
              </w:rPr>
              <w:t xml:space="preserve">0%. </w:t>
            </w:r>
            <w:r w:rsidR="00FC16F6" w:rsidRPr="00382CDE">
              <w:rPr>
                <w:spacing w:val="-2"/>
                <w:lang w:val="en-GB"/>
              </w:rPr>
              <w:t xml:space="preserve">In that, the year-on-year dynamics of mortgages was crossing the 9% boundary except for Q3 </w:t>
            </w:r>
            <w:r w:rsidR="001125EF" w:rsidRPr="00382CDE">
              <w:rPr>
                <w:spacing w:val="-2"/>
                <w:lang w:val="en-GB"/>
              </w:rPr>
              <w:t>(8</w:t>
            </w:r>
            <w:r w:rsidR="00FC16F6" w:rsidRPr="00382CDE">
              <w:rPr>
                <w:spacing w:val="-2"/>
                <w:lang w:val="en-GB"/>
              </w:rPr>
              <w:t>.</w:t>
            </w:r>
            <w:r w:rsidR="001125EF" w:rsidRPr="00382CDE">
              <w:rPr>
                <w:spacing w:val="-2"/>
                <w:lang w:val="en-GB"/>
              </w:rPr>
              <w:t>9%)</w:t>
            </w:r>
            <w:r w:rsidR="00FC16F6" w:rsidRPr="00382CDE">
              <w:rPr>
                <w:spacing w:val="-2"/>
                <w:lang w:val="en-GB"/>
              </w:rPr>
              <w:t xml:space="preserve">. On the other hand, the number of new mortgage contracts shrank year-on-year by </w:t>
            </w:r>
            <w:r w:rsidR="002E28D8" w:rsidRPr="00382CDE">
              <w:rPr>
                <w:spacing w:val="-2"/>
                <w:lang w:val="en-GB"/>
              </w:rPr>
              <w:t>13</w:t>
            </w:r>
            <w:r w:rsidR="00FC16F6" w:rsidRPr="00382CDE">
              <w:rPr>
                <w:spacing w:val="-2"/>
                <w:lang w:val="en-GB"/>
              </w:rPr>
              <w:t>.</w:t>
            </w:r>
            <w:r w:rsidR="002E28D8" w:rsidRPr="00382CDE">
              <w:rPr>
                <w:spacing w:val="-2"/>
                <w:lang w:val="en-GB"/>
              </w:rPr>
              <w:t>2 t</w:t>
            </w:r>
            <w:r w:rsidR="00FC16F6" w:rsidRPr="00382CDE">
              <w:rPr>
                <w:spacing w:val="-2"/>
                <w:lang w:val="en-GB"/>
              </w:rPr>
              <w:t xml:space="preserve">housand. </w:t>
            </w:r>
            <w:r w:rsidR="0025190D" w:rsidRPr="00382CDE">
              <w:rPr>
                <w:spacing w:val="-2"/>
                <w:lang w:val="en-GB"/>
              </w:rPr>
              <w:t xml:space="preserve">Year-on-year growth of credit and amounts receivables of non-financial businesses was accelerating during the last year, specifically thanks to credit denominated in foreign currency, where the dynamics reached double digit values in H2. </w:t>
            </w:r>
            <w:r w:rsidR="005773E1" w:rsidRPr="00382CDE">
              <w:rPr>
                <w:spacing w:val="-2"/>
                <w:lang w:val="en-GB"/>
              </w:rPr>
              <w:t xml:space="preserve">Credit in foreign currency constituted </w:t>
            </w:r>
            <w:r w:rsidR="001125EF" w:rsidRPr="00382CDE">
              <w:rPr>
                <w:spacing w:val="-2"/>
                <w:lang w:val="en-GB"/>
              </w:rPr>
              <w:t>31</w:t>
            </w:r>
            <w:r w:rsidR="005773E1" w:rsidRPr="00382CDE">
              <w:rPr>
                <w:spacing w:val="-2"/>
                <w:lang w:val="en-GB"/>
              </w:rPr>
              <w:t>.</w:t>
            </w:r>
            <w:r w:rsidR="001125EF" w:rsidRPr="00382CDE">
              <w:rPr>
                <w:spacing w:val="-2"/>
                <w:lang w:val="en-GB"/>
              </w:rPr>
              <w:t xml:space="preserve">1% </w:t>
            </w:r>
            <w:r w:rsidR="005773E1" w:rsidRPr="00382CDE">
              <w:rPr>
                <w:spacing w:val="-2"/>
                <w:lang w:val="en-GB"/>
              </w:rPr>
              <w:t>of the volume of credit and amount receivables of the non-financial businesses at the end of the year</w:t>
            </w:r>
            <w:r w:rsidR="001125EF" w:rsidRPr="00382CDE">
              <w:rPr>
                <w:spacing w:val="-2"/>
                <w:lang w:val="en-GB"/>
              </w:rPr>
              <w:t xml:space="preserve">. </w:t>
            </w:r>
            <w:r w:rsidR="00A132EF" w:rsidRPr="00382CDE">
              <w:rPr>
                <w:spacing w:val="-2"/>
                <w:lang w:val="en-GB"/>
              </w:rPr>
              <w:t xml:space="preserve">Increases were mostly related to credit and amounts receivables with medium and long- term </w:t>
            </w:r>
            <w:r w:rsidR="00640715" w:rsidRPr="00382CDE">
              <w:rPr>
                <w:spacing w:val="-2"/>
                <w:lang w:val="en-GB"/>
              </w:rPr>
              <w:t>maturity</w:t>
            </w:r>
            <w:r w:rsidR="001125EF" w:rsidRPr="00382CDE">
              <w:rPr>
                <w:spacing w:val="-2"/>
                <w:lang w:val="en-GB"/>
              </w:rPr>
              <w:t xml:space="preserve">. </w:t>
            </w:r>
            <w:r w:rsidR="00640715" w:rsidRPr="00382CDE">
              <w:rPr>
                <w:spacing w:val="-2"/>
                <w:lang w:val="en-GB"/>
              </w:rPr>
              <w:t xml:space="preserve">The dynamics rather precisely followed the economic development. Credit provided in construction grew by </w:t>
            </w:r>
            <w:r w:rsidR="001125EF" w:rsidRPr="00382CDE">
              <w:rPr>
                <w:spacing w:val="-2"/>
                <w:lang w:val="en-GB"/>
              </w:rPr>
              <w:t>5</w:t>
            </w:r>
            <w:r w:rsidR="00640715" w:rsidRPr="00382CDE">
              <w:rPr>
                <w:spacing w:val="-2"/>
                <w:lang w:val="en-GB"/>
              </w:rPr>
              <w:t>.</w:t>
            </w:r>
            <w:r w:rsidR="001125EF" w:rsidRPr="00382CDE">
              <w:rPr>
                <w:spacing w:val="-2"/>
                <w:lang w:val="en-GB"/>
              </w:rPr>
              <w:t xml:space="preserve">5 </w:t>
            </w:r>
            <w:r w:rsidR="00640715" w:rsidRPr="00382CDE">
              <w:rPr>
                <w:spacing w:val="-2"/>
                <w:lang w:val="en-GB"/>
              </w:rPr>
              <w:t xml:space="preserve">CZK bn during the year </w:t>
            </w:r>
            <w:r w:rsidR="001125EF" w:rsidRPr="00382CDE">
              <w:rPr>
                <w:spacing w:val="-2"/>
                <w:lang w:val="en-GB"/>
              </w:rPr>
              <w:t>(12</w:t>
            </w:r>
            <w:r w:rsidR="00640715" w:rsidRPr="00382CDE">
              <w:rPr>
                <w:spacing w:val="-2"/>
                <w:lang w:val="en-GB"/>
              </w:rPr>
              <w:t>.</w:t>
            </w:r>
            <w:r w:rsidR="001125EF" w:rsidRPr="00382CDE">
              <w:rPr>
                <w:spacing w:val="-2"/>
                <w:lang w:val="en-GB"/>
              </w:rPr>
              <w:t xml:space="preserve">7%), </w:t>
            </w:r>
            <w:r w:rsidR="00640715" w:rsidRPr="00382CDE">
              <w:rPr>
                <w:spacing w:val="-2"/>
                <w:lang w:val="en-GB"/>
              </w:rPr>
              <w:t xml:space="preserve">by </w:t>
            </w:r>
            <w:r w:rsidR="001125EF" w:rsidRPr="00382CDE">
              <w:rPr>
                <w:spacing w:val="-2"/>
                <w:lang w:val="en-GB"/>
              </w:rPr>
              <w:t>6</w:t>
            </w:r>
            <w:r w:rsidR="00640715" w:rsidRPr="00382CDE">
              <w:rPr>
                <w:spacing w:val="-2"/>
                <w:lang w:val="en-GB"/>
              </w:rPr>
              <w:t>.</w:t>
            </w:r>
            <w:r w:rsidR="001125EF" w:rsidRPr="00382CDE">
              <w:rPr>
                <w:spacing w:val="-2"/>
                <w:lang w:val="en-GB"/>
              </w:rPr>
              <w:t xml:space="preserve">7 </w:t>
            </w:r>
            <w:r w:rsidR="00640715" w:rsidRPr="00382CDE">
              <w:rPr>
                <w:spacing w:val="-2"/>
                <w:lang w:val="en-GB"/>
              </w:rPr>
              <w:t xml:space="preserve">bn in transportation and warehousing </w:t>
            </w:r>
            <w:r w:rsidR="001125EF" w:rsidRPr="00382CDE">
              <w:rPr>
                <w:spacing w:val="-2"/>
                <w:lang w:val="en-GB"/>
              </w:rPr>
              <w:t>(14</w:t>
            </w:r>
            <w:r w:rsidR="00640715" w:rsidRPr="00382CDE">
              <w:rPr>
                <w:spacing w:val="-2"/>
                <w:lang w:val="en-GB"/>
              </w:rPr>
              <w:t>.</w:t>
            </w:r>
            <w:r w:rsidR="001125EF" w:rsidRPr="00382CDE">
              <w:rPr>
                <w:spacing w:val="-2"/>
                <w:lang w:val="en-GB"/>
              </w:rPr>
              <w:t>0%),</w:t>
            </w:r>
            <w:r w:rsidR="00640715" w:rsidRPr="00382CDE">
              <w:rPr>
                <w:spacing w:val="-2"/>
                <w:lang w:val="en-GB"/>
              </w:rPr>
              <w:t xml:space="preserve"> by 8.4 bn in information and communication </w:t>
            </w:r>
            <w:r w:rsidR="001125EF" w:rsidRPr="00382CDE">
              <w:rPr>
                <w:spacing w:val="-2"/>
                <w:lang w:val="en-GB"/>
              </w:rPr>
              <w:t>(23</w:t>
            </w:r>
            <w:r w:rsidR="00640715" w:rsidRPr="00382CDE">
              <w:rPr>
                <w:spacing w:val="-2"/>
                <w:lang w:val="en-GB"/>
              </w:rPr>
              <w:t>.</w:t>
            </w:r>
            <w:r w:rsidR="001125EF" w:rsidRPr="00382CDE">
              <w:rPr>
                <w:spacing w:val="-2"/>
                <w:lang w:val="en-GB"/>
              </w:rPr>
              <w:t xml:space="preserve">4%). </w:t>
            </w:r>
            <w:r w:rsidR="00B20C52" w:rsidRPr="00382CDE">
              <w:rPr>
                <w:spacing w:val="-2"/>
                <w:lang w:val="en-GB"/>
              </w:rPr>
              <w:t xml:space="preserve">By 38.8 bn in financial and insurance activities </w:t>
            </w:r>
            <w:r w:rsidR="001125EF" w:rsidRPr="00382CDE">
              <w:rPr>
                <w:spacing w:val="-2"/>
                <w:lang w:val="en-GB"/>
              </w:rPr>
              <w:t>(14</w:t>
            </w:r>
            <w:r w:rsidR="00B20C52" w:rsidRPr="00382CDE">
              <w:rPr>
                <w:spacing w:val="-2"/>
                <w:lang w:val="en-GB"/>
              </w:rPr>
              <w:t>.</w:t>
            </w:r>
            <w:r w:rsidR="001125EF" w:rsidRPr="00382CDE">
              <w:rPr>
                <w:spacing w:val="-2"/>
                <w:lang w:val="en-GB"/>
              </w:rPr>
              <w:t xml:space="preserve">9%). </w:t>
            </w:r>
            <w:r w:rsidR="00B20C52" w:rsidRPr="00382CDE">
              <w:rPr>
                <w:spacing w:val="-2"/>
                <w:lang w:val="en-GB"/>
              </w:rPr>
              <w:t xml:space="preserve">Dive continued in section mining and quarrying </w:t>
            </w:r>
            <w:r w:rsidR="001125EF" w:rsidRPr="00382CDE">
              <w:rPr>
                <w:spacing w:val="-2"/>
                <w:lang w:val="en-GB"/>
              </w:rPr>
              <w:t>(-2</w:t>
            </w:r>
            <w:r w:rsidR="00B20C52" w:rsidRPr="00382CDE">
              <w:rPr>
                <w:spacing w:val="-2"/>
                <w:lang w:val="en-GB"/>
              </w:rPr>
              <w:t>.</w:t>
            </w:r>
            <w:r w:rsidR="001125EF" w:rsidRPr="00382CDE">
              <w:rPr>
                <w:spacing w:val="-2"/>
                <w:lang w:val="en-GB"/>
              </w:rPr>
              <w:t>8</w:t>
            </w:r>
            <w:r w:rsidR="00B20C52" w:rsidRPr="00382CDE">
              <w:rPr>
                <w:spacing w:val="-2"/>
                <w:lang w:val="en-GB"/>
              </w:rPr>
              <w:t xml:space="preserve"> bn</w:t>
            </w:r>
            <w:r w:rsidR="001125EF" w:rsidRPr="00382CDE">
              <w:rPr>
                <w:spacing w:val="-2"/>
                <w:lang w:val="en-GB"/>
              </w:rPr>
              <w:t>, -25</w:t>
            </w:r>
            <w:r w:rsidR="00B20C52" w:rsidRPr="00382CDE">
              <w:rPr>
                <w:spacing w:val="-2"/>
                <w:lang w:val="en-GB"/>
              </w:rPr>
              <w:t>.</w:t>
            </w:r>
            <w:r w:rsidR="001125EF" w:rsidRPr="00382CDE">
              <w:rPr>
                <w:spacing w:val="-2"/>
                <w:lang w:val="en-GB"/>
              </w:rPr>
              <w:t>0%)</w:t>
            </w:r>
            <w:r w:rsidR="00B20C52" w:rsidRPr="00382CDE">
              <w:rPr>
                <w:spacing w:val="-2"/>
                <w:lang w:val="en-GB"/>
              </w:rPr>
              <w:t xml:space="preserve"> </w:t>
            </w:r>
            <w:proofErr w:type="gramStart"/>
            <w:r w:rsidR="00B20C52" w:rsidRPr="00382CDE">
              <w:rPr>
                <w:spacing w:val="-2"/>
                <w:lang w:val="en-GB"/>
              </w:rPr>
              <w:t>and also</w:t>
            </w:r>
            <w:proofErr w:type="gramEnd"/>
            <w:r w:rsidR="00B20C52" w:rsidRPr="00382CDE">
              <w:rPr>
                <w:spacing w:val="-2"/>
                <w:lang w:val="en-GB"/>
              </w:rPr>
              <w:t xml:space="preserve"> in the manufacture and distribution of electricity, gas, heat, air and water </w:t>
            </w:r>
            <w:r w:rsidR="001125EF" w:rsidRPr="00382CDE">
              <w:rPr>
                <w:spacing w:val="-2"/>
                <w:lang w:val="en-GB"/>
              </w:rPr>
              <w:t>(</w:t>
            </w:r>
            <w:r w:rsidR="00BD59F1" w:rsidRPr="00382CDE">
              <w:rPr>
                <w:spacing w:val="-2"/>
                <w:lang w:val="en-GB"/>
              </w:rPr>
              <w:noBreakHyphen/>
            </w:r>
            <w:r w:rsidR="001125EF" w:rsidRPr="00382CDE">
              <w:rPr>
                <w:spacing w:val="-2"/>
                <w:lang w:val="en-GB"/>
              </w:rPr>
              <w:t>12</w:t>
            </w:r>
            <w:r w:rsidR="00B20C52" w:rsidRPr="00382CDE">
              <w:rPr>
                <w:spacing w:val="-2"/>
                <w:lang w:val="en-GB"/>
              </w:rPr>
              <w:t>.</w:t>
            </w:r>
            <w:r w:rsidR="001125EF" w:rsidRPr="00382CDE">
              <w:rPr>
                <w:spacing w:val="-2"/>
                <w:lang w:val="en-GB"/>
              </w:rPr>
              <w:t xml:space="preserve">4 </w:t>
            </w:r>
            <w:proofErr w:type="spellStart"/>
            <w:r w:rsidR="00B20C52" w:rsidRPr="00382CDE">
              <w:rPr>
                <w:spacing w:val="-2"/>
                <w:lang w:val="en-GB"/>
              </w:rPr>
              <w:t>bn</w:t>
            </w:r>
            <w:proofErr w:type="spellEnd"/>
            <w:r w:rsidR="001125EF" w:rsidRPr="00382CDE">
              <w:rPr>
                <w:spacing w:val="-2"/>
                <w:lang w:val="en-GB"/>
              </w:rPr>
              <w:t>, -8</w:t>
            </w:r>
            <w:r w:rsidR="00B20C52" w:rsidRPr="00382CDE">
              <w:rPr>
                <w:spacing w:val="-2"/>
                <w:lang w:val="en-GB"/>
              </w:rPr>
              <w:t>.</w:t>
            </w:r>
            <w:r w:rsidR="001125EF" w:rsidRPr="00382CDE">
              <w:rPr>
                <w:spacing w:val="-2"/>
                <w:lang w:val="en-GB"/>
              </w:rPr>
              <w:t>9%).</w:t>
            </w:r>
          </w:p>
        </w:tc>
      </w:tr>
      <w:tr w:rsidR="001125EF" w:rsidRPr="009C0696" w:rsidTr="001125EF">
        <w:trPr>
          <w:trHeight w:val="304"/>
        </w:trPr>
        <w:tc>
          <w:tcPr>
            <w:tcW w:w="1888" w:type="dxa"/>
            <w:vMerge w:val="restart"/>
            <w:shd w:val="clear" w:color="auto" w:fill="auto"/>
            <w:tcMar>
              <w:left w:w="0" w:type="dxa"/>
            </w:tcMar>
          </w:tcPr>
          <w:p w:rsidR="001125EF" w:rsidRPr="009C0696" w:rsidRDefault="001125EF" w:rsidP="00723435">
            <w:pPr>
              <w:pStyle w:val="Marginlie"/>
              <w:rPr>
                <w:lang w:val="en-GB"/>
              </w:rPr>
            </w:pPr>
          </w:p>
        </w:tc>
        <w:tc>
          <w:tcPr>
            <w:tcW w:w="250" w:type="dxa"/>
            <w:vMerge w:val="restart"/>
            <w:shd w:val="clear" w:color="auto" w:fill="auto"/>
            <w:tcMar>
              <w:left w:w="0" w:type="dxa"/>
            </w:tcMar>
          </w:tcPr>
          <w:p w:rsidR="001125EF" w:rsidRPr="009C0696" w:rsidRDefault="001125EF" w:rsidP="00723435">
            <w:pPr>
              <w:pStyle w:val="Textpoznpodarou"/>
              <w:jc w:val="both"/>
              <w:rPr>
                <w:spacing w:val="-4"/>
                <w:lang w:val="en-GB"/>
              </w:rPr>
            </w:pPr>
          </w:p>
        </w:tc>
        <w:tc>
          <w:tcPr>
            <w:tcW w:w="7501" w:type="dxa"/>
            <w:shd w:val="clear" w:color="auto" w:fill="auto"/>
            <w:tcMar>
              <w:left w:w="0" w:type="dxa"/>
            </w:tcMar>
          </w:tcPr>
          <w:p w:rsidR="001125EF" w:rsidRPr="009F7FC7" w:rsidRDefault="00DA368A" w:rsidP="00DA368A">
            <w:pPr>
              <w:spacing w:after="0"/>
              <w:rPr>
                <w:szCs w:val="20"/>
                <w:lang w:val="en-GB"/>
              </w:rPr>
            </w:pPr>
            <w:r w:rsidRPr="009F7FC7">
              <w:rPr>
                <w:rFonts w:cs="Arial"/>
                <w:b/>
                <w:bCs/>
                <w:color w:val="000000"/>
                <w:szCs w:val="20"/>
                <w:lang w:val="en-GB"/>
              </w:rPr>
              <w:t xml:space="preserve">Chart </w:t>
            </w:r>
            <w:proofErr w:type="gramStart"/>
            <w:r w:rsidR="00E378B1" w:rsidRPr="009F7FC7">
              <w:rPr>
                <w:rFonts w:cs="Arial"/>
                <w:b/>
                <w:bCs/>
                <w:color w:val="000000"/>
                <w:szCs w:val="20"/>
                <w:lang w:val="en-GB"/>
              </w:rPr>
              <w:t>17</w:t>
            </w:r>
            <w:r w:rsidR="001125EF" w:rsidRPr="009F7FC7">
              <w:rPr>
                <w:rFonts w:cs="Arial"/>
                <w:b/>
                <w:bCs/>
                <w:color w:val="000000"/>
                <w:szCs w:val="20"/>
                <w:lang w:val="en-GB"/>
              </w:rPr>
              <w:t xml:space="preserve">  </w:t>
            </w:r>
            <w:r w:rsidRPr="009F7FC7">
              <w:rPr>
                <w:rFonts w:cs="Arial"/>
                <w:b/>
                <w:bCs/>
                <w:color w:val="000000"/>
                <w:szCs w:val="20"/>
                <w:lang w:val="en-GB"/>
              </w:rPr>
              <w:t>Market</w:t>
            </w:r>
            <w:proofErr w:type="gramEnd"/>
            <w:r w:rsidRPr="009F7FC7">
              <w:rPr>
                <w:rFonts w:cs="Arial"/>
                <w:b/>
                <w:bCs/>
                <w:color w:val="000000"/>
                <w:szCs w:val="20"/>
                <w:lang w:val="en-GB"/>
              </w:rPr>
              <w:t xml:space="preserve"> interest rates </w:t>
            </w:r>
            <w:r w:rsidR="001125EF" w:rsidRPr="00382CDE">
              <w:rPr>
                <w:spacing w:val="-4"/>
                <w:szCs w:val="20"/>
                <w:lang w:val="en-GB"/>
              </w:rPr>
              <w:t>(</w:t>
            </w:r>
            <w:r w:rsidRPr="00382CDE">
              <w:rPr>
                <w:spacing w:val="-4"/>
                <w:szCs w:val="20"/>
                <w:lang w:val="en-GB"/>
              </w:rPr>
              <w:t>in</w:t>
            </w:r>
            <w:r w:rsidR="001125EF" w:rsidRPr="00382CDE">
              <w:rPr>
                <w:spacing w:val="-4"/>
                <w:szCs w:val="20"/>
                <w:lang w:val="en-GB"/>
              </w:rPr>
              <w:t> %)</w:t>
            </w:r>
          </w:p>
        </w:tc>
      </w:tr>
      <w:tr w:rsidR="001125EF" w:rsidRPr="009C0696" w:rsidTr="00A1412D">
        <w:tblPrEx>
          <w:tblCellMar>
            <w:left w:w="70" w:type="dxa"/>
            <w:right w:w="70" w:type="dxa"/>
          </w:tblCellMar>
        </w:tblPrEx>
        <w:trPr>
          <w:trHeight w:val="170"/>
        </w:trPr>
        <w:tc>
          <w:tcPr>
            <w:tcW w:w="1888" w:type="dxa"/>
            <w:vMerge/>
            <w:shd w:val="clear" w:color="auto" w:fill="auto"/>
          </w:tcPr>
          <w:p w:rsidR="001125EF" w:rsidRPr="009C0696" w:rsidRDefault="001125EF" w:rsidP="00965797">
            <w:pPr>
              <w:pStyle w:val="Marginlie"/>
              <w:rPr>
                <w:lang w:val="en-GB"/>
              </w:rPr>
            </w:pPr>
          </w:p>
        </w:tc>
        <w:tc>
          <w:tcPr>
            <w:tcW w:w="250" w:type="dxa"/>
            <w:vMerge/>
            <w:shd w:val="clear" w:color="auto" w:fill="auto"/>
          </w:tcPr>
          <w:p w:rsidR="001125EF" w:rsidRPr="009C0696" w:rsidRDefault="001125EF" w:rsidP="00965797">
            <w:pPr>
              <w:pStyle w:val="Textpoznpodarou"/>
              <w:jc w:val="both"/>
              <w:rPr>
                <w:spacing w:val="-4"/>
                <w:lang w:val="en-GB"/>
              </w:rPr>
            </w:pPr>
          </w:p>
        </w:tc>
        <w:tc>
          <w:tcPr>
            <w:tcW w:w="7501" w:type="dxa"/>
            <w:shd w:val="clear" w:color="auto" w:fill="auto"/>
          </w:tcPr>
          <w:p w:rsidR="001125EF" w:rsidRPr="009C0696" w:rsidRDefault="00A1412D" w:rsidP="008458BD">
            <w:pPr>
              <w:spacing w:after="0"/>
              <w:rPr>
                <w:sz w:val="14"/>
                <w:szCs w:val="14"/>
                <w:lang w:val="en-GB"/>
              </w:rPr>
            </w:pPr>
            <w:r>
              <w:rPr>
                <w:noProof/>
              </w:rPr>
              <w:drawing>
                <wp:inline distT="0" distB="0" distL="0" distR="0" wp14:anchorId="3559332C" wp14:editId="2707C439">
                  <wp:extent cx="4737600" cy="3553200"/>
                  <wp:effectExtent l="0" t="0" r="6350" b="0"/>
                  <wp:docPr id="48" name="Graf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1125EF" w:rsidRPr="009C0696" w:rsidTr="001125EF">
        <w:trPr>
          <w:trHeight w:val="170"/>
        </w:trPr>
        <w:tc>
          <w:tcPr>
            <w:tcW w:w="1888" w:type="dxa"/>
            <w:vMerge/>
            <w:shd w:val="clear" w:color="auto" w:fill="auto"/>
            <w:tcMar>
              <w:left w:w="0" w:type="dxa"/>
            </w:tcMar>
          </w:tcPr>
          <w:p w:rsidR="001125EF" w:rsidRPr="009C0696" w:rsidRDefault="001125EF" w:rsidP="00965797">
            <w:pPr>
              <w:pStyle w:val="Marginlie"/>
              <w:rPr>
                <w:lang w:val="en-GB"/>
              </w:rPr>
            </w:pPr>
          </w:p>
        </w:tc>
        <w:tc>
          <w:tcPr>
            <w:tcW w:w="250" w:type="dxa"/>
            <w:vMerge/>
            <w:shd w:val="clear" w:color="auto" w:fill="auto"/>
            <w:tcMar>
              <w:left w:w="0" w:type="dxa"/>
            </w:tcMar>
          </w:tcPr>
          <w:p w:rsidR="001125EF" w:rsidRPr="009C0696" w:rsidRDefault="001125EF" w:rsidP="00965797">
            <w:pPr>
              <w:pStyle w:val="Textpoznpodarou"/>
              <w:jc w:val="both"/>
              <w:rPr>
                <w:spacing w:val="-4"/>
                <w:lang w:val="en-GB"/>
              </w:rPr>
            </w:pPr>
          </w:p>
        </w:tc>
        <w:tc>
          <w:tcPr>
            <w:tcW w:w="7501" w:type="dxa"/>
            <w:shd w:val="clear" w:color="auto" w:fill="auto"/>
            <w:tcMar>
              <w:left w:w="0" w:type="dxa"/>
            </w:tcMar>
          </w:tcPr>
          <w:p w:rsidR="0082121F" w:rsidRPr="009C0696" w:rsidRDefault="007341C8" w:rsidP="00A1412D">
            <w:pPr>
              <w:spacing w:after="0"/>
              <w:rPr>
                <w:sz w:val="14"/>
                <w:szCs w:val="14"/>
                <w:lang w:val="en-GB"/>
              </w:rPr>
            </w:pPr>
            <w:r w:rsidRPr="009C0696">
              <w:rPr>
                <w:sz w:val="14"/>
                <w:szCs w:val="14"/>
                <w:lang w:val="en-GB"/>
              </w:rPr>
              <w:t>Source</w:t>
            </w:r>
            <w:r w:rsidR="001125EF" w:rsidRPr="009C0696">
              <w:rPr>
                <w:sz w:val="14"/>
                <w:szCs w:val="14"/>
                <w:lang w:val="en-GB"/>
              </w:rPr>
              <w:t xml:space="preserve">: </w:t>
            </w:r>
            <w:r w:rsidRPr="009C0696">
              <w:rPr>
                <w:sz w:val="14"/>
                <w:szCs w:val="14"/>
                <w:lang w:val="en-GB"/>
              </w:rPr>
              <w:t>CNB</w:t>
            </w:r>
          </w:p>
        </w:tc>
      </w:tr>
    </w:tbl>
    <w:p w:rsidR="00965797" w:rsidRPr="009C0696" w:rsidRDefault="00965797" w:rsidP="00965797">
      <w:pPr>
        <w:pStyle w:val="Nadpis11"/>
        <w:rPr>
          <w:lang w:val="en-GB"/>
        </w:rPr>
      </w:pPr>
      <w:bookmarkStart w:id="13" w:name="_Toc5708396"/>
      <w:r w:rsidRPr="009C0696">
        <w:rPr>
          <w:lang w:val="en-GB"/>
        </w:rPr>
        <w:lastRenderedPageBreak/>
        <w:t>8. St</w:t>
      </w:r>
      <w:r w:rsidR="00100E10" w:rsidRPr="009C0696">
        <w:rPr>
          <w:lang w:val="en-GB"/>
        </w:rPr>
        <w:t>ate Budget</w:t>
      </w:r>
      <w:bookmarkEnd w:id="13"/>
    </w:p>
    <w:tbl>
      <w:tblPr>
        <w:tblW w:w="9644" w:type="dxa"/>
        <w:tblInd w:w="-20" w:type="dxa"/>
        <w:tblCellMar>
          <w:left w:w="0" w:type="dxa"/>
          <w:right w:w="0" w:type="dxa"/>
        </w:tblCellMar>
        <w:tblLook w:val="00A0" w:firstRow="1" w:lastRow="0" w:firstColumn="1" w:lastColumn="0" w:noHBand="0" w:noVBand="0"/>
      </w:tblPr>
      <w:tblGrid>
        <w:gridCol w:w="1725"/>
        <w:gridCol w:w="21"/>
        <w:gridCol w:w="195"/>
        <w:gridCol w:w="28"/>
        <w:gridCol w:w="7675"/>
      </w:tblGrid>
      <w:tr w:rsidR="0074499B" w:rsidRPr="009C0696" w:rsidTr="00C72161">
        <w:trPr>
          <w:trHeight w:val="145"/>
        </w:trPr>
        <w:tc>
          <w:tcPr>
            <w:tcW w:w="1725" w:type="dxa"/>
            <w:shd w:val="clear" w:color="auto" w:fill="auto"/>
            <w:tcMar>
              <w:left w:w="0" w:type="dxa"/>
            </w:tcMar>
          </w:tcPr>
          <w:p w:rsidR="0074499B" w:rsidRPr="009C0696" w:rsidRDefault="0074499B" w:rsidP="009A3E7C">
            <w:pPr>
              <w:pStyle w:val="Marginlie"/>
              <w:rPr>
                <w:lang w:val="en-GB"/>
              </w:rPr>
            </w:pPr>
            <w:r w:rsidRPr="009C0696">
              <w:rPr>
                <w:lang w:val="en-GB"/>
              </w:rPr>
              <w:t>Stat</w:t>
            </w:r>
            <w:r w:rsidR="009A3E7C" w:rsidRPr="009C0696">
              <w:rPr>
                <w:lang w:val="en-GB"/>
              </w:rPr>
              <w:t xml:space="preserve">e budget ended in yearly surplus only for the second time since </w:t>
            </w:r>
            <w:r w:rsidRPr="009C0696">
              <w:rPr>
                <w:lang w:val="en-GB"/>
              </w:rPr>
              <w:t>1995.</w:t>
            </w:r>
          </w:p>
        </w:tc>
        <w:tc>
          <w:tcPr>
            <w:tcW w:w="216" w:type="dxa"/>
            <w:gridSpan w:val="2"/>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74499B" w:rsidRPr="009C0696" w:rsidRDefault="00100E10" w:rsidP="00D37A6A">
            <w:pPr>
              <w:spacing w:after="200"/>
              <w:rPr>
                <w:spacing w:val="-2"/>
                <w:lang w:val="en-GB"/>
              </w:rPr>
            </w:pPr>
            <w:r w:rsidRPr="009C0696">
              <w:rPr>
                <w:spacing w:val="-2"/>
                <w:lang w:val="en-GB"/>
              </w:rPr>
              <w:t xml:space="preserve">Balance of the state budget </w:t>
            </w:r>
            <w:r w:rsidR="0074499B" w:rsidRPr="009C0696">
              <w:rPr>
                <w:spacing w:val="-2"/>
                <w:lang w:val="en-GB"/>
              </w:rPr>
              <w:t>(S</w:t>
            </w:r>
            <w:r w:rsidRPr="009C0696">
              <w:rPr>
                <w:spacing w:val="-2"/>
                <w:lang w:val="en-GB"/>
              </w:rPr>
              <w:t>B</w:t>
            </w:r>
            <w:r w:rsidR="0074499B" w:rsidRPr="009C0696">
              <w:rPr>
                <w:spacing w:val="-2"/>
                <w:lang w:val="en-GB"/>
              </w:rPr>
              <w:t>)</w:t>
            </w:r>
            <w:r w:rsidR="0074499B" w:rsidRPr="009C0696">
              <w:rPr>
                <w:rStyle w:val="Znakapoznpodarou"/>
                <w:spacing w:val="-2"/>
                <w:lang w:val="en-GB"/>
              </w:rPr>
              <w:footnoteReference w:id="58"/>
            </w:r>
            <w:r w:rsidR="0074499B" w:rsidRPr="009C0696">
              <w:rPr>
                <w:spacing w:val="-2"/>
                <w:lang w:val="en-GB"/>
              </w:rPr>
              <w:t xml:space="preserve"> </w:t>
            </w:r>
            <w:r w:rsidR="00900496" w:rsidRPr="009C0696">
              <w:rPr>
                <w:spacing w:val="-2"/>
                <w:lang w:val="en-GB"/>
              </w:rPr>
              <w:t xml:space="preserve">attained the size of </w:t>
            </w:r>
            <w:r w:rsidR="0074499B" w:rsidRPr="009C0696">
              <w:rPr>
                <w:spacing w:val="-2"/>
                <w:lang w:val="en-GB"/>
              </w:rPr>
              <w:t>+2</w:t>
            </w:r>
            <w:r w:rsidR="00900496" w:rsidRPr="009C0696">
              <w:rPr>
                <w:spacing w:val="-2"/>
                <w:lang w:val="en-GB"/>
              </w:rPr>
              <w:t>.</w:t>
            </w:r>
            <w:r w:rsidR="0074499B" w:rsidRPr="009C0696">
              <w:rPr>
                <w:spacing w:val="-2"/>
                <w:lang w:val="en-GB"/>
              </w:rPr>
              <w:t xml:space="preserve">9 </w:t>
            </w:r>
            <w:r w:rsidR="00900496" w:rsidRPr="009C0696">
              <w:rPr>
                <w:spacing w:val="-2"/>
                <w:lang w:val="en-GB"/>
              </w:rPr>
              <w:t>CZK bn in 2018</w:t>
            </w:r>
            <w:r w:rsidR="0074499B" w:rsidRPr="009C0696">
              <w:rPr>
                <w:spacing w:val="-2"/>
                <w:lang w:val="en-GB"/>
              </w:rPr>
              <w:t xml:space="preserve">. </w:t>
            </w:r>
            <w:r w:rsidR="0044274F" w:rsidRPr="009C0696">
              <w:rPr>
                <w:spacing w:val="-2"/>
                <w:lang w:val="en-GB"/>
              </w:rPr>
              <w:t xml:space="preserve">It comprised the second best result after year </w:t>
            </w:r>
            <w:r w:rsidR="0074499B" w:rsidRPr="009C0696">
              <w:rPr>
                <w:spacing w:val="-2"/>
                <w:lang w:val="en-GB"/>
              </w:rPr>
              <w:t>1995</w:t>
            </w:r>
            <w:r w:rsidR="0044274F" w:rsidRPr="009C0696">
              <w:rPr>
                <w:spacing w:val="-2"/>
                <w:lang w:val="en-GB"/>
              </w:rPr>
              <w:t xml:space="preserve"> and at the same time the fifth yearly surplus in the history of the independent CR. Resulting balance last year – similarly to years </w:t>
            </w:r>
            <w:r w:rsidR="0074499B" w:rsidRPr="009C0696">
              <w:rPr>
                <w:spacing w:val="-2"/>
                <w:lang w:val="en-GB"/>
              </w:rPr>
              <w:t>2016</w:t>
            </w:r>
            <w:r w:rsidR="0044274F" w:rsidRPr="009C0696">
              <w:rPr>
                <w:spacing w:val="-2"/>
                <w:lang w:val="en-GB"/>
              </w:rPr>
              <w:t xml:space="preserve"> and </w:t>
            </w:r>
            <w:r w:rsidR="0074499B" w:rsidRPr="009C0696">
              <w:rPr>
                <w:spacing w:val="-2"/>
                <w:lang w:val="en-GB"/>
              </w:rPr>
              <w:t xml:space="preserve">2017 – </w:t>
            </w:r>
            <w:r w:rsidR="0044274F" w:rsidRPr="009C0696">
              <w:rPr>
                <w:spacing w:val="-2"/>
                <w:lang w:val="en-GB"/>
              </w:rPr>
              <w:t xml:space="preserve">considerably exceeded the budget expectations (by more than </w:t>
            </w:r>
            <w:r w:rsidR="0074499B" w:rsidRPr="009C0696">
              <w:rPr>
                <w:spacing w:val="-2"/>
                <w:lang w:val="en-GB"/>
              </w:rPr>
              <w:t xml:space="preserve">50 </w:t>
            </w:r>
            <w:r w:rsidR="0044274F" w:rsidRPr="009C0696">
              <w:rPr>
                <w:spacing w:val="-2"/>
                <w:lang w:val="en-GB"/>
              </w:rPr>
              <w:t>CZK bn</w:t>
            </w:r>
            <w:r w:rsidR="0074499B" w:rsidRPr="009C0696">
              <w:rPr>
                <w:spacing w:val="-2"/>
                <w:lang w:val="en-GB"/>
              </w:rPr>
              <w:t>).</w:t>
            </w:r>
            <w:r w:rsidR="0044274F" w:rsidRPr="009C0696">
              <w:rPr>
                <w:spacing w:val="-2"/>
                <w:lang w:val="en-GB"/>
              </w:rPr>
              <w:t xml:space="preserve"> </w:t>
            </w:r>
            <w:r w:rsidR="00F614F7" w:rsidRPr="009C0696">
              <w:rPr>
                <w:spacing w:val="-2"/>
                <w:lang w:val="en-GB"/>
              </w:rPr>
              <w:t>Despite signs of contraction, the economic growth still played a key role in the state budget</w:t>
            </w:r>
            <w:r w:rsidR="0074499B" w:rsidRPr="009C0696">
              <w:rPr>
                <w:spacing w:val="-2"/>
                <w:lang w:val="en-GB"/>
              </w:rPr>
              <w:t xml:space="preserve">, </w:t>
            </w:r>
            <w:r w:rsidR="0044274F" w:rsidRPr="009C0696">
              <w:rPr>
                <w:spacing w:val="-2"/>
                <w:lang w:val="en-GB"/>
              </w:rPr>
              <w:t xml:space="preserve">the importance of public investment (at first directed mainly on the European projects, </w:t>
            </w:r>
            <w:r w:rsidR="0065267E" w:rsidRPr="009C0696">
              <w:rPr>
                <w:spacing w:val="-2"/>
                <w:lang w:val="en-GB"/>
              </w:rPr>
              <w:t xml:space="preserve">towards the end of the year more also on the exclusively national projects) </w:t>
            </w:r>
            <w:r w:rsidR="0044274F" w:rsidRPr="009C0696">
              <w:rPr>
                <w:spacing w:val="-2"/>
                <w:lang w:val="en-GB"/>
              </w:rPr>
              <w:t>also increased</w:t>
            </w:r>
            <w:r w:rsidR="0065267E" w:rsidRPr="009C0696">
              <w:rPr>
                <w:spacing w:val="-2"/>
                <w:lang w:val="en-GB"/>
              </w:rPr>
              <w:t xml:space="preserve"> in the second half of the year.</w:t>
            </w:r>
            <w:r w:rsidR="0074499B" w:rsidRPr="009C0696">
              <w:rPr>
                <w:spacing w:val="-2"/>
                <w:lang w:val="en-GB"/>
              </w:rPr>
              <w:t xml:space="preserve"> </w:t>
            </w:r>
            <w:r w:rsidR="00F614F7" w:rsidRPr="009C0696">
              <w:rPr>
                <w:spacing w:val="-2"/>
                <w:lang w:val="en-GB"/>
              </w:rPr>
              <w:t xml:space="preserve">Total </w:t>
            </w:r>
            <w:r w:rsidR="00EE0A6C" w:rsidRPr="009C0696">
              <w:rPr>
                <w:spacing w:val="-2"/>
                <w:lang w:val="en-GB"/>
              </w:rPr>
              <w:t xml:space="preserve">SB </w:t>
            </w:r>
            <w:r w:rsidR="00D37A6A" w:rsidRPr="009C0696">
              <w:rPr>
                <w:spacing w:val="-2"/>
                <w:lang w:val="en-GB"/>
              </w:rPr>
              <w:t>revenues</w:t>
            </w:r>
            <w:r w:rsidR="00EE0A6C" w:rsidRPr="009C0696">
              <w:rPr>
                <w:spacing w:val="-2"/>
                <w:lang w:val="en-GB"/>
              </w:rPr>
              <w:t xml:space="preserve"> strengthened by </w:t>
            </w:r>
            <w:r w:rsidR="0074499B" w:rsidRPr="009C0696">
              <w:rPr>
                <w:spacing w:val="-2"/>
                <w:lang w:val="en-GB"/>
              </w:rPr>
              <w:t xml:space="preserve">130 </w:t>
            </w:r>
            <w:r w:rsidR="00EE0A6C" w:rsidRPr="009C0696">
              <w:rPr>
                <w:spacing w:val="-2"/>
                <w:lang w:val="en-GB"/>
              </w:rPr>
              <w:t>CZK bn last year compared to year 2017</w:t>
            </w:r>
            <w:r w:rsidR="0074499B" w:rsidRPr="009C0696">
              <w:rPr>
                <w:spacing w:val="-2"/>
                <w:lang w:val="en-GB"/>
              </w:rPr>
              <w:t xml:space="preserve">, </w:t>
            </w:r>
            <w:r w:rsidR="00D37A6A" w:rsidRPr="009C0696">
              <w:rPr>
                <w:spacing w:val="-2"/>
                <w:lang w:val="en-GB"/>
              </w:rPr>
              <w:t xml:space="preserve">expenditures </w:t>
            </w:r>
            <w:r w:rsidR="00EE0A6C" w:rsidRPr="009C0696">
              <w:rPr>
                <w:spacing w:val="-2"/>
                <w:lang w:val="en-GB"/>
              </w:rPr>
              <w:t xml:space="preserve">by </w:t>
            </w:r>
            <w:r w:rsidR="0074499B" w:rsidRPr="009C0696">
              <w:rPr>
                <w:spacing w:val="-2"/>
                <w:lang w:val="en-GB"/>
              </w:rPr>
              <w:t xml:space="preserve">121 </w:t>
            </w:r>
            <w:r w:rsidR="00EE0A6C" w:rsidRPr="009C0696">
              <w:rPr>
                <w:spacing w:val="-2"/>
                <w:lang w:val="en-GB"/>
              </w:rPr>
              <w:t>bn</w:t>
            </w:r>
            <w:r w:rsidR="0074499B" w:rsidRPr="009C0696">
              <w:rPr>
                <w:spacing w:val="-2"/>
                <w:lang w:val="en-GB"/>
              </w:rPr>
              <w:t xml:space="preserve"> – </w:t>
            </w:r>
            <w:r w:rsidR="00EE0A6C" w:rsidRPr="009C0696">
              <w:rPr>
                <w:spacing w:val="-2"/>
                <w:lang w:val="en-GB"/>
              </w:rPr>
              <w:t xml:space="preserve">both budget items grew swifter than was their budget anticipation </w:t>
            </w:r>
            <w:r w:rsidR="0074499B" w:rsidRPr="009C0696">
              <w:rPr>
                <w:spacing w:val="-2"/>
                <w:lang w:val="en-GB"/>
              </w:rPr>
              <w:t>(</w:t>
            </w:r>
            <w:r w:rsidR="00EE0A6C" w:rsidRPr="009C0696">
              <w:rPr>
                <w:spacing w:val="-2"/>
                <w:lang w:val="en-GB"/>
              </w:rPr>
              <w:t xml:space="preserve">by </w:t>
            </w:r>
            <w:r w:rsidR="0074499B" w:rsidRPr="009C0696">
              <w:rPr>
                <w:spacing w:val="-2"/>
                <w:lang w:val="en-GB"/>
              </w:rPr>
              <w:t>5</w:t>
            </w:r>
            <w:r w:rsidR="00EE0A6C" w:rsidRPr="009C0696">
              <w:rPr>
                <w:spacing w:val="-2"/>
                <w:lang w:val="en-GB"/>
              </w:rPr>
              <w:t>.</w:t>
            </w:r>
            <w:r w:rsidR="0074499B" w:rsidRPr="009C0696">
              <w:rPr>
                <w:spacing w:val="-2"/>
                <w:lang w:val="en-GB"/>
              </w:rPr>
              <w:t>8 p.</w:t>
            </w:r>
            <w:r w:rsidR="00EE0A6C" w:rsidRPr="009C0696">
              <w:rPr>
                <w:spacing w:val="-2"/>
                <w:lang w:val="en-GB"/>
              </w:rPr>
              <w:t>p.</w:t>
            </w:r>
            <w:r w:rsidR="0074499B" w:rsidRPr="009C0696">
              <w:rPr>
                <w:spacing w:val="-2"/>
                <w:lang w:val="en-GB"/>
              </w:rPr>
              <w:t>, resp</w:t>
            </w:r>
            <w:r w:rsidR="00917DD4" w:rsidRPr="009C0696">
              <w:rPr>
                <w:spacing w:val="-2"/>
                <w:lang w:val="en-GB"/>
              </w:rPr>
              <w:t>.</w:t>
            </w:r>
            <w:r w:rsidR="0074499B" w:rsidRPr="009C0696">
              <w:rPr>
                <w:spacing w:val="-2"/>
                <w:lang w:val="en-GB"/>
              </w:rPr>
              <w:t xml:space="preserve"> </w:t>
            </w:r>
            <w:r w:rsidR="00EE0A6C" w:rsidRPr="009C0696">
              <w:rPr>
                <w:spacing w:val="-2"/>
                <w:lang w:val="en-GB"/>
              </w:rPr>
              <w:t xml:space="preserve">by </w:t>
            </w:r>
            <w:r w:rsidR="0074499B" w:rsidRPr="009C0696">
              <w:rPr>
                <w:spacing w:val="-2"/>
                <w:lang w:val="en-GB"/>
              </w:rPr>
              <w:t>1</w:t>
            </w:r>
            <w:r w:rsidR="00EE0A6C" w:rsidRPr="009C0696">
              <w:rPr>
                <w:spacing w:val="-2"/>
                <w:lang w:val="en-GB"/>
              </w:rPr>
              <w:t>.</w:t>
            </w:r>
            <w:r w:rsidR="0074499B" w:rsidRPr="009C0696">
              <w:rPr>
                <w:spacing w:val="-2"/>
                <w:lang w:val="en-GB"/>
              </w:rPr>
              <w:t>8 p.</w:t>
            </w:r>
            <w:r w:rsidR="00EE0A6C" w:rsidRPr="009C0696">
              <w:rPr>
                <w:spacing w:val="-2"/>
                <w:lang w:val="en-GB"/>
              </w:rPr>
              <w:t>p.</w:t>
            </w:r>
            <w:r w:rsidR="0074499B" w:rsidRPr="009C0696">
              <w:rPr>
                <w:spacing w:val="-2"/>
                <w:lang w:val="en-GB"/>
              </w:rPr>
              <w:t>).</w:t>
            </w:r>
            <w:r w:rsidR="0074499B" w:rsidRPr="009C0696">
              <w:rPr>
                <w:rFonts w:cs="Arial"/>
                <w:color w:val="0D0D0D" w:themeColor="text1" w:themeTint="F2"/>
                <w:spacing w:val="-2"/>
                <w:lang w:val="en-GB"/>
              </w:rPr>
              <w:t xml:space="preserve"> </w:t>
            </w:r>
            <w:r w:rsidR="00150DF0" w:rsidRPr="009C0696">
              <w:rPr>
                <w:rFonts w:cs="Arial"/>
                <w:color w:val="0D0D0D" w:themeColor="text1" w:themeTint="F2"/>
                <w:spacing w:val="-2"/>
                <w:lang w:val="en-GB"/>
              </w:rPr>
              <w:t xml:space="preserve">SB balance, which represents a dominant item of the budget deficit or surplus of government sector institutions budget </w:t>
            </w:r>
            <w:r w:rsidR="00AE354B" w:rsidRPr="009C0696">
              <w:rPr>
                <w:rFonts w:cs="Arial"/>
                <w:color w:val="0D0D0D" w:themeColor="text1" w:themeTint="F2"/>
                <w:spacing w:val="-2"/>
                <w:lang w:val="en-GB"/>
              </w:rPr>
              <w:t xml:space="preserve">amounted to </w:t>
            </w:r>
            <w:r w:rsidR="0074499B" w:rsidRPr="009C0696">
              <w:rPr>
                <w:rFonts w:cs="Arial"/>
                <w:color w:val="000000" w:themeColor="text1"/>
                <w:spacing w:val="-2"/>
                <w:lang w:val="en-GB"/>
              </w:rPr>
              <w:t>+0</w:t>
            </w:r>
            <w:r w:rsidR="00AE354B" w:rsidRPr="009C0696">
              <w:rPr>
                <w:rFonts w:cs="Arial"/>
                <w:color w:val="000000" w:themeColor="text1"/>
                <w:spacing w:val="-2"/>
                <w:lang w:val="en-GB"/>
              </w:rPr>
              <w:t>.</w:t>
            </w:r>
            <w:r w:rsidR="0074499B" w:rsidRPr="009C0696">
              <w:rPr>
                <w:rFonts w:cs="Arial"/>
                <w:color w:val="000000" w:themeColor="text1"/>
                <w:spacing w:val="-2"/>
                <w:lang w:val="en-GB"/>
              </w:rPr>
              <w:t>1%</w:t>
            </w:r>
            <w:r w:rsidR="00AE354B" w:rsidRPr="009C0696">
              <w:rPr>
                <w:rFonts w:cs="Arial"/>
                <w:color w:val="000000" w:themeColor="text1"/>
                <w:spacing w:val="-2"/>
                <w:lang w:val="en-GB"/>
              </w:rPr>
              <w:t xml:space="preserve"> in relation to the nominal GDP for the first three quarters</w:t>
            </w:r>
            <w:r w:rsidR="0074499B" w:rsidRPr="009C0696">
              <w:rPr>
                <w:rFonts w:cs="Arial"/>
                <w:color w:val="000000" w:themeColor="text1"/>
                <w:spacing w:val="-2"/>
                <w:lang w:val="en-GB"/>
              </w:rPr>
              <w:t>.</w:t>
            </w:r>
          </w:p>
        </w:tc>
      </w:tr>
      <w:tr w:rsidR="0074499B" w:rsidRPr="009C0696" w:rsidTr="00C72161">
        <w:trPr>
          <w:trHeight w:val="170"/>
        </w:trPr>
        <w:tc>
          <w:tcPr>
            <w:tcW w:w="1725" w:type="dxa"/>
            <w:vMerge w:val="restart"/>
            <w:shd w:val="clear" w:color="auto" w:fill="auto"/>
            <w:tcMar>
              <w:left w:w="0" w:type="dxa"/>
            </w:tcMar>
          </w:tcPr>
          <w:p w:rsidR="0074499B" w:rsidRPr="009C0696" w:rsidRDefault="0074499B" w:rsidP="00723435">
            <w:pPr>
              <w:pStyle w:val="Marginlie"/>
              <w:rPr>
                <w:lang w:val="en-GB"/>
              </w:rPr>
            </w:pPr>
          </w:p>
        </w:tc>
        <w:tc>
          <w:tcPr>
            <w:tcW w:w="216" w:type="dxa"/>
            <w:gridSpan w:val="2"/>
            <w:vMerge w:val="restart"/>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C07F12" w:rsidRPr="009C0696" w:rsidRDefault="00FA6637" w:rsidP="00C07F12">
            <w:pPr>
              <w:spacing w:after="0" w:line="240" w:lineRule="auto"/>
              <w:rPr>
                <w:rFonts w:cs="Arial"/>
                <w:bCs/>
                <w:lang w:val="en-GB"/>
              </w:rPr>
            </w:pPr>
            <w:r w:rsidRPr="009C0696">
              <w:rPr>
                <w:rFonts w:cs="Arial"/>
                <w:b/>
                <w:bCs/>
                <w:color w:val="000000"/>
                <w:szCs w:val="20"/>
                <w:lang w:val="en-GB"/>
              </w:rPr>
              <w:t xml:space="preserve">Chart </w:t>
            </w:r>
            <w:proofErr w:type="gramStart"/>
            <w:r w:rsidR="0074499B" w:rsidRPr="009C0696">
              <w:rPr>
                <w:rFonts w:cs="Arial"/>
                <w:b/>
                <w:bCs/>
                <w:color w:val="000000"/>
                <w:szCs w:val="20"/>
                <w:lang w:val="en-GB"/>
              </w:rPr>
              <w:t>1</w:t>
            </w:r>
            <w:r w:rsidR="00E378B1" w:rsidRPr="009C0696">
              <w:rPr>
                <w:rFonts w:cs="Arial"/>
                <w:b/>
                <w:bCs/>
                <w:color w:val="000000"/>
                <w:szCs w:val="20"/>
                <w:lang w:val="en-GB"/>
              </w:rPr>
              <w:t>8</w:t>
            </w:r>
            <w:r w:rsidR="0074499B" w:rsidRPr="009C0696">
              <w:rPr>
                <w:rFonts w:cs="Arial"/>
                <w:b/>
                <w:bCs/>
                <w:color w:val="000000"/>
                <w:sz w:val="18"/>
                <w:szCs w:val="18"/>
                <w:lang w:val="en-GB"/>
              </w:rPr>
              <w:t xml:space="preserve">  </w:t>
            </w:r>
            <w:r w:rsidR="00C07F12" w:rsidRPr="009C0696">
              <w:rPr>
                <w:rFonts w:cs="Arial"/>
                <w:b/>
                <w:bCs/>
                <w:lang w:val="en-GB"/>
              </w:rPr>
              <w:t>State</w:t>
            </w:r>
            <w:proofErr w:type="gramEnd"/>
            <w:r w:rsidR="00C07F12" w:rsidRPr="009C0696">
              <w:rPr>
                <w:rFonts w:cs="Arial"/>
                <w:b/>
                <w:bCs/>
                <w:lang w:val="en-GB"/>
              </w:rPr>
              <w:t xml:space="preserve"> wide collection of selected tax incomes </w:t>
            </w:r>
            <w:r w:rsidR="00C07F12" w:rsidRPr="009C0696">
              <w:rPr>
                <w:rFonts w:cs="Arial"/>
                <w:bCs/>
                <w:lang w:val="en-GB"/>
              </w:rPr>
              <w:t xml:space="preserve">(year-on-year in </w:t>
            </w:r>
            <w:r w:rsidR="00C07F12" w:rsidRPr="009C0696">
              <w:rPr>
                <w:bCs/>
                <w:spacing w:val="-2"/>
                <w:lang w:val="en-GB"/>
              </w:rPr>
              <w:t>%)</w:t>
            </w:r>
            <w:r w:rsidR="00C07F12" w:rsidRPr="009C0696">
              <w:rPr>
                <w:rFonts w:cs="Arial"/>
                <w:bCs/>
                <w:lang w:val="en-GB"/>
              </w:rPr>
              <w:t xml:space="preserve"> </w:t>
            </w:r>
          </w:p>
          <w:p w:rsidR="0074499B" w:rsidRPr="009C0696" w:rsidRDefault="00C07F12" w:rsidP="00C07F12">
            <w:pPr>
              <w:spacing w:after="0" w:line="240" w:lineRule="auto"/>
              <w:jc w:val="left"/>
              <w:rPr>
                <w:rFonts w:cs="Arial"/>
                <w:bCs/>
                <w:lang w:val="en-GB"/>
              </w:rPr>
            </w:pPr>
            <w:r w:rsidRPr="009C0696">
              <w:rPr>
                <w:rFonts w:cs="Arial"/>
                <w:b/>
                <w:bCs/>
                <w:lang w:val="en-GB"/>
              </w:rPr>
              <w:t xml:space="preserve">and state budget balance </w:t>
            </w:r>
            <w:r w:rsidRPr="009C0696">
              <w:rPr>
                <w:rFonts w:cs="Arial"/>
                <w:bCs/>
                <w:lang w:val="en-GB"/>
              </w:rPr>
              <w:t>(in CZK bn)</w:t>
            </w:r>
            <w:r w:rsidRPr="009C0696">
              <w:rPr>
                <w:rFonts w:cs="Arial"/>
                <w:b/>
                <w:bCs/>
                <w:lang w:val="en-GB"/>
              </w:rPr>
              <w:t xml:space="preserve"> </w:t>
            </w:r>
          </w:p>
        </w:tc>
      </w:tr>
      <w:tr w:rsidR="0074499B" w:rsidRPr="009C0696" w:rsidTr="00C72161">
        <w:tblPrEx>
          <w:tblCellMar>
            <w:left w:w="70" w:type="dxa"/>
            <w:right w:w="70" w:type="dxa"/>
          </w:tblCellMar>
        </w:tblPrEx>
        <w:trPr>
          <w:trHeight w:val="170"/>
        </w:trPr>
        <w:tc>
          <w:tcPr>
            <w:tcW w:w="1725" w:type="dxa"/>
            <w:vMerge/>
            <w:shd w:val="clear" w:color="auto" w:fill="auto"/>
          </w:tcPr>
          <w:p w:rsidR="0074499B" w:rsidRPr="009C0696" w:rsidRDefault="0074499B" w:rsidP="00723435">
            <w:pPr>
              <w:pStyle w:val="Marginlie"/>
              <w:rPr>
                <w:lang w:val="en-GB"/>
              </w:rPr>
            </w:pPr>
          </w:p>
        </w:tc>
        <w:tc>
          <w:tcPr>
            <w:tcW w:w="216" w:type="dxa"/>
            <w:gridSpan w:val="2"/>
            <w:vMerge/>
            <w:shd w:val="clear" w:color="auto" w:fill="auto"/>
          </w:tcPr>
          <w:p w:rsidR="0074499B" w:rsidRPr="009C0696" w:rsidRDefault="0074499B" w:rsidP="00723435">
            <w:pPr>
              <w:pStyle w:val="Textpoznpodarou"/>
              <w:jc w:val="both"/>
              <w:rPr>
                <w:spacing w:val="-4"/>
                <w:lang w:val="en-GB"/>
              </w:rPr>
            </w:pPr>
          </w:p>
        </w:tc>
        <w:tc>
          <w:tcPr>
            <w:tcW w:w="7703" w:type="dxa"/>
            <w:gridSpan w:val="2"/>
            <w:shd w:val="clear" w:color="auto" w:fill="auto"/>
          </w:tcPr>
          <w:p w:rsidR="0074499B" w:rsidRPr="009C0696" w:rsidRDefault="00C72161" w:rsidP="00723435">
            <w:pPr>
              <w:spacing w:after="0"/>
              <w:rPr>
                <w:lang w:val="en-GB"/>
              </w:rPr>
            </w:pPr>
            <w:r>
              <w:rPr>
                <w:noProof/>
              </w:rPr>
              <w:drawing>
                <wp:inline distT="0" distB="0" distL="0" distR="0" wp14:anchorId="6B171BA9" wp14:editId="4FF2EDB2">
                  <wp:extent cx="4741545" cy="3657600"/>
                  <wp:effectExtent l="0" t="0" r="1905"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r w:rsidR="0074499B" w:rsidRPr="009C0696" w:rsidTr="00DC002D">
        <w:trPr>
          <w:trHeight w:val="170"/>
        </w:trPr>
        <w:tc>
          <w:tcPr>
            <w:tcW w:w="1725" w:type="dxa"/>
            <w:vMerge/>
            <w:shd w:val="clear" w:color="auto" w:fill="auto"/>
            <w:tcMar>
              <w:left w:w="0" w:type="dxa"/>
            </w:tcMar>
          </w:tcPr>
          <w:p w:rsidR="0074499B" w:rsidRPr="009C0696" w:rsidRDefault="0074499B" w:rsidP="00723435">
            <w:pPr>
              <w:pStyle w:val="Marginlie"/>
              <w:rPr>
                <w:lang w:val="en-GB"/>
              </w:rPr>
            </w:pPr>
          </w:p>
        </w:tc>
        <w:tc>
          <w:tcPr>
            <w:tcW w:w="216" w:type="dxa"/>
            <w:gridSpan w:val="2"/>
            <w:vMerge/>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8E5B5B" w:rsidRPr="004D5E77" w:rsidRDefault="00B35496" w:rsidP="004D5E77">
            <w:pPr>
              <w:spacing w:after="220" w:line="240" w:lineRule="auto"/>
              <w:jc w:val="left"/>
              <w:rPr>
                <w:sz w:val="14"/>
                <w:szCs w:val="14"/>
                <w:lang w:val="en-GB"/>
              </w:rPr>
            </w:pPr>
            <w:r w:rsidRPr="009C0696">
              <w:rPr>
                <w:sz w:val="14"/>
                <w:szCs w:val="14"/>
                <w:lang w:val="en-GB"/>
              </w:rPr>
              <w:t>Source</w:t>
            </w:r>
            <w:r w:rsidR="0074499B" w:rsidRPr="009C0696">
              <w:rPr>
                <w:sz w:val="14"/>
                <w:szCs w:val="14"/>
                <w:lang w:val="en-GB"/>
              </w:rPr>
              <w:t xml:space="preserve">: MF </w:t>
            </w:r>
            <w:r w:rsidRPr="009C0696">
              <w:rPr>
                <w:sz w:val="14"/>
                <w:szCs w:val="14"/>
                <w:lang w:val="en-GB"/>
              </w:rPr>
              <w:t>CR</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proofErr w:type="gramStart"/>
            <w:r w:rsidRPr="009C0696">
              <w:rPr>
                <w:lang w:val="en-GB"/>
              </w:rPr>
              <w:t>State wide</w:t>
            </w:r>
            <w:proofErr w:type="gramEnd"/>
            <w:r w:rsidRPr="009C0696">
              <w:rPr>
                <w:lang w:val="en-GB"/>
              </w:rPr>
              <w:t xml:space="preserve"> collection of all tax income grew the fastest since the expansion year 2007.</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Default="00DC002D" w:rsidP="00DC002D">
            <w:pPr>
              <w:pStyle w:val="Marginlie"/>
              <w:rPr>
                <w:lang w:val="en-GB"/>
              </w:rPr>
            </w:pPr>
          </w:p>
          <w:p w:rsidR="004D5E77" w:rsidRPr="009C0696" w:rsidRDefault="004D5E77" w:rsidP="00DC002D">
            <w:pPr>
              <w:pStyle w:val="Marginlie"/>
              <w:rPr>
                <w:lang w:val="en-GB"/>
              </w:rPr>
            </w:pPr>
          </w:p>
          <w:p w:rsidR="00DC002D" w:rsidRPr="009C0696" w:rsidRDefault="00DC002D" w:rsidP="00DC002D">
            <w:pPr>
              <w:pStyle w:val="Marginlie"/>
              <w:rPr>
                <w:lang w:val="en-GB"/>
              </w:rPr>
            </w:pPr>
            <w:r w:rsidRPr="009C0696">
              <w:rPr>
                <w:lang w:val="en-GB"/>
              </w:rPr>
              <w:lastRenderedPageBreak/>
              <w:t xml:space="preserve">Collection of majority main tax revenues copied the budget </w:t>
            </w:r>
            <w:proofErr w:type="gramStart"/>
            <w:r w:rsidRPr="009C0696">
              <w:rPr>
                <w:lang w:val="en-GB"/>
              </w:rPr>
              <w:t>anticipation,</w:t>
            </w:r>
            <w:proofErr w:type="gramEnd"/>
            <w:r w:rsidRPr="009C0696">
              <w:rPr>
                <w:lang w:val="en-GB"/>
              </w:rPr>
              <w:t xml:space="preserve"> it exceeded it more for collection of social security insurance.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00"/>
              <w:rPr>
                <w:bCs/>
                <w:lang w:val="en-GB"/>
              </w:rPr>
            </w:pPr>
            <w:r w:rsidRPr="009C0696">
              <w:rPr>
                <w:spacing w:val="-2"/>
                <w:lang w:val="en-GB"/>
              </w:rPr>
              <w:t xml:space="preserve">Non-tax and capital revenues </w:t>
            </w:r>
            <w:r w:rsidRPr="009C0696">
              <w:rPr>
                <w:bCs/>
                <w:lang w:val="en-GB"/>
              </w:rPr>
              <w:t xml:space="preserve">and received transfers (+47 CZK </w:t>
            </w:r>
            <w:proofErr w:type="spellStart"/>
            <w:r w:rsidRPr="009C0696">
              <w:rPr>
                <w:bCs/>
                <w:lang w:val="en-GB"/>
              </w:rPr>
              <w:t>bn</w:t>
            </w:r>
            <w:proofErr w:type="spellEnd"/>
            <w:r w:rsidRPr="009C0696">
              <w:rPr>
                <w:rStyle w:val="Znakapoznpodarou"/>
                <w:bCs/>
                <w:lang w:val="en-GB"/>
              </w:rPr>
              <w:footnoteReference w:id="59"/>
            </w:r>
            <w:r w:rsidRPr="009C0696">
              <w:rPr>
                <w:bCs/>
                <w:lang w:val="en-GB"/>
              </w:rPr>
              <w:t xml:space="preserve">) contributed to the year-on-year growth of the SB revenues from more than one third. Nevertheless, the tax revenues, which increased by </w:t>
            </w:r>
            <w:r w:rsidRPr="009C0696">
              <w:rPr>
                <w:spacing w:val="-4"/>
                <w:lang w:val="en-GB"/>
              </w:rPr>
              <w:t xml:space="preserve">7.2% year-on-year (excluding social security insurance by 5.8%) had a dominant effect. With respect to the change of the budget allocation of taxes, which re-directed further part of total collection (for VAT) to the local government budgets to the detriment of the SB, the state-wide rate of growth provides a better picture regarding the real dynamics of tax collection. It shows that the total tax collection </w:t>
            </w:r>
            <w:r w:rsidRPr="009C0696">
              <w:rPr>
                <w:spacing w:val="-4"/>
                <w:lang w:val="en-GB"/>
              </w:rPr>
              <w:lastRenderedPageBreak/>
              <w:t>strengthened by 8.</w:t>
            </w:r>
            <w:r w:rsidR="004B5201">
              <w:rPr>
                <w:spacing w:val="-4"/>
                <w:lang w:val="en-GB"/>
              </w:rPr>
              <w:t>2</w:t>
            </w:r>
            <w:r w:rsidRPr="009C0696">
              <w:rPr>
                <w:spacing w:val="-4"/>
                <w:lang w:val="en-GB"/>
              </w:rPr>
              <w:t>%, the most since the business cycle peak year 2007. The good condition of the local economy in the long-term bore its fruit (mirrored on the labour market), for a lesser part likely also the efficiency of the tax collection. Higher collection of social security insurance (+46.9</w:t>
            </w:r>
            <w:r w:rsidRPr="009C0696">
              <w:rPr>
                <w:spacing w:val="-2"/>
                <w:lang w:val="en-GB"/>
              </w:rPr>
              <w:t xml:space="preserve"> CZK </w:t>
            </w:r>
            <w:proofErr w:type="spellStart"/>
            <w:r w:rsidRPr="009C0696">
              <w:rPr>
                <w:spacing w:val="-2"/>
                <w:lang w:val="en-GB"/>
              </w:rPr>
              <w:t>bn</w:t>
            </w:r>
            <w:proofErr w:type="spellEnd"/>
            <w:r w:rsidRPr="009C0696">
              <w:rPr>
                <w:spacing w:val="-4"/>
                <w:lang w:val="en-GB"/>
              </w:rPr>
              <w:t xml:space="preserve">), income tax of natural persons (+17.9 </w:t>
            </w:r>
            <w:proofErr w:type="spellStart"/>
            <w:r w:rsidRPr="009C0696">
              <w:rPr>
                <w:spacing w:val="-4"/>
                <w:lang w:val="en-GB"/>
              </w:rPr>
              <w:t>bn</w:t>
            </w:r>
            <w:proofErr w:type="spellEnd"/>
            <w:r w:rsidRPr="009C0696">
              <w:rPr>
                <w:spacing w:val="-4"/>
                <w:lang w:val="en-GB"/>
              </w:rPr>
              <w:t xml:space="preserve">) and VAT (+13.0 </w:t>
            </w:r>
            <w:proofErr w:type="spellStart"/>
            <w:r w:rsidRPr="009C0696">
              <w:rPr>
                <w:spacing w:val="-4"/>
                <w:lang w:val="en-GB"/>
              </w:rPr>
              <w:t>bn</w:t>
            </w:r>
            <w:proofErr w:type="spellEnd"/>
            <w:r w:rsidRPr="009C0696">
              <w:rPr>
                <w:spacing w:val="-4"/>
                <w:lang w:val="en-GB"/>
              </w:rPr>
              <w:t xml:space="preserve">) contributed the most to the growth of the SB budget revenues last year. While the collection of tax incomes (excluding social security insurance) finished according to the budget anticipation, collection of social security insurance surpassed it by 16.2 CZK </w:t>
            </w:r>
            <w:proofErr w:type="spellStart"/>
            <w:r w:rsidRPr="009C0696">
              <w:rPr>
                <w:spacing w:val="-4"/>
                <w:lang w:val="en-GB"/>
              </w:rPr>
              <w:t>bn</w:t>
            </w:r>
            <w:proofErr w:type="spellEnd"/>
            <w:r w:rsidRPr="009C0696">
              <w:rPr>
                <w:spacing w:val="-4"/>
                <w:lang w:val="en-GB"/>
              </w:rPr>
              <w:t xml:space="preserve"> 3.3 p.p.</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Year-on-year increase of the VAT collection slightly surpassed the rate of growth of final consumption expenditure in the whole economy. </w:t>
            </w:r>
          </w:p>
          <w:p w:rsidR="00DC002D" w:rsidRDefault="00DC002D" w:rsidP="00DC002D">
            <w:pPr>
              <w:pStyle w:val="Marginlie"/>
              <w:rPr>
                <w:lang w:val="en-GB"/>
              </w:rPr>
            </w:pPr>
          </w:p>
          <w:p w:rsidR="004B5201" w:rsidRPr="009C0696" w:rsidRDefault="004B5201"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Higher collection of consumption taxes was driven mainly by the collection of tax on tobacco products.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In case of VAT, which holds dominant weight, the year-on-year growth of the state-wide collection arrived at 8.3% last year (4.9% at the level of SB). Even though the pace eased compared to year 2017, it still slightly surpassed the dynamics of final consumption expenditure in the economy</w:t>
            </w:r>
            <w:r w:rsidRPr="009C0696">
              <w:rPr>
                <w:rFonts w:cs="Arial"/>
                <w:color w:val="0D0D0D" w:themeColor="text1" w:themeTint="F2"/>
                <w:spacing w:val="-4"/>
                <w:lang w:val="en-GB"/>
              </w:rPr>
              <w:t xml:space="preserve">, which strengthened by 6.7% nominally in 2018. Rate of growth of the collection of consumption taxes remained last year (similarly to the preceding year) tightly below the 3% boundary. Mainly the swiftly growing collection of taxes on tobacco products (+6%) contributed to larger collection. Negative impact of the anti-smoking regulation (in force since June 2017) anticipated by the budget proved less significant than the effect of the repeated increase of rates on tobacco products </w:t>
            </w:r>
            <w:r w:rsidRPr="009C0696">
              <w:rPr>
                <w:rFonts w:cs="Arial"/>
                <w:color w:val="000000" w:themeColor="text1"/>
                <w:spacing w:val="-4"/>
                <w:szCs w:val="20"/>
                <w:lang w:val="en-GB"/>
              </w:rPr>
              <w:t xml:space="preserve">(since January 2018). Collection of weight dominant group – tax on mineral oils – increased only by </w:t>
            </w:r>
            <w:r w:rsidRPr="009C0696">
              <w:rPr>
                <w:rFonts w:cs="Arial"/>
                <w:color w:val="000000" w:themeColor="text1"/>
                <w:spacing w:val="-4"/>
                <w:lang w:val="en-GB"/>
              </w:rPr>
              <w:t>1.2%</w:t>
            </w:r>
            <w:r w:rsidRPr="009C0696">
              <w:rPr>
                <w:rStyle w:val="Znakapoznpodarou"/>
                <w:color w:val="000000" w:themeColor="text1"/>
                <w:spacing w:val="-4"/>
                <w:lang w:val="en-GB"/>
              </w:rPr>
              <w:footnoteReference w:id="60"/>
            </w:r>
            <w:r w:rsidRPr="009C0696">
              <w:rPr>
                <w:rFonts w:cs="Arial"/>
                <w:color w:val="000000" w:themeColor="text1"/>
                <w:spacing w:val="-4"/>
                <w:lang w:val="en-GB"/>
              </w:rPr>
              <w:t xml:space="preserve"> and attained the weakest growth in the last five years. Influence of the favourable impact of the economic growth on private as well as freight transport was dampened by the negative effect linked with administrative and price impacts</w:t>
            </w:r>
            <w:r w:rsidRPr="009C0696">
              <w:rPr>
                <w:rStyle w:val="Znakapoznpodarou"/>
                <w:color w:val="000000" w:themeColor="text1"/>
                <w:spacing w:val="-4"/>
                <w:lang w:val="en-GB"/>
              </w:rPr>
              <w:footnoteReference w:id="61"/>
            </w:r>
            <w:r w:rsidRPr="009C0696">
              <w:rPr>
                <w:rFonts w:cs="Arial"/>
                <w:color w:val="000000" w:themeColor="text1"/>
                <w:spacing w:val="-4"/>
                <w:lang w:val="en-GB"/>
              </w:rPr>
              <w:t>.</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t>Pace of collection of income tax of natural persons (ITNP</w:t>
            </w:r>
            <w:proofErr w:type="gramStart"/>
            <w:r w:rsidRPr="009C0696">
              <w:rPr>
                <w:lang w:val="en-GB"/>
              </w:rPr>
              <w:t>)  from</w:t>
            </w:r>
            <w:proofErr w:type="gramEnd"/>
            <w:r w:rsidRPr="009C0696">
              <w:rPr>
                <w:lang w:val="en-GB"/>
              </w:rPr>
              <w:t xml:space="preserve"> employment further quickened.</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On the contrary, the growth of collection of ITNP from independent activity as well as the corporate tax contracted and did not fulfil the budget anticipations.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00"/>
              <w:rPr>
                <w:spacing w:val="-2"/>
                <w:lang w:val="en-GB"/>
              </w:rPr>
            </w:pPr>
            <w:r w:rsidRPr="009C0696">
              <w:rPr>
                <w:rFonts w:cs="Arial"/>
                <w:color w:val="000000" w:themeColor="text1"/>
                <w:spacing w:val="-4"/>
                <w:lang w:val="en-GB"/>
              </w:rPr>
              <w:t xml:space="preserve">All main types of direct taxes contributed to the growth of their state wide collection last year – income tax of natural persons (ITNP) from employment the most. Its year-on-year growth climbed up to </w:t>
            </w:r>
            <w:r w:rsidRPr="009C0696">
              <w:rPr>
                <w:rFonts w:cs="Arial"/>
                <w:color w:val="0D0D0D" w:themeColor="text1" w:themeTint="F2"/>
                <w:spacing w:val="-4"/>
                <w:lang w:val="en-GB"/>
              </w:rPr>
              <w:t xml:space="preserve">14.4% (despite high basis of year 2017) and achieved faster rate of growth than in the business cycle peak in the last decade. Even though the collection of this tax reached double digit pace already eight quarters in a row, its dynamics slightly weakened in the last quarter of the last year (to +12.8%). It was apparently connected to the slowing pace of employment growth. While the annual collection of ITNP from employment strengthened already fourth year in a row, growth rate of corporate tax contracted to a five-year minimum last year (+2.0%). It copied the declining profitability of businesses mainly through the work of growing wage costs in years 2017 as well as 2018. Collection of ITNP from independent activity grew by 2.9% last year </w:t>
            </w:r>
            <w:r w:rsidRPr="009C0696">
              <w:rPr>
                <w:rFonts w:cs="Arial"/>
                <w:spacing w:val="-4"/>
                <w:szCs w:val="20"/>
                <w:lang w:val="en-GB"/>
              </w:rPr>
              <w:t>(by 11.2% the year before that). In spite of moderate strengthening of the number of self-employed persons as well as measures leading to higher efficiency of the tax collection, the last year´s collection (in contrast to year 2017) was behind the budget anticipation. Changes in the possibilities of tax deductions worked against higher growth of collection (rebates on the second spouse and tax benefits on dependent children</w:t>
            </w:r>
            <w:r w:rsidRPr="009C0696">
              <w:rPr>
                <w:szCs w:val="20"/>
                <w:lang w:val="en-GB"/>
              </w:rPr>
              <w:t>).</w:t>
            </w:r>
            <w:r w:rsidRPr="009C0696">
              <w:rPr>
                <w:rFonts w:cs="Arial"/>
                <w:spacing w:val="-4"/>
                <w:lang w:val="en-GB"/>
              </w:rPr>
              <w:t xml:space="preserve"> Collection of ITNP </w:t>
            </w:r>
            <w:r w:rsidRPr="009C0696">
              <w:rPr>
                <w:szCs w:val="20"/>
                <w:lang w:val="en-GB"/>
              </w:rPr>
              <w:t xml:space="preserve">from capital yields on the contrary recorded a favourable development, growing by 15.1% last year </w:t>
            </w:r>
            <w:r w:rsidRPr="009C0696">
              <w:rPr>
                <w:rFonts w:cs="Arial"/>
                <w:color w:val="000000" w:themeColor="text1"/>
                <w:spacing w:val="-4"/>
                <w:lang w:val="en-GB"/>
              </w:rPr>
              <w:t>–</w:t>
            </w:r>
            <w:r w:rsidRPr="009C0696">
              <w:rPr>
                <w:szCs w:val="20"/>
                <w:lang w:val="en-GB"/>
              </w:rPr>
              <w:t xml:space="preserve"> the fastest in the last four years. </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t xml:space="preserve">Net position of the CR towards the EU budget slumped to seven-year minimum last year. Incomes from both structural funds and on rural development </w:t>
            </w:r>
            <w:r w:rsidRPr="009C0696">
              <w:rPr>
                <w:lang w:val="en-GB"/>
              </w:rPr>
              <w:lastRenderedPageBreak/>
              <w:t xml:space="preserve">increased.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Public finances of the CR are also significantly affected by the financial relations with the EU. The CR gained from the EU budget (based on MF data) 94.8 CZK bn in 2018. This volume did not change much in the year-on-year comparison (-3.5%), but the structure shifted. The volume of resources from structural funds (+8.3 CZK bn) and on rural development (+1.6</w:t>
            </w:r>
            <w:r w:rsidRPr="009C0696">
              <w:rPr>
                <w:rFonts w:cs="Arial"/>
                <w:color w:val="0D0D0D" w:themeColor="text1" w:themeTint="F2"/>
                <w:spacing w:val="-4"/>
                <w:szCs w:val="20"/>
                <w:lang w:val="en-GB"/>
              </w:rPr>
              <w:t> bn</w:t>
            </w:r>
            <w:r w:rsidRPr="009C0696">
              <w:rPr>
                <w:spacing w:val="-4"/>
                <w:lang w:val="en-GB"/>
              </w:rPr>
              <w:t xml:space="preserve">) increased, the role of the cohesion funds on the contrary weakened </w:t>
            </w:r>
            <w:r w:rsidRPr="009C0696">
              <w:rPr>
                <w:spacing w:val="-4"/>
                <w:lang w:val="en-GB"/>
              </w:rPr>
              <w:lastRenderedPageBreak/>
              <w:t xml:space="preserve">(-12.3 bn). Net position of the CR towards the EU budget decreased fell to a </w:t>
            </w:r>
            <w:proofErr w:type="gramStart"/>
            <w:r w:rsidRPr="009C0696">
              <w:rPr>
                <w:spacing w:val="-4"/>
                <w:lang w:val="en-GB"/>
              </w:rPr>
              <w:t>seven year</w:t>
            </w:r>
            <w:proofErr w:type="gramEnd"/>
            <w:r w:rsidRPr="009C0696">
              <w:rPr>
                <w:spacing w:val="-4"/>
                <w:lang w:val="en-GB"/>
              </w:rPr>
              <w:t xml:space="preserve"> minimum last year (+45.3 CZK bn). It was connected to the speed of drawing on funds, their relatively lower total volume (in comparison to preceding programme period 2007</w:t>
            </w:r>
            <w:r w:rsidRPr="009C0696">
              <w:rPr>
                <w:rFonts w:cs="Arial"/>
                <w:color w:val="000000" w:themeColor="text1"/>
                <w:spacing w:val="-4"/>
                <w:lang w:val="en-GB"/>
              </w:rPr>
              <w:t>–</w:t>
            </w:r>
            <w:r w:rsidRPr="009C0696">
              <w:rPr>
                <w:spacing w:val="-4"/>
                <w:lang w:val="en-GB"/>
              </w:rPr>
              <w:t>2013) as well as growing contributions of the CR into the EU budget (49.6 CZK bn last year, by one sixth more year-on-year).</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Swift growth of the SB outlays was driven by both current outlays and investment last year. </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Investment significantly surpassed the budget anticipations only due to the accelerated advanced financing </w:t>
            </w:r>
            <w:proofErr w:type="gramStart"/>
            <w:r w:rsidRPr="009C0696">
              <w:rPr>
                <w:lang w:val="en-GB"/>
              </w:rPr>
              <w:t>of  „</w:t>
            </w:r>
            <w:proofErr w:type="gramEnd"/>
            <w:r w:rsidRPr="009C0696">
              <w:rPr>
                <w:lang w:val="en-GB"/>
              </w:rPr>
              <w:t>European projects“ last year.</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 xml:space="preserve">Growth of total SB outlays reached 9.5% year-on-year last year and accelerated already second year in a row. It was from more than two thirds driven by current outlays, in contrast to years 2016 and 2017 however, there was also an effect of higher capital outlays. State budget used 119.6 CZK bn for investment last year, by nearly one half more year-on-year. </w:t>
            </w:r>
            <w:proofErr w:type="gramStart"/>
            <w:r w:rsidRPr="009C0696">
              <w:rPr>
                <w:spacing w:val="-4"/>
                <w:lang w:val="en-GB"/>
              </w:rPr>
              <w:t>Similarly</w:t>
            </w:r>
            <w:proofErr w:type="gramEnd"/>
            <w:r w:rsidRPr="009C0696">
              <w:rPr>
                <w:spacing w:val="-4"/>
                <w:lang w:val="en-GB"/>
              </w:rPr>
              <w:t xml:space="preserve"> to year 2017, a marked irregularity in the drawing of investment during the year was apparent, since one half of their annual volume was allocated to Q4. Contrary to years 2016 and 2017, last year´s volume of investment surpassed the budget anticipation (by more than one quarter). Slightly more than half of all investment (64.7 CZK bn) was directed to the advanced financing of common CR and EU programmes</w:t>
            </w:r>
            <w:r w:rsidRPr="009C0696">
              <w:rPr>
                <w:rStyle w:val="Znakapoznpodarou"/>
                <w:spacing w:val="-4"/>
                <w:lang w:val="en-GB"/>
              </w:rPr>
              <w:footnoteReference w:id="62"/>
            </w:r>
            <w:r w:rsidRPr="009C0696">
              <w:rPr>
                <w:spacing w:val="-4"/>
                <w:lang w:val="en-GB"/>
              </w:rPr>
              <w:t xml:space="preserve"> (by 27.3</w:t>
            </w:r>
            <w:r w:rsidRPr="009C0696">
              <w:rPr>
                <w:spacing w:val="2"/>
                <w:lang w:val="en-GB"/>
              </w:rPr>
              <w:t> CZK bn more year-on-year</w:t>
            </w:r>
            <w:r w:rsidRPr="009C0696">
              <w:rPr>
                <w:spacing w:val="-4"/>
                <w:lang w:val="en-GB"/>
              </w:rPr>
              <w:t>).</w:t>
            </w:r>
            <w:r w:rsidRPr="009C0696">
              <w:rPr>
                <w:rFonts w:cs="Arial"/>
                <w:color w:val="0D0D0D" w:themeColor="text1" w:themeTint="F2"/>
                <w:spacing w:val="-4"/>
                <w:lang w:val="en-GB"/>
              </w:rPr>
              <w:t xml:space="preserve"> While the acceleration of SB investment was driven by boosted drawing on European funds in Q3 2018, larger expenditure on exclusive national projects mainly contributed in the last part of the year </w:t>
            </w:r>
            <w:r w:rsidRPr="009C0696">
              <w:rPr>
                <w:spacing w:val="-4"/>
                <w:lang w:val="en-GB"/>
              </w:rPr>
              <w:t>(unrelated to the EU)</w:t>
            </w:r>
            <w:r w:rsidRPr="009C0696">
              <w:rPr>
                <w:rStyle w:val="Znakapoznpodarou"/>
                <w:spacing w:val="-4"/>
                <w:lang w:val="en-GB"/>
              </w:rPr>
              <w:footnoteReference w:id="63"/>
            </w:r>
            <w:r w:rsidRPr="009C0696">
              <w:rPr>
                <w:spacing w:val="-4"/>
                <w:lang w:val="en-GB"/>
              </w:rPr>
              <w:t>. Despite this improvement, the share of investment on total SB outlays was „only</w:t>
            </w:r>
            <w:proofErr w:type="gramStart"/>
            <w:r w:rsidRPr="009C0696">
              <w:rPr>
                <w:spacing w:val="-4"/>
                <w:lang w:val="en-GB"/>
              </w:rPr>
              <w:t>“ 8.5</w:t>
            </w:r>
            <w:proofErr w:type="gramEnd"/>
            <w:r w:rsidRPr="009C0696">
              <w:rPr>
                <w:spacing w:val="-4"/>
                <w:lang w:val="en-GB"/>
              </w:rPr>
              <w:t>% in 2018. It constituted the highest value in the last three years, but also the third lowest in the last 14 years.</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pStyle w:val="Textpoznpodarou"/>
              <w:rPr>
                <w:spacing w:val="-2"/>
                <w:lang w:val="en-GB"/>
              </w:rPr>
            </w:pPr>
            <w:r w:rsidRPr="009C0696">
              <w:rPr>
                <w:b/>
                <w:spacing w:val="-2"/>
                <w:lang w:val="en-GB"/>
              </w:rPr>
              <w:t xml:space="preserve">Chart 19 Selected state budget expenditures </w:t>
            </w:r>
            <w:r w:rsidRPr="009C0696">
              <w:rPr>
                <w:rFonts w:cs="Arial"/>
                <w:bCs/>
                <w:spacing w:val="-2"/>
                <w:lang w:val="en-GB"/>
              </w:rPr>
              <w:t>(in CZK bn)</w:t>
            </w:r>
          </w:p>
        </w:tc>
      </w:tr>
      <w:tr w:rsidR="00DC002D" w:rsidRPr="009C0696" w:rsidTr="00C72161">
        <w:tblPrEx>
          <w:tblCellMar>
            <w:left w:w="70" w:type="dxa"/>
            <w:right w:w="70" w:type="dxa"/>
          </w:tblCellMar>
        </w:tblPrEx>
        <w:trPr>
          <w:trHeight w:val="145"/>
        </w:trPr>
        <w:tc>
          <w:tcPr>
            <w:tcW w:w="1725" w:type="dxa"/>
            <w:shd w:val="clear" w:color="auto" w:fill="auto"/>
          </w:tcPr>
          <w:p w:rsidR="00DC002D" w:rsidRPr="009C0696" w:rsidRDefault="00DC002D" w:rsidP="00DC002D">
            <w:pPr>
              <w:pStyle w:val="Marginlie"/>
              <w:rPr>
                <w:lang w:val="en-GB"/>
              </w:rPr>
            </w:pPr>
          </w:p>
        </w:tc>
        <w:tc>
          <w:tcPr>
            <w:tcW w:w="216" w:type="dxa"/>
            <w:gridSpan w:val="2"/>
            <w:shd w:val="clear" w:color="auto" w:fill="auto"/>
          </w:tcPr>
          <w:p w:rsidR="00DC002D" w:rsidRPr="009C0696" w:rsidRDefault="00DC002D" w:rsidP="00DC002D">
            <w:pPr>
              <w:pStyle w:val="Textpoznpodarou"/>
              <w:jc w:val="both"/>
              <w:rPr>
                <w:spacing w:val="-4"/>
                <w:lang w:val="en-GB"/>
              </w:rPr>
            </w:pPr>
          </w:p>
        </w:tc>
        <w:tc>
          <w:tcPr>
            <w:tcW w:w="7703" w:type="dxa"/>
            <w:gridSpan w:val="2"/>
            <w:shd w:val="clear" w:color="auto" w:fill="auto"/>
          </w:tcPr>
          <w:p w:rsidR="00DC002D" w:rsidRPr="009C0696" w:rsidRDefault="00DC002D" w:rsidP="00DC002D">
            <w:pPr>
              <w:spacing w:after="0" w:line="240" w:lineRule="auto"/>
              <w:rPr>
                <w:spacing w:val="-2"/>
                <w:szCs w:val="20"/>
                <w:lang w:val="en-GB"/>
              </w:rPr>
            </w:pPr>
            <w:r>
              <w:rPr>
                <w:noProof/>
              </w:rPr>
              <w:drawing>
                <wp:inline distT="0" distB="0" distL="0" distR="0" wp14:anchorId="66D11251" wp14:editId="7DB88B3C">
                  <wp:extent cx="4797477" cy="3488586"/>
                  <wp:effectExtent l="0" t="0" r="3175" b="0"/>
                  <wp:docPr id="14" name="Graf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pStyle w:val="Textpoznpodarou"/>
              <w:rPr>
                <w:sz w:val="14"/>
                <w:szCs w:val="14"/>
                <w:lang w:val="en-GB"/>
              </w:rPr>
            </w:pPr>
            <w:r w:rsidRPr="009C0696">
              <w:rPr>
                <w:sz w:val="14"/>
                <w:szCs w:val="14"/>
                <w:lang w:val="en-GB"/>
              </w:rPr>
              <w:t xml:space="preserve">* Excluding the expenditure on servicing the state debt and expenditure on realisation of guarantees. </w:t>
            </w:r>
          </w:p>
          <w:p w:rsidR="00DC002D" w:rsidRPr="009C0696" w:rsidRDefault="00DC002D" w:rsidP="00DC002D">
            <w:pPr>
              <w:pStyle w:val="Textpoznpodarou"/>
              <w:rPr>
                <w:sz w:val="14"/>
                <w:szCs w:val="14"/>
                <w:lang w:val="en-GB"/>
              </w:rPr>
            </w:pPr>
            <w:r w:rsidRPr="009C0696">
              <w:rPr>
                <w:sz w:val="14"/>
                <w:szCs w:val="14"/>
                <w:lang w:val="en-GB"/>
              </w:rPr>
              <w:t>**Also includes the foster care benefits.</w:t>
            </w:r>
          </w:p>
          <w:p w:rsidR="00DC002D" w:rsidRPr="009C0696" w:rsidRDefault="00DC002D" w:rsidP="00DC002D">
            <w:pPr>
              <w:pStyle w:val="Textpoznpodarou"/>
              <w:rPr>
                <w:sz w:val="14"/>
                <w:szCs w:val="14"/>
                <w:lang w:val="en-GB"/>
              </w:rPr>
            </w:pPr>
            <w:r w:rsidRPr="009C0696">
              <w:rPr>
                <w:sz w:val="14"/>
                <w:szCs w:val="14"/>
                <w:lang w:val="en-GB"/>
              </w:rPr>
              <w:t xml:space="preserve">*** Includes </w:t>
            </w:r>
            <w:proofErr w:type="gramStart"/>
            <w:r w:rsidRPr="009C0696">
              <w:rPr>
                <w:sz w:val="14"/>
                <w:szCs w:val="14"/>
                <w:lang w:val="en-GB"/>
              </w:rPr>
              <w:t>Material deprivation assistance benefits</w:t>
            </w:r>
            <w:proofErr w:type="gramEnd"/>
            <w:r w:rsidRPr="009C0696">
              <w:rPr>
                <w:sz w:val="14"/>
                <w:szCs w:val="14"/>
                <w:lang w:val="en-GB"/>
              </w:rPr>
              <w:t>, Benefits for people with disabilities, Care benefits (based on Act on State Social Support).</w:t>
            </w:r>
          </w:p>
          <w:p w:rsidR="00DC002D" w:rsidRPr="009C0696" w:rsidRDefault="00DC002D" w:rsidP="00DC002D">
            <w:pPr>
              <w:pStyle w:val="Textpoznpodarou"/>
              <w:rPr>
                <w:sz w:val="14"/>
                <w:szCs w:val="14"/>
                <w:lang w:val="en-GB"/>
              </w:rPr>
            </w:pPr>
            <w:r>
              <w:rPr>
                <w:sz w:val="14"/>
                <w:szCs w:val="14"/>
                <w:lang w:val="en-GB"/>
              </w:rPr>
              <w:t xml:space="preserve">Note: </w:t>
            </w:r>
            <w:r w:rsidRPr="009C0696">
              <w:rPr>
                <w:sz w:val="14"/>
                <w:szCs w:val="14"/>
                <w:lang w:val="en-GB"/>
              </w:rPr>
              <w:t xml:space="preserve">Net outlays </w:t>
            </w:r>
            <w:r>
              <w:rPr>
                <w:sz w:val="14"/>
                <w:szCs w:val="14"/>
                <w:lang w:val="en-GB"/>
              </w:rPr>
              <w:t xml:space="preserve">on state debt </w:t>
            </w:r>
            <w:r w:rsidRPr="009C0696">
              <w:rPr>
                <w:sz w:val="14"/>
                <w:szCs w:val="14"/>
                <w:lang w:val="en-GB"/>
              </w:rPr>
              <w:t>also include receipts of the chapter State debt.</w:t>
            </w:r>
          </w:p>
          <w:p w:rsidR="00DC002D" w:rsidRPr="00C72161" w:rsidRDefault="00DC002D" w:rsidP="00DC002D">
            <w:pPr>
              <w:spacing w:after="220" w:line="240" w:lineRule="auto"/>
              <w:rPr>
                <w:sz w:val="14"/>
                <w:szCs w:val="14"/>
                <w:lang w:val="en-GB"/>
              </w:rPr>
            </w:pPr>
            <w:r w:rsidRPr="009C0696">
              <w:rPr>
                <w:sz w:val="14"/>
                <w:szCs w:val="14"/>
                <w:lang w:val="en-GB"/>
              </w:rPr>
              <w:t>Source: MF CR, MLSA</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Current outlays grew the fastest after year 2006. More than one half consisted of larger expenditure on wages and pensions.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3"/>
                <w:lang w:val="en-GB"/>
              </w:rPr>
            </w:pPr>
            <w:r w:rsidRPr="009C0696">
              <w:rPr>
                <w:spacing w:val="-3"/>
                <w:lang w:val="en-GB"/>
              </w:rPr>
              <w:t>SB current outlays strengthened by 7.0% year-on-year last year, the fastest pace after year 2006. Still their drawing remained closely behind the budget anticipation</w:t>
            </w:r>
            <w:r w:rsidRPr="009C0696">
              <w:rPr>
                <w:rStyle w:val="Znakapoznpodarou"/>
                <w:spacing w:val="-3"/>
                <w:lang w:val="en-GB"/>
              </w:rPr>
              <w:footnoteReference w:id="64"/>
            </w:r>
            <w:r w:rsidRPr="009C0696">
              <w:rPr>
                <w:spacing w:val="-3"/>
                <w:lang w:val="en-GB"/>
              </w:rPr>
              <w:t xml:space="preserve">. Growth of total outlays (+83 CZK bn) was associated from more than one half with the strengthening of the average size of pensions and also the increase of wages of employees working in fields with the dominance of state. Expenditure on salaries in central bodies of the state administration </w:t>
            </w:r>
            <w:r w:rsidRPr="009C0696">
              <w:rPr>
                <w:lang w:val="en-GB"/>
              </w:rPr>
              <w:t>(</w:t>
            </w:r>
            <w:r w:rsidRPr="009C0696">
              <w:rPr>
                <w:spacing w:val="-2"/>
                <w:lang w:val="en-GB"/>
              </w:rPr>
              <w:t>primarily tied to the increase of the wage tariffs, not growing employment</w:t>
            </w:r>
            <w:r w:rsidRPr="009C0696">
              <w:rPr>
                <w:bCs/>
                <w:spacing w:val="-2"/>
                <w:lang w:val="en-GB"/>
              </w:rPr>
              <w:t xml:space="preserve">) went up by 11%. Non-investment transfers to local government budgets increased </w:t>
            </w:r>
            <w:r w:rsidRPr="009C0696">
              <w:rPr>
                <w:spacing w:val="-2"/>
                <w:lang w:val="en-GB"/>
              </w:rPr>
              <w:t>(+13%, similarly to year 2017), allocated in the first place to direct subsidies of basic and secondary schools and also to transfers to municipalities and regions according to the Social Services Act</w:t>
            </w:r>
            <w:r w:rsidRPr="009C0696">
              <w:rPr>
                <w:szCs w:val="20"/>
                <w:lang w:val="en-GB"/>
              </w:rPr>
              <w:t xml:space="preserve">. Both the non-investment transfers to business entities </w:t>
            </w:r>
            <w:r w:rsidRPr="009C0696">
              <w:rPr>
                <w:bCs/>
                <w:spacing w:val="-2"/>
                <w:lang w:val="en-GB"/>
              </w:rPr>
              <w:t xml:space="preserve">(+9 CZK bn), where it comprised of especially the funds for the support of renewal sources of energy, and higher compulsory payments of  the CR into the EU budget (+7.4 CZK bn) contributed to the growth of the current outlays significantly. </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lang w:val="en-GB"/>
              </w:rPr>
            </w:pPr>
            <w:r w:rsidRPr="009C0696">
              <w:rPr>
                <w:b/>
                <w:lang w:val="en-GB"/>
              </w:rPr>
              <w:t xml:space="preserve">Chart 20: </w:t>
            </w:r>
            <w:r w:rsidRPr="009C0696">
              <w:rPr>
                <w:rFonts w:cs="Arial"/>
                <w:b/>
                <w:bCs/>
                <w:spacing w:val="-2"/>
                <w:lang w:val="en-GB"/>
              </w:rPr>
              <w:t xml:space="preserve">Pension recipients, income and expenditure on pensions from the SB </w:t>
            </w:r>
            <w:r w:rsidRPr="009C0696">
              <w:rPr>
                <w:rFonts w:cs="Arial"/>
                <w:bCs/>
                <w:spacing w:val="-2"/>
                <w:lang w:val="en-GB"/>
              </w:rPr>
              <w:t>(year-on-year in %</w:t>
            </w:r>
            <w:r w:rsidRPr="009C0696">
              <w:rPr>
                <w:bCs/>
                <w:spacing w:val="-2"/>
                <w:lang w:val="en-GB"/>
              </w:rPr>
              <w:t>)</w:t>
            </w:r>
            <w:r w:rsidRPr="009C0696">
              <w:rPr>
                <w:rFonts w:cs="Arial"/>
                <w:bCs/>
                <w:spacing w:val="-2"/>
                <w:lang w:val="en-GB"/>
              </w:rPr>
              <w:t xml:space="preserve"> </w:t>
            </w:r>
            <w:r w:rsidRPr="009C0696">
              <w:rPr>
                <w:rFonts w:cs="Arial"/>
                <w:b/>
                <w:bCs/>
                <w:spacing w:val="-2"/>
                <w:lang w:val="en-GB"/>
              </w:rPr>
              <w:t xml:space="preserve">and their balance </w:t>
            </w:r>
            <w:r w:rsidRPr="009C0696">
              <w:rPr>
                <w:rFonts w:cs="Arial"/>
                <w:bCs/>
                <w:spacing w:val="-4"/>
                <w:lang w:val="en-GB"/>
              </w:rPr>
              <w:t xml:space="preserve">(in CZK bn) </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45"/>
        </w:trPr>
        <w:tc>
          <w:tcPr>
            <w:tcW w:w="1725" w:type="dxa"/>
            <w:tcBorders>
              <w:top w:val="nil"/>
              <w:left w:val="nil"/>
              <w:bottom w:val="nil"/>
              <w:right w:val="nil"/>
            </w:tcBorders>
            <w:shd w:val="clear" w:color="auto" w:fill="auto"/>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Pr>
          <w:p w:rsidR="00DC002D" w:rsidRPr="009C0696" w:rsidRDefault="00DC002D" w:rsidP="00DC002D">
            <w:pPr>
              <w:pStyle w:val="Textpoznpodarou"/>
              <w:jc w:val="both"/>
              <w:rPr>
                <w:lang w:val="en-GB"/>
              </w:rPr>
            </w:pPr>
            <w:r>
              <w:rPr>
                <w:noProof/>
              </w:rPr>
              <w:drawing>
                <wp:inline distT="0" distB="0" distL="0" distR="0" wp14:anchorId="2BC26686" wp14:editId="5BE3E18B">
                  <wp:extent cx="4751705" cy="3686175"/>
                  <wp:effectExtent l="0" t="0" r="0" b="0"/>
                  <wp:docPr id="17" name="Graf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0" w:line="240" w:lineRule="auto"/>
              <w:rPr>
                <w:sz w:val="14"/>
                <w:szCs w:val="14"/>
                <w:lang w:val="en-GB"/>
              </w:rPr>
            </w:pPr>
            <w:r w:rsidRPr="009C0696">
              <w:rPr>
                <w:sz w:val="14"/>
                <w:szCs w:val="14"/>
                <w:lang w:val="en-GB"/>
              </w:rPr>
              <w:t xml:space="preserve">* Expresses the difference between incomes and expenditures on pensions from the state budget. The balance of incomes and expenditures includes also the cost of administrating the pension insurance system. </w:t>
            </w:r>
          </w:p>
          <w:p w:rsidR="00DC002D" w:rsidRPr="009C0696" w:rsidRDefault="00DC002D" w:rsidP="004D5E77">
            <w:pPr>
              <w:spacing w:after="220" w:line="240" w:lineRule="auto"/>
              <w:jc w:val="left"/>
              <w:rPr>
                <w:sz w:val="14"/>
                <w:szCs w:val="14"/>
                <w:lang w:val="en-GB"/>
              </w:rPr>
            </w:pPr>
            <w:r w:rsidRPr="009C0696">
              <w:rPr>
                <w:sz w:val="14"/>
                <w:szCs w:val="14"/>
                <w:lang w:val="en-GB"/>
              </w:rPr>
              <w:t>**</w:t>
            </w:r>
            <w:r w:rsidRPr="009C0696">
              <w:rPr>
                <w:rFonts w:cs="Arial"/>
                <w:sz w:val="14"/>
                <w:szCs w:val="14"/>
                <w:lang w:val="en-GB"/>
              </w:rPr>
              <w:t xml:space="preserve"> Old age pension income awarded before the pension age is reached and shortened for the earliness for the whole time period of the drawing the benefit.   </w:t>
            </w:r>
            <w:r w:rsidRPr="009C0696">
              <w:rPr>
                <w:sz w:val="14"/>
                <w:szCs w:val="14"/>
                <w:lang w:val="en-GB"/>
              </w:rPr>
              <w:t xml:space="preserve">                                                                                                            Source: MF, </w:t>
            </w:r>
            <w:r w:rsidR="002F6A9F">
              <w:rPr>
                <w:sz w:val="14"/>
                <w:szCs w:val="14"/>
                <w:lang w:val="en-GB"/>
              </w:rPr>
              <w:t>MLSA</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t>Non-pension social benefits grew the fastest in the last five years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220"/>
              <w:rPr>
                <w:rFonts w:cs="Arial"/>
                <w:color w:val="0D0D0D" w:themeColor="text1" w:themeTint="F2"/>
                <w:spacing w:val="-4"/>
                <w:lang w:val="en-GB"/>
              </w:rPr>
            </w:pPr>
            <w:r w:rsidRPr="009C0696">
              <w:rPr>
                <w:rFonts w:cs="Arial"/>
                <w:color w:val="0D0D0D" w:themeColor="text1" w:themeTint="F2"/>
                <w:spacing w:val="-4"/>
                <w:lang w:val="en-GB"/>
              </w:rPr>
              <w:t xml:space="preserve">Even though the expenditure on social benefits expanded year-on-year by notable 26.6 CZK bn, their share in the total SB outlays shrank already second year in a row (to 39.7%). Despite the strengthening of the social benefit is traditionally pushed by the weight dominant item of expenditure on pensions, the non-pension social benefits also shared in their growth from more than one quarter last year. Their growth significantly accelerated (from 1.2% in 2017 to last year´s 6.2% </w:t>
            </w:r>
            <w:r w:rsidRPr="009C0696">
              <w:rPr>
                <w:rFonts w:cs="Arial"/>
                <w:color w:val="000000" w:themeColor="text1"/>
                <w:spacing w:val="-4"/>
                <w:lang w:val="en-GB"/>
              </w:rPr>
              <w:t>–</w:t>
            </w:r>
            <w:r w:rsidRPr="009C0696">
              <w:rPr>
                <w:rFonts w:cs="Arial"/>
                <w:color w:val="0D0D0D" w:themeColor="text1" w:themeTint="F2"/>
                <w:spacing w:val="-4"/>
                <w:lang w:val="en-GB"/>
              </w:rPr>
              <w:t xml:space="preserve"> the highest rate of growth in the last five years and reached a higher rate than expenditure on pensions.  </w:t>
            </w:r>
          </w:p>
        </w:tc>
      </w:tr>
      <w:tr w:rsidR="00DC002D" w:rsidRPr="009C0696" w:rsidTr="004D5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t xml:space="preserve">…mainly due to the acceleration of the </w:t>
            </w:r>
            <w:r w:rsidRPr="009C0696">
              <w:rPr>
                <w:lang w:val="en-GB"/>
              </w:rPr>
              <w:lastRenderedPageBreak/>
              <w:t xml:space="preserve">growth of expenditure on sickness benefits. Lower expenditure on material deprivation benefits and unemployment benefits worked in the opposite direction. </w:t>
            </w:r>
            <w:r w:rsidRPr="009C0696">
              <w:rPr>
                <w:rFonts w:cs="Arial"/>
                <w:color w:val="0D0D0D" w:themeColor="text1" w:themeTint="F2"/>
                <w:spacing w:val="-4"/>
                <w:lang w:val="en-GB"/>
              </w:rPr>
              <w:t xml:space="preserve">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0"/>
              <w:rPr>
                <w:spacing w:val="-4"/>
                <w:lang w:val="en-GB"/>
              </w:rPr>
            </w:pPr>
            <w:r w:rsidRPr="009C0696">
              <w:rPr>
                <w:spacing w:val="-4"/>
                <w:lang w:val="en-GB"/>
              </w:rPr>
              <w:t xml:space="preserve">Sickness benefits, whose rate of growth considerably increased last year (to 19.8%), added the most to the growth of the expenditure on non-pension social benefits in 2018 </w:t>
            </w:r>
            <w:r w:rsidRPr="009C0696">
              <w:rPr>
                <w:spacing w:val="-4"/>
                <w:lang w:val="en-GB"/>
              </w:rPr>
              <w:lastRenderedPageBreak/>
              <w:t>(similarly to the preceding five years). It was associated with the continuing growth of the temporary work incapacity as well as higher average daily sickness (derived from the level of earnings in the previous months). Stronger drawing of maternity benefits (due to higher natality) exerted much lower level of impact as well as this year´s introduction of new benefits (long-term care benefits, father post-natal care).</w:t>
            </w:r>
            <w:r w:rsidRPr="009C0696">
              <w:rPr>
                <w:rFonts w:cs="Arial"/>
                <w:color w:val="0D0D0D" w:themeColor="text1" w:themeTint="F2"/>
                <w:spacing w:val="-4"/>
                <w:lang w:val="en-GB"/>
              </w:rPr>
              <w:t xml:space="preserve"> </w:t>
            </w:r>
            <w:r w:rsidRPr="009C0696">
              <w:rPr>
                <w:spacing w:val="-4"/>
                <w:lang w:val="en-GB"/>
              </w:rPr>
              <w:t>SB expended more also on some social care benefits – for health disabilities as well as the care benefits (for persons on long-term sickness leave). Drawing on other types of social benefits was positively affected by the favourable situation on the labour market (continuing reduction of unemployed, higher engagement of formerly economically inactive as well as strengthening growth of average wages). Drop of expenditure on material deprivation benefits was deepening already fourth year in a row (down to -27%)</w:t>
            </w:r>
            <w:r w:rsidRPr="009C0696">
              <w:rPr>
                <w:rStyle w:val="Znakapoznpodarou"/>
                <w:spacing w:val="-4"/>
                <w:lang w:val="en-GB"/>
              </w:rPr>
              <w:footnoteReference w:id="65"/>
            </w:r>
            <w:r w:rsidRPr="009C0696">
              <w:rPr>
                <w:spacing w:val="-4"/>
                <w:lang w:val="en-GB"/>
              </w:rPr>
              <w:t>. The state „saved</w:t>
            </w:r>
            <w:proofErr w:type="gramStart"/>
            <w:r w:rsidRPr="009C0696">
              <w:rPr>
                <w:spacing w:val="-4"/>
                <w:lang w:val="en-GB"/>
              </w:rPr>
              <w:t>“ considerably</w:t>
            </w:r>
            <w:proofErr w:type="gramEnd"/>
            <w:r w:rsidRPr="009C0696">
              <w:rPr>
                <w:spacing w:val="-4"/>
                <w:lang w:val="en-GB"/>
              </w:rPr>
              <w:t xml:space="preserve"> less on the support of unemployed (-3.9%) last year, among other things also due to the high proportion of the frictional component of the unemployment as well as the growth of the average monthly unemployment benefit. On the state social support benefits, which are paid out in relation to the household income (child allowance, allowance for living, birth allowance), the SB spent by 8.3% less year-on-year. However, the volume of weight significant parent benefits expanded (+8.6%). By more than one quarter more now travelled to the so far relatively marginal foster care benefits. </w:t>
            </w:r>
          </w:p>
          <w:p w:rsidR="00DC002D" w:rsidRPr="009C0696" w:rsidRDefault="00DC002D" w:rsidP="00DC002D">
            <w:pPr>
              <w:spacing w:after="0"/>
              <w:rPr>
                <w:spacing w:val="-4"/>
                <w:lang w:val="en-GB"/>
              </w:rPr>
            </w:pPr>
          </w:p>
        </w:tc>
      </w:tr>
      <w:tr w:rsidR="00DC002D" w:rsidRPr="009C0696" w:rsidTr="004D5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t xml:space="preserve">Growth of expenditures on pensions accelerated, still the pension account balance finished in record surplus.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210"/>
              <w:rPr>
                <w:szCs w:val="20"/>
                <w:lang w:val="en-GB"/>
              </w:rPr>
            </w:pPr>
            <w:r w:rsidRPr="009C0696">
              <w:rPr>
                <w:szCs w:val="20"/>
                <w:lang w:val="en-GB"/>
              </w:rPr>
              <w:t>Expenditure on pensions expanded already second year in a row and their last year´s rate of growth (+4.7%) was the highest since year 2011. Given the stagnation of the number of persons receiving pension</w:t>
            </w:r>
            <w:r w:rsidRPr="009C0696">
              <w:rPr>
                <w:rStyle w:val="Znakapoznpodarou"/>
                <w:szCs w:val="20"/>
                <w:lang w:val="en-GB"/>
              </w:rPr>
              <w:footnoteReference w:id="66"/>
            </w:r>
            <w:r w:rsidRPr="009C0696">
              <w:rPr>
                <w:szCs w:val="20"/>
                <w:lang w:val="en-GB"/>
              </w:rPr>
              <w:t>, this acceleration resulted from the new setting of their adjustment</w:t>
            </w:r>
            <w:r w:rsidRPr="009C0696">
              <w:rPr>
                <w:rStyle w:val="Znakapoznpodarou"/>
                <w:color w:val="0D0D0D" w:themeColor="text1" w:themeTint="F2"/>
                <w:spacing w:val="-2"/>
                <w:lang w:val="en-GB"/>
              </w:rPr>
              <w:footnoteReference w:id="67"/>
            </w:r>
            <w:r w:rsidRPr="009C0696">
              <w:rPr>
                <w:szCs w:val="20"/>
                <w:lang w:val="en-GB"/>
              </w:rPr>
              <w:t xml:space="preserve">. Extraordinarily favourable situation on the labour market stimulated the growth of the collection of insurance on pensions </w:t>
            </w:r>
            <w:r w:rsidRPr="009C0696">
              <w:rPr>
                <w:rFonts w:cs="Arial"/>
                <w:color w:val="0D0D0D" w:themeColor="text1" w:themeTint="F2"/>
                <w:spacing w:val="-2"/>
                <w:lang w:val="en-GB"/>
              </w:rPr>
              <w:t>(+10.1%, equal to the so far record pace from year 2007). Pension account balance</w:t>
            </w:r>
            <w:r w:rsidRPr="009C0696">
              <w:rPr>
                <w:rStyle w:val="Znakapoznpodarou"/>
                <w:color w:val="0D0D0D" w:themeColor="text1" w:themeTint="F2"/>
                <w:spacing w:val="-2"/>
                <w:lang w:val="en-GB"/>
              </w:rPr>
              <w:footnoteReference w:id="68"/>
            </w:r>
            <w:r w:rsidRPr="009C0696">
              <w:rPr>
                <w:rFonts w:cs="Arial"/>
                <w:color w:val="0D0D0D" w:themeColor="text1" w:themeTint="F2"/>
                <w:spacing w:val="-2"/>
                <w:lang w:val="en-GB"/>
              </w:rPr>
              <w:t xml:space="preserve"> thus for the first time in the last ten years ended in surplus (in the record amount of 18.4 CZK bn).</w:t>
            </w: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r w:rsidRPr="009C0696">
              <w:rPr>
                <w:lang w:val="en-GB"/>
              </w:rPr>
              <w:t xml:space="preserve">Fall of net expenditures on state debt halted last year. The size of state debt remained stabilised. State continued to cover its borrowing needs primarily on the domestic market. </w:t>
            </w:r>
          </w:p>
        </w:tc>
        <w:tc>
          <w:tcPr>
            <w:tcW w:w="216"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4D5E77" w:rsidRPr="009C0696" w:rsidRDefault="004D5E77" w:rsidP="004D5E77">
            <w:pPr>
              <w:spacing w:after="210"/>
              <w:rPr>
                <w:spacing w:val="-2"/>
                <w:szCs w:val="20"/>
                <w:lang w:val="en-GB"/>
              </w:rPr>
            </w:pPr>
            <w:r w:rsidRPr="009C0696">
              <w:rPr>
                <w:rFonts w:cs="Arial"/>
                <w:color w:val="0D0D0D" w:themeColor="text1" w:themeTint="F2"/>
                <w:spacing w:val="-4"/>
                <w:lang w:val="en-GB"/>
              </w:rPr>
              <w:t>Four years lasting slump of the net expenditure on state debt</w:t>
            </w:r>
            <w:r w:rsidRPr="009C0696">
              <w:rPr>
                <w:rStyle w:val="Znakapoznpodarou"/>
                <w:szCs w:val="20"/>
                <w:lang w:val="en-GB"/>
              </w:rPr>
              <w:footnoteReference w:id="69"/>
            </w:r>
            <w:r w:rsidRPr="009C0696">
              <w:rPr>
                <w:szCs w:val="20"/>
                <w:lang w:val="en-GB"/>
              </w:rPr>
              <w:t xml:space="preserve"> halted in year 2018, when these expenditures hit 40.7 CZK </w:t>
            </w:r>
            <w:proofErr w:type="spellStart"/>
            <w:r w:rsidRPr="009C0696">
              <w:rPr>
                <w:szCs w:val="20"/>
                <w:lang w:val="en-GB"/>
              </w:rPr>
              <w:t>bn</w:t>
            </w:r>
            <w:proofErr w:type="spellEnd"/>
            <w:r w:rsidRPr="009C0696">
              <w:rPr>
                <w:szCs w:val="20"/>
                <w:lang w:val="en-GB"/>
              </w:rPr>
              <w:t xml:space="preserve"> last year (by 2.4% more year-on-year). Swiftly growing interest rates on state bonds affected the last year´s development. </w:t>
            </w:r>
            <w:r w:rsidRPr="009C0696">
              <w:rPr>
                <w:spacing w:val="-2"/>
                <w:szCs w:val="20"/>
                <w:lang w:val="en-GB"/>
              </w:rPr>
              <w:t xml:space="preserve">State debt amounted to 1 622.0 CZK </w:t>
            </w:r>
            <w:proofErr w:type="spellStart"/>
            <w:r w:rsidRPr="009C0696">
              <w:rPr>
                <w:spacing w:val="-2"/>
                <w:szCs w:val="20"/>
                <w:lang w:val="en-GB"/>
              </w:rPr>
              <w:t>bn</w:t>
            </w:r>
            <w:proofErr w:type="spellEnd"/>
            <w:r w:rsidRPr="009C0696">
              <w:rPr>
                <w:spacing w:val="-2"/>
                <w:szCs w:val="20"/>
                <w:lang w:val="en-GB"/>
              </w:rPr>
              <w:t xml:space="preserve"> at the end of year 2018 and remained nearly the same year-on-year (-0.2%). Differently from year 2017, the fluctuation of debt within the calendar year </w:t>
            </w:r>
            <w:proofErr w:type="gramStart"/>
            <w:r w:rsidRPr="009C0696">
              <w:rPr>
                <w:spacing w:val="-2"/>
                <w:szCs w:val="20"/>
                <w:lang w:val="en-GB"/>
              </w:rPr>
              <w:t>was significantly curtailed</w:t>
            </w:r>
            <w:proofErr w:type="gramEnd"/>
            <w:r w:rsidRPr="009C0696">
              <w:rPr>
                <w:spacing w:val="-2"/>
                <w:szCs w:val="20"/>
                <w:lang w:val="en-GB"/>
              </w:rPr>
              <w:t xml:space="preserve">. The fall of the koruna value of the foreign debt continued already for the fifth year in a row. It thus shared 14.5% on the total state debt at the end of year 2018 (the least in this part of the year for the last eleven years). Debt securities remain the dominant instrument despite slight decrease of their weight. Financial institutions stay as the most significant owner of koruna state bonds, decrease of the role of non-residents ceased falling during the last year and their proportion arrived at 41.8% at the end of the last year. Households possessed only 0.5% of state bonds, the least in the last eleven years. </w:t>
            </w:r>
          </w:p>
        </w:tc>
      </w:tr>
      <w:tr w:rsidR="00A22900"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A22900" w:rsidRPr="009C0696" w:rsidRDefault="00A22900" w:rsidP="004D5E77">
            <w:pPr>
              <w:pStyle w:val="Marginlie"/>
              <w:rPr>
                <w:lang w:val="en-GB"/>
              </w:rPr>
            </w:pPr>
          </w:p>
        </w:tc>
        <w:tc>
          <w:tcPr>
            <w:tcW w:w="216" w:type="dxa"/>
            <w:gridSpan w:val="2"/>
            <w:tcBorders>
              <w:top w:val="nil"/>
              <w:left w:val="nil"/>
              <w:bottom w:val="nil"/>
              <w:right w:val="nil"/>
            </w:tcBorders>
            <w:shd w:val="clear" w:color="auto" w:fill="auto"/>
            <w:tcMar>
              <w:left w:w="0" w:type="dxa"/>
            </w:tcMar>
          </w:tcPr>
          <w:p w:rsidR="00A22900" w:rsidRPr="009C0696" w:rsidRDefault="00A22900" w:rsidP="004D5E77">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A22900" w:rsidRPr="009C0696" w:rsidRDefault="00A22900" w:rsidP="00A22900">
            <w:pPr>
              <w:spacing w:after="360"/>
              <w:rPr>
                <w:rFonts w:cs="Arial"/>
                <w:color w:val="0D0D0D" w:themeColor="text1" w:themeTint="F2"/>
                <w:spacing w:val="-4"/>
                <w:lang w:val="en-GB"/>
              </w:rPr>
            </w:pP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spacing w:after="0" w:line="240" w:lineRule="auto"/>
              <w:jc w:val="left"/>
              <w:rPr>
                <w:spacing w:val="-4"/>
                <w:lang w:val="en-GB"/>
              </w:rPr>
            </w:pPr>
            <w:r w:rsidRPr="009C0696">
              <w:rPr>
                <w:b/>
                <w:spacing w:val="-4"/>
                <w:lang w:val="en-GB"/>
              </w:rPr>
              <w:t xml:space="preserve">Chart 21: Budget balance and indebtedness rate of the government institutions sector in the CR, Germany and the EU </w:t>
            </w:r>
            <w:r w:rsidRPr="009C0696">
              <w:rPr>
                <w:spacing w:val="-4"/>
                <w:lang w:val="en-GB"/>
              </w:rPr>
              <w:t>(% of GDP)</w:t>
            </w: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45"/>
        </w:trPr>
        <w:tc>
          <w:tcPr>
            <w:tcW w:w="1746" w:type="dxa"/>
            <w:gridSpan w:val="2"/>
            <w:tcBorders>
              <w:top w:val="nil"/>
              <w:left w:val="nil"/>
              <w:bottom w:val="nil"/>
              <w:right w:val="nil"/>
            </w:tcBorders>
            <w:shd w:val="clear" w:color="auto" w:fill="auto"/>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Pr>
          <w:p w:rsidR="004D5E77" w:rsidRPr="009C0696" w:rsidRDefault="004D5E77" w:rsidP="004D5E77">
            <w:pPr>
              <w:pStyle w:val="Textpoznpodarou"/>
              <w:jc w:val="both"/>
              <w:rPr>
                <w:lang w:val="en-GB"/>
              </w:rPr>
            </w:pPr>
            <w:r>
              <w:rPr>
                <w:noProof/>
              </w:rPr>
              <w:drawing>
                <wp:inline distT="0" distB="0" distL="0" distR="0" wp14:anchorId="5B54D849" wp14:editId="60FA4428">
                  <wp:extent cx="4771390" cy="3638550"/>
                  <wp:effectExtent l="0" t="0" r="0" b="0"/>
                  <wp:docPr id="32" name="Graf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z w:val="14"/>
                <w:szCs w:val="14"/>
                <w:lang w:val="en-GB"/>
              </w:rPr>
            </w:pPr>
            <w:r w:rsidRPr="009C0696">
              <w:rPr>
                <w:sz w:val="14"/>
                <w:szCs w:val="14"/>
                <w:lang w:val="en-GB"/>
              </w:rPr>
              <w:t xml:space="preserve">*Budget balance for year 2018 for Germany and the EU expresses the average from quarterly seasonally adjusted data (for Q1 to </w:t>
            </w:r>
            <w:r>
              <w:rPr>
                <w:sz w:val="14"/>
                <w:szCs w:val="14"/>
                <w:lang w:val="en-GB"/>
              </w:rPr>
              <w:t>Q</w:t>
            </w:r>
            <w:r w:rsidRPr="009C0696">
              <w:rPr>
                <w:sz w:val="14"/>
                <w:szCs w:val="14"/>
                <w:lang w:val="en-GB"/>
              </w:rPr>
              <w:t xml:space="preserve">3). Indebtedness rate for Germany and EU depicts the state at the end of Q3 2018. Indicator for the CR expresses the state as of 31.12. in the whole time series (in case of indebtedness rate) and the actual state for the whole year (in case of budget balance). </w:t>
            </w:r>
          </w:p>
          <w:p w:rsidR="004D5E77" w:rsidRPr="00C72161" w:rsidRDefault="004D5E77" w:rsidP="004D5E77">
            <w:pPr>
              <w:pStyle w:val="Textpoznpodarou"/>
              <w:spacing w:after="180" w:line="276" w:lineRule="auto"/>
              <w:jc w:val="both"/>
              <w:rPr>
                <w:sz w:val="14"/>
                <w:szCs w:val="14"/>
                <w:lang w:val="en-GB"/>
              </w:rPr>
            </w:pPr>
            <w:r w:rsidRPr="009C0696">
              <w:rPr>
                <w:sz w:val="14"/>
                <w:szCs w:val="14"/>
                <w:lang w:val="en-GB"/>
              </w:rPr>
              <w:t>Source: CZSO</w:t>
            </w:r>
            <w:r>
              <w:rPr>
                <w:sz w:val="14"/>
                <w:szCs w:val="14"/>
                <w:lang w:val="en-GB"/>
              </w:rPr>
              <w:t>, Eurostat</w:t>
            </w:r>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spacing w:val="-3"/>
                <w:lang w:val="en-GB"/>
              </w:rPr>
            </w:pPr>
            <w:r w:rsidRPr="009C0696">
              <w:rPr>
                <w:spacing w:val="-3"/>
                <w:lang w:val="en-GB"/>
              </w:rPr>
              <w:t xml:space="preserve">Government institution sector achieved surplus last year already third year in a row. It contracted by nearly one half compared to year 2017, primarily due to the dive of surplus of local government institutions. </w:t>
            </w: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spacing w:after="220"/>
              <w:rPr>
                <w:rFonts w:cs="Arial"/>
                <w:color w:val="0D0D0D" w:themeColor="text1" w:themeTint="F2"/>
                <w:spacing w:val="-4"/>
                <w:lang w:val="en-GB"/>
              </w:rPr>
            </w:pPr>
            <w:r w:rsidRPr="009C0696">
              <w:rPr>
                <w:color w:val="000000" w:themeColor="text1"/>
                <w:spacing w:val="-4"/>
                <w:lang w:val="en-GB"/>
              </w:rPr>
              <w:t xml:space="preserve">Consolidated debt of the whole sector of government institutions (taking into account also the budget of municipalities or health insurance companies) reached according to the CZSO the value 1 735.1 CZK bn at the end of Q4 2018. Absolute size of the debt remains stabilised already sixth year in a row. The indebtedness rate was 32.71% of GDP and in comparison to year </w:t>
            </w:r>
            <w:proofErr w:type="gramStart"/>
            <w:r w:rsidRPr="009C0696">
              <w:rPr>
                <w:color w:val="000000" w:themeColor="text1"/>
                <w:spacing w:val="-4"/>
                <w:lang w:val="en-GB"/>
              </w:rPr>
              <w:t>2017</w:t>
            </w:r>
            <w:proofErr w:type="gramEnd"/>
            <w:r w:rsidRPr="009C0696">
              <w:rPr>
                <w:color w:val="000000" w:themeColor="text1"/>
                <w:spacing w:val="-4"/>
                <w:lang w:val="en-GB"/>
              </w:rPr>
              <w:t xml:space="preserve"> it fell by 1.95 p.p. It fell primarily due to the strengthening of the nominal GDP, the year-on-year debt decrease itself (by 14.5 CZK bn) shared only less than one seventh. The government institution sector achieved budget surplus in the amount of +47.4 CZK bn in the CR in 2018, annual positive result prevailed already third year in a row. All subsectors of government institutions achieved surplus last year – similarly to year 2017. Only social security funds managed to improve the last year´s result </w:t>
            </w:r>
            <w:r w:rsidRPr="009C0696">
              <w:rPr>
                <w:rFonts w:cs="Arial"/>
                <w:color w:val="0D0D0D" w:themeColor="text1" w:themeTint="F2"/>
                <w:spacing w:val="-4"/>
                <w:lang w:val="en-GB"/>
              </w:rPr>
              <w:t xml:space="preserve">(by 8.2 bn). The surplus of the whole sector was 0.89% in relation to the GDP </w:t>
            </w:r>
            <w:r w:rsidRPr="009C0696">
              <w:rPr>
                <w:color w:val="000000" w:themeColor="text1"/>
                <w:spacing w:val="-4"/>
                <w:lang w:val="en-GB"/>
              </w:rPr>
              <w:t>last year, it presented the second largest value in the comparable time series since year 1995 (balance hiked up to +1.57% in the record year 2017). Weaker year-on-year result was influenced especially by the lower budget surplus of the local government institutions (by 22.9 CZK bn) with swift growth of investment in its background</w:t>
            </w:r>
            <w:r w:rsidRPr="009C0696">
              <w:rPr>
                <w:rStyle w:val="Znakapoznpodarou"/>
                <w:color w:val="000000" w:themeColor="text1"/>
                <w:spacing w:val="-4"/>
                <w:lang w:val="en-GB"/>
              </w:rPr>
              <w:footnoteReference w:id="70"/>
            </w:r>
            <w:r w:rsidRPr="009C0696">
              <w:rPr>
                <w:color w:val="000000" w:themeColor="text1"/>
                <w:spacing w:val="-4"/>
                <w:lang w:val="en-GB"/>
              </w:rPr>
              <w:t xml:space="preserve"> last </w:t>
            </w:r>
            <w:proofErr w:type="gramStart"/>
            <w:r w:rsidRPr="009C0696">
              <w:rPr>
                <w:color w:val="000000" w:themeColor="text1"/>
                <w:spacing w:val="-4"/>
                <w:lang w:val="en-GB"/>
              </w:rPr>
              <w:t>year .</w:t>
            </w:r>
            <w:proofErr w:type="gramEnd"/>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jc w:val="left"/>
              <w:rPr>
                <w:lang w:val="en-GB"/>
              </w:rPr>
            </w:pPr>
            <w:r w:rsidRPr="009C0696">
              <w:rPr>
                <w:spacing w:val="-3"/>
                <w:sz w:val="16"/>
                <w:szCs w:val="16"/>
                <w:lang w:val="en-GB"/>
              </w:rPr>
              <w:t xml:space="preserve">Tendency to lower the indebtedness rate is apparent at the level of the whole EU since the half of year 2015, so far however was </w:t>
            </w:r>
            <w:r w:rsidRPr="009C0696">
              <w:rPr>
                <w:spacing w:val="-3"/>
                <w:sz w:val="16"/>
                <w:szCs w:val="16"/>
                <w:lang w:val="en-GB"/>
              </w:rPr>
              <w:lastRenderedPageBreak/>
              <w:t xml:space="preserve">implemented only very gradually. </w:t>
            </w: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pStyle w:val="Textpoznpodarou"/>
              <w:spacing w:line="276" w:lineRule="auto"/>
              <w:jc w:val="both"/>
              <w:rPr>
                <w:rFonts w:cs="Arial"/>
                <w:color w:val="0D0D0D" w:themeColor="text1" w:themeTint="F2"/>
                <w:spacing w:val="-4"/>
                <w:lang w:val="en-GB"/>
              </w:rPr>
            </w:pPr>
            <w:r w:rsidRPr="009C0696">
              <w:rPr>
                <w:color w:val="000000" w:themeColor="text1"/>
                <w:spacing w:val="-4"/>
                <w:lang w:val="en-GB"/>
              </w:rPr>
              <w:t>The CR was based on up-to-data data at the end of Q3 2018 (33.9% of GDP)</w:t>
            </w:r>
            <w:r w:rsidRPr="009C0696">
              <w:rPr>
                <w:rStyle w:val="Znakapoznpodarou"/>
                <w:color w:val="000000" w:themeColor="text1"/>
                <w:spacing w:val="-4"/>
                <w:lang w:val="en-GB"/>
              </w:rPr>
              <w:footnoteReference w:id="71"/>
            </w:r>
            <w:r w:rsidRPr="009C0696">
              <w:rPr>
                <w:color w:val="000000" w:themeColor="text1"/>
                <w:spacing w:val="-4"/>
                <w:lang w:val="en-GB"/>
              </w:rPr>
              <w:t xml:space="preserve"> the fourth relatively least indebted EU country </w:t>
            </w:r>
            <w:r w:rsidRPr="009C0696">
              <w:rPr>
                <w:rFonts w:cs="Arial"/>
                <w:color w:val="0D0D0D" w:themeColor="text1" w:themeTint="F2"/>
                <w:spacing w:val="-4"/>
                <w:lang w:val="en-GB"/>
              </w:rPr>
              <w:t xml:space="preserve">(with larger distance behind Estonia, Luxembourg and Bulgaria). Indebtedness rate fell year-on-year both in the EU and the euro area already fourth year in a row, the rate of reduction however is not successful at accelerating despite long-term economic growth. The indebtedness rate fell only by 4.8 p.p. to 80.8% in the </w:t>
            </w:r>
            <w:r w:rsidRPr="009C0696">
              <w:rPr>
                <w:rFonts w:cs="Arial"/>
                <w:color w:val="0D0D0D" w:themeColor="text1" w:themeTint="F2"/>
                <w:spacing w:val="-4"/>
                <w:lang w:val="en-GB"/>
              </w:rPr>
              <w:lastRenderedPageBreak/>
              <w:t xml:space="preserve">Union for the last five years to 80.8%, since the position of the most indebted economies improved only negligibly. 24 Union states signalled a year-on-year decrease of indebtedness in Q3 2018, however among the most indebted economies only Portugal recorded a more significant shift. Indebtedness rate grew in Greece and Cyprus. Less than half of the euro area members showed indebtedness below 60% of GDP, in that from the core countries (EU15) only Luxembourg, Netherlands and Finland. Only Germany and Malta succeeded in lowering their indebtedness rate below the level close to the pre-crisis year </w:t>
            </w:r>
            <w:r w:rsidRPr="009C0696">
              <w:rPr>
                <w:rFonts w:cs="Arial"/>
                <w:bCs/>
                <w:iCs/>
                <w:color w:val="0D0D0D" w:themeColor="text1" w:themeTint="F2"/>
                <w:spacing w:val="-4"/>
                <w:lang w:val="en-GB"/>
              </w:rPr>
              <w:t>2008 (further only Sweden and Estonia were approaching this level).</w:t>
            </w:r>
          </w:p>
        </w:tc>
      </w:tr>
    </w:tbl>
    <w:p w:rsidR="0083630F" w:rsidRPr="0083630F" w:rsidRDefault="0083630F" w:rsidP="00965797">
      <w:pPr>
        <w:pStyle w:val="Nadpis11"/>
        <w:rPr>
          <w:sz w:val="2"/>
          <w:szCs w:val="2"/>
        </w:rPr>
      </w:pPr>
    </w:p>
    <w:p w:rsidR="00A50D73" w:rsidRPr="009110F7" w:rsidRDefault="00A50D73" w:rsidP="00E1444C">
      <w:pPr>
        <w:rPr>
          <w:sz w:val="2"/>
          <w:szCs w:val="2"/>
        </w:rPr>
      </w:pPr>
    </w:p>
    <w:sectPr w:rsidR="00A50D73" w:rsidRPr="009110F7" w:rsidSect="00A03B10">
      <w:pgSz w:w="11906" w:h="16838" w:code="9"/>
      <w:pgMar w:top="1134" w:right="1134" w:bottom="1418" w:left="1134"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93F" w:rsidRDefault="00E8593F" w:rsidP="00E71A58">
      <w:r>
        <w:separator/>
      </w:r>
    </w:p>
  </w:endnote>
  <w:endnote w:type="continuationSeparator" w:id="0">
    <w:p w:rsidR="00E8593F" w:rsidRDefault="00E8593F"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auto"/>
    <w:notTrueType/>
    <w:pitch w:val="variable"/>
    <w:sig w:usb0="00000003" w:usb1="00000000" w:usb2="00000000" w:usb3="00000000" w:csb0="00000001" w:csb1="00000000"/>
  </w:font>
  <w:font w:name="Minion Pro">
    <w:altName w:val="Times New Roman"/>
    <w:charset w:val="00"/>
    <w:family w:val="auto"/>
    <w:pitch w:val="variable"/>
    <w:sig w:usb0="60000287" w:usb1="00000001"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A91AF6" w:rsidP="00A418BC">
    <w:pPr>
      <w:pStyle w:val="Zpat"/>
      <w:rPr>
        <w:szCs w:val="16"/>
      </w:rPr>
    </w:pPr>
    <w:r>
      <w:rPr>
        <w:szCs w:val="16"/>
        <w:lang w:eastAsia="cs-CZ"/>
      </w:rPr>
      <w:drawing>
        <wp:anchor distT="0" distB="0" distL="114300" distR="114300" simplePos="0" relativeHeight="251658240" behindDoc="0" locked="0" layoutInCell="1" allowOverlap="1" wp14:anchorId="54640964" wp14:editId="1CC92A28">
          <wp:simplePos x="0" y="0"/>
          <wp:positionH relativeFrom="column">
            <wp:align>right</wp:align>
          </wp:positionH>
          <wp:positionV relativeFrom="paragraph">
            <wp:posOffset>-64770</wp:posOffset>
          </wp:positionV>
          <wp:extent cx="428625" cy="201295"/>
          <wp:effectExtent l="0" t="0" r="3175" b="1905"/>
          <wp:wrapNone/>
          <wp:docPr id="15"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7B3622">
      <w:rPr>
        <w:szCs w:val="16"/>
      </w:rPr>
      <w:t>22</w:t>
    </w:r>
    <w:r w:rsidRPr="00932443">
      <w:rPr>
        <w:szCs w:val="16"/>
      </w:rPr>
      <w:fldChar w:fldCharType="end"/>
    </w:r>
    <w:r w:rsidRPr="00932443">
      <w:rPr>
        <w:szCs w:val="16"/>
      </w:rPr>
      <w:tab/>
    </w:r>
    <w:r>
      <w:rPr>
        <w:szCs w:val="16"/>
      </w:rPr>
      <w:t xml:space="preserve">Year </w:t>
    </w:r>
    <w:r>
      <w:t>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7B3622" w:rsidP="00A418BC">
    <w:pPr>
      <w:pStyle w:val="Zpat"/>
      <w:rPr>
        <w:szCs w:val="16"/>
      </w:rPr>
    </w:pPr>
    <w:r>
      <w:rPr>
        <w:lang w:eastAsia="cs-CZ"/>
      </w:rPr>
      <w:drawing>
        <wp:anchor distT="0" distB="0" distL="114300" distR="114300" simplePos="0" relativeHeight="251660288" behindDoc="0" locked="0" layoutInCell="1" allowOverlap="1" wp14:anchorId="14528444" wp14:editId="3CA8CF0A">
          <wp:simplePos x="0" y="0"/>
          <wp:positionH relativeFrom="column">
            <wp:posOffset>0</wp:posOffset>
          </wp:positionH>
          <wp:positionV relativeFrom="paragraph">
            <wp:posOffset>0</wp:posOffset>
          </wp:positionV>
          <wp:extent cx="676910" cy="201930"/>
          <wp:effectExtent l="0" t="0" r="8890" b="1270"/>
          <wp:wrapNone/>
          <wp:docPr id="65" name="Picture 12" descr="CSU RGB EN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SU RGB EN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91AF6" w:rsidRPr="00932443">
      <w:rPr>
        <w:szCs w:val="16"/>
      </w:rPr>
      <w:tab/>
    </w:r>
    <w:r w:rsidR="00A91AF6">
      <w:t>Year 2018</w:t>
    </w:r>
    <w:r w:rsidR="00A91AF6" w:rsidRPr="00932443">
      <w:rPr>
        <w:szCs w:val="16"/>
      </w:rPr>
      <w:tab/>
    </w:r>
    <w:r w:rsidR="00A91AF6" w:rsidRPr="00932443">
      <w:rPr>
        <w:rStyle w:val="ZpatChar"/>
        <w:szCs w:val="16"/>
      </w:rPr>
      <w:fldChar w:fldCharType="begin"/>
    </w:r>
    <w:r w:rsidR="00A91AF6" w:rsidRPr="00932443">
      <w:rPr>
        <w:rStyle w:val="ZpatChar"/>
        <w:szCs w:val="16"/>
      </w:rPr>
      <w:instrText>PAGE   \* MERGEFORMAT</w:instrText>
    </w:r>
    <w:r w:rsidR="00A91AF6" w:rsidRPr="00932443">
      <w:rPr>
        <w:rStyle w:val="ZpatChar"/>
        <w:szCs w:val="16"/>
      </w:rPr>
      <w:fldChar w:fldCharType="separate"/>
    </w:r>
    <w:r>
      <w:rPr>
        <w:rStyle w:val="ZpatChar"/>
        <w:szCs w:val="16"/>
      </w:rPr>
      <w:t>21</w:t>
    </w:r>
    <w:r w:rsidR="00A91AF6"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93F" w:rsidRDefault="00E8593F" w:rsidP="00E71A58">
      <w:r>
        <w:separator/>
      </w:r>
    </w:p>
  </w:footnote>
  <w:footnote w:type="continuationSeparator" w:id="0">
    <w:p w:rsidR="00E8593F" w:rsidRDefault="00E8593F" w:rsidP="00E71A58">
      <w:r>
        <w:continuationSeparator/>
      </w:r>
    </w:p>
  </w:footnote>
  <w:footnote w:id="1">
    <w:p w:rsidR="00A91AF6" w:rsidRPr="0021507A" w:rsidRDefault="00A91AF6" w:rsidP="00FB5302">
      <w:pPr>
        <w:pStyle w:val="Textpoznpodarou"/>
        <w:jc w:val="both"/>
        <w:rPr>
          <w:sz w:val="16"/>
          <w:szCs w:val="16"/>
        </w:rPr>
      </w:pPr>
      <w:r w:rsidRPr="0021507A">
        <w:rPr>
          <w:rStyle w:val="Znakapoznpodarou"/>
          <w:sz w:val="16"/>
          <w:szCs w:val="16"/>
        </w:rPr>
        <w:footnoteRef/>
      </w:r>
      <w:r w:rsidRPr="0021507A">
        <w:rPr>
          <w:sz w:val="16"/>
          <w:szCs w:val="16"/>
        </w:rPr>
        <w:t xml:space="preserve"> </w:t>
      </w:r>
      <w:r w:rsidRPr="009F6558">
        <w:rPr>
          <w:sz w:val="16"/>
          <w:szCs w:val="16"/>
          <w:lang w:val="en-GB"/>
        </w:rPr>
        <w:t xml:space="preserve">Data regarding the GDP, gross value added and their components are expressed in constant prices and adjusted for seasonal and calendar effects.  </w:t>
      </w:r>
    </w:p>
  </w:footnote>
  <w:footnote w:id="2">
    <w:p w:rsidR="00A91AF6" w:rsidRPr="00B4223A" w:rsidRDefault="00A91AF6" w:rsidP="00FB5302">
      <w:pPr>
        <w:pStyle w:val="Textpoznpodarou"/>
        <w:jc w:val="both"/>
        <w:rPr>
          <w:sz w:val="16"/>
          <w:szCs w:val="16"/>
        </w:rPr>
      </w:pPr>
      <w:r w:rsidRPr="00B4223A">
        <w:rPr>
          <w:rStyle w:val="Znakapoznpodarou"/>
          <w:sz w:val="16"/>
          <w:szCs w:val="16"/>
        </w:rPr>
        <w:footnoteRef/>
      </w:r>
      <w:r w:rsidRPr="00B4223A">
        <w:rPr>
          <w:sz w:val="16"/>
          <w:szCs w:val="16"/>
        </w:rPr>
        <w:t xml:space="preserve"> </w:t>
      </w:r>
      <w:r w:rsidRPr="009F6558">
        <w:rPr>
          <w:sz w:val="16"/>
          <w:szCs w:val="16"/>
          <w:lang w:val="en-GB"/>
        </w:rPr>
        <w:t xml:space="preserve">Employment data are in the national accounts conception adjusted for seasonal effects. </w:t>
      </w:r>
    </w:p>
  </w:footnote>
  <w:footnote w:id="3">
    <w:p w:rsidR="00A91AF6" w:rsidRPr="00EF1EE3" w:rsidRDefault="00A91AF6" w:rsidP="0033709C">
      <w:pPr>
        <w:pStyle w:val="Textpoznpodarou"/>
        <w:rPr>
          <w:sz w:val="16"/>
          <w:szCs w:val="16"/>
        </w:rPr>
      </w:pPr>
      <w:r w:rsidRPr="00EF1EE3">
        <w:rPr>
          <w:rStyle w:val="Znakapoznpodarou"/>
          <w:sz w:val="16"/>
          <w:szCs w:val="16"/>
        </w:rPr>
        <w:footnoteRef/>
      </w:r>
      <w:r w:rsidRPr="00EF1EE3">
        <w:rPr>
          <w:sz w:val="16"/>
          <w:szCs w:val="16"/>
        </w:rPr>
        <w:t xml:space="preserve"> </w:t>
      </w:r>
      <w:r w:rsidRPr="00526A54">
        <w:rPr>
          <w:sz w:val="16"/>
          <w:szCs w:val="16"/>
          <w:lang w:val="en-GB"/>
        </w:rPr>
        <w:t xml:space="preserve">The development of the GDP, gross value added and their components is expressed with the help of the volume indices (i.e. adjusted for changes in prices) and adjusted for seasonal and calendar effects. Data </w:t>
      </w:r>
      <w:r>
        <w:rPr>
          <w:sz w:val="16"/>
          <w:szCs w:val="16"/>
          <w:lang w:val="en-GB"/>
        </w:rPr>
        <w:t xml:space="preserve">are valid as of 2.4.2019. </w:t>
      </w:r>
    </w:p>
  </w:footnote>
  <w:footnote w:id="4">
    <w:p w:rsidR="00A91AF6" w:rsidRPr="009C6EA8" w:rsidRDefault="00A91AF6" w:rsidP="0033709C">
      <w:pPr>
        <w:pStyle w:val="Textpoznpodarou"/>
        <w:rPr>
          <w:sz w:val="16"/>
          <w:szCs w:val="16"/>
        </w:rPr>
      </w:pPr>
      <w:r w:rsidRPr="009C6EA8">
        <w:rPr>
          <w:rStyle w:val="Znakapoznpodarou"/>
          <w:sz w:val="16"/>
          <w:szCs w:val="16"/>
        </w:rPr>
        <w:footnoteRef/>
      </w:r>
      <w:r w:rsidRPr="009C6EA8">
        <w:rPr>
          <w:sz w:val="16"/>
          <w:szCs w:val="16"/>
        </w:rPr>
        <w:t xml:space="preserve"> </w:t>
      </w:r>
      <w:r w:rsidRPr="00F83297">
        <w:rPr>
          <w:sz w:val="16"/>
          <w:szCs w:val="16"/>
          <w:lang w:val="en-GB"/>
        </w:rPr>
        <w:t xml:space="preserve">Additions to the GDP change after exclusion of imports for final use. </w:t>
      </w:r>
    </w:p>
  </w:footnote>
  <w:footnote w:id="5">
    <w:p w:rsidR="00A91AF6" w:rsidRPr="00380C34" w:rsidRDefault="00A91AF6" w:rsidP="0033709C">
      <w:pPr>
        <w:pStyle w:val="Textpoznpodarou"/>
        <w:rPr>
          <w:lang w:val="en-GB"/>
        </w:rPr>
      </w:pPr>
      <w:r w:rsidRPr="009C6EA8">
        <w:rPr>
          <w:rStyle w:val="Znakapoznpodarou"/>
          <w:sz w:val="16"/>
          <w:szCs w:val="16"/>
        </w:rPr>
        <w:footnoteRef/>
      </w:r>
      <w:r w:rsidRPr="009C6EA8">
        <w:rPr>
          <w:sz w:val="16"/>
          <w:szCs w:val="16"/>
        </w:rPr>
        <w:t xml:space="preserve"> </w:t>
      </w:r>
      <w:r w:rsidRPr="00380C34">
        <w:rPr>
          <w:sz w:val="16"/>
          <w:szCs w:val="16"/>
          <w:lang w:val="en-GB"/>
        </w:rPr>
        <w:t xml:space="preserve">Employment in the national accounts conception, data regarding persons as well as hours worked </w:t>
      </w:r>
      <w:proofErr w:type="gramStart"/>
      <w:r w:rsidRPr="00380C34">
        <w:rPr>
          <w:sz w:val="16"/>
          <w:szCs w:val="16"/>
          <w:lang w:val="en-GB"/>
        </w:rPr>
        <w:t>are seasonally adjusted</w:t>
      </w:r>
      <w:proofErr w:type="gramEnd"/>
      <w:r w:rsidRPr="00380C34">
        <w:rPr>
          <w:sz w:val="16"/>
          <w:szCs w:val="16"/>
          <w:lang w:val="en-GB"/>
        </w:rPr>
        <w:t xml:space="preserve">. </w:t>
      </w:r>
    </w:p>
  </w:footnote>
  <w:footnote w:id="6">
    <w:p w:rsidR="00A91AF6" w:rsidRPr="009C6EA8" w:rsidRDefault="00A91AF6" w:rsidP="00AA0D8A">
      <w:pPr>
        <w:pStyle w:val="Textpoznpodarou"/>
        <w:jc w:val="both"/>
        <w:rPr>
          <w:sz w:val="16"/>
          <w:szCs w:val="16"/>
        </w:rPr>
      </w:pPr>
      <w:r w:rsidRPr="009C6EA8">
        <w:rPr>
          <w:rStyle w:val="Znakapoznpodarou"/>
          <w:sz w:val="16"/>
          <w:szCs w:val="16"/>
        </w:rPr>
        <w:footnoteRef/>
      </w:r>
      <w:r w:rsidRPr="009C6EA8">
        <w:rPr>
          <w:sz w:val="16"/>
          <w:szCs w:val="16"/>
        </w:rPr>
        <w:t xml:space="preserve"> </w:t>
      </w:r>
      <w:r w:rsidRPr="00F83297">
        <w:rPr>
          <w:sz w:val="16"/>
          <w:szCs w:val="16"/>
          <w:lang w:val="en-GB"/>
        </w:rPr>
        <w:t>Converted into the real expression using the deflator of final consumption expenditure of households.</w:t>
      </w:r>
    </w:p>
  </w:footnote>
  <w:footnote w:id="7">
    <w:p w:rsidR="00A91AF6" w:rsidRPr="00771972" w:rsidRDefault="00A91AF6" w:rsidP="00C255C4">
      <w:pPr>
        <w:pStyle w:val="Textpoznpodarou"/>
        <w:rPr>
          <w:sz w:val="16"/>
          <w:szCs w:val="16"/>
        </w:rPr>
      </w:pPr>
      <w:r w:rsidRPr="00771972">
        <w:rPr>
          <w:rStyle w:val="Znakapoznpodarou"/>
          <w:sz w:val="16"/>
          <w:szCs w:val="16"/>
        </w:rPr>
        <w:footnoteRef/>
      </w:r>
      <w:r w:rsidRPr="00771972">
        <w:rPr>
          <w:sz w:val="16"/>
          <w:szCs w:val="16"/>
        </w:rPr>
        <w:t xml:space="preserve"> </w:t>
      </w:r>
      <w:r w:rsidRPr="00F83297">
        <w:rPr>
          <w:sz w:val="16"/>
          <w:szCs w:val="16"/>
          <w:lang w:val="en-GB"/>
        </w:rPr>
        <w:t>Public administration, education, health and social care.</w:t>
      </w:r>
    </w:p>
  </w:footnote>
  <w:footnote w:id="8">
    <w:p w:rsidR="00A91AF6" w:rsidRPr="00F8184A" w:rsidRDefault="00A91AF6" w:rsidP="00F8184A">
      <w:pPr>
        <w:autoSpaceDE w:val="0"/>
        <w:autoSpaceDN w:val="0"/>
        <w:adjustRightInd w:val="0"/>
        <w:spacing w:after="0" w:line="240" w:lineRule="auto"/>
        <w:rPr>
          <w:rFonts w:cs="Arial"/>
          <w:sz w:val="16"/>
          <w:szCs w:val="16"/>
          <w:lang w:val="en-GB"/>
        </w:rPr>
      </w:pPr>
      <w:r w:rsidRPr="001553B8">
        <w:rPr>
          <w:rStyle w:val="Znakapoznpodarou"/>
          <w:rFonts w:cs="Arial"/>
          <w:sz w:val="16"/>
          <w:szCs w:val="16"/>
        </w:rPr>
        <w:footnoteRef/>
      </w:r>
      <w:r w:rsidRPr="001553B8">
        <w:rPr>
          <w:rFonts w:cs="Arial"/>
          <w:sz w:val="16"/>
          <w:szCs w:val="16"/>
        </w:rPr>
        <w:t xml:space="preserve"> </w:t>
      </w:r>
      <w:r w:rsidRPr="00F8184A">
        <w:rPr>
          <w:rFonts w:cs="Arial"/>
          <w:sz w:val="16"/>
          <w:szCs w:val="16"/>
          <w:lang w:val="en-GB"/>
        </w:rPr>
        <w:t xml:space="preserve">Profitability rate of the non-financial businesses is defined </w:t>
      </w:r>
      <w:r w:rsidRPr="00F8184A">
        <w:rPr>
          <w:rFonts w:eastAsia="Calibri" w:cs="Arial"/>
          <w:iCs/>
          <w:sz w:val="16"/>
          <w:szCs w:val="16"/>
          <w:lang w:val="en-GB" w:eastAsia="en-US"/>
        </w:rPr>
        <w:t xml:space="preserve">as the share of the gross operating surplus relative to the gross value added (B.2g/B.1g). This indicator represents the profitability of the production factors from the production process. </w:t>
      </w:r>
    </w:p>
  </w:footnote>
  <w:footnote w:id="9">
    <w:p w:rsidR="00A91AF6" w:rsidRPr="0048586B" w:rsidRDefault="00A91AF6" w:rsidP="0048586B">
      <w:pPr>
        <w:autoSpaceDE w:val="0"/>
        <w:autoSpaceDN w:val="0"/>
        <w:adjustRightInd w:val="0"/>
        <w:spacing w:after="0" w:line="240" w:lineRule="auto"/>
        <w:rPr>
          <w:rFonts w:cs="Arial"/>
          <w:sz w:val="16"/>
          <w:szCs w:val="16"/>
          <w:lang w:val="en-GB"/>
        </w:rPr>
      </w:pPr>
      <w:r w:rsidRPr="0048586B">
        <w:rPr>
          <w:rStyle w:val="Znakapoznpodarou"/>
          <w:rFonts w:cs="Arial"/>
          <w:sz w:val="16"/>
          <w:szCs w:val="16"/>
          <w:lang w:val="en-GB"/>
        </w:rPr>
        <w:footnoteRef/>
      </w:r>
      <w:r w:rsidRPr="0048586B">
        <w:rPr>
          <w:rFonts w:cs="Arial"/>
          <w:sz w:val="16"/>
          <w:szCs w:val="16"/>
          <w:lang w:val="en-GB"/>
        </w:rPr>
        <w:t xml:space="preserve"> The household saving rate is defined as the share of gross savings and gross disposable income with the inclusion of adjustment for net share of households on pension funds reserves </w:t>
      </w:r>
      <w:r w:rsidRPr="0048586B">
        <w:rPr>
          <w:rFonts w:eastAsia="Calibri" w:cs="Arial"/>
          <w:iCs/>
          <w:sz w:val="16"/>
          <w:szCs w:val="16"/>
          <w:lang w:val="en-GB" w:eastAsia="en-US"/>
        </w:rPr>
        <w:t xml:space="preserve">B.8g/(B.6g+D.8). Gross savings represent the part of gross disposable income, which was not consumed in the form of final consumption expenditure. </w:t>
      </w:r>
    </w:p>
  </w:footnote>
  <w:footnote w:id="10">
    <w:p w:rsidR="00A91AF6" w:rsidRPr="0048586B" w:rsidRDefault="00A91AF6" w:rsidP="0048586B">
      <w:pPr>
        <w:autoSpaceDE w:val="0"/>
        <w:autoSpaceDN w:val="0"/>
        <w:adjustRightInd w:val="0"/>
        <w:spacing w:after="0" w:line="240" w:lineRule="auto"/>
        <w:rPr>
          <w:rFonts w:cs="Arial"/>
          <w:sz w:val="16"/>
          <w:szCs w:val="16"/>
          <w:lang w:val="en-GB"/>
        </w:rPr>
      </w:pPr>
      <w:r w:rsidRPr="0048586B">
        <w:rPr>
          <w:rStyle w:val="Znakapoznpodarou"/>
          <w:rFonts w:cs="Arial"/>
          <w:sz w:val="16"/>
          <w:szCs w:val="16"/>
          <w:lang w:val="en-GB"/>
        </w:rPr>
        <w:footnoteRef/>
      </w:r>
      <w:r w:rsidRPr="0048586B">
        <w:rPr>
          <w:rFonts w:cs="Arial"/>
          <w:sz w:val="16"/>
          <w:szCs w:val="16"/>
          <w:lang w:val="en-GB"/>
        </w:rPr>
        <w:t xml:space="preserve"> Average monthly household income per capita in the nominal expression is defined as the share of adjusted disposable household income and mean population. </w:t>
      </w:r>
    </w:p>
  </w:footnote>
  <w:footnote w:id="11">
    <w:p w:rsidR="00A91AF6" w:rsidRPr="00CD1CFD" w:rsidRDefault="00A91AF6" w:rsidP="00CD1CFD">
      <w:pPr>
        <w:autoSpaceDE w:val="0"/>
        <w:autoSpaceDN w:val="0"/>
        <w:adjustRightInd w:val="0"/>
        <w:spacing w:after="0" w:line="240" w:lineRule="auto"/>
        <w:rPr>
          <w:rFonts w:cs="Arial"/>
          <w:sz w:val="16"/>
          <w:szCs w:val="16"/>
          <w:lang w:val="en-GB"/>
        </w:rPr>
      </w:pPr>
      <w:r w:rsidRPr="001003BB">
        <w:rPr>
          <w:rStyle w:val="Znakapoznpodarou"/>
          <w:rFonts w:cs="Arial"/>
          <w:sz w:val="16"/>
          <w:szCs w:val="16"/>
        </w:rPr>
        <w:footnoteRef/>
      </w:r>
      <w:r w:rsidRPr="001003BB">
        <w:rPr>
          <w:rFonts w:cs="Arial"/>
          <w:sz w:val="16"/>
          <w:szCs w:val="16"/>
        </w:rPr>
        <w:t xml:space="preserve"> </w:t>
      </w:r>
      <w:r>
        <w:rPr>
          <w:rFonts w:cs="Arial"/>
          <w:sz w:val="16"/>
          <w:szCs w:val="16"/>
        </w:rPr>
        <w:t>S</w:t>
      </w:r>
      <w:proofErr w:type="spellStart"/>
      <w:r w:rsidRPr="00CD1CFD">
        <w:rPr>
          <w:rFonts w:eastAsia="Calibri" w:cs="Arial"/>
          <w:iCs/>
          <w:sz w:val="16"/>
          <w:szCs w:val="16"/>
          <w:lang w:val="en-GB" w:eastAsia="en-US"/>
        </w:rPr>
        <w:t>ocial</w:t>
      </w:r>
      <w:proofErr w:type="spellEnd"/>
      <w:r w:rsidRPr="00CD1CFD">
        <w:rPr>
          <w:rFonts w:eastAsia="Calibri" w:cs="Arial"/>
          <w:iCs/>
          <w:sz w:val="16"/>
          <w:szCs w:val="16"/>
          <w:lang w:val="en-GB" w:eastAsia="en-US"/>
        </w:rPr>
        <w:t xml:space="preserve"> transfers </w:t>
      </w:r>
      <w:r>
        <w:rPr>
          <w:rFonts w:eastAsia="Calibri" w:cs="Arial"/>
          <w:iCs/>
          <w:sz w:val="16"/>
          <w:szCs w:val="16"/>
          <w:lang w:val="en-GB" w:eastAsia="en-US"/>
        </w:rPr>
        <w:t xml:space="preserve">in </w:t>
      </w:r>
      <w:proofErr w:type="gramStart"/>
      <w:r>
        <w:rPr>
          <w:rFonts w:eastAsia="Calibri" w:cs="Arial"/>
          <w:iCs/>
          <w:sz w:val="16"/>
          <w:szCs w:val="16"/>
          <w:lang w:val="en-GB" w:eastAsia="en-US"/>
        </w:rPr>
        <w:t xml:space="preserve">kind </w:t>
      </w:r>
      <w:r w:rsidRPr="00CD1CFD">
        <w:rPr>
          <w:rFonts w:eastAsia="Calibri" w:cs="Arial"/>
          <w:iCs/>
          <w:sz w:val="16"/>
          <w:szCs w:val="16"/>
          <w:lang w:val="en-GB" w:eastAsia="en-US"/>
        </w:rPr>
        <w:t>(D.63</w:t>
      </w:r>
      <w:proofErr w:type="gramEnd"/>
      <w:r w:rsidRPr="00CD1CFD">
        <w:rPr>
          <w:rFonts w:eastAsia="Calibri" w:cs="Arial"/>
          <w:iCs/>
          <w:sz w:val="16"/>
          <w:szCs w:val="16"/>
          <w:lang w:val="en-GB" w:eastAsia="en-US"/>
        </w:rPr>
        <w:t>) include the value of individual services and goods provided by government institutions and non-profit institutions serving households (N</w:t>
      </w:r>
      <w:r>
        <w:rPr>
          <w:rFonts w:eastAsia="Calibri" w:cs="Arial"/>
          <w:iCs/>
          <w:sz w:val="16"/>
          <w:szCs w:val="16"/>
          <w:lang w:val="en-GB" w:eastAsia="en-US"/>
        </w:rPr>
        <w:t>P</w:t>
      </w:r>
      <w:r w:rsidRPr="00CD1CFD">
        <w:rPr>
          <w:rFonts w:eastAsia="Calibri" w:cs="Arial"/>
          <w:iCs/>
          <w:sz w:val="16"/>
          <w:szCs w:val="16"/>
          <w:lang w:val="en-GB" w:eastAsia="en-US"/>
        </w:rPr>
        <w:t>ISH), and also material benefits provided by municipalities (including reimbursement of approved household expenditure for certain types of goods and services)  and all values of non-market services of government institutions and N</w:t>
      </w:r>
      <w:r>
        <w:rPr>
          <w:rFonts w:eastAsia="Calibri" w:cs="Arial"/>
          <w:iCs/>
          <w:sz w:val="16"/>
          <w:szCs w:val="16"/>
          <w:lang w:val="en-GB" w:eastAsia="en-US"/>
        </w:rPr>
        <w:t>P</w:t>
      </w:r>
      <w:r w:rsidRPr="00CD1CFD">
        <w:rPr>
          <w:rFonts w:eastAsia="Calibri" w:cs="Arial"/>
          <w:iCs/>
          <w:sz w:val="16"/>
          <w:szCs w:val="16"/>
          <w:lang w:val="en-GB" w:eastAsia="en-US"/>
        </w:rPr>
        <w:t xml:space="preserve">ISH provided for individual consumption. Individual services and goods provided to households by government institutions and non-profit </w:t>
      </w:r>
      <w:r>
        <w:rPr>
          <w:rFonts w:eastAsia="Calibri" w:cs="Arial"/>
          <w:iCs/>
          <w:sz w:val="16"/>
          <w:szCs w:val="16"/>
          <w:lang w:val="en-GB" w:eastAsia="en-US"/>
        </w:rPr>
        <w:t xml:space="preserve">institutions serving </w:t>
      </w:r>
      <w:r w:rsidRPr="00CD1CFD">
        <w:rPr>
          <w:rFonts w:eastAsia="Calibri" w:cs="Arial"/>
          <w:iCs/>
          <w:sz w:val="16"/>
          <w:szCs w:val="16"/>
          <w:lang w:val="en-GB" w:eastAsia="en-US"/>
        </w:rPr>
        <w:t xml:space="preserve">households represent a value of goods and services provided in the form of health and social care, education, housing etc. These are especially in-kind benefits associated with the health insurance (payments for medical aids, medical, </w:t>
      </w:r>
      <w:r>
        <w:rPr>
          <w:rFonts w:eastAsia="Calibri" w:cs="Arial"/>
          <w:iCs/>
          <w:sz w:val="16"/>
          <w:szCs w:val="16"/>
          <w:lang w:val="en-GB" w:eastAsia="en-US"/>
        </w:rPr>
        <w:t>dental</w:t>
      </w:r>
      <w:r w:rsidRPr="00CD1CFD">
        <w:rPr>
          <w:rFonts w:eastAsia="Calibri" w:cs="Arial"/>
          <w:iCs/>
          <w:sz w:val="16"/>
          <w:szCs w:val="16"/>
          <w:lang w:val="en-GB" w:eastAsia="en-US"/>
        </w:rPr>
        <w:t xml:space="preserve"> treatment, surgery etc.) covered by the health insurance companies to those, who provide these goods and services.  </w:t>
      </w:r>
    </w:p>
  </w:footnote>
  <w:footnote w:id="12">
    <w:p w:rsidR="00A91AF6" w:rsidRPr="00CD1CFD" w:rsidRDefault="00A91AF6" w:rsidP="00CD1CFD">
      <w:pPr>
        <w:pStyle w:val="Textpoznpodarou"/>
        <w:jc w:val="both"/>
        <w:rPr>
          <w:sz w:val="16"/>
          <w:szCs w:val="16"/>
          <w:lang w:val="en-GB"/>
        </w:rPr>
      </w:pPr>
      <w:r w:rsidRPr="00457568">
        <w:rPr>
          <w:rStyle w:val="Znakapoznpodarou"/>
          <w:sz w:val="16"/>
          <w:szCs w:val="16"/>
        </w:rPr>
        <w:footnoteRef/>
      </w:r>
      <w:r w:rsidRPr="00457568">
        <w:rPr>
          <w:sz w:val="16"/>
          <w:szCs w:val="16"/>
        </w:rPr>
        <w:t xml:space="preserve"> </w:t>
      </w:r>
      <w:r w:rsidRPr="00CD1CFD">
        <w:rPr>
          <w:sz w:val="16"/>
          <w:szCs w:val="16"/>
          <w:lang w:val="en-GB"/>
        </w:rPr>
        <w:t xml:space="preserve">High comparative basis of the last year is the main reason. Inventory stock grew fast throughout the whole year 2017 year-on-year and the total change amounted to +49.0 CZK bn. In the last year, the inventory stock grew only in Q1 and in total </w:t>
      </w:r>
      <w:r>
        <w:rPr>
          <w:sz w:val="16"/>
          <w:szCs w:val="16"/>
          <w:lang w:val="en-GB"/>
        </w:rPr>
        <w:t>it</w:t>
      </w:r>
      <w:r w:rsidRPr="00CD1CFD">
        <w:rPr>
          <w:sz w:val="16"/>
          <w:szCs w:val="16"/>
          <w:lang w:val="en-GB"/>
        </w:rPr>
        <w:t xml:space="preserve"> decreased by 10.4 bn. </w:t>
      </w:r>
      <w:r>
        <w:rPr>
          <w:sz w:val="16"/>
          <w:szCs w:val="16"/>
          <w:lang w:val="en-GB"/>
        </w:rPr>
        <w:t xml:space="preserve">Last year´s fall did moderated in the course of the </w:t>
      </w:r>
      <w:proofErr w:type="gramStart"/>
      <w:r>
        <w:rPr>
          <w:sz w:val="16"/>
          <w:szCs w:val="16"/>
          <w:lang w:val="en-GB"/>
        </w:rPr>
        <w:t>year,</w:t>
      </w:r>
      <w:proofErr w:type="gramEnd"/>
      <w:r>
        <w:rPr>
          <w:sz w:val="16"/>
          <w:szCs w:val="16"/>
          <w:lang w:val="en-GB"/>
        </w:rPr>
        <w:t xml:space="preserve"> nevertheless it stumbled when compared to year </w:t>
      </w:r>
      <w:r w:rsidRPr="00CD1CFD">
        <w:rPr>
          <w:sz w:val="16"/>
          <w:szCs w:val="16"/>
          <w:lang w:val="en-GB"/>
        </w:rPr>
        <w:t xml:space="preserve">2017, </w:t>
      </w:r>
      <w:r>
        <w:rPr>
          <w:sz w:val="16"/>
          <w:szCs w:val="16"/>
          <w:lang w:val="en-GB"/>
        </w:rPr>
        <w:t xml:space="preserve">when the increase featured an upward tendency towards the end of the year. </w:t>
      </w:r>
      <w:r w:rsidRPr="00CD1CFD">
        <w:rPr>
          <w:sz w:val="16"/>
          <w:szCs w:val="16"/>
          <w:lang w:val="en-GB"/>
        </w:rPr>
        <w:t>T</w:t>
      </w:r>
      <w:r>
        <w:rPr>
          <w:sz w:val="16"/>
          <w:szCs w:val="16"/>
          <w:lang w:val="en-GB"/>
        </w:rPr>
        <w:t xml:space="preserve">his difference thus dampened the contribution of capital outlays to the GDP growth for the most part of the year. </w:t>
      </w:r>
      <w:r w:rsidRPr="00CD1CFD">
        <w:rPr>
          <w:sz w:val="16"/>
          <w:szCs w:val="16"/>
          <w:lang w:val="en-GB"/>
        </w:rPr>
        <w:t xml:space="preserve"> </w:t>
      </w:r>
    </w:p>
  </w:footnote>
  <w:footnote w:id="13">
    <w:p w:rsidR="00A91AF6" w:rsidRPr="006E47E7" w:rsidRDefault="00A91AF6" w:rsidP="006E47E7">
      <w:pPr>
        <w:autoSpaceDE w:val="0"/>
        <w:autoSpaceDN w:val="0"/>
        <w:adjustRightInd w:val="0"/>
        <w:spacing w:after="0" w:line="240" w:lineRule="auto"/>
        <w:rPr>
          <w:rFonts w:cs="Arial"/>
          <w:sz w:val="16"/>
          <w:szCs w:val="16"/>
          <w:lang w:val="en-GB"/>
        </w:rPr>
      </w:pPr>
      <w:r w:rsidRPr="00D20875">
        <w:rPr>
          <w:rStyle w:val="Znakapoznpodarou"/>
          <w:rFonts w:cs="Arial"/>
          <w:sz w:val="16"/>
          <w:szCs w:val="16"/>
        </w:rPr>
        <w:footnoteRef/>
      </w:r>
      <w:r w:rsidRPr="00D20875">
        <w:rPr>
          <w:rFonts w:cs="Arial"/>
          <w:sz w:val="16"/>
          <w:szCs w:val="16"/>
        </w:rPr>
        <w:t xml:space="preserve"> </w:t>
      </w:r>
      <w:r w:rsidRPr="006E47E7">
        <w:rPr>
          <w:rFonts w:cs="Arial"/>
          <w:sz w:val="16"/>
          <w:szCs w:val="16"/>
          <w:lang w:val="en-GB"/>
        </w:rPr>
        <w:t xml:space="preserve">Investment rate of the non-financial businesses is defined as the share of gross fixed capital formation relative to the gross value added </w:t>
      </w:r>
      <w:r w:rsidRPr="006E47E7">
        <w:rPr>
          <w:rFonts w:eastAsia="Calibri" w:cs="Arial"/>
          <w:iCs/>
          <w:sz w:val="16"/>
          <w:szCs w:val="16"/>
          <w:lang w:val="en-GB" w:eastAsia="en-US"/>
        </w:rPr>
        <w:t xml:space="preserve">(P.51g/B.1g). This indicator expresses the proportion of investment into the non-financial assets (buildings, machinery etc.) and value created during the production process. </w:t>
      </w:r>
    </w:p>
  </w:footnote>
  <w:footnote w:id="14">
    <w:p w:rsidR="00A91AF6" w:rsidRPr="006E47E7" w:rsidRDefault="00A91AF6" w:rsidP="006E47E7">
      <w:pPr>
        <w:autoSpaceDE w:val="0"/>
        <w:autoSpaceDN w:val="0"/>
        <w:adjustRightInd w:val="0"/>
        <w:spacing w:after="0" w:line="240" w:lineRule="auto"/>
        <w:rPr>
          <w:rFonts w:cs="Arial"/>
          <w:sz w:val="16"/>
          <w:szCs w:val="16"/>
          <w:lang w:val="en-GB"/>
        </w:rPr>
      </w:pPr>
      <w:r w:rsidRPr="006E47E7">
        <w:rPr>
          <w:rStyle w:val="Znakapoznpodarou"/>
          <w:rFonts w:cs="Arial"/>
          <w:sz w:val="16"/>
          <w:szCs w:val="16"/>
          <w:lang w:val="en-GB"/>
        </w:rPr>
        <w:footnoteRef/>
      </w:r>
      <w:r w:rsidRPr="006E47E7">
        <w:rPr>
          <w:rFonts w:cs="Arial"/>
          <w:sz w:val="16"/>
          <w:szCs w:val="16"/>
          <w:lang w:val="en-GB"/>
        </w:rPr>
        <w:t xml:space="preserve"> Household investment rate is defined as the share of gross fixed capital relative to the gross disposable income with the inclusion of adjustment for net share of households on pension funds reserves </w:t>
      </w:r>
      <w:r w:rsidRPr="006E47E7">
        <w:rPr>
          <w:rFonts w:eastAsia="Calibri" w:cs="Arial"/>
          <w:iCs/>
          <w:sz w:val="16"/>
          <w:szCs w:val="16"/>
          <w:lang w:val="en-GB" w:eastAsia="en-US"/>
        </w:rPr>
        <w:t>(P.51g/B.6g-D.8).</w:t>
      </w:r>
    </w:p>
  </w:footnote>
  <w:footnote w:id="15">
    <w:p w:rsidR="00A91AF6" w:rsidRPr="0021552C" w:rsidRDefault="00A91AF6" w:rsidP="002D40BE">
      <w:pPr>
        <w:pStyle w:val="Textpoznpodarou"/>
        <w:jc w:val="both"/>
        <w:rPr>
          <w:sz w:val="16"/>
          <w:szCs w:val="16"/>
        </w:rPr>
      </w:pPr>
      <w:r w:rsidRPr="0021552C">
        <w:rPr>
          <w:rStyle w:val="Znakapoznpodarou"/>
          <w:sz w:val="16"/>
          <w:szCs w:val="16"/>
        </w:rPr>
        <w:footnoteRef/>
      </w:r>
      <w:r w:rsidRPr="0021552C">
        <w:rPr>
          <w:sz w:val="16"/>
          <w:szCs w:val="16"/>
        </w:rPr>
        <w:t xml:space="preserve"> </w:t>
      </w:r>
      <w:r w:rsidRPr="00BF7E4B">
        <w:rPr>
          <w:rFonts w:cs="Arial"/>
          <w:sz w:val="16"/>
          <w:szCs w:val="16"/>
        </w:rPr>
        <w:t xml:space="preserve">Data </w:t>
      </w:r>
      <w:r w:rsidRPr="00FA0250">
        <w:rPr>
          <w:rFonts w:cs="Arial"/>
          <w:sz w:val="16"/>
          <w:szCs w:val="16"/>
          <w:lang w:val="en-GB"/>
        </w:rPr>
        <w:t xml:space="preserve">regarding the type classification of gross fixed capital formation are not seasonally adjusted. </w:t>
      </w:r>
    </w:p>
  </w:footnote>
  <w:footnote w:id="16">
    <w:p w:rsidR="00A91AF6" w:rsidRPr="00272A4B" w:rsidRDefault="00A91AF6" w:rsidP="00272A4B">
      <w:pPr>
        <w:pStyle w:val="Textpoznpodarou"/>
        <w:jc w:val="both"/>
        <w:rPr>
          <w:sz w:val="16"/>
          <w:szCs w:val="16"/>
          <w:lang w:val="en-GB"/>
        </w:rPr>
      </w:pPr>
      <w:r w:rsidRPr="00167B30">
        <w:rPr>
          <w:rStyle w:val="Znakapoznpodarou"/>
          <w:sz w:val="16"/>
          <w:szCs w:val="16"/>
        </w:rPr>
        <w:footnoteRef/>
      </w:r>
      <w:r w:rsidRPr="00167B30">
        <w:rPr>
          <w:sz w:val="16"/>
          <w:szCs w:val="16"/>
        </w:rPr>
        <w:t xml:space="preserve"> </w:t>
      </w:r>
      <w:r w:rsidRPr="00272A4B">
        <w:rPr>
          <w:sz w:val="16"/>
          <w:szCs w:val="16"/>
          <w:lang w:val="en-GB"/>
        </w:rPr>
        <w:t>According to the methodology of quarterly national accounts (import and export in CIF/FOB prices).</w:t>
      </w:r>
    </w:p>
  </w:footnote>
  <w:footnote w:id="17">
    <w:p w:rsidR="00A91AF6" w:rsidRPr="00272A4B" w:rsidRDefault="00A91AF6" w:rsidP="00272A4B">
      <w:pPr>
        <w:pStyle w:val="Textpoznpodarou"/>
        <w:jc w:val="both"/>
        <w:rPr>
          <w:sz w:val="16"/>
          <w:szCs w:val="16"/>
          <w:lang w:val="en-GB"/>
        </w:rPr>
      </w:pPr>
      <w:r w:rsidRPr="00272A4B">
        <w:rPr>
          <w:rStyle w:val="Znakapoznpodarou"/>
          <w:sz w:val="16"/>
          <w:szCs w:val="16"/>
          <w:lang w:val="en-GB"/>
        </w:rPr>
        <w:footnoteRef/>
      </w:r>
      <w:r w:rsidRPr="00272A4B">
        <w:rPr>
          <w:sz w:val="16"/>
          <w:szCs w:val="16"/>
          <w:lang w:val="en-GB"/>
        </w:rPr>
        <w:t xml:space="preserve"> Value expressed in 2010 constant prices has not been exceeded yet.    </w:t>
      </w:r>
    </w:p>
  </w:footnote>
  <w:footnote w:id="18">
    <w:p w:rsidR="00A91AF6" w:rsidRPr="00FB58F4" w:rsidRDefault="00A91AF6" w:rsidP="00006B67">
      <w:pPr>
        <w:pStyle w:val="Textpoznpodarou"/>
        <w:jc w:val="both"/>
        <w:rPr>
          <w:rFonts w:cs="Arial"/>
          <w:color w:val="0D0D0D" w:themeColor="text1" w:themeTint="F2"/>
          <w:spacing w:val="-2"/>
          <w:sz w:val="16"/>
          <w:szCs w:val="16"/>
        </w:rPr>
      </w:pPr>
      <w:r w:rsidRPr="00FB58F4">
        <w:rPr>
          <w:rStyle w:val="Znakapoznpodarou"/>
          <w:rFonts w:cs="Arial"/>
          <w:color w:val="0D0D0D" w:themeColor="text1" w:themeTint="F2"/>
          <w:spacing w:val="-2"/>
          <w:sz w:val="16"/>
          <w:szCs w:val="16"/>
        </w:rPr>
        <w:footnoteRef/>
      </w:r>
      <w:r w:rsidRPr="00FB58F4">
        <w:rPr>
          <w:rFonts w:cs="Arial"/>
          <w:color w:val="0D0D0D" w:themeColor="text1" w:themeTint="F2"/>
          <w:spacing w:val="-2"/>
          <w:sz w:val="16"/>
          <w:szCs w:val="16"/>
        </w:rPr>
        <w:t xml:space="preserve"> </w:t>
      </w:r>
      <w:r w:rsidRPr="00000C43">
        <w:rPr>
          <w:color w:val="0D0D0D" w:themeColor="text1" w:themeTint="F2"/>
          <w:spacing w:val="-2"/>
          <w:sz w:val="16"/>
          <w:szCs w:val="16"/>
          <w:lang w:val="en-GB"/>
        </w:rPr>
        <w:t>Data regarding the GVA are expressed in constant prices and adjusted for seasonal and calendar effects.</w:t>
      </w:r>
    </w:p>
  </w:footnote>
  <w:footnote w:id="19">
    <w:p w:rsidR="00A91AF6" w:rsidRPr="00AF36D6" w:rsidRDefault="00A91AF6" w:rsidP="00AF36D6">
      <w:pPr>
        <w:pStyle w:val="Textpoznpodarou"/>
        <w:jc w:val="both"/>
        <w:rPr>
          <w:sz w:val="16"/>
          <w:szCs w:val="16"/>
          <w:lang w:val="en-GB"/>
        </w:rPr>
      </w:pPr>
      <w:r w:rsidRPr="00437BC7">
        <w:rPr>
          <w:rStyle w:val="Znakapoznpodarou"/>
          <w:sz w:val="16"/>
          <w:szCs w:val="16"/>
        </w:rPr>
        <w:footnoteRef/>
      </w:r>
      <w:r w:rsidRPr="00437BC7">
        <w:rPr>
          <w:sz w:val="16"/>
          <w:szCs w:val="16"/>
        </w:rPr>
        <w:t xml:space="preserve"> </w:t>
      </w:r>
      <w:r w:rsidRPr="00AF36D6">
        <w:rPr>
          <w:sz w:val="16"/>
          <w:szCs w:val="16"/>
          <w:lang w:val="en-GB"/>
        </w:rPr>
        <w:t xml:space="preserve">The total harvest of cereals was 6.97 mil of tons in 2018. It was by 11% lower compared to the average of years 2008 till 2017. </w:t>
      </w:r>
    </w:p>
  </w:footnote>
  <w:footnote w:id="20">
    <w:p w:rsidR="00A91AF6" w:rsidRPr="00FB58F4" w:rsidRDefault="00A91AF6" w:rsidP="00006B67">
      <w:pPr>
        <w:pStyle w:val="Textpoznpodarou"/>
        <w:jc w:val="both"/>
        <w:rPr>
          <w:rFonts w:cs="Arial"/>
          <w:color w:val="0D0D0D" w:themeColor="text1" w:themeTint="F2"/>
          <w:spacing w:val="-2"/>
          <w:sz w:val="16"/>
          <w:szCs w:val="16"/>
        </w:rPr>
      </w:pPr>
      <w:r w:rsidRPr="00FB58F4">
        <w:rPr>
          <w:rStyle w:val="Znakapoznpodarou"/>
          <w:rFonts w:cs="Arial"/>
          <w:color w:val="0D0D0D" w:themeColor="text1" w:themeTint="F2"/>
          <w:spacing w:val="-2"/>
          <w:sz w:val="16"/>
          <w:szCs w:val="16"/>
        </w:rPr>
        <w:footnoteRef/>
      </w:r>
      <w:r w:rsidRPr="0027583D">
        <w:rPr>
          <w:rFonts w:cs="Arial"/>
          <w:color w:val="0D0D0D" w:themeColor="text1" w:themeTint="F2"/>
          <w:spacing w:val="-2"/>
          <w:sz w:val="16"/>
          <w:szCs w:val="16"/>
        </w:rPr>
        <w:t xml:space="preserve"> </w:t>
      </w:r>
      <w:r w:rsidRPr="00790164">
        <w:rPr>
          <w:color w:val="0D0D0D" w:themeColor="text1" w:themeTint="F2"/>
          <w:spacing w:val="-2"/>
          <w:sz w:val="16"/>
          <w:szCs w:val="16"/>
          <w:lang w:val="en-GB"/>
        </w:rPr>
        <w:t>Included branches: Mining and quarrying, Manufacturing, Energetics. All year-on-year rates of growth of output (at the level of activity</w:t>
      </w:r>
      <w:r w:rsidRPr="00DA3F70">
        <w:rPr>
          <w:color w:val="0D0D0D" w:themeColor="text1" w:themeTint="F2"/>
          <w:spacing w:val="-2"/>
          <w:sz w:val="16"/>
          <w:szCs w:val="16"/>
          <w:lang w:val="en-GB"/>
        </w:rPr>
        <w:t xml:space="preserve"> sections as well as divisions) are adjusted for calendar effects</w:t>
      </w:r>
      <w:r>
        <w:rPr>
          <w:color w:val="0D0D0D" w:themeColor="text1" w:themeTint="F2"/>
          <w:spacing w:val="-2"/>
          <w:sz w:val="16"/>
          <w:szCs w:val="16"/>
          <w:lang w:val="en-GB"/>
        </w:rPr>
        <w:t>, quarter-on-quarter rates are then also seasonally adjusted.</w:t>
      </w:r>
    </w:p>
  </w:footnote>
  <w:footnote w:id="21">
    <w:p w:rsidR="00A91AF6" w:rsidRPr="009D75BE" w:rsidRDefault="00A91AF6" w:rsidP="009D75BE">
      <w:pPr>
        <w:pStyle w:val="Textpoznpodarou"/>
        <w:jc w:val="both"/>
        <w:rPr>
          <w:sz w:val="16"/>
          <w:szCs w:val="16"/>
          <w:lang w:val="en-GB"/>
        </w:rPr>
      </w:pPr>
      <w:r w:rsidRPr="00E27FAF">
        <w:rPr>
          <w:rStyle w:val="Znakapoznpodarou"/>
          <w:sz w:val="16"/>
          <w:szCs w:val="16"/>
        </w:rPr>
        <w:footnoteRef/>
      </w:r>
      <w:r w:rsidRPr="00E27FAF">
        <w:rPr>
          <w:sz w:val="16"/>
          <w:szCs w:val="16"/>
        </w:rPr>
        <w:t xml:space="preserve"> </w:t>
      </w:r>
      <w:r w:rsidRPr="009D75BE">
        <w:rPr>
          <w:sz w:val="16"/>
          <w:szCs w:val="16"/>
          <w:lang w:val="en-GB"/>
        </w:rPr>
        <w:t xml:space="preserve">Even though the performance of the branch slowed down (to </w:t>
      </w:r>
      <w:r w:rsidR="009F7FC7">
        <w:rPr>
          <w:sz w:val="16"/>
          <w:szCs w:val="16"/>
          <w:lang w:val="en-GB"/>
        </w:rPr>
        <w:t>+</w:t>
      </w:r>
      <w:r w:rsidRPr="009D75BE">
        <w:rPr>
          <w:sz w:val="16"/>
          <w:szCs w:val="16"/>
          <w:lang w:val="en-GB"/>
        </w:rPr>
        <w:t xml:space="preserve">1.4%, from </w:t>
      </w:r>
      <w:r w:rsidR="009F7FC7">
        <w:rPr>
          <w:sz w:val="16"/>
          <w:szCs w:val="16"/>
          <w:lang w:val="en-GB"/>
        </w:rPr>
        <w:t>+</w:t>
      </w:r>
      <w:r w:rsidRPr="009D75BE">
        <w:rPr>
          <w:sz w:val="16"/>
          <w:szCs w:val="16"/>
          <w:lang w:val="en-GB"/>
        </w:rPr>
        <w:t xml:space="preserve">4.8% in 2017), output grew already third year in a row. According  to the data of the </w:t>
      </w:r>
      <w:r>
        <w:rPr>
          <w:sz w:val="16"/>
          <w:szCs w:val="16"/>
          <w:lang w:val="en-GB"/>
        </w:rPr>
        <w:t xml:space="preserve"> </w:t>
      </w:r>
      <w:r w:rsidRPr="009D75BE">
        <w:rPr>
          <w:sz w:val="16"/>
          <w:szCs w:val="16"/>
          <w:lang w:val="en-GB"/>
        </w:rPr>
        <w:t>Energy Regulatory Office, majority of the last year´s year-on-year growth of the total gross ele</w:t>
      </w:r>
      <w:r>
        <w:rPr>
          <w:sz w:val="16"/>
          <w:szCs w:val="16"/>
          <w:lang w:val="en-GB"/>
        </w:rPr>
        <w:t>c</w:t>
      </w:r>
      <w:r w:rsidRPr="009D75BE">
        <w:rPr>
          <w:sz w:val="16"/>
          <w:szCs w:val="16"/>
          <w:lang w:val="en-GB"/>
        </w:rPr>
        <w:t xml:space="preserve">tricity production in the CR (by 1.1%) was due to the higher production of the nuclear power plants (+5.6% to 29.92 </w:t>
      </w:r>
      <w:proofErr w:type="spellStart"/>
      <w:r w:rsidRPr="009D75BE">
        <w:rPr>
          <w:sz w:val="16"/>
          <w:szCs w:val="16"/>
          <w:lang w:val="en-GB"/>
        </w:rPr>
        <w:t>TWh</w:t>
      </w:r>
      <w:proofErr w:type="spellEnd"/>
      <w:r w:rsidRPr="009D75BE">
        <w:rPr>
          <w:sz w:val="16"/>
          <w:szCs w:val="16"/>
          <w:lang w:val="en-GB"/>
        </w:rPr>
        <w:t xml:space="preserve"> – value close to the so far record output from period  2012 to 2014). Dry and hot weather positively affected the yearly output of photovoltaic power plants (+6.6%), it had an opposite effect on the hydroelectric and pumping power plants (-11.9%, where the output level slumped to the </w:t>
      </w:r>
      <w:proofErr w:type="gramStart"/>
      <w:r w:rsidRPr="009D75BE">
        <w:rPr>
          <w:sz w:val="16"/>
          <w:szCs w:val="16"/>
          <w:lang w:val="en-GB"/>
        </w:rPr>
        <w:t>ten year</w:t>
      </w:r>
      <w:proofErr w:type="gramEnd"/>
      <w:r w:rsidRPr="009D75BE">
        <w:rPr>
          <w:sz w:val="16"/>
          <w:szCs w:val="16"/>
          <w:lang w:val="en-GB"/>
        </w:rPr>
        <w:t xml:space="preserve"> minimum: 2.68 </w:t>
      </w:r>
      <w:proofErr w:type="spellStart"/>
      <w:r w:rsidRPr="009D75BE">
        <w:rPr>
          <w:sz w:val="16"/>
          <w:szCs w:val="16"/>
          <w:lang w:val="en-GB"/>
        </w:rPr>
        <w:t>TWh</w:t>
      </w:r>
      <w:proofErr w:type="spellEnd"/>
      <w:r w:rsidRPr="009D75BE">
        <w:rPr>
          <w:sz w:val="16"/>
          <w:szCs w:val="16"/>
          <w:lang w:val="en-GB"/>
        </w:rPr>
        <w:t xml:space="preserve">). </w:t>
      </w:r>
    </w:p>
  </w:footnote>
  <w:footnote w:id="22">
    <w:p w:rsidR="00A91AF6" w:rsidRPr="00FD4DCD" w:rsidRDefault="00A91AF6" w:rsidP="00FD4DCD">
      <w:pPr>
        <w:pStyle w:val="Textpoznpodarou"/>
        <w:jc w:val="both"/>
        <w:rPr>
          <w:sz w:val="16"/>
          <w:szCs w:val="16"/>
          <w:lang w:val="en-GB"/>
        </w:rPr>
      </w:pPr>
      <w:r w:rsidRPr="00FB58F4">
        <w:rPr>
          <w:rStyle w:val="Znakapoznpodarou"/>
          <w:rFonts w:cs="Arial"/>
          <w:color w:val="0D0D0D" w:themeColor="text1" w:themeTint="F2"/>
          <w:sz w:val="16"/>
          <w:szCs w:val="16"/>
        </w:rPr>
        <w:footnoteRef/>
      </w:r>
      <w:r w:rsidRPr="00FB58F4">
        <w:rPr>
          <w:rFonts w:cs="Arial"/>
          <w:color w:val="0D0D0D" w:themeColor="text1" w:themeTint="F2"/>
          <w:sz w:val="16"/>
          <w:szCs w:val="16"/>
        </w:rPr>
        <w:t xml:space="preserve"> </w:t>
      </w:r>
      <w:r w:rsidRPr="00FD4DCD">
        <w:rPr>
          <w:rFonts w:cs="Arial"/>
          <w:color w:val="0D0D0D" w:themeColor="text1" w:themeTint="F2"/>
          <w:sz w:val="16"/>
          <w:szCs w:val="16"/>
          <w:lang w:val="en-GB"/>
        </w:rPr>
        <w:t xml:space="preserve">Output in this branch rose only by 0.8% year-on-year, however by 19.3% in 2017. High growth rate in </w:t>
      </w:r>
      <w:r w:rsidR="009F7FC7">
        <w:rPr>
          <w:rFonts w:cs="Arial"/>
          <w:color w:val="0D0D0D" w:themeColor="text1" w:themeTint="F2"/>
          <w:sz w:val="16"/>
          <w:szCs w:val="16"/>
          <w:lang w:val="en-GB"/>
        </w:rPr>
        <w:t>2017</w:t>
      </w:r>
      <w:r w:rsidRPr="00FD4DCD">
        <w:rPr>
          <w:rFonts w:cs="Arial"/>
          <w:color w:val="0D0D0D" w:themeColor="text1" w:themeTint="F2"/>
          <w:sz w:val="16"/>
          <w:szCs w:val="16"/>
          <w:lang w:val="en-GB"/>
        </w:rPr>
        <w:t xml:space="preserve"> </w:t>
      </w:r>
      <w:proofErr w:type="gramStart"/>
      <w:r w:rsidRPr="00FD4DCD">
        <w:rPr>
          <w:rFonts w:cs="Arial"/>
          <w:color w:val="0D0D0D" w:themeColor="text1" w:themeTint="F2"/>
          <w:sz w:val="16"/>
          <w:szCs w:val="16"/>
          <w:lang w:val="en-GB"/>
        </w:rPr>
        <w:t>was connected</w:t>
      </w:r>
      <w:proofErr w:type="gramEnd"/>
      <w:r w:rsidRPr="00FD4DCD">
        <w:rPr>
          <w:rFonts w:cs="Arial"/>
          <w:color w:val="0D0D0D" w:themeColor="text1" w:themeTint="F2"/>
          <w:sz w:val="16"/>
          <w:szCs w:val="16"/>
          <w:lang w:val="en-GB"/>
        </w:rPr>
        <w:t xml:space="preserve"> to the full renewal of the production capacities (following accidents, which restricted the output of the whole branch in both years 2015 and 2016). Output in the chemical industry exceeded level before the accidents (Q2 2015) already at the beginning of year 2017. </w:t>
      </w:r>
      <w:r>
        <w:rPr>
          <w:rFonts w:cs="Arial"/>
          <w:color w:val="0D0D0D" w:themeColor="text1" w:themeTint="F2"/>
          <w:sz w:val="16"/>
          <w:szCs w:val="16"/>
          <w:lang w:val="en-GB"/>
        </w:rPr>
        <w:t>Lower last year´s growth was also the consequence of the temporary shutdowns of the production facilities at the end of summer. The quarter-on-quarter output fell by 4.5% in Q</w:t>
      </w:r>
      <w:r w:rsidRPr="00FD4DCD">
        <w:rPr>
          <w:rFonts w:cs="Arial"/>
          <w:color w:val="0D0D0D" w:themeColor="text1" w:themeTint="F2"/>
          <w:sz w:val="16"/>
          <w:szCs w:val="16"/>
          <w:lang w:val="en-GB"/>
        </w:rPr>
        <w:t>3</w:t>
      </w:r>
      <w:r>
        <w:rPr>
          <w:rFonts w:cs="Arial"/>
          <w:color w:val="0D0D0D" w:themeColor="text1" w:themeTint="F2"/>
          <w:sz w:val="16"/>
          <w:szCs w:val="16"/>
          <w:lang w:val="en-GB"/>
        </w:rPr>
        <w:t xml:space="preserve"> 2018, the most since the end of year </w:t>
      </w:r>
      <w:r w:rsidRPr="00FD4DCD">
        <w:rPr>
          <w:rFonts w:cs="Arial"/>
          <w:color w:val="0D0D0D" w:themeColor="text1" w:themeTint="F2"/>
          <w:sz w:val="16"/>
          <w:szCs w:val="16"/>
          <w:lang w:val="en-GB"/>
        </w:rPr>
        <w:t>2015.</w:t>
      </w:r>
    </w:p>
  </w:footnote>
  <w:footnote w:id="23">
    <w:p w:rsidR="00A91AF6" w:rsidRPr="00A76DD3" w:rsidRDefault="00A91AF6" w:rsidP="00A76DD3">
      <w:pPr>
        <w:pStyle w:val="Textpoznpodarou"/>
        <w:jc w:val="both"/>
        <w:rPr>
          <w:sz w:val="16"/>
          <w:szCs w:val="16"/>
          <w:lang w:val="en-GB"/>
        </w:rPr>
      </w:pPr>
      <w:r w:rsidRPr="00FC55E2">
        <w:rPr>
          <w:rStyle w:val="Znakapoznpodarou"/>
          <w:sz w:val="16"/>
          <w:szCs w:val="16"/>
        </w:rPr>
        <w:footnoteRef/>
      </w:r>
      <w:r w:rsidRPr="00FC55E2">
        <w:rPr>
          <w:sz w:val="16"/>
          <w:szCs w:val="16"/>
        </w:rPr>
        <w:t xml:space="preserve"> </w:t>
      </w:r>
      <w:r w:rsidRPr="00A76DD3">
        <w:rPr>
          <w:sz w:val="16"/>
          <w:szCs w:val="16"/>
          <w:lang w:val="en-GB"/>
        </w:rPr>
        <w:t xml:space="preserve">On the contrary, in another segment of the branch mining and quarrying, so far peripheral by weight – mining of construction  materials (mainly buildings stone, sand, clays) – </w:t>
      </w:r>
      <w:r>
        <w:rPr>
          <w:sz w:val="16"/>
          <w:szCs w:val="16"/>
          <w:lang w:val="en-GB"/>
        </w:rPr>
        <w:t xml:space="preserve">output grew swiftly already second year in a row </w:t>
      </w:r>
      <w:r w:rsidRPr="00A76DD3">
        <w:rPr>
          <w:sz w:val="16"/>
          <w:szCs w:val="16"/>
          <w:lang w:val="en-GB"/>
        </w:rPr>
        <w:t>(+9</w:t>
      </w:r>
      <w:r>
        <w:rPr>
          <w:sz w:val="16"/>
          <w:szCs w:val="16"/>
          <w:lang w:val="en-GB"/>
        </w:rPr>
        <w:t>.</w:t>
      </w:r>
      <w:r w:rsidRPr="00A76DD3">
        <w:rPr>
          <w:sz w:val="16"/>
          <w:szCs w:val="16"/>
          <w:lang w:val="en-GB"/>
        </w:rPr>
        <w:t xml:space="preserve">0 resp. </w:t>
      </w:r>
      <w:r>
        <w:rPr>
          <w:sz w:val="16"/>
          <w:szCs w:val="16"/>
          <w:lang w:val="en-GB"/>
        </w:rPr>
        <w:t xml:space="preserve">by </w:t>
      </w:r>
      <w:r w:rsidRPr="00A76DD3">
        <w:rPr>
          <w:sz w:val="16"/>
          <w:szCs w:val="16"/>
          <w:lang w:val="en-GB"/>
        </w:rPr>
        <w:t>6</w:t>
      </w:r>
      <w:r>
        <w:rPr>
          <w:sz w:val="16"/>
          <w:szCs w:val="16"/>
          <w:lang w:val="en-GB"/>
        </w:rPr>
        <w:t>.</w:t>
      </w:r>
      <w:r w:rsidRPr="00A76DD3">
        <w:rPr>
          <w:sz w:val="16"/>
          <w:szCs w:val="16"/>
          <w:lang w:val="en-GB"/>
        </w:rPr>
        <w:t xml:space="preserve">9% </w:t>
      </w:r>
      <w:r>
        <w:rPr>
          <w:sz w:val="16"/>
          <w:szCs w:val="16"/>
          <w:lang w:val="en-GB"/>
        </w:rPr>
        <w:t xml:space="preserve">in </w:t>
      </w:r>
      <w:r w:rsidRPr="00A76DD3">
        <w:rPr>
          <w:sz w:val="16"/>
          <w:szCs w:val="16"/>
          <w:lang w:val="en-GB"/>
        </w:rPr>
        <w:t>2017).</w:t>
      </w:r>
    </w:p>
  </w:footnote>
  <w:footnote w:id="24">
    <w:p w:rsidR="00A91AF6" w:rsidRPr="00A76DD3" w:rsidRDefault="00A91AF6" w:rsidP="00A76DD3">
      <w:pPr>
        <w:pStyle w:val="Textpoznpodarou"/>
        <w:jc w:val="both"/>
        <w:rPr>
          <w:sz w:val="16"/>
          <w:szCs w:val="16"/>
          <w:lang w:val="en-GB"/>
        </w:rPr>
      </w:pPr>
      <w:r w:rsidRPr="00A76DD3">
        <w:rPr>
          <w:rStyle w:val="Znakapoznpodarou"/>
          <w:rFonts w:cs="Arial"/>
          <w:color w:val="0D0D0D" w:themeColor="text1" w:themeTint="F2"/>
          <w:sz w:val="16"/>
          <w:szCs w:val="16"/>
          <w:lang w:val="en-GB"/>
        </w:rPr>
        <w:footnoteRef/>
      </w:r>
      <w:r w:rsidRPr="00A76DD3">
        <w:rPr>
          <w:rFonts w:cs="Arial"/>
          <w:color w:val="0D0D0D" w:themeColor="text1" w:themeTint="F2"/>
          <w:sz w:val="16"/>
          <w:szCs w:val="16"/>
          <w:lang w:val="en-GB"/>
        </w:rPr>
        <w:t xml:space="preserve"> Based on data from the Automotive Industry Association, </w:t>
      </w:r>
      <w:r>
        <w:rPr>
          <w:rFonts w:cs="Arial"/>
          <w:color w:val="0D0D0D" w:themeColor="text1" w:themeTint="F2"/>
          <w:sz w:val="16"/>
          <w:szCs w:val="16"/>
          <w:lang w:val="en-GB"/>
        </w:rPr>
        <w:t xml:space="preserve">the number of produced motor vehicles increased by 1.7% in the CR year-on-year in </w:t>
      </w:r>
      <w:r w:rsidRPr="00A76DD3">
        <w:rPr>
          <w:rFonts w:cs="Arial"/>
          <w:color w:val="0D0D0D" w:themeColor="text1" w:themeTint="F2"/>
          <w:sz w:val="16"/>
          <w:szCs w:val="16"/>
          <w:lang w:val="en-GB"/>
        </w:rPr>
        <w:t>2018</w:t>
      </w:r>
      <w:r>
        <w:rPr>
          <w:rFonts w:cs="Arial"/>
          <w:color w:val="0D0D0D" w:themeColor="text1" w:themeTint="F2"/>
          <w:sz w:val="16"/>
          <w:szCs w:val="16"/>
          <w:lang w:val="en-GB"/>
        </w:rPr>
        <w:t xml:space="preserve"> </w:t>
      </w:r>
      <w:r w:rsidRPr="00A76DD3">
        <w:rPr>
          <w:rFonts w:cs="Arial"/>
          <w:color w:val="0D0D0D" w:themeColor="text1" w:themeTint="F2"/>
          <w:sz w:val="16"/>
          <w:szCs w:val="16"/>
          <w:lang w:val="en-GB"/>
        </w:rPr>
        <w:t>(</w:t>
      </w:r>
      <w:r>
        <w:rPr>
          <w:rFonts w:cs="Arial"/>
          <w:color w:val="0D0D0D" w:themeColor="text1" w:themeTint="F2"/>
          <w:sz w:val="16"/>
          <w:szCs w:val="16"/>
          <w:lang w:val="en-GB"/>
        </w:rPr>
        <w:t xml:space="preserve">while achieving the record number of vehicles </w:t>
      </w:r>
      <w:r w:rsidRPr="00A76DD3">
        <w:rPr>
          <w:rFonts w:cs="Arial"/>
          <w:color w:val="0D0D0D" w:themeColor="text1" w:themeTint="F2"/>
          <w:sz w:val="16"/>
          <w:szCs w:val="16"/>
          <w:lang w:val="en-GB"/>
        </w:rPr>
        <w:t>1</w:t>
      </w:r>
      <w:r>
        <w:rPr>
          <w:rFonts w:cs="Arial"/>
          <w:color w:val="0D0D0D" w:themeColor="text1" w:themeTint="F2"/>
          <w:sz w:val="16"/>
          <w:szCs w:val="16"/>
          <w:lang w:val="en-GB"/>
        </w:rPr>
        <w:t>.</w:t>
      </w:r>
      <w:r w:rsidRPr="00A76DD3">
        <w:rPr>
          <w:rFonts w:cs="Arial"/>
          <w:color w:val="0D0D0D" w:themeColor="text1" w:themeTint="F2"/>
          <w:sz w:val="16"/>
          <w:szCs w:val="16"/>
          <w:lang w:val="en-GB"/>
        </w:rPr>
        <w:t xml:space="preserve">437 mil). </w:t>
      </w:r>
      <w:r>
        <w:rPr>
          <w:rFonts w:cs="Arial"/>
          <w:color w:val="0D0D0D" w:themeColor="text1" w:themeTint="F2"/>
          <w:sz w:val="16"/>
          <w:szCs w:val="16"/>
          <w:lang w:val="en-GB"/>
        </w:rPr>
        <w:t xml:space="preserve">Manufacture of majority of other types of motor vehicles grew even faster last year. </w:t>
      </w:r>
    </w:p>
  </w:footnote>
  <w:footnote w:id="25">
    <w:p w:rsidR="00B9632F" w:rsidRPr="00F768CC" w:rsidRDefault="00B9632F" w:rsidP="00F768CC">
      <w:pPr>
        <w:pStyle w:val="Textpoznpodarou"/>
        <w:jc w:val="both"/>
        <w:rPr>
          <w:sz w:val="16"/>
          <w:szCs w:val="16"/>
          <w:lang w:val="en-GB"/>
        </w:rPr>
      </w:pPr>
      <w:r w:rsidRPr="00F768CC">
        <w:rPr>
          <w:rStyle w:val="Znakapoznpodarou"/>
          <w:sz w:val="16"/>
          <w:szCs w:val="16"/>
          <w:lang w:val="en-GB"/>
        </w:rPr>
        <w:footnoteRef/>
      </w:r>
      <w:r w:rsidRPr="00F768CC">
        <w:rPr>
          <w:sz w:val="16"/>
          <w:szCs w:val="16"/>
          <w:lang w:val="en-GB"/>
        </w:rPr>
        <w:t xml:space="preserve"> Compared to the business cycle peak year 2007 however, the last year´s output still lagged behind (by 9%) in this branch. The same was valid however for nearly one half (especially smaller) </w:t>
      </w:r>
      <w:r>
        <w:rPr>
          <w:sz w:val="16"/>
          <w:szCs w:val="16"/>
          <w:lang w:val="en-GB"/>
        </w:rPr>
        <w:t xml:space="preserve">of </w:t>
      </w:r>
      <w:r w:rsidRPr="00F768CC">
        <w:rPr>
          <w:sz w:val="16"/>
          <w:szCs w:val="16"/>
          <w:lang w:val="en-GB"/>
        </w:rPr>
        <w:t xml:space="preserve">manufacturing branches. Among the more significant branches, </w:t>
      </w:r>
      <w:r>
        <w:rPr>
          <w:sz w:val="16"/>
          <w:szCs w:val="16"/>
          <w:lang w:val="en-GB"/>
        </w:rPr>
        <w:t xml:space="preserve">manufacturing of other non-metal mineral products – i.e. especially construction materials </w:t>
      </w:r>
      <w:r w:rsidRPr="00F768CC">
        <w:rPr>
          <w:sz w:val="16"/>
          <w:szCs w:val="16"/>
          <w:lang w:val="en-GB"/>
        </w:rPr>
        <w:t>(</w:t>
      </w:r>
      <w:r>
        <w:rPr>
          <w:sz w:val="16"/>
          <w:szCs w:val="16"/>
          <w:lang w:val="en-GB"/>
        </w:rPr>
        <w:t>by</w:t>
      </w:r>
      <w:r w:rsidRPr="00F768CC">
        <w:rPr>
          <w:sz w:val="16"/>
          <w:szCs w:val="16"/>
          <w:lang w:val="en-GB"/>
        </w:rPr>
        <w:t xml:space="preserve"> 10%) – a</w:t>
      </w:r>
      <w:r>
        <w:rPr>
          <w:sz w:val="16"/>
          <w:szCs w:val="16"/>
          <w:lang w:val="en-GB"/>
        </w:rPr>
        <w:t xml:space="preserve">nd food industry </w:t>
      </w:r>
      <w:r w:rsidRPr="00F768CC">
        <w:rPr>
          <w:sz w:val="16"/>
          <w:szCs w:val="16"/>
          <w:lang w:val="en-GB"/>
        </w:rPr>
        <w:t>(</w:t>
      </w:r>
      <w:r>
        <w:rPr>
          <w:sz w:val="16"/>
          <w:szCs w:val="16"/>
          <w:lang w:val="en-GB"/>
        </w:rPr>
        <w:t>by</w:t>
      </w:r>
      <w:r w:rsidRPr="00F768CC">
        <w:rPr>
          <w:sz w:val="16"/>
          <w:szCs w:val="16"/>
          <w:lang w:val="en-GB"/>
        </w:rPr>
        <w:t xml:space="preserve"> 2%) still lagged behind. The whole </w:t>
      </w:r>
      <w:r>
        <w:rPr>
          <w:sz w:val="16"/>
          <w:szCs w:val="16"/>
          <w:lang w:val="en-GB"/>
        </w:rPr>
        <w:t>s</w:t>
      </w:r>
      <w:r w:rsidRPr="00F768CC">
        <w:rPr>
          <w:sz w:val="16"/>
          <w:szCs w:val="16"/>
          <w:lang w:val="en-GB"/>
        </w:rPr>
        <w:t>ection of manufacturing however exceeded this level by 27% and industry in total then by 21%.</w:t>
      </w:r>
    </w:p>
  </w:footnote>
  <w:footnote w:id="26">
    <w:p w:rsidR="00B9632F" w:rsidRPr="00F768CC" w:rsidRDefault="00B9632F" w:rsidP="00F768CC">
      <w:pPr>
        <w:pStyle w:val="Textpoznpodarou"/>
        <w:jc w:val="both"/>
        <w:rPr>
          <w:sz w:val="16"/>
          <w:szCs w:val="16"/>
          <w:lang w:val="en-GB"/>
        </w:rPr>
      </w:pPr>
      <w:r w:rsidRPr="00F768CC">
        <w:rPr>
          <w:rStyle w:val="Znakapoznpodarou"/>
          <w:sz w:val="16"/>
          <w:szCs w:val="16"/>
          <w:lang w:val="en-GB"/>
        </w:rPr>
        <w:footnoteRef/>
      </w:r>
      <w:r w:rsidRPr="00F768CC">
        <w:rPr>
          <w:sz w:val="16"/>
          <w:szCs w:val="16"/>
          <w:lang w:val="en-GB"/>
        </w:rPr>
        <w:t xml:space="preserve"> </w:t>
      </w:r>
      <w:r>
        <w:rPr>
          <w:sz w:val="16"/>
          <w:szCs w:val="16"/>
          <w:lang w:val="en-GB"/>
        </w:rPr>
        <w:t xml:space="preserve">It reached the value of </w:t>
      </w:r>
      <w:r w:rsidRPr="00F768CC">
        <w:rPr>
          <w:sz w:val="16"/>
          <w:szCs w:val="16"/>
          <w:lang w:val="en-GB"/>
        </w:rPr>
        <w:t>-39</w:t>
      </w:r>
      <w:r>
        <w:rPr>
          <w:sz w:val="16"/>
          <w:szCs w:val="16"/>
          <w:lang w:val="en-GB"/>
        </w:rPr>
        <w:t>.</w:t>
      </w:r>
      <w:r w:rsidRPr="00F768CC">
        <w:rPr>
          <w:sz w:val="16"/>
          <w:szCs w:val="16"/>
          <w:lang w:val="en-GB"/>
        </w:rPr>
        <w:t xml:space="preserve">2 </w:t>
      </w:r>
      <w:r>
        <w:rPr>
          <w:sz w:val="16"/>
          <w:szCs w:val="16"/>
          <w:lang w:val="en-GB"/>
        </w:rPr>
        <w:t xml:space="preserve">CZK </w:t>
      </w:r>
      <w:proofErr w:type="spellStart"/>
      <w:r>
        <w:rPr>
          <w:sz w:val="16"/>
          <w:szCs w:val="16"/>
          <w:lang w:val="en-GB"/>
        </w:rPr>
        <w:t>bn</w:t>
      </w:r>
      <w:proofErr w:type="spellEnd"/>
      <w:r>
        <w:rPr>
          <w:sz w:val="16"/>
          <w:szCs w:val="16"/>
          <w:lang w:val="en-GB"/>
        </w:rPr>
        <w:t xml:space="preserve"> in the national conception in 2018</w:t>
      </w:r>
      <w:r w:rsidRPr="00F768CC">
        <w:rPr>
          <w:sz w:val="16"/>
          <w:szCs w:val="16"/>
          <w:lang w:val="en-GB"/>
        </w:rPr>
        <w:t>, „</w:t>
      </w:r>
      <w:r>
        <w:rPr>
          <w:sz w:val="16"/>
          <w:szCs w:val="16"/>
          <w:lang w:val="en-GB"/>
        </w:rPr>
        <w:t>only</w:t>
      </w:r>
      <w:proofErr w:type="gramStart"/>
      <w:r w:rsidRPr="00F768CC">
        <w:rPr>
          <w:sz w:val="16"/>
          <w:szCs w:val="16"/>
          <w:lang w:val="en-GB"/>
        </w:rPr>
        <w:t>“ -</w:t>
      </w:r>
      <w:proofErr w:type="gramEnd"/>
      <w:r w:rsidRPr="00F768CC">
        <w:rPr>
          <w:sz w:val="16"/>
          <w:szCs w:val="16"/>
          <w:lang w:val="en-GB"/>
        </w:rPr>
        <w:t>31</w:t>
      </w:r>
      <w:r>
        <w:rPr>
          <w:sz w:val="16"/>
          <w:szCs w:val="16"/>
          <w:lang w:val="en-GB"/>
        </w:rPr>
        <w:t>.</w:t>
      </w:r>
      <w:r w:rsidRPr="00F768CC">
        <w:rPr>
          <w:sz w:val="16"/>
          <w:szCs w:val="16"/>
          <w:lang w:val="en-GB"/>
        </w:rPr>
        <w:t xml:space="preserve">4 </w:t>
      </w:r>
      <w:proofErr w:type="spellStart"/>
      <w:r>
        <w:rPr>
          <w:sz w:val="16"/>
          <w:szCs w:val="16"/>
          <w:lang w:val="en-GB"/>
        </w:rPr>
        <w:t>bn</w:t>
      </w:r>
      <w:proofErr w:type="spellEnd"/>
      <w:r>
        <w:rPr>
          <w:sz w:val="16"/>
          <w:szCs w:val="16"/>
          <w:lang w:val="en-GB"/>
        </w:rPr>
        <w:t xml:space="preserve"> five years earlier</w:t>
      </w:r>
      <w:r w:rsidRPr="00F768CC">
        <w:rPr>
          <w:sz w:val="16"/>
          <w:szCs w:val="16"/>
          <w:lang w:val="en-GB"/>
        </w:rPr>
        <w:t>.</w:t>
      </w:r>
    </w:p>
  </w:footnote>
  <w:footnote w:id="27">
    <w:p w:rsidR="00B9632F" w:rsidRPr="00076C79" w:rsidRDefault="00B9632F" w:rsidP="00076C79">
      <w:pPr>
        <w:pStyle w:val="Textpoznpodarou"/>
        <w:jc w:val="both"/>
        <w:rPr>
          <w:sz w:val="16"/>
          <w:szCs w:val="16"/>
          <w:lang w:val="en-GB"/>
        </w:rPr>
      </w:pPr>
      <w:r w:rsidRPr="00FD6BD1">
        <w:rPr>
          <w:rStyle w:val="Znakapoznpodarou"/>
          <w:sz w:val="16"/>
          <w:szCs w:val="16"/>
        </w:rPr>
        <w:footnoteRef/>
      </w:r>
      <w:r w:rsidRPr="00FD6BD1">
        <w:rPr>
          <w:sz w:val="16"/>
          <w:szCs w:val="16"/>
        </w:rPr>
        <w:t xml:space="preserve"> </w:t>
      </w:r>
      <w:r w:rsidRPr="00076C79">
        <w:rPr>
          <w:color w:val="0D0D0D" w:themeColor="text1" w:themeTint="F2"/>
          <w:sz w:val="16"/>
          <w:szCs w:val="16"/>
          <w:lang w:val="en-GB"/>
        </w:rPr>
        <w:t xml:space="preserve">This branch includes e.g. manufacturing of sport equipment, toys, musical instruments or bijouterie. </w:t>
      </w:r>
    </w:p>
  </w:footnote>
  <w:footnote w:id="28">
    <w:p w:rsidR="00B9632F" w:rsidRPr="004D530C" w:rsidRDefault="00B9632F" w:rsidP="008C7DDC">
      <w:pPr>
        <w:pStyle w:val="Textpoznpodarou"/>
        <w:jc w:val="both"/>
        <w:rPr>
          <w:color w:val="0D0D0D" w:themeColor="text1" w:themeTint="F2"/>
          <w:sz w:val="16"/>
          <w:szCs w:val="16"/>
          <w:lang w:val="en-GB"/>
        </w:rPr>
      </w:pPr>
      <w:r w:rsidRPr="00043043">
        <w:rPr>
          <w:rStyle w:val="Znakapoznpodarou"/>
          <w:color w:val="0D0D0D" w:themeColor="text1" w:themeTint="F2"/>
          <w:sz w:val="16"/>
          <w:szCs w:val="16"/>
        </w:rPr>
        <w:footnoteRef/>
      </w:r>
      <w:r w:rsidRPr="00043043">
        <w:rPr>
          <w:color w:val="0D0D0D" w:themeColor="text1" w:themeTint="F2"/>
          <w:sz w:val="16"/>
          <w:szCs w:val="16"/>
        </w:rPr>
        <w:t xml:space="preserve"> </w:t>
      </w:r>
      <w:r w:rsidRPr="004D530C">
        <w:rPr>
          <w:color w:val="0D0D0D" w:themeColor="text1" w:themeTint="F2"/>
          <w:sz w:val="16"/>
          <w:szCs w:val="16"/>
          <w:lang w:val="en-GB"/>
        </w:rPr>
        <w:t xml:space="preserve">At the beginning of year 2019, the proportion of businesses stating this barrier however mildly fell to 39% (from 45% </w:t>
      </w:r>
      <w:r>
        <w:rPr>
          <w:color w:val="0D0D0D" w:themeColor="text1" w:themeTint="F2"/>
          <w:sz w:val="16"/>
          <w:szCs w:val="16"/>
          <w:lang w:val="en-GB"/>
        </w:rPr>
        <w:t xml:space="preserve">in </w:t>
      </w:r>
      <w:r w:rsidRPr="004D530C">
        <w:rPr>
          <w:color w:val="0D0D0D" w:themeColor="text1" w:themeTint="F2"/>
          <w:sz w:val="16"/>
          <w:szCs w:val="16"/>
          <w:lang w:val="en-GB"/>
        </w:rPr>
        <w:t xml:space="preserve">Q4 2018), which was likely associated with the more intensive perception of the external risks in the area of </w:t>
      </w:r>
      <w:r>
        <w:rPr>
          <w:color w:val="0D0D0D" w:themeColor="text1" w:themeTint="F2"/>
          <w:sz w:val="16"/>
          <w:szCs w:val="16"/>
          <w:lang w:val="en-GB"/>
        </w:rPr>
        <w:t>t</w:t>
      </w:r>
      <w:r w:rsidRPr="004D530C">
        <w:rPr>
          <w:color w:val="0D0D0D" w:themeColor="text1" w:themeTint="F2"/>
          <w:sz w:val="16"/>
          <w:szCs w:val="16"/>
          <w:lang w:val="en-GB"/>
        </w:rPr>
        <w:t>he total economic development in 2019. Short term positive expectations of the employment growth in the industrial businesses started slightly falling during the second half of the year and this development continued also at the beginning of year 2019.</w:t>
      </w:r>
    </w:p>
  </w:footnote>
  <w:footnote w:id="29">
    <w:p w:rsidR="00B9632F" w:rsidRPr="00251253" w:rsidRDefault="00B9632F" w:rsidP="00C24CEC">
      <w:pPr>
        <w:pStyle w:val="Textpoznpodarou"/>
        <w:jc w:val="both"/>
        <w:rPr>
          <w:sz w:val="16"/>
          <w:szCs w:val="16"/>
          <w:lang w:val="en-GB"/>
        </w:rPr>
      </w:pPr>
      <w:r w:rsidRPr="00030563">
        <w:rPr>
          <w:rStyle w:val="Znakapoznpodarou"/>
          <w:sz w:val="16"/>
          <w:szCs w:val="16"/>
        </w:rPr>
        <w:footnoteRef/>
      </w:r>
      <w:r w:rsidRPr="00030563">
        <w:rPr>
          <w:sz w:val="16"/>
          <w:szCs w:val="16"/>
        </w:rPr>
        <w:t xml:space="preserve"> </w:t>
      </w:r>
      <w:r w:rsidRPr="00251253">
        <w:rPr>
          <w:sz w:val="16"/>
          <w:szCs w:val="16"/>
          <w:lang w:val="en-GB"/>
        </w:rPr>
        <w:t>Average air temperature was 9.6 °C in the CR in 2018 (1.7 degrees above the long-term standard from period 1981-2010). It stayed more than 1 degree above its normal however in all months of the year, apart from Feb</w:t>
      </w:r>
      <w:r>
        <w:rPr>
          <w:sz w:val="16"/>
          <w:szCs w:val="16"/>
          <w:lang w:val="en-GB"/>
        </w:rPr>
        <w:t>ruary</w:t>
      </w:r>
      <w:r w:rsidRPr="00251253">
        <w:rPr>
          <w:sz w:val="16"/>
          <w:szCs w:val="16"/>
          <w:lang w:val="en-GB"/>
        </w:rPr>
        <w:t xml:space="preserve"> and March (when it was by 2.6, resp. 2.1°C lower).</w:t>
      </w:r>
    </w:p>
  </w:footnote>
  <w:footnote w:id="30">
    <w:p w:rsidR="00B9632F" w:rsidRPr="00D85B50" w:rsidRDefault="00B9632F" w:rsidP="00006B67">
      <w:pPr>
        <w:pStyle w:val="Textpoznpodarou"/>
        <w:jc w:val="both"/>
        <w:rPr>
          <w:spacing w:val="-4"/>
          <w:sz w:val="16"/>
          <w:szCs w:val="16"/>
        </w:rPr>
      </w:pPr>
      <w:r w:rsidRPr="005813A9">
        <w:rPr>
          <w:rStyle w:val="Znakapoznpodarou"/>
          <w:rFonts w:cs="Arial"/>
          <w:color w:val="0D0D0D" w:themeColor="text1" w:themeTint="F2"/>
          <w:spacing w:val="-2"/>
          <w:sz w:val="16"/>
          <w:szCs w:val="16"/>
        </w:rPr>
        <w:footnoteRef/>
      </w:r>
      <w:r w:rsidRPr="005813A9">
        <w:rPr>
          <w:rFonts w:cs="Arial"/>
          <w:color w:val="0D0D0D" w:themeColor="text1" w:themeTint="F2"/>
          <w:spacing w:val="-2"/>
          <w:sz w:val="16"/>
          <w:szCs w:val="16"/>
        </w:rPr>
        <w:t xml:space="preserve"> </w:t>
      </w:r>
      <w:r w:rsidRPr="00EE22E9">
        <w:rPr>
          <w:color w:val="0D0D0D" w:themeColor="text1" w:themeTint="F2"/>
          <w:spacing w:val="-4"/>
          <w:sz w:val="16"/>
          <w:szCs w:val="16"/>
          <w:lang w:val="en-GB"/>
        </w:rPr>
        <w:t xml:space="preserve">All year-on-year data related to the construction output </w:t>
      </w:r>
      <w:proofErr w:type="gramStart"/>
      <w:r w:rsidRPr="00EE22E9">
        <w:rPr>
          <w:color w:val="0D0D0D" w:themeColor="text1" w:themeTint="F2"/>
          <w:spacing w:val="-4"/>
          <w:sz w:val="16"/>
          <w:szCs w:val="16"/>
          <w:lang w:val="en-GB"/>
        </w:rPr>
        <w:t>are adjusted</w:t>
      </w:r>
      <w:proofErr w:type="gramEnd"/>
      <w:r w:rsidRPr="00EE22E9">
        <w:rPr>
          <w:color w:val="0D0D0D" w:themeColor="text1" w:themeTint="F2"/>
          <w:spacing w:val="-4"/>
          <w:sz w:val="16"/>
          <w:szCs w:val="16"/>
          <w:lang w:val="en-GB"/>
        </w:rPr>
        <w:t xml:space="preserve"> for calendar effects, quarter-on-quarter rates of growth then also for the seasonal effects.</w:t>
      </w:r>
    </w:p>
  </w:footnote>
  <w:footnote w:id="31">
    <w:p w:rsidR="00B9632F" w:rsidRPr="00E46661" w:rsidRDefault="00B9632F" w:rsidP="00E46661">
      <w:pPr>
        <w:pStyle w:val="Textpoznpodarou"/>
        <w:jc w:val="both"/>
        <w:rPr>
          <w:spacing w:val="-2"/>
          <w:sz w:val="16"/>
          <w:szCs w:val="16"/>
          <w:lang w:val="en-GB"/>
        </w:rPr>
      </w:pPr>
      <w:r w:rsidRPr="00A53DD4">
        <w:rPr>
          <w:rStyle w:val="Znakapoznpodarou"/>
          <w:spacing w:val="-2"/>
          <w:sz w:val="16"/>
          <w:szCs w:val="16"/>
        </w:rPr>
        <w:footnoteRef/>
      </w:r>
      <w:r w:rsidRPr="00A53DD4">
        <w:rPr>
          <w:spacing w:val="-2"/>
          <w:sz w:val="16"/>
          <w:szCs w:val="16"/>
        </w:rPr>
        <w:t xml:space="preserve"> </w:t>
      </w:r>
      <w:r w:rsidRPr="00E46661">
        <w:rPr>
          <w:spacing w:val="-2"/>
          <w:sz w:val="16"/>
          <w:szCs w:val="16"/>
          <w:lang w:val="en-GB"/>
        </w:rPr>
        <w:t>Growth of construction was above average even in t</w:t>
      </w:r>
      <w:r w:rsidR="00295B9F">
        <w:rPr>
          <w:spacing w:val="-2"/>
          <w:sz w:val="16"/>
          <w:szCs w:val="16"/>
          <w:lang w:val="en-GB"/>
        </w:rPr>
        <w:t xml:space="preserve">he European context last year. </w:t>
      </w:r>
      <w:r w:rsidRPr="00E46661">
        <w:rPr>
          <w:spacing w:val="-2"/>
          <w:sz w:val="16"/>
          <w:szCs w:val="16"/>
          <w:lang w:val="en-GB"/>
        </w:rPr>
        <w:t>It was only 2.1</w:t>
      </w:r>
      <w:r>
        <w:rPr>
          <w:spacing w:val="-2"/>
          <w:sz w:val="16"/>
          <w:szCs w:val="16"/>
          <w:lang w:val="en-GB"/>
        </w:rPr>
        <w:t>%</w:t>
      </w:r>
      <w:r w:rsidRPr="00E46661">
        <w:rPr>
          <w:spacing w:val="-2"/>
          <w:sz w:val="16"/>
          <w:szCs w:val="16"/>
          <w:lang w:val="en-GB"/>
        </w:rPr>
        <w:t xml:space="preserve"> in the whole EU. The CR ranked nint</w:t>
      </w:r>
      <w:r>
        <w:rPr>
          <w:spacing w:val="-2"/>
          <w:sz w:val="16"/>
          <w:szCs w:val="16"/>
          <w:lang w:val="en-GB"/>
        </w:rPr>
        <w:t xml:space="preserve">h </w:t>
      </w:r>
      <w:r w:rsidRPr="00E46661">
        <w:rPr>
          <w:spacing w:val="-2"/>
          <w:sz w:val="16"/>
          <w:szCs w:val="16"/>
          <w:lang w:val="en-GB"/>
        </w:rPr>
        <w:t>amon</w:t>
      </w:r>
      <w:r>
        <w:rPr>
          <w:spacing w:val="-2"/>
          <w:sz w:val="16"/>
          <w:szCs w:val="16"/>
          <w:lang w:val="en-GB"/>
        </w:rPr>
        <w:t>g</w:t>
      </w:r>
      <w:r w:rsidRPr="00E46661">
        <w:rPr>
          <w:spacing w:val="-2"/>
          <w:sz w:val="16"/>
          <w:szCs w:val="16"/>
          <w:lang w:val="en-GB"/>
        </w:rPr>
        <w:t xml:space="preserve"> the countries. Amon</w:t>
      </w:r>
      <w:r>
        <w:rPr>
          <w:spacing w:val="-2"/>
          <w:sz w:val="16"/>
          <w:szCs w:val="16"/>
          <w:lang w:val="en-GB"/>
        </w:rPr>
        <w:t>g</w:t>
      </w:r>
      <w:r w:rsidRPr="00E46661">
        <w:rPr>
          <w:spacing w:val="-2"/>
          <w:sz w:val="16"/>
          <w:szCs w:val="16"/>
          <w:lang w:val="en-GB"/>
        </w:rPr>
        <w:t xml:space="preserve"> the older EU (15) members, only Ireland achieved higher growth than the CR. Primarily countries from central and eastern Europe fared well (e.g. Hungary +22%, Poland +20%), where the strong construction dynamics was assisted not only by swift economic growth but also the drawing on the funds from the EU budget.</w:t>
      </w:r>
    </w:p>
  </w:footnote>
  <w:footnote w:id="32">
    <w:p w:rsidR="00B9632F" w:rsidRPr="00E46661" w:rsidRDefault="00B9632F" w:rsidP="00E46661">
      <w:pPr>
        <w:pStyle w:val="Textpoznpodarou"/>
        <w:jc w:val="both"/>
        <w:rPr>
          <w:sz w:val="16"/>
          <w:szCs w:val="16"/>
          <w:lang w:val="en-GB"/>
        </w:rPr>
      </w:pPr>
      <w:r w:rsidRPr="00E46661">
        <w:rPr>
          <w:rStyle w:val="Znakapoznpodarou"/>
          <w:sz w:val="16"/>
          <w:szCs w:val="16"/>
          <w:lang w:val="en-GB"/>
        </w:rPr>
        <w:footnoteRef/>
      </w:r>
      <w:r w:rsidRPr="00E46661">
        <w:rPr>
          <w:sz w:val="16"/>
          <w:szCs w:val="16"/>
          <w:lang w:val="en-GB"/>
        </w:rPr>
        <w:t xml:space="preserve"> </w:t>
      </w:r>
      <w:r>
        <w:rPr>
          <w:sz w:val="16"/>
          <w:szCs w:val="16"/>
          <w:lang w:val="en-GB"/>
        </w:rPr>
        <w:t xml:space="preserve">Investment (gross fixed capital formation) also experienced a slight quarter-on-quarter decrease in the whole economy towards the end of year 2018. </w:t>
      </w:r>
    </w:p>
  </w:footnote>
  <w:footnote w:id="33">
    <w:p w:rsidR="00B9632F" w:rsidRPr="00CE0D1A" w:rsidRDefault="00B9632F" w:rsidP="00CE0D1A">
      <w:pPr>
        <w:pStyle w:val="Textpoznpodarou"/>
        <w:jc w:val="both"/>
        <w:rPr>
          <w:sz w:val="16"/>
          <w:szCs w:val="16"/>
          <w:lang w:val="en-GB"/>
        </w:rPr>
      </w:pPr>
      <w:r w:rsidRPr="00AF37C3">
        <w:rPr>
          <w:rStyle w:val="Znakapoznpodarou"/>
          <w:sz w:val="16"/>
          <w:szCs w:val="16"/>
        </w:rPr>
        <w:footnoteRef/>
      </w:r>
      <w:r>
        <w:rPr>
          <w:sz w:val="16"/>
          <w:szCs w:val="16"/>
        </w:rPr>
        <w:t xml:space="preserve"> </w:t>
      </w:r>
      <w:r w:rsidRPr="00CE0D1A">
        <w:rPr>
          <w:sz w:val="16"/>
          <w:szCs w:val="16"/>
          <w:lang w:val="en-GB"/>
        </w:rPr>
        <w:t xml:space="preserve">The year-on-year growth of rents on flats in Prague was 6.2% in H2 2018, nearly double the pace recorded in the whole CR. </w:t>
      </w:r>
    </w:p>
  </w:footnote>
  <w:footnote w:id="34">
    <w:p w:rsidR="00B9632F" w:rsidRPr="00CE0D1A" w:rsidRDefault="00B9632F" w:rsidP="00CE0D1A">
      <w:pPr>
        <w:pStyle w:val="Textpoznpodarou"/>
        <w:jc w:val="both"/>
        <w:rPr>
          <w:sz w:val="16"/>
          <w:szCs w:val="16"/>
          <w:lang w:val="en-GB"/>
        </w:rPr>
      </w:pPr>
      <w:r w:rsidRPr="00CE0D1A">
        <w:rPr>
          <w:rStyle w:val="Znakapoznpodarou"/>
          <w:sz w:val="16"/>
          <w:szCs w:val="16"/>
          <w:lang w:val="en-GB"/>
        </w:rPr>
        <w:footnoteRef/>
      </w:r>
      <w:r w:rsidRPr="00CE0D1A">
        <w:rPr>
          <w:sz w:val="16"/>
          <w:szCs w:val="16"/>
          <w:lang w:val="en-GB"/>
        </w:rPr>
        <w:t xml:space="preserve"> P</w:t>
      </w:r>
      <w:r>
        <w:rPr>
          <w:sz w:val="16"/>
          <w:szCs w:val="16"/>
          <w:lang w:val="en-GB"/>
        </w:rPr>
        <w:t xml:space="preserve">roportion of foreign orders on the total stock of work of construction businesses </w:t>
      </w:r>
      <w:r w:rsidRPr="00CE0D1A">
        <w:rPr>
          <w:sz w:val="16"/>
          <w:szCs w:val="16"/>
          <w:lang w:val="en-GB"/>
        </w:rPr>
        <w:t>(</w:t>
      </w:r>
      <w:r>
        <w:rPr>
          <w:sz w:val="16"/>
          <w:szCs w:val="16"/>
          <w:lang w:val="en-GB"/>
        </w:rPr>
        <w:t xml:space="preserve">with </w:t>
      </w:r>
      <w:r w:rsidRPr="00CE0D1A">
        <w:rPr>
          <w:sz w:val="16"/>
          <w:szCs w:val="16"/>
          <w:lang w:val="en-GB"/>
        </w:rPr>
        <w:t>50</w:t>
      </w:r>
      <w:r>
        <w:rPr>
          <w:sz w:val="16"/>
          <w:szCs w:val="16"/>
          <w:lang w:val="en-GB"/>
        </w:rPr>
        <w:t xml:space="preserve"> and more employees</w:t>
      </w:r>
      <w:r w:rsidRPr="00CE0D1A">
        <w:rPr>
          <w:sz w:val="16"/>
          <w:szCs w:val="16"/>
          <w:lang w:val="en-GB"/>
        </w:rPr>
        <w:t xml:space="preserve">) </w:t>
      </w:r>
      <w:r>
        <w:rPr>
          <w:sz w:val="16"/>
          <w:szCs w:val="16"/>
          <w:lang w:val="en-GB"/>
        </w:rPr>
        <w:t xml:space="preserve">lowered last year below the </w:t>
      </w:r>
      <w:r w:rsidRPr="00CE0D1A">
        <w:rPr>
          <w:sz w:val="16"/>
          <w:szCs w:val="16"/>
          <w:lang w:val="en-GB"/>
        </w:rPr>
        <w:t xml:space="preserve">10% </w:t>
      </w:r>
      <w:r>
        <w:rPr>
          <w:sz w:val="16"/>
          <w:szCs w:val="16"/>
          <w:lang w:val="en-GB"/>
        </w:rPr>
        <w:t>level</w:t>
      </w:r>
      <w:r w:rsidRPr="00CE0D1A">
        <w:rPr>
          <w:sz w:val="16"/>
          <w:szCs w:val="16"/>
          <w:lang w:val="en-GB"/>
        </w:rPr>
        <w:t xml:space="preserve">. </w:t>
      </w:r>
      <w:r>
        <w:rPr>
          <w:sz w:val="16"/>
          <w:szCs w:val="16"/>
          <w:lang w:val="en-GB"/>
        </w:rPr>
        <w:t xml:space="preserve">Still it was nearly double compared to the level of the business cycle peak in the last decade </w:t>
      </w:r>
      <w:r w:rsidRPr="00CE0D1A">
        <w:rPr>
          <w:sz w:val="16"/>
          <w:szCs w:val="16"/>
          <w:lang w:val="en-GB"/>
        </w:rPr>
        <w:t xml:space="preserve">(2006 </w:t>
      </w:r>
      <w:r>
        <w:rPr>
          <w:sz w:val="16"/>
          <w:szCs w:val="16"/>
          <w:lang w:val="en-GB"/>
        </w:rPr>
        <w:t xml:space="preserve">till </w:t>
      </w:r>
      <w:r w:rsidRPr="00CE0D1A">
        <w:rPr>
          <w:sz w:val="16"/>
          <w:szCs w:val="16"/>
          <w:lang w:val="en-GB"/>
        </w:rPr>
        <w:t>2008)</w:t>
      </w:r>
      <w:r>
        <w:rPr>
          <w:sz w:val="16"/>
          <w:szCs w:val="16"/>
          <w:lang w:val="en-GB"/>
        </w:rPr>
        <w:t xml:space="preserve">. </w:t>
      </w:r>
    </w:p>
  </w:footnote>
  <w:footnote w:id="35">
    <w:p w:rsidR="00B9632F" w:rsidRPr="00631643" w:rsidRDefault="00B9632F" w:rsidP="00006B67">
      <w:pPr>
        <w:spacing w:after="0" w:line="240" w:lineRule="auto"/>
        <w:rPr>
          <w:lang w:val="en-GB"/>
        </w:rPr>
      </w:pPr>
      <w:r w:rsidRPr="004A26AF">
        <w:rPr>
          <w:rStyle w:val="Znakapoznpodarou"/>
          <w:color w:val="0D0D0D" w:themeColor="text1" w:themeTint="F2"/>
          <w:sz w:val="16"/>
          <w:szCs w:val="16"/>
        </w:rPr>
        <w:footnoteRef/>
      </w:r>
      <w:r w:rsidRPr="00631643">
        <w:rPr>
          <w:color w:val="0D0D0D" w:themeColor="text1" w:themeTint="F2"/>
          <w:sz w:val="16"/>
          <w:szCs w:val="16"/>
          <w:lang w:val="en-GB"/>
        </w:rPr>
        <w:t xml:space="preserve">Excluding trade, financial and insurance activities, science, research and public services. All data for services are in constant prices, year-on-year data </w:t>
      </w:r>
      <w:proofErr w:type="gramStart"/>
      <w:r w:rsidRPr="00631643">
        <w:rPr>
          <w:color w:val="0D0D0D" w:themeColor="text1" w:themeTint="F2"/>
          <w:sz w:val="16"/>
          <w:szCs w:val="16"/>
          <w:lang w:val="en-GB"/>
        </w:rPr>
        <w:t>are adjusted</w:t>
      </w:r>
      <w:proofErr w:type="gramEnd"/>
      <w:r w:rsidRPr="00631643">
        <w:rPr>
          <w:color w:val="0D0D0D" w:themeColor="text1" w:themeTint="F2"/>
          <w:sz w:val="16"/>
          <w:szCs w:val="16"/>
          <w:lang w:val="en-GB"/>
        </w:rPr>
        <w:t xml:space="preserve"> for calendar effects, quarter-on-quarter data are adjusted for seasonal effects (including the effect of the number of working days).</w:t>
      </w:r>
    </w:p>
  </w:footnote>
  <w:footnote w:id="36">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Including mainly the data processing and hosting, web portals and news agency and information service activities. </w:t>
      </w:r>
    </w:p>
  </w:footnote>
  <w:footnote w:id="37">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Include mostly computer programing, computer facilities management activities and also consultancy in the IT area. </w:t>
      </w:r>
    </w:p>
  </w:footnote>
  <w:footnote w:id="38">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Lower sales in the film and music industry (0.3%, in year 2017 </w:t>
      </w:r>
      <w:r w:rsidRPr="00631643">
        <w:rPr>
          <w:rFonts w:cs="Arial"/>
          <w:color w:val="0D0D0D" w:themeColor="text1" w:themeTint="F2"/>
          <w:sz w:val="16"/>
          <w:szCs w:val="16"/>
          <w:lang w:val="en-GB"/>
        </w:rPr>
        <w:t>-</w:t>
      </w:r>
      <w:r w:rsidRPr="00631643">
        <w:rPr>
          <w:sz w:val="16"/>
          <w:szCs w:val="16"/>
          <w:lang w:val="en-GB"/>
        </w:rPr>
        <w:t xml:space="preserve">14.9%) were linked to the more frequent irregularities in orders and invoicing. The segment of the motion picture distribution itself however thrived much better. According to the Union of motion picture distributors, the sales from entrance fees in cinemas increased by 13.2%, number of visitors by 7.3% (to 16.3 mil, the largest number after year 1993) in the CR in 2018. </w:t>
      </w:r>
    </w:p>
  </w:footnote>
  <w:footnote w:id="39">
    <w:p w:rsidR="00B9632F" w:rsidRPr="00631643" w:rsidRDefault="00B9632F" w:rsidP="002F6361">
      <w:pPr>
        <w:pStyle w:val="Textpoznpodarou"/>
        <w:jc w:val="both"/>
        <w:rPr>
          <w:spacing w:val="-2"/>
          <w:sz w:val="16"/>
          <w:szCs w:val="16"/>
          <w:lang w:val="en-GB"/>
        </w:rPr>
      </w:pPr>
      <w:r w:rsidRPr="00631643">
        <w:rPr>
          <w:rStyle w:val="Znakapoznpodarou"/>
          <w:spacing w:val="-2"/>
          <w:sz w:val="16"/>
          <w:szCs w:val="16"/>
          <w:lang w:val="en-GB"/>
        </w:rPr>
        <w:footnoteRef/>
      </w:r>
      <w:r w:rsidRPr="00631643">
        <w:rPr>
          <w:spacing w:val="-2"/>
          <w:sz w:val="16"/>
          <w:szCs w:val="16"/>
          <w:lang w:val="en-GB"/>
        </w:rPr>
        <w:t xml:space="preserve"> </w:t>
      </w:r>
      <w:r>
        <w:rPr>
          <w:spacing w:val="-2"/>
          <w:sz w:val="16"/>
          <w:szCs w:val="16"/>
          <w:lang w:val="en-GB"/>
        </w:rPr>
        <w:t xml:space="preserve">Number of overnight stays of foreign visitors in the mass accommodation facilities increased year-on-year by </w:t>
      </w:r>
      <w:r w:rsidRPr="00631643">
        <w:rPr>
          <w:spacing w:val="-2"/>
          <w:sz w:val="16"/>
          <w:szCs w:val="16"/>
          <w:lang w:val="en-GB"/>
        </w:rPr>
        <w:t>1</w:t>
      </w:r>
      <w:r>
        <w:rPr>
          <w:spacing w:val="-2"/>
          <w:sz w:val="16"/>
          <w:szCs w:val="16"/>
          <w:lang w:val="en-GB"/>
        </w:rPr>
        <w:t>.</w:t>
      </w:r>
      <w:r w:rsidRPr="00631643">
        <w:rPr>
          <w:spacing w:val="-2"/>
          <w:sz w:val="16"/>
          <w:szCs w:val="16"/>
          <w:lang w:val="en-GB"/>
        </w:rPr>
        <w:t>9% (</w:t>
      </w:r>
      <w:r>
        <w:rPr>
          <w:spacing w:val="-2"/>
          <w:sz w:val="16"/>
          <w:szCs w:val="16"/>
          <w:lang w:val="en-GB"/>
        </w:rPr>
        <w:t xml:space="preserve">but by 8.2% in year </w:t>
      </w:r>
      <w:r w:rsidRPr="00631643">
        <w:rPr>
          <w:spacing w:val="-2"/>
          <w:sz w:val="16"/>
          <w:szCs w:val="16"/>
          <w:lang w:val="en-GB"/>
        </w:rPr>
        <w:t>2017)</w:t>
      </w:r>
      <w:r>
        <w:rPr>
          <w:spacing w:val="-2"/>
          <w:sz w:val="16"/>
          <w:szCs w:val="16"/>
          <w:lang w:val="en-GB"/>
        </w:rPr>
        <w:t xml:space="preserve"> in the CR last year</w:t>
      </w:r>
      <w:r w:rsidRPr="00631643">
        <w:rPr>
          <w:spacing w:val="-2"/>
          <w:sz w:val="16"/>
          <w:szCs w:val="16"/>
          <w:lang w:val="en-GB"/>
        </w:rPr>
        <w:t>.</w:t>
      </w:r>
    </w:p>
  </w:footnote>
  <w:footnote w:id="40">
    <w:p w:rsidR="00B9632F" w:rsidRPr="00631643" w:rsidRDefault="00B9632F" w:rsidP="002F6361">
      <w:pPr>
        <w:pStyle w:val="Textpoznpodarou"/>
        <w:jc w:val="both"/>
        <w:rPr>
          <w:lang w:val="en-GB"/>
        </w:rPr>
      </w:pPr>
      <w:r w:rsidRPr="00631643">
        <w:rPr>
          <w:rStyle w:val="Znakapoznpodarou"/>
          <w:sz w:val="16"/>
          <w:szCs w:val="16"/>
          <w:lang w:val="en-GB"/>
        </w:rPr>
        <w:footnoteRef/>
      </w:r>
      <w:r w:rsidRPr="00631643">
        <w:rPr>
          <w:sz w:val="16"/>
          <w:szCs w:val="16"/>
          <w:lang w:val="en-GB"/>
        </w:rPr>
        <w:t xml:space="preserve"> </w:t>
      </w:r>
      <w:r>
        <w:rPr>
          <w:sz w:val="16"/>
          <w:szCs w:val="16"/>
          <w:lang w:val="en-GB"/>
        </w:rPr>
        <w:t>All year-on-year rates of growth and sales for retail are given in constant prices and adjusted for calendar effects.</w:t>
      </w:r>
      <w:r>
        <w:rPr>
          <w:color w:val="0D0D0D" w:themeColor="text1" w:themeTint="F2"/>
          <w:sz w:val="16"/>
          <w:szCs w:val="16"/>
          <w:lang w:val="en-GB"/>
        </w:rPr>
        <w:t xml:space="preserve"> </w:t>
      </w:r>
    </w:p>
  </w:footnote>
  <w:footnote w:id="41">
    <w:p w:rsidR="00B9632F" w:rsidRPr="0015044D" w:rsidRDefault="00B9632F" w:rsidP="002F6361">
      <w:pPr>
        <w:pStyle w:val="Textpoznpodarou"/>
        <w:jc w:val="both"/>
        <w:rPr>
          <w:spacing w:val="-2"/>
          <w:sz w:val="16"/>
          <w:szCs w:val="16"/>
          <w:lang w:val="en-GB"/>
        </w:rPr>
      </w:pPr>
      <w:r w:rsidRPr="00473DD0">
        <w:rPr>
          <w:rStyle w:val="Znakapoznpodarou"/>
          <w:spacing w:val="-2"/>
          <w:sz w:val="16"/>
          <w:szCs w:val="16"/>
        </w:rPr>
        <w:footnoteRef/>
      </w:r>
      <w:r w:rsidRPr="00473DD0">
        <w:rPr>
          <w:spacing w:val="-2"/>
          <w:sz w:val="16"/>
          <w:szCs w:val="16"/>
        </w:rPr>
        <w:t xml:space="preserve"> </w:t>
      </w:r>
      <w:r w:rsidRPr="0015044D">
        <w:rPr>
          <w:spacing w:val="-2"/>
          <w:sz w:val="16"/>
          <w:szCs w:val="16"/>
          <w:lang w:val="en-GB"/>
        </w:rPr>
        <w:t xml:space="preserve">Growth was only 2.1% in the EU last year. Retail grew faster than in the CR in six states (in </w:t>
      </w:r>
      <w:proofErr w:type="gramStart"/>
      <w:r w:rsidR="003F2F7D">
        <w:rPr>
          <w:spacing w:val="-2"/>
          <w:sz w:val="16"/>
          <w:szCs w:val="16"/>
          <w:lang w:val="en-GB"/>
        </w:rPr>
        <w:t>that:</w:t>
      </w:r>
      <w:proofErr w:type="gramEnd"/>
      <w:r w:rsidR="003F2F7D">
        <w:rPr>
          <w:spacing w:val="-2"/>
          <w:sz w:val="16"/>
          <w:szCs w:val="16"/>
          <w:lang w:val="en-GB"/>
        </w:rPr>
        <w:t xml:space="preserve"> </w:t>
      </w:r>
      <w:r w:rsidRPr="0015044D">
        <w:rPr>
          <w:spacing w:val="-2"/>
          <w:sz w:val="16"/>
          <w:szCs w:val="16"/>
          <w:lang w:val="en-GB"/>
        </w:rPr>
        <w:t>Lithuania, Hungary,</w:t>
      </w:r>
      <w:r>
        <w:rPr>
          <w:spacing w:val="-2"/>
          <w:sz w:val="16"/>
          <w:szCs w:val="16"/>
          <w:lang w:val="en-GB"/>
        </w:rPr>
        <w:t xml:space="preserve"> </w:t>
      </w:r>
      <w:r w:rsidR="003F2F7D">
        <w:rPr>
          <w:spacing w:val="-2"/>
          <w:sz w:val="16"/>
          <w:szCs w:val="16"/>
          <w:lang w:val="en-GB"/>
        </w:rPr>
        <w:t>Ireland and Poland</w:t>
      </w:r>
      <w:r w:rsidRPr="0015044D">
        <w:rPr>
          <w:spacing w:val="-2"/>
          <w:sz w:val="16"/>
          <w:szCs w:val="16"/>
          <w:lang w:val="en-GB"/>
        </w:rPr>
        <w:t xml:space="preserve"> – between 6.4 and 6.6%).</w:t>
      </w:r>
    </w:p>
  </w:footnote>
  <w:footnote w:id="42">
    <w:p w:rsidR="00A91AF6" w:rsidRPr="003279A7" w:rsidRDefault="00A91AF6" w:rsidP="00372F99">
      <w:pPr>
        <w:pStyle w:val="Textpoznpodarou"/>
        <w:jc w:val="both"/>
        <w:rPr>
          <w:sz w:val="16"/>
          <w:szCs w:val="16"/>
        </w:rPr>
      </w:pPr>
      <w:r w:rsidRPr="003279A7">
        <w:rPr>
          <w:rStyle w:val="Znakapoznpodarou"/>
          <w:sz w:val="16"/>
          <w:szCs w:val="16"/>
        </w:rPr>
        <w:footnoteRef/>
      </w:r>
      <w:r w:rsidRPr="003279A7">
        <w:rPr>
          <w:sz w:val="16"/>
          <w:szCs w:val="16"/>
        </w:rPr>
        <w:t xml:space="preserve"> </w:t>
      </w:r>
      <w:r w:rsidRPr="00507A87">
        <w:rPr>
          <w:sz w:val="16"/>
          <w:szCs w:val="16"/>
          <w:lang w:val="en-GB"/>
        </w:rPr>
        <w:t xml:space="preserve">Statistical data of the foreign trade in the national conception in the nominal terms including only the trade with goods. The value of exports is captured in the FOB prices, i.e. including the costs connected with the transport to the CR boundaries. Import depicted lower in this chapter is in CIF prices, i.e. including costs associated with the transportation abroad, up all the way to the CR boundaries. Data valid as of </w:t>
      </w:r>
      <w:r>
        <w:rPr>
          <w:sz w:val="16"/>
          <w:szCs w:val="16"/>
          <w:lang w:val="en-GB"/>
        </w:rPr>
        <w:t>11</w:t>
      </w:r>
      <w:r w:rsidRPr="00507A87">
        <w:rPr>
          <w:sz w:val="16"/>
          <w:szCs w:val="16"/>
          <w:lang w:val="en-GB"/>
        </w:rPr>
        <w:t>.</w:t>
      </w:r>
      <w:r>
        <w:rPr>
          <w:sz w:val="16"/>
          <w:szCs w:val="16"/>
          <w:lang w:val="en-GB"/>
        </w:rPr>
        <w:t>3</w:t>
      </w:r>
      <w:r w:rsidRPr="00507A87">
        <w:rPr>
          <w:sz w:val="16"/>
          <w:szCs w:val="16"/>
          <w:lang w:val="en-GB"/>
        </w:rPr>
        <w:t>.201</w:t>
      </w:r>
      <w:r>
        <w:rPr>
          <w:sz w:val="16"/>
          <w:szCs w:val="16"/>
          <w:lang w:val="en-GB"/>
        </w:rPr>
        <w:t>9</w:t>
      </w:r>
      <w:r w:rsidRPr="00507A87">
        <w:rPr>
          <w:sz w:val="16"/>
          <w:szCs w:val="16"/>
          <w:lang w:val="en-GB"/>
        </w:rPr>
        <w:t>.</w:t>
      </w:r>
      <w:r>
        <w:rPr>
          <w:sz w:val="16"/>
          <w:szCs w:val="16"/>
          <w:lang w:val="en-GB"/>
        </w:rPr>
        <w:t xml:space="preserve"> </w:t>
      </w:r>
    </w:p>
  </w:footnote>
  <w:footnote w:id="43">
    <w:p w:rsidR="00A91AF6" w:rsidRPr="00A70337" w:rsidRDefault="00A91AF6" w:rsidP="00A70337">
      <w:pPr>
        <w:pStyle w:val="Textpoznpodarou"/>
        <w:jc w:val="both"/>
        <w:rPr>
          <w:rFonts w:cs="Arial"/>
          <w:sz w:val="16"/>
          <w:szCs w:val="16"/>
          <w:lang w:val="en-GB"/>
        </w:rPr>
      </w:pPr>
      <w:r w:rsidRPr="001802AA">
        <w:rPr>
          <w:rStyle w:val="Znakapoznpodarou"/>
          <w:rFonts w:cs="Arial"/>
          <w:sz w:val="16"/>
          <w:szCs w:val="16"/>
        </w:rPr>
        <w:footnoteRef/>
      </w:r>
      <w:r w:rsidRPr="001802AA">
        <w:rPr>
          <w:rFonts w:cs="Arial"/>
          <w:sz w:val="16"/>
          <w:szCs w:val="16"/>
        </w:rPr>
        <w:t xml:space="preserve"> </w:t>
      </w:r>
      <w:r w:rsidRPr="00A70337">
        <w:rPr>
          <w:rStyle w:val="odkaz-style-wrapper"/>
          <w:rFonts w:cs="Arial"/>
          <w:bCs/>
          <w:sz w:val="16"/>
          <w:szCs w:val="16"/>
          <w:lang w:val="en-GB"/>
        </w:rPr>
        <w:t>Non-residents represent a grouping of units regardless of</w:t>
      </w:r>
      <w:r>
        <w:rPr>
          <w:rStyle w:val="odkaz-style-wrapper"/>
          <w:rFonts w:cs="Arial"/>
          <w:bCs/>
          <w:sz w:val="16"/>
          <w:szCs w:val="16"/>
          <w:lang w:val="en-GB"/>
        </w:rPr>
        <w:t xml:space="preserve"> the</w:t>
      </w:r>
      <w:r w:rsidRPr="00A70337">
        <w:rPr>
          <w:rStyle w:val="odkaz-style-wrapper"/>
          <w:rFonts w:cs="Arial"/>
          <w:bCs/>
          <w:sz w:val="16"/>
          <w:szCs w:val="16"/>
          <w:lang w:val="en-GB"/>
        </w:rPr>
        <w:t xml:space="preserve"> attributes of their </w:t>
      </w:r>
      <w:r>
        <w:rPr>
          <w:rStyle w:val="odkaz-style-wrapper"/>
          <w:rFonts w:cs="Arial"/>
          <w:bCs/>
          <w:sz w:val="16"/>
          <w:szCs w:val="16"/>
          <w:lang w:val="en-GB"/>
        </w:rPr>
        <w:t>ro</w:t>
      </w:r>
      <w:r w:rsidRPr="00A70337">
        <w:rPr>
          <w:rStyle w:val="odkaz-style-wrapper"/>
          <w:rFonts w:cs="Arial"/>
          <w:bCs/>
          <w:sz w:val="16"/>
          <w:szCs w:val="16"/>
          <w:lang w:val="en-GB"/>
        </w:rPr>
        <w:t>l</w:t>
      </w:r>
      <w:r>
        <w:rPr>
          <w:rStyle w:val="odkaz-style-wrapper"/>
          <w:rFonts w:cs="Arial"/>
          <w:bCs/>
          <w:sz w:val="16"/>
          <w:szCs w:val="16"/>
          <w:lang w:val="en-GB"/>
        </w:rPr>
        <w:t>e</w:t>
      </w:r>
      <w:r w:rsidRPr="00A70337">
        <w:rPr>
          <w:rStyle w:val="odkaz-style-wrapper"/>
          <w:rFonts w:cs="Arial"/>
          <w:bCs/>
          <w:sz w:val="16"/>
          <w:szCs w:val="16"/>
          <w:lang w:val="en-GB"/>
        </w:rPr>
        <w:t xml:space="preserve">s and resources. These </w:t>
      </w:r>
      <w:r>
        <w:rPr>
          <w:rStyle w:val="odkaz-style-wrapper"/>
          <w:rFonts w:cs="Arial"/>
          <w:bCs/>
          <w:sz w:val="16"/>
          <w:szCs w:val="16"/>
          <w:lang w:val="en-GB"/>
        </w:rPr>
        <w:t xml:space="preserve">are </w:t>
      </w:r>
      <w:r w:rsidRPr="00A70337">
        <w:rPr>
          <w:rStyle w:val="odkaz-style-wrapper"/>
          <w:rFonts w:cs="Arial"/>
          <w:bCs/>
          <w:sz w:val="16"/>
          <w:szCs w:val="16"/>
          <w:lang w:val="en-GB"/>
        </w:rPr>
        <w:t xml:space="preserve">for example representative bodies of foreign countries </w:t>
      </w:r>
      <w:r w:rsidRPr="00A70337">
        <w:rPr>
          <w:rStyle w:val="odkaz-style-wrapper"/>
          <w:rFonts w:cs="Arial"/>
          <w:sz w:val="16"/>
          <w:szCs w:val="16"/>
          <w:lang w:val="en-GB"/>
        </w:rPr>
        <w:t xml:space="preserve">or international organizations, which were established and operate on the basis of the international agreements or </w:t>
      </w:r>
      <w:r>
        <w:rPr>
          <w:rStyle w:val="odkaz-style-wrapper"/>
          <w:rFonts w:cs="Arial"/>
          <w:sz w:val="16"/>
          <w:szCs w:val="16"/>
          <w:lang w:val="en-GB"/>
        </w:rPr>
        <w:t xml:space="preserve">detached parts of parent company </w:t>
      </w:r>
      <w:r w:rsidRPr="00A70337">
        <w:rPr>
          <w:rStyle w:val="odkaz-style-wrapper"/>
          <w:rFonts w:cs="Arial"/>
          <w:sz w:val="16"/>
          <w:szCs w:val="16"/>
          <w:lang w:val="en-GB"/>
        </w:rPr>
        <w:t>(</w:t>
      </w:r>
      <w:r>
        <w:rPr>
          <w:rStyle w:val="odkaz-style-wrapper"/>
          <w:rFonts w:cs="Arial"/>
          <w:sz w:val="16"/>
          <w:szCs w:val="16"/>
          <w:lang w:val="en-GB"/>
        </w:rPr>
        <w:t>e.g. branches of manufacturing businesses, banks and insurance companies</w:t>
      </w:r>
      <w:r w:rsidRPr="00A70337">
        <w:rPr>
          <w:rStyle w:val="odkaz-style-wrapper"/>
          <w:rFonts w:cs="Arial"/>
          <w:sz w:val="16"/>
          <w:szCs w:val="16"/>
          <w:lang w:val="en-GB"/>
        </w:rPr>
        <w:t>).</w:t>
      </w:r>
    </w:p>
  </w:footnote>
  <w:footnote w:id="44">
    <w:p w:rsidR="00A91AF6" w:rsidRPr="00E20154" w:rsidRDefault="00A91AF6" w:rsidP="00E20154">
      <w:pPr>
        <w:pStyle w:val="Textpoznpodarou"/>
        <w:jc w:val="both"/>
        <w:rPr>
          <w:sz w:val="16"/>
          <w:szCs w:val="16"/>
          <w:lang w:val="en-GB"/>
        </w:rPr>
      </w:pPr>
      <w:r w:rsidRPr="00E852B4">
        <w:rPr>
          <w:rStyle w:val="Znakapoznpodarou"/>
          <w:sz w:val="16"/>
          <w:szCs w:val="16"/>
        </w:rPr>
        <w:footnoteRef/>
      </w:r>
      <w:r>
        <w:rPr>
          <w:sz w:val="16"/>
          <w:szCs w:val="16"/>
        </w:rPr>
        <w:t xml:space="preserve"> </w:t>
      </w:r>
      <w:r w:rsidRPr="00E20154">
        <w:rPr>
          <w:sz w:val="16"/>
          <w:szCs w:val="16"/>
          <w:lang w:val="en-GB"/>
        </w:rPr>
        <w:t>Based on the data from the U.S. Energy Information Administration, it reached a</w:t>
      </w:r>
      <w:r>
        <w:rPr>
          <w:sz w:val="16"/>
          <w:szCs w:val="16"/>
          <w:lang w:val="en-GB"/>
        </w:rPr>
        <w:t xml:space="preserve"> </w:t>
      </w:r>
      <w:r w:rsidRPr="00E20154">
        <w:rPr>
          <w:sz w:val="16"/>
          <w:szCs w:val="16"/>
          <w:lang w:val="en-GB"/>
        </w:rPr>
        <w:t>maximum of 81.03 USD a barrel at that time.</w:t>
      </w:r>
    </w:p>
  </w:footnote>
  <w:footnote w:id="45">
    <w:p w:rsidR="00A91AF6" w:rsidRPr="004D199B" w:rsidRDefault="00A91AF6" w:rsidP="006D1E89">
      <w:pPr>
        <w:pStyle w:val="Textpoznpodarou"/>
        <w:jc w:val="both"/>
        <w:rPr>
          <w:spacing w:val="-2"/>
          <w:sz w:val="16"/>
          <w:szCs w:val="16"/>
          <w:lang w:val="en-GB"/>
        </w:rPr>
      </w:pPr>
      <w:r w:rsidRPr="006A4CF3">
        <w:rPr>
          <w:rStyle w:val="Znakapoznpodarou"/>
          <w:spacing w:val="-2"/>
          <w:sz w:val="16"/>
          <w:szCs w:val="16"/>
        </w:rPr>
        <w:footnoteRef/>
      </w:r>
      <w:r w:rsidRPr="006A4CF3">
        <w:rPr>
          <w:spacing w:val="-2"/>
          <w:sz w:val="16"/>
          <w:szCs w:val="16"/>
        </w:rPr>
        <w:t xml:space="preserve"> </w:t>
      </w:r>
      <w:r w:rsidRPr="004D199B">
        <w:rPr>
          <w:spacing w:val="-2"/>
          <w:sz w:val="16"/>
          <w:szCs w:val="16"/>
          <w:lang w:val="en-GB"/>
        </w:rPr>
        <w:t xml:space="preserve">Unless stated otherwise, employment data in this chapter are in the national accounts conception adjusted for seasonal effects. </w:t>
      </w:r>
    </w:p>
  </w:footnote>
  <w:footnote w:id="46">
    <w:p w:rsidR="00A91AF6" w:rsidRPr="004D199B" w:rsidRDefault="00A91AF6" w:rsidP="006D1E89">
      <w:pPr>
        <w:pStyle w:val="Textpoznpodarou"/>
        <w:jc w:val="both"/>
        <w:rPr>
          <w:spacing w:val="-4"/>
          <w:sz w:val="16"/>
          <w:szCs w:val="16"/>
          <w:lang w:val="en-GB"/>
        </w:rPr>
      </w:pPr>
      <w:r w:rsidRPr="004D199B">
        <w:rPr>
          <w:rStyle w:val="Znakapoznpodarou"/>
          <w:spacing w:val="-4"/>
          <w:sz w:val="16"/>
          <w:szCs w:val="16"/>
          <w:lang w:val="en-GB"/>
        </w:rPr>
        <w:footnoteRef/>
      </w:r>
      <w:r w:rsidRPr="004D199B">
        <w:rPr>
          <w:spacing w:val="-4"/>
          <w:sz w:val="16"/>
          <w:szCs w:val="16"/>
          <w:lang w:val="en-GB"/>
        </w:rPr>
        <w:t xml:space="preserve"> According to the seasonally </w:t>
      </w:r>
      <w:r>
        <w:rPr>
          <w:spacing w:val="-4"/>
          <w:sz w:val="16"/>
          <w:szCs w:val="16"/>
          <w:lang w:val="en-GB"/>
        </w:rPr>
        <w:t xml:space="preserve">adjusted </w:t>
      </w:r>
      <w:r w:rsidRPr="004D199B">
        <w:rPr>
          <w:spacing w:val="-4"/>
          <w:sz w:val="16"/>
          <w:szCs w:val="16"/>
          <w:lang w:val="en-GB"/>
        </w:rPr>
        <w:t>data from the business cycle surveys, the balance of short-term expectations of employment in construction achieved  +15 points at the end of ye</w:t>
      </w:r>
      <w:r>
        <w:rPr>
          <w:spacing w:val="-4"/>
          <w:sz w:val="16"/>
          <w:szCs w:val="16"/>
          <w:lang w:val="en-GB"/>
        </w:rPr>
        <w:t>a</w:t>
      </w:r>
      <w:r w:rsidRPr="004D199B">
        <w:rPr>
          <w:spacing w:val="-4"/>
          <w:sz w:val="16"/>
          <w:szCs w:val="16"/>
          <w:lang w:val="en-GB"/>
        </w:rPr>
        <w:t>r 2018</w:t>
      </w:r>
      <w:r>
        <w:rPr>
          <w:spacing w:val="-4"/>
          <w:sz w:val="16"/>
          <w:szCs w:val="16"/>
          <w:lang w:val="en-GB"/>
        </w:rPr>
        <w:t xml:space="preserve">, however the share of businesses expecting growth resp. fall of employment </w:t>
      </w:r>
      <w:r w:rsidRPr="004D199B">
        <w:rPr>
          <w:spacing w:val="-4"/>
          <w:sz w:val="16"/>
          <w:szCs w:val="16"/>
          <w:lang w:val="en-GB"/>
        </w:rPr>
        <w:t xml:space="preserve">(in the nearest three months) </w:t>
      </w:r>
      <w:r>
        <w:rPr>
          <w:spacing w:val="-4"/>
          <w:sz w:val="16"/>
          <w:szCs w:val="16"/>
          <w:lang w:val="en-GB"/>
        </w:rPr>
        <w:t xml:space="preserve">was comparable in the preceding year. </w:t>
      </w:r>
    </w:p>
  </w:footnote>
  <w:footnote w:id="47">
    <w:p w:rsidR="00A91AF6" w:rsidRPr="004D199B" w:rsidRDefault="00A91AF6" w:rsidP="006D1E89">
      <w:pPr>
        <w:pStyle w:val="Textpoznpodarou"/>
        <w:jc w:val="both"/>
        <w:rPr>
          <w:spacing w:val="-2"/>
          <w:sz w:val="16"/>
          <w:szCs w:val="16"/>
          <w:lang w:val="en-GB"/>
        </w:rPr>
      </w:pPr>
      <w:r w:rsidRPr="004D199B">
        <w:rPr>
          <w:rStyle w:val="Znakapoznpodarou"/>
          <w:spacing w:val="-2"/>
          <w:sz w:val="16"/>
          <w:szCs w:val="16"/>
          <w:lang w:val="en-GB"/>
        </w:rPr>
        <w:footnoteRef/>
      </w:r>
      <w:r w:rsidRPr="004D199B">
        <w:rPr>
          <w:spacing w:val="-2"/>
          <w:sz w:val="16"/>
          <w:szCs w:val="16"/>
          <w:lang w:val="en-GB"/>
        </w:rPr>
        <w:t xml:space="preserve"> Proportion of businesses considering the lack of available labour force as the barrier of their growth reached </w:t>
      </w:r>
      <w:r>
        <w:rPr>
          <w:spacing w:val="-2"/>
          <w:sz w:val="16"/>
          <w:szCs w:val="16"/>
          <w:lang w:val="en-GB"/>
        </w:rPr>
        <w:t xml:space="preserve">a historical maximum in the main branches of economy in Q2 </w:t>
      </w:r>
      <w:r w:rsidRPr="004D199B">
        <w:rPr>
          <w:spacing w:val="-2"/>
          <w:sz w:val="16"/>
          <w:szCs w:val="16"/>
          <w:lang w:val="en-GB"/>
        </w:rPr>
        <w:t xml:space="preserve"> 2018</w:t>
      </w:r>
      <w:r>
        <w:rPr>
          <w:spacing w:val="-2"/>
          <w:sz w:val="16"/>
          <w:szCs w:val="16"/>
          <w:lang w:val="en-GB"/>
        </w:rPr>
        <w:t xml:space="preserve"> </w:t>
      </w:r>
      <w:r w:rsidRPr="004D199B">
        <w:rPr>
          <w:spacing w:val="-2"/>
          <w:sz w:val="16"/>
          <w:szCs w:val="16"/>
          <w:lang w:val="en-GB"/>
        </w:rPr>
        <w:t>(45%</w:t>
      </w:r>
      <w:r>
        <w:rPr>
          <w:spacing w:val="-2"/>
          <w:sz w:val="16"/>
          <w:szCs w:val="16"/>
          <w:lang w:val="en-GB"/>
        </w:rPr>
        <w:t xml:space="preserve"> in industry</w:t>
      </w:r>
      <w:r w:rsidRPr="004D199B">
        <w:rPr>
          <w:spacing w:val="-2"/>
          <w:sz w:val="16"/>
          <w:szCs w:val="16"/>
          <w:lang w:val="en-GB"/>
        </w:rPr>
        <w:t>, 41%</w:t>
      </w:r>
      <w:r>
        <w:rPr>
          <w:spacing w:val="-2"/>
          <w:sz w:val="16"/>
          <w:szCs w:val="16"/>
          <w:lang w:val="en-GB"/>
        </w:rPr>
        <w:t xml:space="preserve"> in construction</w:t>
      </w:r>
      <w:r w:rsidRPr="004D199B">
        <w:rPr>
          <w:spacing w:val="-2"/>
          <w:sz w:val="16"/>
          <w:szCs w:val="16"/>
          <w:lang w:val="en-GB"/>
        </w:rPr>
        <w:t>, 19%</w:t>
      </w:r>
      <w:r>
        <w:rPr>
          <w:spacing w:val="-2"/>
          <w:sz w:val="16"/>
          <w:szCs w:val="16"/>
          <w:lang w:val="en-GB"/>
        </w:rPr>
        <w:t xml:space="preserve"> in selected services</w:t>
      </w:r>
      <w:r w:rsidRPr="004D199B">
        <w:rPr>
          <w:spacing w:val="-2"/>
          <w:sz w:val="16"/>
          <w:szCs w:val="16"/>
          <w:lang w:val="en-GB"/>
        </w:rPr>
        <w:t>). A</w:t>
      </w:r>
      <w:r>
        <w:rPr>
          <w:spacing w:val="-2"/>
          <w:sz w:val="16"/>
          <w:szCs w:val="16"/>
          <w:lang w:val="en-GB"/>
        </w:rPr>
        <w:t>t</w:t>
      </w:r>
      <w:r w:rsidRPr="004D199B">
        <w:rPr>
          <w:spacing w:val="-2"/>
          <w:sz w:val="16"/>
          <w:szCs w:val="16"/>
          <w:lang w:val="en-GB"/>
        </w:rPr>
        <w:t xml:space="preserve"> the beginning of year 2019, this proportion lowered to 39% in industry.</w:t>
      </w:r>
    </w:p>
  </w:footnote>
  <w:footnote w:id="48">
    <w:p w:rsidR="00B9632F" w:rsidRPr="004D199B" w:rsidRDefault="00B9632F" w:rsidP="006D1E89">
      <w:pPr>
        <w:pStyle w:val="Textpoznpodarou"/>
        <w:jc w:val="both"/>
        <w:rPr>
          <w:sz w:val="16"/>
          <w:szCs w:val="16"/>
          <w:lang w:val="en-GB"/>
        </w:rPr>
      </w:pPr>
      <w:r w:rsidRPr="004D199B">
        <w:rPr>
          <w:rStyle w:val="Znakapoznpodarou"/>
          <w:spacing w:val="-2"/>
          <w:sz w:val="16"/>
          <w:szCs w:val="16"/>
          <w:lang w:val="en-GB"/>
        </w:rPr>
        <w:footnoteRef/>
      </w:r>
      <w:r w:rsidRPr="004D199B">
        <w:rPr>
          <w:spacing w:val="-2"/>
          <w:sz w:val="16"/>
          <w:szCs w:val="16"/>
          <w:lang w:val="en-GB"/>
        </w:rPr>
        <w:t xml:space="preserve"> There is</w:t>
      </w:r>
      <w:r>
        <w:rPr>
          <w:spacing w:val="-2"/>
          <w:sz w:val="16"/>
          <w:szCs w:val="16"/>
          <w:lang w:val="en-GB"/>
        </w:rPr>
        <w:t xml:space="preserve"> </w:t>
      </w:r>
      <w:r w:rsidRPr="004D199B">
        <w:rPr>
          <w:spacing w:val="-2"/>
          <w:sz w:val="16"/>
          <w:szCs w:val="16"/>
          <w:lang w:val="en-GB"/>
        </w:rPr>
        <w:t xml:space="preserve">also an indirect evidence in the form of growing addition to the number of foreigners. </w:t>
      </w:r>
      <w:r>
        <w:rPr>
          <w:spacing w:val="-2"/>
          <w:sz w:val="16"/>
          <w:szCs w:val="16"/>
          <w:lang w:val="en-GB"/>
        </w:rPr>
        <w:t xml:space="preserve">According to Alien Police </w:t>
      </w:r>
      <w:proofErr w:type="gramStart"/>
      <w:r>
        <w:rPr>
          <w:spacing w:val="-2"/>
          <w:sz w:val="16"/>
          <w:szCs w:val="16"/>
          <w:lang w:val="en-GB"/>
        </w:rPr>
        <w:t>Inspectorate</w:t>
      </w:r>
      <w:proofErr w:type="gramEnd"/>
      <w:r>
        <w:rPr>
          <w:spacing w:val="-2"/>
          <w:sz w:val="16"/>
          <w:szCs w:val="16"/>
          <w:lang w:val="en-GB"/>
        </w:rPr>
        <w:t xml:space="preserve"> there were legally 567 thousand foreigners in the CR at the end of year </w:t>
      </w:r>
      <w:r w:rsidRPr="004D199B">
        <w:rPr>
          <w:spacing w:val="-2"/>
          <w:sz w:val="16"/>
          <w:szCs w:val="16"/>
          <w:lang w:val="en-GB"/>
        </w:rPr>
        <w:t>2018</w:t>
      </w:r>
      <w:r>
        <w:rPr>
          <w:spacing w:val="-2"/>
          <w:sz w:val="16"/>
          <w:szCs w:val="16"/>
          <w:lang w:val="en-GB"/>
        </w:rPr>
        <w:t xml:space="preserve">, by </w:t>
      </w:r>
      <w:r w:rsidRPr="004D199B">
        <w:rPr>
          <w:spacing w:val="-2"/>
          <w:sz w:val="16"/>
          <w:szCs w:val="16"/>
          <w:lang w:val="en-GB"/>
        </w:rPr>
        <w:t>40 t</w:t>
      </w:r>
      <w:r>
        <w:rPr>
          <w:spacing w:val="-2"/>
          <w:sz w:val="16"/>
          <w:szCs w:val="16"/>
          <w:lang w:val="en-GB"/>
        </w:rPr>
        <w:t>housand more year-on-year</w:t>
      </w:r>
      <w:r w:rsidRPr="004D199B">
        <w:rPr>
          <w:spacing w:val="-2"/>
          <w:sz w:val="16"/>
          <w:szCs w:val="16"/>
          <w:lang w:val="en-GB"/>
        </w:rPr>
        <w:t xml:space="preserve">. </w:t>
      </w:r>
      <w:r>
        <w:rPr>
          <w:spacing w:val="-2"/>
          <w:sz w:val="16"/>
          <w:szCs w:val="16"/>
          <w:lang w:val="en-GB"/>
        </w:rPr>
        <w:t xml:space="preserve">During years </w:t>
      </w:r>
      <w:r w:rsidRPr="004D199B">
        <w:rPr>
          <w:spacing w:val="-2"/>
          <w:sz w:val="16"/>
          <w:szCs w:val="16"/>
          <w:lang w:val="en-GB"/>
        </w:rPr>
        <w:t xml:space="preserve">2016 </w:t>
      </w:r>
      <w:r>
        <w:rPr>
          <w:spacing w:val="-2"/>
          <w:sz w:val="16"/>
          <w:szCs w:val="16"/>
          <w:lang w:val="en-GB"/>
        </w:rPr>
        <w:t>and</w:t>
      </w:r>
      <w:r w:rsidRPr="004D199B">
        <w:rPr>
          <w:spacing w:val="-2"/>
          <w:sz w:val="16"/>
          <w:szCs w:val="16"/>
          <w:lang w:val="en-GB"/>
        </w:rPr>
        <w:t xml:space="preserve"> 2017</w:t>
      </w:r>
      <w:r>
        <w:rPr>
          <w:spacing w:val="-2"/>
          <w:sz w:val="16"/>
          <w:szCs w:val="16"/>
          <w:lang w:val="en-GB"/>
        </w:rPr>
        <w:t xml:space="preserve">, the addition to the number of foreigners was </w:t>
      </w:r>
      <w:r w:rsidRPr="004D199B">
        <w:rPr>
          <w:spacing w:val="-2"/>
          <w:sz w:val="16"/>
          <w:szCs w:val="16"/>
          <w:lang w:val="en-GB"/>
        </w:rPr>
        <w:t>„</w:t>
      </w:r>
      <w:r>
        <w:rPr>
          <w:spacing w:val="-2"/>
          <w:sz w:val="16"/>
          <w:szCs w:val="16"/>
          <w:lang w:val="en-GB"/>
        </w:rPr>
        <w:t>only</w:t>
      </w:r>
      <w:proofErr w:type="gramStart"/>
      <w:r w:rsidRPr="004D199B">
        <w:rPr>
          <w:spacing w:val="-2"/>
          <w:sz w:val="16"/>
          <w:szCs w:val="16"/>
          <w:lang w:val="en-GB"/>
        </w:rPr>
        <w:t>“ 30</w:t>
      </w:r>
      <w:proofErr w:type="gramEnd"/>
      <w:r w:rsidRPr="004D199B">
        <w:rPr>
          <w:spacing w:val="-2"/>
          <w:sz w:val="16"/>
          <w:szCs w:val="16"/>
          <w:lang w:val="en-GB"/>
        </w:rPr>
        <w:t xml:space="preserve"> t</w:t>
      </w:r>
      <w:r>
        <w:rPr>
          <w:spacing w:val="-2"/>
          <w:sz w:val="16"/>
          <w:szCs w:val="16"/>
          <w:lang w:val="en-GB"/>
        </w:rPr>
        <w:t xml:space="preserve">housand persons. More than one third from the last year´s addition to foreigners comprised of citizens of Ukraine only. </w:t>
      </w:r>
    </w:p>
  </w:footnote>
  <w:footnote w:id="49">
    <w:p w:rsidR="00B9632F" w:rsidRPr="00494C04" w:rsidRDefault="00B9632F" w:rsidP="005F68DB">
      <w:pPr>
        <w:pStyle w:val="Textpoznpodarou"/>
        <w:jc w:val="both"/>
        <w:rPr>
          <w:sz w:val="16"/>
          <w:szCs w:val="16"/>
          <w:lang w:val="en-GB"/>
        </w:rPr>
      </w:pPr>
      <w:r w:rsidRPr="00534F79">
        <w:rPr>
          <w:rStyle w:val="Znakapoznpodarou"/>
          <w:sz w:val="16"/>
          <w:szCs w:val="16"/>
        </w:rPr>
        <w:footnoteRef/>
      </w:r>
      <w:r w:rsidRPr="00494C04">
        <w:rPr>
          <w:spacing w:val="-2"/>
          <w:sz w:val="16"/>
          <w:szCs w:val="16"/>
          <w:lang w:val="en-GB"/>
        </w:rPr>
        <w:t xml:space="preserve">The more detailed data of the labour force sample survey (LFSS) suggest, that the number of entrepreneurs without employees (corresponding to the category of self-employed in the national accounts conception) did not change year-on-year last year </w:t>
      </w:r>
      <w:r w:rsidRPr="00494C04">
        <w:rPr>
          <w:sz w:val="16"/>
          <w:szCs w:val="16"/>
          <w:lang w:val="en-GB"/>
        </w:rPr>
        <w:t>(706 thousand). Number of entrepreneurs with employees slightly increased (+1.1%, to 166 thousand) in the same time period.</w:t>
      </w:r>
    </w:p>
  </w:footnote>
  <w:footnote w:id="50">
    <w:p w:rsidR="00B9632F" w:rsidRPr="00494C04" w:rsidRDefault="00B9632F" w:rsidP="005F68DB">
      <w:pPr>
        <w:pStyle w:val="Textpoznpodarou"/>
        <w:jc w:val="both"/>
        <w:rPr>
          <w:sz w:val="16"/>
          <w:szCs w:val="16"/>
          <w:lang w:val="en-GB"/>
        </w:rPr>
      </w:pPr>
      <w:r w:rsidRPr="00494C04">
        <w:rPr>
          <w:rStyle w:val="Znakapoznpodarou"/>
          <w:sz w:val="16"/>
          <w:szCs w:val="16"/>
          <w:lang w:val="en-GB"/>
        </w:rPr>
        <w:footnoteRef/>
      </w:r>
      <w:r w:rsidRPr="00494C04">
        <w:rPr>
          <w:sz w:val="16"/>
          <w:szCs w:val="16"/>
          <w:lang w:val="en-GB"/>
        </w:rPr>
        <w:t xml:space="preserve"> It</w:t>
      </w:r>
      <w:r>
        <w:rPr>
          <w:sz w:val="16"/>
          <w:szCs w:val="16"/>
          <w:lang w:val="en-GB"/>
        </w:rPr>
        <w:t xml:space="preserve"> </w:t>
      </w:r>
      <w:r w:rsidRPr="00494C04">
        <w:rPr>
          <w:sz w:val="16"/>
          <w:szCs w:val="16"/>
          <w:lang w:val="en-GB"/>
        </w:rPr>
        <w:t xml:space="preserve">is also evident from the LFSS data. Working in construction </w:t>
      </w:r>
      <w:r>
        <w:rPr>
          <w:sz w:val="16"/>
          <w:szCs w:val="16"/>
          <w:lang w:val="en-GB"/>
        </w:rPr>
        <w:t>was</w:t>
      </w:r>
      <w:r w:rsidRPr="00494C04">
        <w:rPr>
          <w:sz w:val="16"/>
          <w:szCs w:val="16"/>
          <w:lang w:val="en-GB"/>
        </w:rPr>
        <w:t xml:space="preserve"> by 3.4% less year-on-year in Q4 2018 (2% then for the whole year).</w:t>
      </w:r>
    </w:p>
  </w:footnote>
  <w:footnote w:id="51">
    <w:p w:rsidR="00B9632F" w:rsidRPr="00A915CB" w:rsidRDefault="00B9632F" w:rsidP="00A915CB">
      <w:pPr>
        <w:pStyle w:val="Textpoznpodarou"/>
        <w:jc w:val="both"/>
        <w:rPr>
          <w:spacing w:val="-2"/>
          <w:sz w:val="16"/>
          <w:szCs w:val="16"/>
          <w:lang w:val="en-GB"/>
        </w:rPr>
      </w:pPr>
      <w:r w:rsidRPr="00A915CB">
        <w:rPr>
          <w:rStyle w:val="Znakapoznpodarou"/>
          <w:spacing w:val="-2"/>
          <w:sz w:val="16"/>
          <w:szCs w:val="16"/>
          <w:lang w:val="en-GB"/>
        </w:rPr>
        <w:footnoteRef/>
      </w:r>
      <w:r w:rsidRPr="00A915CB">
        <w:rPr>
          <w:spacing w:val="-2"/>
          <w:sz w:val="16"/>
          <w:szCs w:val="16"/>
          <w:lang w:val="en-GB"/>
        </w:rPr>
        <w:t xml:space="preserve"> This growth transferred also into the beginning of year 2019. Further 8.7 thousand positions were added during January and February 2019, LO offered in total 333.1 thousand positions. </w:t>
      </w:r>
    </w:p>
  </w:footnote>
  <w:footnote w:id="52">
    <w:p w:rsidR="00B9632F" w:rsidRPr="00046EB3" w:rsidRDefault="00B9632F" w:rsidP="00A915CB">
      <w:pPr>
        <w:pStyle w:val="Textpoznpodarou"/>
        <w:jc w:val="both"/>
        <w:rPr>
          <w:spacing w:val="-2"/>
          <w:sz w:val="16"/>
          <w:szCs w:val="16"/>
          <w:lang w:val="en-GB"/>
        </w:rPr>
      </w:pPr>
      <w:r w:rsidRPr="00A915CB">
        <w:rPr>
          <w:rStyle w:val="Znakapoznpodarou"/>
          <w:spacing w:val="-2"/>
          <w:sz w:val="16"/>
          <w:szCs w:val="16"/>
          <w:lang w:val="en-GB"/>
        </w:rPr>
        <w:footnoteRef/>
      </w:r>
      <w:r w:rsidRPr="00A915CB">
        <w:rPr>
          <w:spacing w:val="-2"/>
          <w:sz w:val="16"/>
          <w:szCs w:val="16"/>
          <w:lang w:val="en-GB"/>
        </w:rPr>
        <w:t xml:space="preserve"> </w:t>
      </w:r>
      <w:r w:rsidRPr="00046EB3">
        <w:rPr>
          <w:spacing w:val="-2"/>
          <w:sz w:val="16"/>
          <w:szCs w:val="16"/>
          <w:lang w:val="en-GB"/>
        </w:rPr>
        <w:t xml:space="preserve">More than one quarter of countrywide additions of vacancies belonged only to the Plzen and Pardubice regions for year 2018.  </w:t>
      </w:r>
    </w:p>
  </w:footnote>
  <w:footnote w:id="53">
    <w:p w:rsidR="00B9632F" w:rsidRPr="00046EB3" w:rsidRDefault="00B9632F" w:rsidP="00A915CB">
      <w:pPr>
        <w:pStyle w:val="Textpoznpodarou"/>
        <w:jc w:val="both"/>
        <w:rPr>
          <w:spacing w:val="-2"/>
          <w:sz w:val="16"/>
          <w:szCs w:val="16"/>
          <w:lang w:val="en-GB"/>
        </w:rPr>
      </w:pPr>
      <w:r w:rsidRPr="00046EB3">
        <w:rPr>
          <w:rStyle w:val="Znakapoznpodarou"/>
          <w:spacing w:val="-2"/>
          <w:sz w:val="16"/>
          <w:szCs w:val="16"/>
          <w:lang w:val="en-GB"/>
        </w:rPr>
        <w:footnoteRef/>
      </w:r>
      <w:r w:rsidRPr="00046EB3">
        <w:rPr>
          <w:spacing w:val="-2"/>
          <w:sz w:val="16"/>
          <w:szCs w:val="16"/>
          <w:lang w:val="en-GB"/>
        </w:rPr>
        <w:t xml:space="preserve"> Positions filed under qualification classes</w:t>
      </w:r>
      <w:r>
        <w:rPr>
          <w:spacing w:val="-2"/>
          <w:sz w:val="16"/>
          <w:szCs w:val="16"/>
          <w:lang w:val="en-GB"/>
        </w:rPr>
        <w:t>.</w:t>
      </w:r>
      <w:r w:rsidRPr="00046EB3">
        <w:rPr>
          <w:spacing w:val="-2"/>
          <w:sz w:val="16"/>
          <w:szCs w:val="16"/>
          <w:lang w:val="en-GB"/>
        </w:rPr>
        <w:t xml:space="preserve"> Supporting and non-qualified staff shared only below 30% on the total growth of job vacancies in year 2018. On the contrary positions, where typically persons with lower secondary education (apprentices) work in the CR  – Machine and equipmen</w:t>
      </w:r>
      <w:r w:rsidR="00F55B87">
        <w:rPr>
          <w:spacing w:val="-2"/>
          <w:sz w:val="16"/>
          <w:szCs w:val="16"/>
          <w:lang w:val="en-GB"/>
        </w:rPr>
        <w:t>t operators, assemblers, resp. C</w:t>
      </w:r>
      <w:r w:rsidRPr="00046EB3">
        <w:rPr>
          <w:spacing w:val="-2"/>
          <w:sz w:val="16"/>
          <w:szCs w:val="16"/>
          <w:lang w:val="en-GB"/>
        </w:rPr>
        <w:t>raftsmen and repairmen – shared in the growth of job vacancies 42%, resp. 18%.</w:t>
      </w:r>
    </w:p>
  </w:footnote>
  <w:footnote w:id="54">
    <w:p w:rsidR="00B9632F" w:rsidRPr="00046EB3" w:rsidRDefault="00B9632F" w:rsidP="00A915CB">
      <w:pPr>
        <w:pStyle w:val="Textpoznpodarou"/>
        <w:jc w:val="both"/>
        <w:rPr>
          <w:spacing w:val="-2"/>
          <w:sz w:val="16"/>
          <w:szCs w:val="16"/>
          <w:lang w:val="en-GB"/>
        </w:rPr>
      </w:pPr>
      <w:r w:rsidRPr="00046EB3">
        <w:rPr>
          <w:rStyle w:val="Znakapoznpodarou"/>
          <w:spacing w:val="-2"/>
          <w:sz w:val="16"/>
          <w:szCs w:val="16"/>
          <w:lang w:val="en-GB"/>
        </w:rPr>
        <w:footnoteRef/>
      </w:r>
      <w:r w:rsidRPr="00046EB3">
        <w:rPr>
          <w:spacing w:val="-2"/>
          <w:sz w:val="16"/>
          <w:szCs w:val="16"/>
          <w:lang w:val="en-GB"/>
        </w:rPr>
        <w:t xml:space="preserve"> More than 2.5 job applicants per job vacancy was only in six regions (</w:t>
      </w:r>
      <w:proofErr w:type="spellStart"/>
      <w:r w:rsidRPr="00046EB3">
        <w:rPr>
          <w:spacing w:val="-2"/>
          <w:sz w:val="16"/>
          <w:szCs w:val="16"/>
          <w:lang w:val="en-GB"/>
        </w:rPr>
        <w:t>Karviná</w:t>
      </w:r>
      <w:proofErr w:type="spellEnd"/>
      <w:r w:rsidRPr="00046EB3">
        <w:rPr>
          <w:spacing w:val="-2"/>
          <w:sz w:val="16"/>
          <w:szCs w:val="16"/>
          <w:lang w:val="en-GB"/>
        </w:rPr>
        <w:t xml:space="preserve">, </w:t>
      </w:r>
      <w:proofErr w:type="spellStart"/>
      <w:r w:rsidRPr="00046EB3">
        <w:rPr>
          <w:spacing w:val="-2"/>
          <w:sz w:val="16"/>
          <w:szCs w:val="16"/>
          <w:lang w:val="en-GB"/>
        </w:rPr>
        <w:t>Jeseník</w:t>
      </w:r>
      <w:proofErr w:type="spellEnd"/>
      <w:r w:rsidRPr="00046EB3">
        <w:rPr>
          <w:spacing w:val="-2"/>
          <w:sz w:val="16"/>
          <w:szCs w:val="16"/>
          <w:lang w:val="en-GB"/>
        </w:rPr>
        <w:t xml:space="preserve">, </w:t>
      </w:r>
      <w:proofErr w:type="spellStart"/>
      <w:r w:rsidRPr="00046EB3">
        <w:rPr>
          <w:spacing w:val="-2"/>
          <w:sz w:val="16"/>
          <w:szCs w:val="16"/>
          <w:lang w:val="en-GB"/>
        </w:rPr>
        <w:t>Ústí</w:t>
      </w:r>
      <w:proofErr w:type="spellEnd"/>
      <w:r w:rsidRPr="00046EB3">
        <w:rPr>
          <w:spacing w:val="-2"/>
          <w:sz w:val="16"/>
          <w:szCs w:val="16"/>
          <w:lang w:val="en-GB"/>
        </w:rPr>
        <w:t xml:space="preserve"> </w:t>
      </w:r>
      <w:proofErr w:type="spellStart"/>
      <w:r w:rsidRPr="00046EB3">
        <w:rPr>
          <w:spacing w:val="-2"/>
          <w:sz w:val="16"/>
          <w:szCs w:val="16"/>
          <w:lang w:val="en-GB"/>
        </w:rPr>
        <w:t>nad</w:t>
      </w:r>
      <w:proofErr w:type="spellEnd"/>
      <w:r w:rsidRPr="00046EB3">
        <w:rPr>
          <w:spacing w:val="-2"/>
          <w:sz w:val="16"/>
          <w:szCs w:val="16"/>
          <w:lang w:val="en-GB"/>
        </w:rPr>
        <w:t xml:space="preserve"> Labem, </w:t>
      </w:r>
      <w:proofErr w:type="spellStart"/>
      <w:r w:rsidRPr="00046EB3">
        <w:rPr>
          <w:spacing w:val="-2"/>
          <w:sz w:val="16"/>
          <w:szCs w:val="16"/>
          <w:lang w:val="en-GB"/>
        </w:rPr>
        <w:t>Bruntál</w:t>
      </w:r>
      <w:proofErr w:type="spellEnd"/>
      <w:r w:rsidRPr="00046EB3">
        <w:rPr>
          <w:spacing w:val="-2"/>
          <w:sz w:val="16"/>
          <w:szCs w:val="16"/>
          <w:lang w:val="en-GB"/>
        </w:rPr>
        <w:t xml:space="preserve">, </w:t>
      </w:r>
      <w:proofErr w:type="spellStart"/>
      <w:r w:rsidRPr="00046EB3">
        <w:rPr>
          <w:spacing w:val="-2"/>
          <w:sz w:val="16"/>
          <w:szCs w:val="16"/>
          <w:lang w:val="en-GB"/>
        </w:rPr>
        <w:t>Znojmo</w:t>
      </w:r>
      <w:proofErr w:type="spellEnd"/>
      <w:r w:rsidRPr="00046EB3">
        <w:rPr>
          <w:spacing w:val="-2"/>
          <w:sz w:val="16"/>
          <w:szCs w:val="16"/>
          <w:lang w:val="en-GB"/>
        </w:rPr>
        <w:t xml:space="preserve"> and </w:t>
      </w:r>
      <w:proofErr w:type="spellStart"/>
      <w:r w:rsidRPr="00046EB3">
        <w:rPr>
          <w:spacing w:val="-2"/>
          <w:sz w:val="16"/>
          <w:szCs w:val="16"/>
          <w:lang w:val="en-GB"/>
        </w:rPr>
        <w:t>Hodonín</w:t>
      </w:r>
      <w:proofErr w:type="spellEnd"/>
      <w:r w:rsidRPr="00046EB3">
        <w:rPr>
          <w:spacing w:val="-2"/>
          <w:sz w:val="16"/>
          <w:szCs w:val="16"/>
          <w:lang w:val="en-GB"/>
        </w:rPr>
        <w:t>).</w:t>
      </w:r>
    </w:p>
  </w:footnote>
  <w:footnote w:id="55">
    <w:p w:rsidR="00B9632F" w:rsidRPr="00046EB3" w:rsidRDefault="00B9632F" w:rsidP="006D1E89">
      <w:pPr>
        <w:pStyle w:val="Textpoznpodarou"/>
        <w:jc w:val="both"/>
        <w:rPr>
          <w:spacing w:val="-2"/>
          <w:sz w:val="16"/>
          <w:szCs w:val="16"/>
          <w:lang w:val="en-GB"/>
        </w:rPr>
      </w:pPr>
      <w:r w:rsidRPr="00046EB3">
        <w:rPr>
          <w:rStyle w:val="Znakapoznpodarou"/>
          <w:spacing w:val="-2"/>
          <w:sz w:val="16"/>
          <w:szCs w:val="16"/>
          <w:lang w:val="en-GB"/>
        </w:rPr>
        <w:footnoteRef/>
      </w:r>
      <w:r w:rsidRPr="00046EB3">
        <w:rPr>
          <w:spacing w:val="-2"/>
          <w:sz w:val="16"/>
          <w:szCs w:val="16"/>
          <w:lang w:val="en-GB"/>
        </w:rPr>
        <w:t xml:space="preserve"> The average wage grew year-on-year by 12.8% in education during Q1 to </w:t>
      </w:r>
      <w:r w:rsidR="00F55B87">
        <w:rPr>
          <w:spacing w:val="-2"/>
          <w:sz w:val="16"/>
          <w:szCs w:val="16"/>
          <w:lang w:val="en-GB"/>
        </w:rPr>
        <w:t>Q</w:t>
      </w:r>
      <w:r w:rsidRPr="00046EB3">
        <w:rPr>
          <w:spacing w:val="-2"/>
          <w:sz w:val="16"/>
          <w:szCs w:val="16"/>
          <w:lang w:val="en-GB"/>
        </w:rPr>
        <w:t xml:space="preserve">3 2018, by 6.0% </w:t>
      </w:r>
      <w:r>
        <w:rPr>
          <w:spacing w:val="-2"/>
          <w:sz w:val="16"/>
          <w:szCs w:val="16"/>
          <w:lang w:val="en-GB"/>
        </w:rPr>
        <w:t>in</w:t>
      </w:r>
      <w:r w:rsidRPr="00046EB3">
        <w:rPr>
          <w:spacing w:val="-2"/>
          <w:sz w:val="16"/>
          <w:szCs w:val="16"/>
          <w:lang w:val="en-GB"/>
        </w:rPr>
        <w:t xml:space="preserve"> Q4. Analogous rates of growth in the branch of public administration were 11.8% and 5.1%. These differences were connected to the large comparative basis of 2017 year end (from November, the wages of teachers as well as public admini</w:t>
      </w:r>
      <w:r w:rsidR="00F55B87">
        <w:rPr>
          <w:spacing w:val="-2"/>
          <w:sz w:val="16"/>
          <w:szCs w:val="16"/>
          <w:lang w:val="en-GB"/>
        </w:rPr>
        <w:t>stration employees rose by 15%)</w:t>
      </w:r>
      <w:r w:rsidRPr="00046EB3">
        <w:rPr>
          <w:spacing w:val="-2"/>
          <w:sz w:val="16"/>
          <w:szCs w:val="16"/>
          <w:lang w:val="en-GB"/>
        </w:rPr>
        <w:t>. Further increase in the following year was implemented only as of 1</w:t>
      </w:r>
      <w:r w:rsidRPr="00046EB3">
        <w:rPr>
          <w:spacing w:val="-2"/>
          <w:sz w:val="16"/>
          <w:szCs w:val="16"/>
          <w:vertAlign w:val="superscript"/>
          <w:lang w:val="en-GB"/>
        </w:rPr>
        <w:t>st</w:t>
      </w:r>
      <w:r w:rsidRPr="00046EB3">
        <w:rPr>
          <w:spacing w:val="-2"/>
          <w:sz w:val="16"/>
          <w:szCs w:val="16"/>
          <w:lang w:val="en-GB"/>
        </w:rPr>
        <w:t xml:space="preserve"> January 2019.</w:t>
      </w:r>
    </w:p>
  </w:footnote>
  <w:footnote w:id="56">
    <w:p w:rsidR="00B9632F" w:rsidRPr="00046EB3" w:rsidRDefault="00B9632F" w:rsidP="006D1E89">
      <w:pPr>
        <w:pStyle w:val="Textpoznpodarou"/>
        <w:jc w:val="both"/>
        <w:rPr>
          <w:sz w:val="16"/>
          <w:szCs w:val="16"/>
          <w:lang w:val="en-GB"/>
        </w:rPr>
      </w:pPr>
      <w:r w:rsidRPr="00046EB3">
        <w:rPr>
          <w:rStyle w:val="Znakapoznpodarou"/>
          <w:spacing w:val="-2"/>
          <w:sz w:val="16"/>
          <w:szCs w:val="16"/>
          <w:lang w:val="en-GB"/>
        </w:rPr>
        <w:footnoteRef/>
      </w:r>
      <w:r w:rsidRPr="00046EB3">
        <w:rPr>
          <w:spacing w:val="-2"/>
          <w:sz w:val="16"/>
          <w:szCs w:val="16"/>
          <w:lang w:val="en-GB"/>
        </w:rPr>
        <w:t xml:space="preserve"> </w:t>
      </w:r>
      <w:r>
        <w:rPr>
          <w:spacing w:val="-2"/>
          <w:sz w:val="16"/>
          <w:szCs w:val="16"/>
          <w:lang w:val="en-GB"/>
        </w:rPr>
        <w:t>In the most weight significant branch of services</w:t>
      </w:r>
      <w:r w:rsidRPr="00046EB3">
        <w:rPr>
          <w:spacing w:val="-2"/>
          <w:sz w:val="16"/>
          <w:szCs w:val="16"/>
          <w:lang w:val="en-GB"/>
        </w:rPr>
        <w:t xml:space="preserve"> – </w:t>
      </w:r>
      <w:r>
        <w:rPr>
          <w:spacing w:val="-2"/>
          <w:sz w:val="16"/>
          <w:szCs w:val="16"/>
          <w:lang w:val="en-GB"/>
        </w:rPr>
        <w:t>Wholesale and retail, repairs and maintenance of motor vehicles – the average wages grew by 8.4% in Q</w:t>
      </w:r>
      <w:r w:rsidRPr="00046EB3">
        <w:rPr>
          <w:spacing w:val="-2"/>
          <w:sz w:val="16"/>
          <w:szCs w:val="16"/>
          <w:lang w:val="en-GB"/>
        </w:rPr>
        <w:t>1 2018</w:t>
      </w:r>
      <w:r>
        <w:rPr>
          <w:spacing w:val="-2"/>
          <w:sz w:val="16"/>
          <w:szCs w:val="16"/>
          <w:lang w:val="en-GB"/>
        </w:rPr>
        <w:t xml:space="preserve">, in the next part of the year they started losing pace </w:t>
      </w:r>
      <w:r w:rsidRPr="00046EB3">
        <w:rPr>
          <w:spacing w:val="-2"/>
          <w:sz w:val="16"/>
          <w:szCs w:val="16"/>
          <w:lang w:val="en-GB"/>
        </w:rPr>
        <w:t>a</w:t>
      </w:r>
      <w:r>
        <w:rPr>
          <w:spacing w:val="-2"/>
          <w:sz w:val="16"/>
          <w:szCs w:val="16"/>
          <w:lang w:val="en-GB"/>
        </w:rPr>
        <w:t>nd arrived at 7.6% in Q</w:t>
      </w:r>
      <w:r w:rsidRPr="00046EB3">
        <w:rPr>
          <w:spacing w:val="-2"/>
          <w:sz w:val="16"/>
          <w:szCs w:val="16"/>
          <w:lang w:val="en-GB"/>
        </w:rPr>
        <w:t>4.</w:t>
      </w:r>
      <w:r>
        <w:rPr>
          <w:spacing w:val="-2"/>
          <w:sz w:val="16"/>
          <w:szCs w:val="16"/>
          <w:lang w:val="en-GB"/>
        </w:rPr>
        <w:t xml:space="preserve"> Earnings grew in manufacturing by 7.8% in H</w:t>
      </w:r>
      <w:r w:rsidRPr="00046EB3">
        <w:rPr>
          <w:spacing w:val="-2"/>
          <w:sz w:val="16"/>
          <w:szCs w:val="16"/>
          <w:lang w:val="en-GB"/>
        </w:rPr>
        <w:t>1</w:t>
      </w:r>
      <w:r>
        <w:rPr>
          <w:spacing w:val="-2"/>
          <w:sz w:val="16"/>
          <w:szCs w:val="16"/>
          <w:lang w:val="en-GB"/>
        </w:rPr>
        <w:t>, by 7.1% then in the remaining part of the year</w:t>
      </w:r>
      <w:r w:rsidRPr="00046EB3">
        <w:rPr>
          <w:spacing w:val="-2"/>
          <w:sz w:val="16"/>
          <w:szCs w:val="16"/>
          <w:lang w:val="en-GB"/>
        </w:rPr>
        <w:t>.</w:t>
      </w:r>
    </w:p>
  </w:footnote>
  <w:footnote w:id="57">
    <w:p w:rsidR="00B9632F" w:rsidRPr="00046EB3" w:rsidRDefault="00B9632F" w:rsidP="00A81AF2">
      <w:pPr>
        <w:pStyle w:val="Textpoznpodarou"/>
        <w:jc w:val="both"/>
        <w:rPr>
          <w:spacing w:val="-2"/>
          <w:sz w:val="16"/>
          <w:szCs w:val="16"/>
          <w:lang w:val="en-GB"/>
        </w:rPr>
      </w:pPr>
      <w:r w:rsidRPr="00046EB3">
        <w:rPr>
          <w:rStyle w:val="Znakapoznpodarou"/>
          <w:spacing w:val="-2"/>
          <w:sz w:val="16"/>
          <w:szCs w:val="16"/>
          <w:lang w:val="en-GB"/>
        </w:rPr>
        <w:footnoteRef/>
      </w:r>
      <w:r w:rsidRPr="00046EB3">
        <w:rPr>
          <w:spacing w:val="-2"/>
          <w:sz w:val="16"/>
          <w:szCs w:val="16"/>
          <w:lang w:val="en-GB"/>
        </w:rPr>
        <w:t xml:space="preserve"> </w:t>
      </w:r>
      <w:r>
        <w:rPr>
          <w:spacing w:val="-2"/>
          <w:sz w:val="16"/>
          <w:szCs w:val="16"/>
          <w:lang w:val="en-GB"/>
        </w:rPr>
        <w:t>As also evidenced by the continuing fall of the number of economically inactive persons, which do not work, do not actively seek employment, however state, that they are interested in working. In Q</w:t>
      </w:r>
      <w:r w:rsidRPr="00046EB3">
        <w:rPr>
          <w:rFonts w:cs="Arial"/>
          <w:color w:val="0D0D0D" w:themeColor="text1" w:themeTint="F2"/>
          <w:spacing w:val="-2"/>
          <w:sz w:val="16"/>
          <w:szCs w:val="16"/>
          <w:lang w:val="en-GB"/>
        </w:rPr>
        <w:t>4</w:t>
      </w:r>
      <w:r>
        <w:rPr>
          <w:rFonts w:cs="Arial"/>
          <w:color w:val="0D0D0D" w:themeColor="text1" w:themeTint="F2"/>
          <w:spacing w:val="-2"/>
          <w:sz w:val="16"/>
          <w:szCs w:val="16"/>
          <w:lang w:val="en-GB"/>
        </w:rPr>
        <w:t xml:space="preserve"> </w:t>
      </w:r>
      <w:r w:rsidRPr="00046EB3">
        <w:rPr>
          <w:rFonts w:cs="Arial"/>
          <w:color w:val="0D0D0D" w:themeColor="text1" w:themeTint="F2"/>
          <w:spacing w:val="-2"/>
          <w:sz w:val="16"/>
          <w:szCs w:val="16"/>
          <w:lang w:val="en-GB"/>
        </w:rPr>
        <w:t>2018</w:t>
      </w:r>
      <w:r>
        <w:rPr>
          <w:rFonts w:cs="Arial"/>
          <w:color w:val="0D0D0D" w:themeColor="text1" w:themeTint="F2"/>
          <w:spacing w:val="-2"/>
          <w:sz w:val="16"/>
          <w:szCs w:val="16"/>
          <w:lang w:val="en-GB"/>
        </w:rPr>
        <w:t xml:space="preserve"> there were 102 thousand of these persons according to the LFSS </w:t>
      </w:r>
      <w:r w:rsidRPr="00046EB3">
        <w:rPr>
          <w:rFonts w:cs="Arial"/>
          <w:color w:val="0D0D0D" w:themeColor="text1" w:themeTint="F2"/>
          <w:spacing w:val="-2"/>
          <w:sz w:val="16"/>
          <w:szCs w:val="16"/>
          <w:lang w:val="en-GB"/>
        </w:rPr>
        <w:t>(</w:t>
      </w:r>
      <w:r>
        <w:rPr>
          <w:rFonts w:cs="Arial"/>
          <w:color w:val="0D0D0D" w:themeColor="text1" w:themeTint="F2"/>
          <w:spacing w:val="-2"/>
          <w:sz w:val="16"/>
          <w:szCs w:val="16"/>
          <w:lang w:val="en-GB"/>
        </w:rPr>
        <w:t>year-on-year decrease by one seventh</w:t>
      </w:r>
      <w:r w:rsidRPr="00046EB3">
        <w:rPr>
          <w:rFonts w:cs="Arial"/>
          <w:color w:val="0D0D0D" w:themeColor="text1" w:themeTint="F2"/>
          <w:spacing w:val="-2"/>
          <w:sz w:val="16"/>
          <w:szCs w:val="16"/>
          <w:lang w:val="en-GB"/>
        </w:rPr>
        <w:t xml:space="preserve">). </w:t>
      </w:r>
      <w:r>
        <w:rPr>
          <w:rFonts w:cs="Arial"/>
          <w:color w:val="0D0D0D" w:themeColor="text1" w:themeTint="F2"/>
          <w:spacing w:val="-2"/>
          <w:sz w:val="16"/>
          <w:szCs w:val="16"/>
          <w:lang w:val="en-GB"/>
        </w:rPr>
        <w:t xml:space="preserve">This number was even by one half lower compared to the business cycle peak years of the last decade. </w:t>
      </w:r>
    </w:p>
  </w:footnote>
  <w:footnote w:id="58">
    <w:p w:rsidR="00A91AF6" w:rsidRPr="0044076A" w:rsidRDefault="00A91AF6" w:rsidP="0074499B">
      <w:pPr>
        <w:pStyle w:val="Textpoznpodarou"/>
        <w:jc w:val="both"/>
        <w:rPr>
          <w:sz w:val="16"/>
          <w:szCs w:val="16"/>
          <w:lang w:val="en-GB"/>
        </w:rPr>
      </w:pPr>
      <w:r w:rsidRPr="00795437">
        <w:rPr>
          <w:rStyle w:val="Znakapoznpodarou"/>
          <w:sz w:val="16"/>
          <w:szCs w:val="16"/>
        </w:rPr>
        <w:footnoteRef/>
      </w:r>
      <w:r w:rsidRPr="00795437">
        <w:rPr>
          <w:sz w:val="16"/>
          <w:szCs w:val="16"/>
        </w:rPr>
        <w:t xml:space="preserve"> </w:t>
      </w:r>
      <w:r w:rsidRPr="0044076A">
        <w:rPr>
          <w:sz w:val="16"/>
          <w:szCs w:val="16"/>
          <w:lang w:val="en-GB"/>
        </w:rPr>
        <w:t xml:space="preserve">Unless stated otherwise, all data related to the state budget stem from the data of the Ministry of Finance regarding the cash fulfilment. </w:t>
      </w:r>
    </w:p>
  </w:footnote>
  <w:footnote w:id="59">
    <w:p w:rsidR="00DC002D" w:rsidRPr="0044076A" w:rsidRDefault="00DC002D" w:rsidP="00BB453F">
      <w:pPr>
        <w:pStyle w:val="Textpoznpodarou"/>
        <w:jc w:val="both"/>
        <w:rPr>
          <w:sz w:val="16"/>
          <w:szCs w:val="16"/>
          <w:lang w:val="en-GB"/>
        </w:rPr>
      </w:pPr>
      <w:r w:rsidRPr="0044076A">
        <w:rPr>
          <w:rStyle w:val="Znakapoznpodarou"/>
          <w:sz w:val="16"/>
          <w:szCs w:val="16"/>
          <w:lang w:val="en-GB"/>
        </w:rPr>
        <w:footnoteRef/>
      </w:r>
      <w:r w:rsidRPr="0044076A">
        <w:rPr>
          <w:sz w:val="16"/>
          <w:szCs w:val="16"/>
          <w:lang w:val="en-GB"/>
        </w:rPr>
        <w:t xml:space="preserve"> It concerned mainly the final payments related to the completed programme period of 2007 – 2013 (</w:t>
      </w:r>
      <w:proofErr w:type="gramStart"/>
      <w:r w:rsidRPr="0044076A">
        <w:rPr>
          <w:sz w:val="16"/>
          <w:szCs w:val="16"/>
          <w:lang w:val="en-GB"/>
        </w:rPr>
        <w:t>in the amount of 23.9 CZK</w:t>
      </w:r>
      <w:proofErr w:type="gramEnd"/>
      <w:r w:rsidRPr="0044076A">
        <w:rPr>
          <w:sz w:val="16"/>
          <w:szCs w:val="16"/>
          <w:lang w:val="en-GB"/>
        </w:rPr>
        <w:t xml:space="preserve"> </w:t>
      </w:r>
      <w:proofErr w:type="spellStart"/>
      <w:r w:rsidRPr="0044076A">
        <w:rPr>
          <w:sz w:val="16"/>
          <w:szCs w:val="16"/>
          <w:lang w:val="en-GB"/>
        </w:rPr>
        <w:t>bn</w:t>
      </w:r>
      <w:proofErr w:type="spellEnd"/>
      <w:r w:rsidRPr="0044076A">
        <w:rPr>
          <w:sz w:val="16"/>
          <w:szCs w:val="16"/>
          <w:lang w:val="en-GB"/>
        </w:rPr>
        <w:t xml:space="preserve">). The revival of drawing tied to the current programme period also partially contributed to the growth in the previous months. </w:t>
      </w:r>
      <w:r>
        <w:rPr>
          <w:sz w:val="16"/>
          <w:szCs w:val="16"/>
          <w:lang w:val="en-GB"/>
        </w:rPr>
        <w:t xml:space="preserve">Stronger income from the sale of the emission allowance, which reached nearly 15.0 CZK </w:t>
      </w:r>
      <w:proofErr w:type="spellStart"/>
      <w:proofErr w:type="gramStart"/>
      <w:r>
        <w:rPr>
          <w:sz w:val="16"/>
          <w:szCs w:val="16"/>
          <w:lang w:val="en-GB"/>
        </w:rPr>
        <w:t>bn</w:t>
      </w:r>
      <w:proofErr w:type="spellEnd"/>
      <w:proofErr w:type="gramEnd"/>
      <w:r>
        <w:rPr>
          <w:sz w:val="16"/>
          <w:szCs w:val="16"/>
          <w:lang w:val="en-GB"/>
        </w:rPr>
        <w:t xml:space="preserve"> also had an effect </w:t>
      </w:r>
      <w:r w:rsidRPr="0044076A">
        <w:rPr>
          <w:sz w:val="16"/>
          <w:szCs w:val="16"/>
          <w:lang w:val="en-GB"/>
        </w:rPr>
        <w:t>(</w:t>
      </w:r>
      <w:r>
        <w:rPr>
          <w:sz w:val="16"/>
          <w:szCs w:val="16"/>
          <w:lang w:val="en-GB"/>
        </w:rPr>
        <w:t xml:space="preserve">by </w:t>
      </w:r>
      <w:r w:rsidRPr="0044076A">
        <w:rPr>
          <w:sz w:val="16"/>
          <w:szCs w:val="16"/>
          <w:lang w:val="en-GB"/>
        </w:rPr>
        <w:t>9</w:t>
      </w:r>
      <w:r>
        <w:rPr>
          <w:sz w:val="16"/>
          <w:szCs w:val="16"/>
          <w:lang w:val="en-GB"/>
        </w:rPr>
        <w:t>.</w:t>
      </w:r>
      <w:r w:rsidRPr="0044076A">
        <w:rPr>
          <w:sz w:val="16"/>
          <w:szCs w:val="16"/>
          <w:lang w:val="en-GB"/>
        </w:rPr>
        <w:t xml:space="preserve">0 </w:t>
      </w:r>
      <w:r>
        <w:rPr>
          <w:sz w:val="16"/>
          <w:szCs w:val="16"/>
          <w:lang w:val="en-GB"/>
        </w:rPr>
        <w:t xml:space="preserve">CZK </w:t>
      </w:r>
      <w:proofErr w:type="spellStart"/>
      <w:r>
        <w:rPr>
          <w:sz w:val="16"/>
          <w:szCs w:val="16"/>
          <w:lang w:val="en-GB"/>
        </w:rPr>
        <w:t>bn</w:t>
      </w:r>
      <w:proofErr w:type="spellEnd"/>
      <w:r>
        <w:rPr>
          <w:sz w:val="16"/>
          <w:szCs w:val="16"/>
          <w:lang w:val="en-GB"/>
        </w:rPr>
        <w:t xml:space="preserve"> more than in the approved budget</w:t>
      </w:r>
      <w:r w:rsidRPr="0044076A">
        <w:rPr>
          <w:sz w:val="16"/>
          <w:szCs w:val="16"/>
          <w:lang w:val="en-GB"/>
        </w:rPr>
        <w:t>).</w:t>
      </w:r>
    </w:p>
  </w:footnote>
  <w:footnote w:id="60">
    <w:p w:rsidR="00DC002D" w:rsidRPr="00372CA1" w:rsidRDefault="00DC002D" w:rsidP="0074499B">
      <w:pPr>
        <w:pStyle w:val="Textpoznpodarou"/>
        <w:jc w:val="both"/>
        <w:rPr>
          <w:lang w:val="en-GB"/>
        </w:rPr>
      </w:pPr>
      <w:r w:rsidRPr="00390875">
        <w:rPr>
          <w:rStyle w:val="Znakapoznpodarou"/>
          <w:sz w:val="16"/>
          <w:szCs w:val="16"/>
        </w:rPr>
        <w:footnoteRef/>
      </w:r>
      <w:r w:rsidRPr="00390875">
        <w:rPr>
          <w:sz w:val="16"/>
          <w:szCs w:val="16"/>
        </w:rPr>
        <w:t xml:space="preserve"> </w:t>
      </w:r>
      <w:r w:rsidRPr="00372CA1">
        <w:rPr>
          <w:sz w:val="16"/>
          <w:szCs w:val="16"/>
          <w:lang w:val="en-GB"/>
        </w:rPr>
        <w:t xml:space="preserve">Data CZSO also prove the slowdown of the year-on-year rate of growth. Consumption increased in the weight dominant category – diesel fuel – by 1.1% in 2018 (while it strengthened by 3.5% in year 2017). Consumption of the jet kerosene also recorded a slower pace last year (+8.6%, resp.+15.1%). Consumption of the </w:t>
      </w:r>
      <w:r>
        <w:rPr>
          <w:sz w:val="16"/>
          <w:szCs w:val="16"/>
          <w:lang w:val="en-GB"/>
        </w:rPr>
        <w:t>petrol</w:t>
      </w:r>
      <w:r w:rsidRPr="00372CA1">
        <w:rPr>
          <w:sz w:val="16"/>
          <w:szCs w:val="16"/>
          <w:lang w:val="en-GB"/>
        </w:rPr>
        <w:t xml:space="preserve"> in fact stagnated last year the same way as in year 2017. </w:t>
      </w:r>
    </w:p>
  </w:footnote>
  <w:footnote w:id="61">
    <w:p w:rsidR="00DC002D" w:rsidRPr="002101D5" w:rsidRDefault="00DC002D" w:rsidP="0074499B">
      <w:pPr>
        <w:pStyle w:val="Textpoznpodarou"/>
        <w:jc w:val="both"/>
        <w:rPr>
          <w:rFonts w:cs="Arial"/>
          <w:color w:val="0D0D0D" w:themeColor="text1" w:themeTint="F2"/>
          <w:sz w:val="16"/>
          <w:szCs w:val="16"/>
        </w:rPr>
      </w:pPr>
      <w:r w:rsidRPr="00372CA1">
        <w:rPr>
          <w:rStyle w:val="Znakapoznpodarou"/>
          <w:rFonts w:cs="Arial"/>
          <w:color w:val="0D0D0D" w:themeColor="text1" w:themeTint="F2"/>
          <w:sz w:val="16"/>
          <w:szCs w:val="16"/>
          <w:lang w:val="en-GB"/>
        </w:rPr>
        <w:footnoteRef/>
      </w:r>
      <w:r w:rsidRPr="00372CA1">
        <w:rPr>
          <w:rFonts w:cs="Arial"/>
          <w:color w:val="0D0D0D" w:themeColor="text1" w:themeTint="F2"/>
          <w:sz w:val="16"/>
          <w:szCs w:val="16"/>
          <w:lang w:val="en-GB"/>
        </w:rPr>
        <w:t xml:space="preserve"> It is so called green fuel enabling the refund of this tax in the area of animal primary production. This deduction is already fully manifesting in year 2018 (contrary to previous year). Rising prices could have also partially negatively affected the consumption of petrol and diesel fuel. While the consumer prices of fuels were falling in the first half of year 2017</w:t>
      </w:r>
      <w:r>
        <w:rPr>
          <w:rFonts w:cs="Arial"/>
          <w:color w:val="0D0D0D" w:themeColor="text1" w:themeTint="F2"/>
          <w:sz w:val="16"/>
          <w:szCs w:val="16"/>
          <w:lang w:val="en-GB"/>
        </w:rPr>
        <w:t xml:space="preserve"> (and rather stagnated in Q3),</w:t>
      </w:r>
      <w:r w:rsidRPr="00372CA1">
        <w:rPr>
          <w:rFonts w:cs="Arial"/>
          <w:color w:val="0D0D0D" w:themeColor="text1" w:themeTint="F2"/>
          <w:sz w:val="16"/>
          <w:szCs w:val="16"/>
          <w:lang w:val="en-GB"/>
        </w:rPr>
        <w:t xml:space="preserve"> the situation was the opposite </w:t>
      </w:r>
      <w:r>
        <w:rPr>
          <w:rFonts w:cs="Arial"/>
          <w:color w:val="0D0D0D" w:themeColor="text1" w:themeTint="F2"/>
          <w:sz w:val="16"/>
          <w:szCs w:val="16"/>
          <w:lang w:val="en-GB"/>
        </w:rPr>
        <w:t>for the most of the year 2018</w:t>
      </w:r>
      <w:r w:rsidRPr="00372CA1">
        <w:rPr>
          <w:rFonts w:cs="Arial"/>
          <w:color w:val="0D0D0D" w:themeColor="text1" w:themeTint="F2"/>
          <w:sz w:val="16"/>
          <w:szCs w:val="16"/>
          <w:lang w:val="en-GB"/>
        </w:rPr>
        <w:t xml:space="preserve">. </w:t>
      </w:r>
    </w:p>
  </w:footnote>
  <w:footnote w:id="62">
    <w:p w:rsidR="00DC002D" w:rsidRPr="009134A0" w:rsidRDefault="00DC002D" w:rsidP="0074499B">
      <w:pPr>
        <w:pStyle w:val="Textpoznpodarou"/>
        <w:jc w:val="both"/>
        <w:rPr>
          <w:sz w:val="16"/>
          <w:szCs w:val="16"/>
          <w:lang w:val="en-GB"/>
        </w:rPr>
      </w:pPr>
      <w:r w:rsidRPr="00C80EA0">
        <w:rPr>
          <w:rStyle w:val="Znakapoznpodarou"/>
          <w:sz w:val="16"/>
          <w:szCs w:val="16"/>
        </w:rPr>
        <w:footnoteRef/>
      </w:r>
      <w:r w:rsidRPr="00C80EA0">
        <w:rPr>
          <w:sz w:val="16"/>
          <w:szCs w:val="16"/>
        </w:rPr>
        <w:t xml:space="preserve"> </w:t>
      </w:r>
      <w:r w:rsidRPr="009134A0">
        <w:rPr>
          <w:sz w:val="16"/>
          <w:szCs w:val="16"/>
          <w:lang w:val="en-GB"/>
        </w:rPr>
        <w:t>There were in total nearly 127</w:t>
      </w:r>
      <w:r>
        <w:rPr>
          <w:sz w:val="16"/>
          <w:szCs w:val="16"/>
          <w:lang w:val="en-GB"/>
        </w:rPr>
        <w:t xml:space="preserve"> </w:t>
      </w:r>
      <w:r w:rsidRPr="009134A0">
        <w:rPr>
          <w:sz w:val="16"/>
          <w:szCs w:val="16"/>
          <w:lang w:val="en-GB"/>
        </w:rPr>
        <w:t xml:space="preserve">CZK bn expended on the common CR and EU projects last year, </w:t>
      </w:r>
      <w:r>
        <w:rPr>
          <w:sz w:val="16"/>
          <w:szCs w:val="16"/>
          <w:lang w:val="en-GB"/>
        </w:rPr>
        <w:t xml:space="preserve">which was also assisted by the higher engagement of claims from non-consumed outlays from the past years </w:t>
      </w:r>
      <w:r w:rsidRPr="009134A0">
        <w:rPr>
          <w:sz w:val="16"/>
          <w:szCs w:val="16"/>
          <w:lang w:val="en-GB"/>
        </w:rPr>
        <w:t>(</w:t>
      </w:r>
      <w:r>
        <w:rPr>
          <w:sz w:val="16"/>
          <w:szCs w:val="16"/>
          <w:lang w:val="en-GB"/>
        </w:rPr>
        <w:t xml:space="preserve">beyond the approved budget for year </w:t>
      </w:r>
      <w:r w:rsidRPr="009134A0">
        <w:rPr>
          <w:sz w:val="16"/>
          <w:szCs w:val="16"/>
          <w:lang w:val="en-GB"/>
        </w:rPr>
        <w:t xml:space="preserve">2018). </w:t>
      </w:r>
      <w:r>
        <w:rPr>
          <w:sz w:val="16"/>
          <w:szCs w:val="16"/>
          <w:lang w:val="en-GB"/>
        </w:rPr>
        <w:t xml:space="preserve">In years </w:t>
      </w:r>
      <w:r w:rsidRPr="009134A0">
        <w:rPr>
          <w:sz w:val="16"/>
          <w:szCs w:val="16"/>
          <w:lang w:val="en-GB"/>
        </w:rPr>
        <w:t xml:space="preserve">2016 </w:t>
      </w:r>
      <w:r>
        <w:rPr>
          <w:sz w:val="16"/>
          <w:szCs w:val="16"/>
          <w:lang w:val="en-GB"/>
        </w:rPr>
        <w:t>and</w:t>
      </w:r>
      <w:r w:rsidRPr="009134A0">
        <w:rPr>
          <w:sz w:val="16"/>
          <w:szCs w:val="16"/>
          <w:lang w:val="en-GB"/>
        </w:rPr>
        <w:t xml:space="preserve"> 2017</w:t>
      </w:r>
      <w:r>
        <w:rPr>
          <w:sz w:val="16"/>
          <w:szCs w:val="16"/>
          <w:lang w:val="en-GB"/>
        </w:rPr>
        <w:t xml:space="preserve">, slightly over 90 bn were usually directed to these projects </w:t>
      </w:r>
      <w:r w:rsidRPr="009134A0">
        <w:rPr>
          <w:sz w:val="16"/>
          <w:szCs w:val="16"/>
          <w:lang w:val="en-GB"/>
        </w:rPr>
        <w:t>(</w:t>
      </w:r>
      <w:r>
        <w:rPr>
          <w:sz w:val="16"/>
          <w:szCs w:val="16"/>
          <w:lang w:val="en-GB"/>
        </w:rPr>
        <w:t>when including both investment and current outlays</w:t>
      </w:r>
      <w:r w:rsidRPr="009134A0">
        <w:rPr>
          <w:sz w:val="16"/>
          <w:szCs w:val="16"/>
          <w:lang w:val="en-GB"/>
        </w:rPr>
        <w:t>).</w:t>
      </w:r>
    </w:p>
  </w:footnote>
  <w:footnote w:id="63">
    <w:p w:rsidR="00DC002D" w:rsidRPr="009134A0" w:rsidRDefault="00DC002D" w:rsidP="0074499B">
      <w:pPr>
        <w:pStyle w:val="Textpoznpodarou"/>
        <w:jc w:val="both"/>
        <w:rPr>
          <w:sz w:val="16"/>
          <w:szCs w:val="16"/>
          <w:lang w:val="en-GB"/>
        </w:rPr>
      </w:pPr>
      <w:r w:rsidRPr="009134A0">
        <w:rPr>
          <w:rStyle w:val="Znakapoznpodarou"/>
          <w:spacing w:val="-2"/>
          <w:sz w:val="16"/>
          <w:szCs w:val="16"/>
          <w:lang w:val="en-GB"/>
        </w:rPr>
        <w:footnoteRef/>
      </w:r>
      <w:r w:rsidRPr="009134A0">
        <w:rPr>
          <w:spacing w:val="-2"/>
          <w:sz w:val="16"/>
          <w:szCs w:val="16"/>
          <w:lang w:val="en-GB"/>
        </w:rPr>
        <w:t xml:space="preserve"> </w:t>
      </w:r>
      <w:r w:rsidRPr="009134A0">
        <w:rPr>
          <w:sz w:val="16"/>
          <w:szCs w:val="16"/>
          <w:lang w:val="en-GB"/>
        </w:rPr>
        <w:t xml:space="preserve">SB investment realised exclusively via the national resources amounted to only 23.2 CZK bn during Q1 to 3 2018 (mildly above </w:t>
      </w:r>
      <w:r w:rsidRPr="009134A0">
        <w:rPr>
          <w:spacing w:val="-2"/>
          <w:sz w:val="16"/>
          <w:szCs w:val="16"/>
          <w:lang w:val="en-GB"/>
        </w:rPr>
        <w:t xml:space="preserve">40% of the annual amount anticipated by the budget). </w:t>
      </w:r>
      <w:r>
        <w:rPr>
          <w:spacing w:val="-2"/>
          <w:sz w:val="16"/>
          <w:szCs w:val="16"/>
          <w:lang w:val="en-GB"/>
        </w:rPr>
        <w:t xml:space="preserve">In Q4 only, there were nearly 32 bn allocated this way. In spite of this, the yearly drawing of this group of investment remained slightly below the budget anticipation last year. </w:t>
      </w:r>
      <w:r w:rsidRPr="009134A0">
        <w:rPr>
          <w:spacing w:val="-2"/>
          <w:sz w:val="16"/>
          <w:szCs w:val="16"/>
          <w:lang w:val="en-GB"/>
        </w:rPr>
        <w:t xml:space="preserve"> </w:t>
      </w:r>
    </w:p>
  </w:footnote>
  <w:footnote w:id="64">
    <w:p w:rsidR="00DC002D" w:rsidRPr="00E6326B" w:rsidRDefault="00DC002D" w:rsidP="0074499B">
      <w:pPr>
        <w:pStyle w:val="Textpoznpodarou"/>
        <w:jc w:val="both"/>
        <w:rPr>
          <w:sz w:val="16"/>
          <w:szCs w:val="16"/>
          <w:lang w:val="en-GB"/>
        </w:rPr>
      </w:pPr>
      <w:r w:rsidRPr="00E6326B">
        <w:rPr>
          <w:rStyle w:val="Znakapoznpodarou"/>
          <w:sz w:val="16"/>
          <w:szCs w:val="16"/>
          <w:lang w:val="en-GB"/>
        </w:rPr>
        <w:footnoteRef/>
      </w:r>
      <w:r w:rsidRPr="00E6326B">
        <w:rPr>
          <w:sz w:val="16"/>
          <w:szCs w:val="16"/>
          <w:lang w:val="en-GB"/>
        </w:rPr>
        <w:t xml:space="preserve"> This would be among the all main types of outlays more notably exceeded only for non-investment transfers to non-profit or contributory organizations </w:t>
      </w:r>
      <w:r w:rsidRPr="00E6326B">
        <w:rPr>
          <w:rStyle w:val="tabulka"/>
          <w:sz w:val="16"/>
          <w:szCs w:val="16"/>
          <w:lang w:val="en-GB"/>
        </w:rPr>
        <w:t>(by 8.5, resp. 4.5 p.p.) last year.</w:t>
      </w:r>
    </w:p>
  </w:footnote>
  <w:footnote w:id="65">
    <w:p w:rsidR="00DC002D" w:rsidRPr="00201DD6" w:rsidRDefault="00DC002D" w:rsidP="00201DD6">
      <w:pPr>
        <w:pStyle w:val="Textpoznpodarou"/>
        <w:jc w:val="both"/>
        <w:rPr>
          <w:sz w:val="16"/>
          <w:szCs w:val="16"/>
          <w:lang w:val="en-GB"/>
        </w:rPr>
      </w:pPr>
      <w:r w:rsidRPr="00BB499B">
        <w:rPr>
          <w:rStyle w:val="Znakapoznpodarou"/>
          <w:sz w:val="16"/>
          <w:szCs w:val="16"/>
        </w:rPr>
        <w:footnoteRef/>
      </w:r>
      <w:r w:rsidRPr="00BB499B">
        <w:rPr>
          <w:sz w:val="16"/>
          <w:szCs w:val="16"/>
        </w:rPr>
        <w:t xml:space="preserve"> </w:t>
      </w:r>
      <w:r w:rsidRPr="00201DD6">
        <w:rPr>
          <w:sz w:val="16"/>
          <w:szCs w:val="16"/>
          <w:lang w:val="en-GB"/>
        </w:rPr>
        <w:t>According to the MLSA data, 11.3 CZK bn was drawn for this purpose in year 2014, only 5.4 bn already last year. Number of recipients of material deprivation benefits fell from 240 thousand to 111 thousand persons in the same time period (based on December data).</w:t>
      </w:r>
    </w:p>
  </w:footnote>
  <w:footnote w:id="66">
    <w:p w:rsidR="00DC002D" w:rsidRPr="00115525" w:rsidRDefault="00DC002D" w:rsidP="00DC169F">
      <w:pPr>
        <w:pStyle w:val="Textpoznpodarou"/>
        <w:jc w:val="both"/>
        <w:rPr>
          <w:sz w:val="16"/>
          <w:szCs w:val="16"/>
          <w:lang w:val="en-GB"/>
        </w:rPr>
      </w:pPr>
      <w:r w:rsidRPr="004F16ED">
        <w:rPr>
          <w:rStyle w:val="Znakapoznpodarou"/>
          <w:sz w:val="16"/>
          <w:szCs w:val="16"/>
        </w:rPr>
        <w:footnoteRef/>
      </w:r>
      <w:r w:rsidRPr="004F16ED">
        <w:rPr>
          <w:sz w:val="16"/>
          <w:szCs w:val="16"/>
        </w:rPr>
        <w:t xml:space="preserve"> </w:t>
      </w:r>
      <w:r w:rsidRPr="00115525">
        <w:rPr>
          <w:sz w:val="16"/>
          <w:szCs w:val="16"/>
          <w:lang w:val="en-GB"/>
        </w:rPr>
        <w:t>Total 2.89 mil persons were receiving some form of pension acco</w:t>
      </w:r>
      <w:r>
        <w:rPr>
          <w:sz w:val="16"/>
          <w:szCs w:val="16"/>
          <w:lang w:val="en-GB"/>
        </w:rPr>
        <w:t>rding to the data of the Czech Social Security A</w:t>
      </w:r>
      <w:r w:rsidRPr="00115525">
        <w:rPr>
          <w:sz w:val="16"/>
          <w:szCs w:val="16"/>
          <w:lang w:val="en-GB"/>
        </w:rPr>
        <w:t>dministration in December 2018. M</w:t>
      </w:r>
      <w:r>
        <w:rPr>
          <w:sz w:val="16"/>
          <w:szCs w:val="16"/>
          <w:lang w:val="en-GB"/>
        </w:rPr>
        <w:t xml:space="preserve">ild year-on-year growth of the frequency of old-age pensioners </w:t>
      </w:r>
      <w:r w:rsidRPr="00115525">
        <w:rPr>
          <w:sz w:val="16"/>
          <w:szCs w:val="16"/>
          <w:lang w:val="en-GB"/>
        </w:rPr>
        <w:t>(+0</w:t>
      </w:r>
      <w:r>
        <w:rPr>
          <w:sz w:val="16"/>
          <w:szCs w:val="16"/>
          <w:lang w:val="en-GB"/>
        </w:rPr>
        <w:t>.</w:t>
      </w:r>
      <w:r w:rsidRPr="00115525">
        <w:rPr>
          <w:sz w:val="16"/>
          <w:szCs w:val="16"/>
          <w:lang w:val="en-GB"/>
        </w:rPr>
        <w:t xml:space="preserve">3%) </w:t>
      </w:r>
      <w:r>
        <w:rPr>
          <w:sz w:val="16"/>
          <w:szCs w:val="16"/>
          <w:lang w:val="en-GB"/>
        </w:rPr>
        <w:t xml:space="preserve">was offset by the reduction of persons on disability pension </w:t>
      </w:r>
      <w:r w:rsidRPr="00115525">
        <w:rPr>
          <w:sz w:val="16"/>
          <w:szCs w:val="16"/>
          <w:lang w:val="en-GB"/>
        </w:rPr>
        <w:t>(-0</w:t>
      </w:r>
      <w:r>
        <w:rPr>
          <w:sz w:val="16"/>
          <w:szCs w:val="16"/>
          <w:lang w:val="en-GB"/>
        </w:rPr>
        <w:t>.</w:t>
      </w:r>
      <w:r w:rsidRPr="00115525">
        <w:rPr>
          <w:sz w:val="16"/>
          <w:szCs w:val="16"/>
          <w:lang w:val="en-GB"/>
        </w:rPr>
        <w:t>6%)</w:t>
      </w:r>
      <w:r>
        <w:rPr>
          <w:sz w:val="16"/>
          <w:szCs w:val="16"/>
          <w:lang w:val="en-GB"/>
        </w:rPr>
        <w:t xml:space="preserve"> last year</w:t>
      </w:r>
      <w:r w:rsidRPr="00115525">
        <w:rPr>
          <w:sz w:val="16"/>
          <w:szCs w:val="16"/>
          <w:lang w:val="en-GB"/>
        </w:rPr>
        <w:t>.</w:t>
      </w:r>
    </w:p>
  </w:footnote>
  <w:footnote w:id="67">
    <w:p w:rsidR="00DC002D" w:rsidRPr="00115525" w:rsidRDefault="00DC002D" w:rsidP="00DC169F">
      <w:pPr>
        <w:pStyle w:val="Textpoznpodarou"/>
        <w:jc w:val="both"/>
        <w:rPr>
          <w:sz w:val="16"/>
          <w:szCs w:val="16"/>
          <w:lang w:val="en-GB"/>
        </w:rPr>
      </w:pPr>
      <w:r w:rsidRPr="00115525">
        <w:rPr>
          <w:rStyle w:val="Znakapoznpodarou"/>
          <w:sz w:val="16"/>
          <w:szCs w:val="16"/>
          <w:lang w:val="en-GB"/>
        </w:rPr>
        <w:footnoteRef/>
      </w:r>
      <w:r w:rsidRPr="00115525">
        <w:rPr>
          <w:sz w:val="16"/>
          <w:szCs w:val="16"/>
          <w:lang w:val="en-GB"/>
        </w:rPr>
        <w:t xml:space="preserve"> </w:t>
      </w:r>
      <w:r>
        <w:rPr>
          <w:sz w:val="16"/>
          <w:szCs w:val="16"/>
          <w:lang w:val="en-GB"/>
        </w:rPr>
        <w:t xml:space="preserve">Starting January </w:t>
      </w:r>
      <w:r w:rsidRPr="00115525">
        <w:rPr>
          <w:sz w:val="16"/>
          <w:szCs w:val="16"/>
          <w:lang w:val="en-GB"/>
        </w:rPr>
        <w:t>2018</w:t>
      </w:r>
      <w:r>
        <w:rPr>
          <w:sz w:val="16"/>
          <w:szCs w:val="16"/>
          <w:lang w:val="en-GB"/>
        </w:rPr>
        <w:t>, the basic p</w:t>
      </w:r>
      <w:r w:rsidRPr="00227ADF">
        <w:rPr>
          <w:sz w:val="16"/>
          <w:szCs w:val="16"/>
          <w:lang w:val="en-GB"/>
        </w:rPr>
        <w:t>ension assessment was raised by 150 CZK and the percentage assessment by</w:t>
      </w:r>
      <w:r w:rsidRPr="00115525">
        <w:rPr>
          <w:sz w:val="16"/>
          <w:szCs w:val="16"/>
          <w:lang w:val="en-GB"/>
        </w:rPr>
        <w:t xml:space="preserve"> 3</w:t>
      </w:r>
      <w:r>
        <w:rPr>
          <w:sz w:val="16"/>
          <w:szCs w:val="16"/>
          <w:lang w:val="en-GB"/>
        </w:rPr>
        <w:t>.</w:t>
      </w:r>
      <w:r w:rsidRPr="00115525">
        <w:rPr>
          <w:sz w:val="16"/>
          <w:szCs w:val="16"/>
          <w:lang w:val="en-GB"/>
        </w:rPr>
        <w:t>5% (</w:t>
      </w:r>
      <w:r>
        <w:rPr>
          <w:sz w:val="16"/>
          <w:szCs w:val="16"/>
          <w:lang w:val="en-GB"/>
        </w:rPr>
        <w:t xml:space="preserve">i.e. on average by </w:t>
      </w:r>
      <w:r w:rsidRPr="00115525">
        <w:rPr>
          <w:sz w:val="16"/>
          <w:szCs w:val="16"/>
          <w:lang w:val="en-GB"/>
        </w:rPr>
        <w:t xml:space="preserve">475 </w:t>
      </w:r>
      <w:r>
        <w:rPr>
          <w:sz w:val="16"/>
          <w:szCs w:val="16"/>
          <w:lang w:val="en-GB"/>
        </w:rPr>
        <w:t>CZK per month</w:t>
      </w:r>
      <w:r w:rsidRPr="00115525">
        <w:rPr>
          <w:sz w:val="16"/>
          <w:szCs w:val="16"/>
          <w:lang w:val="en-GB"/>
        </w:rPr>
        <w:t xml:space="preserve">). </w:t>
      </w:r>
    </w:p>
  </w:footnote>
  <w:footnote w:id="68">
    <w:p w:rsidR="00DC002D" w:rsidRPr="00DC169F" w:rsidRDefault="00DC002D" w:rsidP="00DC169F">
      <w:pPr>
        <w:pStyle w:val="Textpoznpodarou"/>
        <w:jc w:val="both"/>
        <w:rPr>
          <w:lang w:val="en-GB"/>
        </w:rPr>
      </w:pPr>
      <w:r w:rsidRPr="00115525">
        <w:rPr>
          <w:sz w:val="16"/>
          <w:szCs w:val="16"/>
          <w:lang w:val="en-GB"/>
        </w:rPr>
        <w:t xml:space="preserve"> </w:t>
      </w:r>
      <w:r w:rsidRPr="00115525">
        <w:rPr>
          <w:rStyle w:val="Znakapoznpodarou"/>
          <w:sz w:val="16"/>
          <w:szCs w:val="16"/>
          <w:lang w:val="en-GB"/>
        </w:rPr>
        <w:footnoteRef/>
      </w:r>
      <w:r w:rsidRPr="00115525">
        <w:rPr>
          <w:sz w:val="16"/>
          <w:szCs w:val="16"/>
          <w:lang w:val="en-GB"/>
        </w:rPr>
        <w:t xml:space="preserve"> It is expressed as the difference between revenues and expenditure</w:t>
      </w:r>
      <w:r>
        <w:rPr>
          <w:sz w:val="16"/>
          <w:szCs w:val="16"/>
          <w:lang w:val="en-GB"/>
        </w:rPr>
        <w:t>s</w:t>
      </w:r>
      <w:r w:rsidRPr="00115525">
        <w:rPr>
          <w:sz w:val="16"/>
          <w:szCs w:val="16"/>
          <w:lang w:val="en-GB"/>
        </w:rPr>
        <w:t xml:space="preserve"> on the pensions from the SB. It also includes the expenditure on</w:t>
      </w:r>
      <w:r w:rsidRPr="00DC169F">
        <w:rPr>
          <w:sz w:val="16"/>
          <w:szCs w:val="16"/>
          <w:lang w:val="en-GB"/>
        </w:rPr>
        <w:t xml:space="preserve"> administration of the pension insurance system, which based on the preliminary data of the MF achieved the size 6.4 CZK bn in 2018. The system of pension insurance would have surplus already in year 2017 if expenditures on administration w</w:t>
      </w:r>
      <w:r>
        <w:rPr>
          <w:sz w:val="16"/>
          <w:szCs w:val="16"/>
          <w:lang w:val="en-GB"/>
        </w:rPr>
        <w:t>ould</w:t>
      </w:r>
      <w:r w:rsidRPr="00DC169F">
        <w:rPr>
          <w:sz w:val="16"/>
          <w:szCs w:val="16"/>
          <w:lang w:val="en-GB"/>
        </w:rPr>
        <w:t xml:space="preserve"> be excluded. </w:t>
      </w:r>
    </w:p>
  </w:footnote>
  <w:footnote w:id="69">
    <w:p w:rsidR="004D5E77" w:rsidRPr="00DC169F" w:rsidRDefault="004D5E77" w:rsidP="00DC169F">
      <w:pPr>
        <w:pStyle w:val="Textpoznpodarou"/>
        <w:jc w:val="both"/>
        <w:rPr>
          <w:sz w:val="16"/>
          <w:szCs w:val="16"/>
          <w:lang w:val="en-GB"/>
        </w:rPr>
      </w:pPr>
      <w:r w:rsidRPr="00DC169F">
        <w:rPr>
          <w:rStyle w:val="Znakapoznpodarou"/>
          <w:sz w:val="16"/>
          <w:szCs w:val="16"/>
          <w:lang w:val="en-GB"/>
        </w:rPr>
        <w:footnoteRef/>
      </w:r>
      <w:r w:rsidRPr="00DC169F">
        <w:rPr>
          <w:sz w:val="16"/>
          <w:szCs w:val="16"/>
          <w:lang w:val="en-GB"/>
        </w:rPr>
        <w:t xml:space="preserve"> It is the balance of the budget chapter </w:t>
      </w:r>
      <w:r w:rsidRPr="00DC169F">
        <w:rPr>
          <w:rFonts w:cs="Verdana"/>
          <w:iCs/>
          <w:color w:val="000000"/>
          <w:sz w:val="16"/>
          <w:szCs w:val="16"/>
          <w:lang w:val="en-GB"/>
        </w:rPr>
        <w:t>396 – State debt.</w:t>
      </w:r>
    </w:p>
  </w:footnote>
  <w:footnote w:id="70">
    <w:p w:rsidR="004D5E77" w:rsidRPr="00A076C8" w:rsidRDefault="004D5E77" w:rsidP="00A076C8">
      <w:pPr>
        <w:pStyle w:val="Textpoznpodarou"/>
        <w:jc w:val="both"/>
        <w:rPr>
          <w:spacing w:val="-3"/>
          <w:sz w:val="16"/>
          <w:szCs w:val="16"/>
          <w:lang w:val="en-GB"/>
        </w:rPr>
      </w:pPr>
      <w:r w:rsidRPr="009A7E32">
        <w:rPr>
          <w:rStyle w:val="Znakapoznpodarou"/>
          <w:spacing w:val="-3"/>
          <w:sz w:val="16"/>
          <w:szCs w:val="16"/>
        </w:rPr>
        <w:footnoteRef/>
      </w:r>
      <w:r w:rsidRPr="009A7E32">
        <w:rPr>
          <w:spacing w:val="-3"/>
          <w:sz w:val="16"/>
          <w:szCs w:val="16"/>
        </w:rPr>
        <w:t xml:space="preserve"> </w:t>
      </w:r>
      <w:r w:rsidRPr="00A076C8">
        <w:rPr>
          <w:spacing w:val="-3"/>
          <w:sz w:val="16"/>
          <w:szCs w:val="16"/>
          <w:lang w:val="en-GB"/>
        </w:rPr>
        <w:t xml:space="preserve">Gross fixed capital formation here increased by 39% year-on-year last year to 113.5 CZK </w:t>
      </w:r>
      <w:proofErr w:type="spellStart"/>
      <w:r w:rsidRPr="00A076C8">
        <w:rPr>
          <w:spacing w:val="-3"/>
          <w:sz w:val="16"/>
          <w:szCs w:val="16"/>
          <w:lang w:val="en-GB"/>
        </w:rPr>
        <w:t>bn</w:t>
      </w:r>
      <w:proofErr w:type="spellEnd"/>
      <w:r w:rsidRPr="00A076C8">
        <w:rPr>
          <w:spacing w:val="-3"/>
          <w:sz w:val="16"/>
          <w:szCs w:val="16"/>
          <w:lang w:val="en-GB"/>
        </w:rPr>
        <w:t xml:space="preserve"> and in contrast to the central government institutions, it already nearly reached record size from year 2015 (influenced by an accelerated drawing on funds from the EU budgets at the end of the programme period).</w:t>
      </w:r>
    </w:p>
  </w:footnote>
  <w:footnote w:id="71">
    <w:p w:rsidR="004D5E77" w:rsidRPr="00A076C8" w:rsidRDefault="004D5E77" w:rsidP="00A076C8">
      <w:pPr>
        <w:pStyle w:val="Textpoznpodarou"/>
        <w:jc w:val="both"/>
        <w:rPr>
          <w:color w:val="0D0D0D" w:themeColor="text1" w:themeTint="F2"/>
          <w:spacing w:val="-2"/>
          <w:sz w:val="16"/>
          <w:szCs w:val="16"/>
          <w:lang w:val="en-GB"/>
        </w:rPr>
      </w:pPr>
      <w:r w:rsidRPr="00A076C8">
        <w:rPr>
          <w:rStyle w:val="Znakapoznpodarou"/>
          <w:color w:val="0D0D0D" w:themeColor="text1" w:themeTint="F2"/>
          <w:spacing w:val="-2"/>
          <w:sz w:val="16"/>
          <w:szCs w:val="16"/>
          <w:lang w:val="en-GB"/>
        </w:rPr>
        <w:footnoteRef/>
      </w:r>
      <w:r w:rsidRPr="00A076C8">
        <w:rPr>
          <w:color w:val="0D0D0D" w:themeColor="text1" w:themeTint="F2"/>
          <w:spacing w:val="-2"/>
          <w:sz w:val="16"/>
          <w:szCs w:val="16"/>
          <w:lang w:val="en-GB"/>
        </w:rPr>
        <w:t xml:space="preserve"> P</w:t>
      </w:r>
      <w:r>
        <w:rPr>
          <w:color w:val="0D0D0D" w:themeColor="text1" w:themeTint="F2"/>
          <w:spacing w:val="-2"/>
          <w:sz w:val="16"/>
          <w:szCs w:val="16"/>
          <w:lang w:val="en-GB"/>
        </w:rPr>
        <w:t xml:space="preserve">reliminary data regarding the debt and deficit of the government institution sector for the whole year 2018 will be published by </w:t>
      </w:r>
      <w:r w:rsidRPr="00A076C8">
        <w:rPr>
          <w:color w:val="0D0D0D" w:themeColor="text1" w:themeTint="F2"/>
          <w:spacing w:val="-2"/>
          <w:sz w:val="16"/>
          <w:szCs w:val="16"/>
          <w:lang w:val="en-GB"/>
        </w:rPr>
        <w:t>Eurostat</w:t>
      </w:r>
      <w:r>
        <w:rPr>
          <w:color w:val="0D0D0D" w:themeColor="text1" w:themeTint="F2"/>
          <w:spacing w:val="-2"/>
          <w:sz w:val="16"/>
          <w:szCs w:val="16"/>
          <w:lang w:val="en-GB"/>
        </w:rPr>
        <w:t xml:space="preserve"> on </w:t>
      </w:r>
      <w:r w:rsidRPr="00A076C8">
        <w:rPr>
          <w:color w:val="0D0D0D" w:themeColor="text1" w:themeTint="F2"/>
          <w:spacing w:val="-2"/>
          <w:sz w:val="16"/>
          <w:szCs w:val="16"/>
          <w:lang w:val="en-GB"/>
        </w:rPr>
        <w:t>23</w:t>
      </w:r>
      <w:r w:rsidRPr="00A076C8">
        <w:rPr>
          <w:color w:val="0D0D0D" w:themeColor="text1" w:themeTint="F2"/>
          <w:spacing w:val="-2"/>
          <w:sz w:val="16"/>
          <w:szCs w:val="16"/>
          <w:vertAlign w:val="superscript"/>
          <w:lang w:val="en-GB"/>
        </w:rPr>
        <w:t>rd</w:t>
      </w:r>
      <w:r>
        <w:rPr>
          <w:color w:val="0D0D0D" w:themeColor="text1" w:themeTint="F2"/>
          <w:spacing w:val="-2"/>
          <w:sz w:val="16"/>
          <w:szCs w:val="16"/>
          <w:lang w:val="en-GB"/>
        </w:rPr>
        <w:t xml:space="preserve"> April</w:t>
      </w:r>
      <w:r w:rsidRPr="00A076C8">
        <w:rPr>
          <w:color w:val="0D0D0D" w:themeColor="text1" w:themeTint="F2"/>
          <w:spacing w:val="-2"/>
          <w:sz w:val="16"/>
          <w:szCs w:val="16"/>
          <w:lang w:val="en-GB"/>
        </w:rPr>
        <w:t xml:space="preserve"> 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6F541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p w:rsidR="00A91AF6" w:rsidRPr="006F5416" w:rsidRDefault="00A91AF6"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2"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1"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21"/>
  </w:num>
  <w:num w:numId="14">
    <w:abstractNumId w:val="11"/>
  </w:num>
  <w:num w:numId="15">
    <w:abstractNumId w:val="17"/>
  </w:num>
  <w:num w:numId="16">
    <w:abstractNumId w:val="13"/>
  </w:num>
  <w:num w:numId="17">
    <w:abstractNumId w:val="22"/>
  </w:num>
  <w:num w:numId="18">
    <w:abstractNumId w:val="18"/>
  </w:num>
  <w:num w:numId="19">
    <w:abstractNumId w:val="23"/>
  </w:num>
  <w:num w:numId="20">
    <w:abstractNumId w:val="24"/>
  </w:num>
  <w:num w:numId="21">
    <w:abstractNumId w:val="20"/>
  </w:num>
  <w:num w:numId="22">
    <w:abstractNumId w:val="16"/>
  </w:num>
  <w:num w:numId="23">
    <w:abstractNumId w:val="14"/>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828"/>
    <w:rsid w:val="000005AF"/>
    <w:rsid w:val="00000820"/>
    <w:rsid w:val="0000209D"/>
    <w:rsid w:val="0000377C"/>
    <w:rsid w:val="00003F5C"/>
    <w:rsid w:val="00004D28"/>
    <w:rsid w:val="00004D5A"/>
    <w:rsid w:val="000056D5"/>
    <w:rsid w:val="000063D5"/>
    <w:rsid w:val="00006ABD"/>
    <w:rsid w:val="00006B67"/>
    <w:rsid w:val="000073A0"/>
    <w:rsid w:val="0000767A"/>
    <w:rsid w:val="00010256"/>
    <w:rsid w:val="00010600"/>
    <w:rsid w:val="00010702"/>
    <w:rsid w:val="0001128E"/>
    <w:rsid w:val="00011912"/>
    <w:rsid w:val="00015BA8"/>
    <w:rsid w:val="00016420"/>
    <w:rsid w:val="00017296"/>
    <w:rsid w:val="00017B01"/>
    <w:rsid w:val="00017C20"/>
    <w:rsid w:val="0002047B"/>
    <w:rsid w:val="00020C84"/>
    <w:rsid w:val="00020F22"/>
    <w:rsid w:val="0002195D"/>
    <w:rsid w:val="000228AE"/>
    <w:rsid w:val="000233D1"/>
    <w:rsid w:val="000234D6"/>
    <w:rsid w:val="00023D29"/>
    <w:rsid w:val="00024348"/>
    <w:rsid w:val="0002620C"/>
    <w:rsid w:val="00026389"/>
    <w:rsid w:val="0002744A"/>
    <w:rsid w:val="00027A21"/>
    <w:rsid w:val="00031AE0"/>
    <w:rsid w:val="00031BB2"/>
    <w:rsid w:val="00031BDF"/>
    <w:rsid w:val="000322EF"/>
    <w:rsid w:val="00033CD3"/>
    <w:rsid w:val="00033FCD"/>
    <w:rsid w:val="00034BBA"/>
    <w:rsid w:val="00034DF7"/>
    <w:rsid w:val="00034E68"/>
    <w:rsid w:val="000350C8"/>
    <w:rsid w:val="00036195"/>
    <w:rsid w:val="000374B2"/>
    <w:rsid w:val="000376C0"/>
    <w:rsid w:val="000403A7"/>
    <w:rsid w:val="00040632"/>
    <w:rsid w:val="00041CEC"/>
    <w:rsid w:val="00044183"/>
    <w:rsid w:val="00044670"/>
    <w:rsid w:val="0004694F"/>
    <w:rsid w:val="00046EB3"/>
    <w:rsid w:val="00047B9C"/>
    <w:rsid w:val="00047D54"/>
    <w:rsid w:val="00047D5E"/>
    <w:rsid w:val="00050E97"/>
    <w:rsid w:val="000522E4"/>
    <w:rsid w:val="00053713"/>
    <w:rsid w:val="0005434E"/>
    <w:rsid w:val="00055CB6"/>
    <w:rsid w:val="00056DF4"/>
    <w:rsid w:val="000572DD"/>
    <w:rsid w:val="00057B1E"/>
    <w:rsid w:val="000610E1"/>
    <w:rsid w:val="000616AD"/>
    <w:rsid w:val="000622A6"/>
    <w:rsid w:val="00062C5C"/>
    <w:rsid w:val="00062EC5"/>
    <w:rsid w:val="00062F22"/>
    <w:rsid w:val="00063975"/>
    <w:rsid w:val="00063E6C"/>
    <w:rsid w:val="000645FC"/>
    <w:rsid w:val="00065190"/>
    <w:rsid w:val="0006533F"/>
    <w:rsid w:val="00065348"/>
    <w:rsid w:val="00065A75"/>
    <w:rsid w:val="00070A87"/>
    <w:rsid w:val="00071167"/>
    <w:rsid w:val="000712B3"/>
    <w:rsid w:val="000713AB"/>
    <w:rsid w:val="000730A8"/>
    <w:rsid w:val="0007450F"/>
    <w:rsid w:val="0007474E"/>
    <w:rsid w:val="00074B31"/>
    <w:rsid w:val="0007512B"/>
    <w:rsid w:val="00075551"/>
    <w:rsid w:val="000758E6"/>
    <w:rsid w:val="00076C79"/>
    <w:rsid w:val="00076D90"/>
    <w:rsid w:val="00077BA2"/>
    <w:rsid w:val="00077FF0"/>
    <w:rsid w:val="00081A55"/>
    <w:rsid w:val="0008263E"/>
    <w:rsid w:val="00082C19"/>
    <w:rsid w:val="000831A5"/>
    <w:rsid w:val="000837CD"/>
    <w:rsid w:val="00084BFF"/>
    <w:rsid w:val="00085395"/>
    <w:rsid w:val="00085F0D"/>
    <w:rsid w:val="0008616B"/>
    <w:rsid w:val="000864D5"/>
    <w:rsid w:val="00086896"/>
    <w:rsid w:val="00086AC1"/>
    <w:rsid w:val="00086D19"/>
    <w:rsid w:val="00087356"/>
    <w:rsid w:val="00087634"/>
    <w:rsid w:val="00087F2B"/>
    <w:rsid w:val="000901B9"/>
    <w:rsid w:val="00090694"/>
    <w:rsid w:val="000913B1"/>
    <w:rsid w:val="00091C64"/>
    <w:rsid w:val="00093241"/>
    <w:rsid w:val="00094A84"/>
    <w:rsid w:val="00095025"/>
    <w:rsid w:val="00095135"/>
    <w:rsid w:val="00095B5C"/>
    <w:rsid w:val="0009626E"/>
    <w:rsid w:val="0009636E"/>
    <w:rsid w:val="00097191"/>
    <w:rsid w:val="000974D1"/>
    <w:rsid w:val="0009799E"/>
    <w:rsid w:val="000A0BC0"/>
    <w:rsid w:val="000A1183"/>
    <w:rsid w:val="000A256D"/>
    <w:rsid w:val="000A3182"/>
    <w:rsid w:val="000A3A2C"/>
    <w:rsid w:val="000A4A54"/>
    <w:rsid w:val="000A4ED9"/>
    <w:rsid w:val="000A7377"/>
    <w:rsid w:val="000A7E75"/>
    <w:rsid w:val="000B03CC"/>
    <w:rsid w:val="000B253C"/>
    <w:rsid w:val="000B286D"/>
    <w:rsid w:val="000B4212"/>
    <w:rsid w:val="000B4B8F"/>
    <w:rsid w:val="000B61AE"/>
    <w:rsid w:val="000B6C5C"/>
    <w:rsid w:val="000B7344"/>
    <w:rsid w:val="000B75D3"/>
    <w:rsid w:val="000C0EA8"/>
    <w:rsid w:val="000C13A2"/>
    <w:rsid w:val="000C30C3"/>
    <w:rsid w:val="000C3408"/>
    <w:rsid w:val="000C35AB"/>
    <w:rsid w:val="000C41FA"/>
    <w:rsid w:val="000C4D56"/>
    <w:rsid w:val="000C6AFD"/>
    <w:rsid w:val="000C6C90"/>
    <w:rsid w:val="000D08EF"/>
    <w:rsid w:val="000D0A26"/>
    <w:rsid w:val="000D1221"/>
    <w:rsid w:val="000D1F28"/>
    <w:rsid w:val="000D2EB3"/>
    <w:rsid w:val="000D3058"/>
    <w:rsid w:val="000D310A"/>
    <w:rsid w:val="000D3EF4"/>
    <w:rsid w:val="000D5637"/>
    <w:rsid w:val="000D6F4E"/>
    <w:rsid w:val="000E0E96"/>
    <w:rsid w:val="000E20E6"/>
    <w:rsid w:val="000E2C7D"/>
    <w:rsid w:val="000E4237"/>
    <w:rsid w:val="000E440D"/>
    <w:rsid w:val="000E4AC5"/>
    <w:rsid w:val="000E5632"/>
    <w:rsid w:val="000E6253"/>
    <w:rsid w:val="000E6E4D"/>
    <w:rsid w:val="000E6FBD"/>
    <w:rsid w:val="000E6FCB"/>
    <w:rsid w:val="000F3F3B"/>
    <w:rsid w:val="000F4F77"/>
    <w:rsid w:val="000F70E4"/>
    <w:rsid w:val="00100E10"/>
    <w:rsid w:val="00100F5C"/>
    <w:rsid w:val="00101CDA"/>
    <w:rsid w:val="00102037"/>
    <w:rsid w:val="001026C4"/>
    <w:rsid w:val="00103DCB"/>
    <w:rsid w:val="001048F6"/>
    <w:rsid w:val="0010490F"/>
    <w:rsid w:val="00104C4C"/>
    <w:rsid w:val="001057C2"/>
    <w:rsid w:val="001125EF"/>
    <w:rsid w:val="00112CAB"/>
    <w:rsid w:val="00115525"/>
    <w:rsid w:val="00116D3F"/>
    <w:rsid w:val="0011755B"/>
    <w:rsid w:val="00117623"/>
    <w:rsid w:val="00117FEA"/>
    <w:rsid w:val="001200CF"/>
    <w:rsid w:val="001204EB"/>
    <w:rsid w:val="0012192F"/>
    <w:rsid w:val="00121F4B"/>
    <w:rsid w:val="00121F8C"/>
    <w:rsid w:val="00122994"/>
    <w:rsid w:val="00124B46"/>
    <w:rsid w:val="001257E0"/>
    <w:rsid w:val="00125D69"/>
    <w:rsid w:val="00127241"/>
    <w:rsid w:val="0012799C"/>
    <w:rsid w:val="00130ADC"/>
    <w:rsid w:val="00130D9F"/>
    <w:rsid w:val="00132C4D"/>
    <w:rsid w:val="00133FC1"/>
    <w:rsid w:val="00134659"/>
    <w:rsid w:val="00136561"/>
    <w:rsid w:val="00136BFB"/>
    <w:rsid w:val="001405FA"/>
    <w:rsid w:val="001408D0"/>
    <w:rsid w:val="00140D1A"/>
    <w:rsid w:val="00140DEB"/>
    <w:rsid w:val="00141315"/>
    <w:rsid w:val="00141568"/>
    <w:rsid w:val="00141AA0"/>
    <w:rsid w:val="00141B44"/>
    <w:rsid w:val="001425C3"/>
    <w:rsid w:val="0014262D"/>
    <w:rsid w:val="0014334D"/>
    <w:rsid w:val="0014459E"/>
    <w:rsid w:val="001447DD"/>
    <w:rsid w:val="0014593C"/>
    <w:rsid w:val="001459BC"/>
    <w:rsid w:val="0015044D"/>
    <w:rsid w:val="00150DF0"/>
    <w:rsid w:val="00152F4F"/>
    <w:rsid w:val="001544A1"/>
    <w:rsid w:val="001553B8"/>
    <w:rsid w:val="00155427"/>
    <w:rsid w:val="001554C2"/>
    <w:rsid w:val="00155750"/>
    <w:rsid w:val="00155C0B"/>
    <w:rsid w:val="001571C0"/>
    <w:rsid w:val="0015753D"/>
    <w:rsid w:val="001578B3"/>
    <w:rsid w:val="00157CC9"/>
    <w:rsid w:val="001603C7"/>
    <w:rsid w:val="001612F4"/>
    <w:rsid w:val="00161553"/>
    <w:rsid w:val="0016256B"/>
    <w:rsid w:val="00163793"/>
    <w:rsid w:val="00165262"/>
    <w:rsid w:val="001659F7"/>
    <w:rsid w:val="00167485"/>
    <w:rsid w:val="00167CA0"/>
    <w:rsid w:val="00167CB9"/>
    <w:rsid w:val="00167DD8"/>
    <w:rsid w:val="00170326"/>
    <w:rsid w:val="001705AD"/>
    <w:rsid w:val="001706D6"/>
    <w:rsid w:val="001714F2"/>
    <w:rsid w:val="00171DA4"/>
    <w:rsid w:val="00171FEA"/>
    <w:rsid w:val="00173823"/>
    <w:rsid w:val="00175388"/>
    <w:rsid w:val="00175B9F"/>
    <w:rsid w:val="001762F4"/>
    <w:rsid w:val="00176B1A"/>
    <w:rsid w:val="00177F6E"/>
    <w:rsid w:val="00180750"/>
    <w:rsid w:val="00181BBC"/>
    <w:rsid w:val="001832A9"/>
    <w:rsid w:val="0018385F"/>
    <w:rsid w:val="00184017"/>
    <w:rsid w:val="00184B08"/>
    <w:rsid w:val="00185010"/>
    <w:rsid w:val="001853B1"/>
    <w:rsid w:val="00185C22"/>
    <w:rsid w:val="001862E4"/>
    <w:rsid w:val="00186B61"/>
    <w:rsid w:val="00191E60"/>
    <w:rsid w:val="00192F05"/>
    <w:rsid w:val="00194729"/>
    <w:rsid w:val="00195234"/>
    <w:rsid w:val="00196016"/>
    <w:rsid w:val="001972B0"/>
    <w:rsid w:val="00197A70"/>
    <w:rsid w:val="00197C0F"/>
    <w:rsid w:val="001A0487"/>
    <w:rsid w:val="001A1D45"/>
    <w:rsid w:val="001A1F68"/>
    <w:rsid w:val="001A38DB"/>
    <w:rsid w:val="001A4EF0"/>
    <w:rsid w:val="001A552F"/>
    <w:rsid w:val="001A6F94"/>
    <w:rsid w:val="001A75B3"/>
    <w:rsid w:val="001A7D4E"/>
    <w:rsid w:val="001B2B99"/>
    <w:rsid w:val="001B2CA9"/>
    <w:rsid w:val="001B3110"/>
    <w:rsid w:val="001B3E38"/>
    <w:rsid w:val="001B3EC5"/>
    <w:rsid w:val="001B40F5"/>
    <w:rsid w:val="001B4729"/>
    <w:rsid w:val="001B4A29"/>
    <w:rsid w:val="001B4F0E"/>
    <w:rsid w:val="001B55D7"/>
    <w:rsid w:val="001B6310"/>
    <w:rsid w:val="001B679B"/>
    <w:rsid w:val="001B686C"/>
    <w:rsid w:val="001B6C09"/>
    <w:rsid w:val="001B7AA5"/>
    <w:rsid w:val="001C05CD"/>
    <w:rsid w:val="001C0A2B"/>
    <w:rsid w:val="001C0F17"/>
    <w:rsid w:val="001C1B66"/>
    <w:rsid w:val="001C31A2"/>
    <w:rsid w:val="001C3A69"/>
    <w:rsid w:val="001C4BB8"/>
    <w:rsid w:val="001C5E46"/>
    <w:rsid w:val="001C614E"/>
    <w:rsid w:val="001D0EF1"/>
    <w:rsid w:val="001D22C2"/>
    <w:rsid w:val="001D2C99"/>
    <w:rsid w:val="001D50CE"/>
    <w:rsid w:val="001D54C1"/>
    <w:rsid w:val="001D556E"/>
    <w:rsid w:val="001D5DF2"/>
    <w:rsid w:val="001D68B2"/>
    <w:rsid w:val="001D7EFD"/>
    <w:rsid w:val="001D7F60"/>
    <w:rsid w:val="001E0784"/>
    <w:rsid w:val="001E105C"/>
    <w:rsid w:val="001E13CF"/>
    <w:rsid w:val="001E504C"/>
    <w:rsid w:val="001E5A17"/>
    <w:rsid w:val="001E61F9"/>
    <w:rsid w:val="001E6862"/>
    <w:rsid w:val="001E74C5"/>
    <w:rsid w:val="001F1236"/>
    <w:rsid w:val="001F2549"/>
    <w:rsid w:val="001F2947"/>
    <w:rsid w:val="001F2F90"/>
    <w:rsid w:val="001F4597"/>
    <w:rsid w:val="001F4826"/>
    <w:rsid w:val="001F7CE0"/>
    <w:rsid w:val="00200085"/>
    <w:rsid w:val="00200941"/>
    <w:rsid w:val="00201033"/>
    <w:rsid w:val="00201DD6"/>
    <w:rsid w:val="00202FC2"/>
    <w:rsid w:val="00203332"/>
    <w:rsid w:val="00203CD5"/>
    <w:rsid w:val="00203D8F"/>
    <w:rsid w:val="00203DA4"/>
    <w:rsid w:val="00205186"/>
    <w:rsid w:val="002071D5"/>
    <w:rsid w:val="0020789F"/>
    <w:rsid w:val="00207D4D"/>
    <w:rsid w:val="00210E56"/>
    <w:rsid w:val="002111E5"/>
    <w:rsid w:val="002118B9"/>
    <w:rsid w:val="002142C0"/>
    <w:rsid w:val="00217C5B"/>
    <w:rsid w:val="00220A43"/>
    <w:rsid w:val="0022139E"/>
    <w:rsid w:val="00221DEA"/>
    <w:rsid w:val="00222729"/>
    <w:rsid w:val="002233D6"/>
    <w:rsid w:val="0022441D"/>
    <w:rsid w:val="00224574"/>
    <w:rsid w:val="002245B7"/>
    <w:rsid w:val="002252E0"/>
    <w:rsid w:val="002255F6"/>
    <w:rsid w:val="0022665E"/>
    <w:rsid w:val="00227605"/>
    <w:rsid w:val="00227704"/>
    <w:rsid w:val="00227850"/>
    <w:rsid w:val="00227A53"/>
    <w:rsid w:val="00227E2E"/>
    <w:rsid w:val="00227F53"/>
    <w:rsid w:val="00230469"/>
    <w:rsid w:val="00230C6E"/>
    <w:rsid w:val="002316A8"/>
    <w:rsid w:val="002326C1"/>
    <w:rsid w:val="00233603"/>
    <w:rsid w:val="002340EF"/>
    <w:rsid w:val="00234482"/>
    <w:rsid w:val="00236443"/>
    <w:rsid w:val="00236552"/>
    <w:rsid w:val="00240AF3"/>
    <w:rsid w:val="002418D5"/>
    <w:rsid w:val="00241B06"/>
    <w:rsid w:val="002436BA"/>
    <w:rsid w:val="00244807"/>
    <w:rsid w:val="00244A15"/>
    <w:rsid w:val="002452D9"/>
    <w:rsid w:val="00245F55"/>
    <w:rsid w:val="00247319"/>
    <w:rsid w:val="0024799E"/>
    <w:rsid w:val="00247E60"/>
    <w:rsid w:val="002505E3"/>
    <w:rsid w:val="00251253"/>
    <w:rsid w:val="0025190D"/>
    <w:rsid w:val="00251C53"/>
    <w:rsid w:val="00252AB9"/>
    <w:rsid w:val="0025329C"/>
    <w:rsid w:val="00253C0F"/>
    <w:rsid w:val="002558C1"/>
    <w:rsid w:val="00256165"/>
    <w:rsid w:val="00256207"/>
    <w:rsid w:val="002602D8"/>
    <w:rsid w:val="002603E1"/>
    <w:rsid w:val="00260D10"/>
    <w:rsid w:val="0026120E"/>
    <w:rsid w:val="0026291D"/>
    <w:rsid w:val="00264309"/>
    <w:rsid w:val="00267B49"/>
    <w:rsid w:val="00267E79"/>
    <w:rsid w:val="0027025F"/>
    <w:rsid w:val="002709CC"/>
    <w:rsid w:val="00271022"/>
    <w:rsid w:val="00271465"/>
    <w:rsid w:val="002715E1"/>
    <w:rsid w:val="00272A4B"/>
    <w:rsid w:val="00272DF4"/>
    <w:rsid w:val="0027583D"/>
    <w:rsid w:val="00275DEF"/>
    <w:rsid w:val="00276B33"/>
    <w:rsid w:val="00276CE2"/>
    <w:rsid w:val="002809BC"/>
    <w:rsid w:val="002812E3"/>
    <w:rsid w:val="00283018"/>
    <w:rsid w:val="002837AE"/>
    <w:rsid w:val="00283C13"/>
    <w:rsid w:val="00283D3B"/>
    <w:rsid w:val="002853FA"/>
    <w:rsid w:val="00285412"/>
    <w:rsid w:val="00291640"/>
    <w:rsid w:val="0029237E"/>
    <w:rsid w:val="00292997"/>
    <w:rsid w:val="00293D24"/>
    <w:rsid w:val="00294828"/>
    <w:rsid w:val="00294EC7"/>
    <w:rsid w:val="0029588F"/>
    <w:rsid w:val="00295B9F"/>
    <w:rsid w:val="00296FB1"/>
    <w:rsid w:val="00297256"/>
    <w:rsid w:val="00297A5C"/>
    <w:rsid w:val="00297D51"/>
    <w:rsid w:val="002A0122"/>
    <w:rsid w:val="002A016B"/>
    <w:rsid w:val="002A0BC4"/>
    <w:rsid w:val="002A16D4"/>
    <w:rsid w:val="002A1E4F"/>
    <w:rsid w:val="002A230C"/>
    <w:rsid w:val="002A2AF7"/>
    <w:rsid w:val="002A33A7"/>
    <w:rsid w:val="002A3EA2"/>
    <w:rsid w:val="002A466F"/>
    <w:rsid w:val="002A532A"/>
    <w:rsid w:val="002A5846"/>
    <w:rsid w:val="002A5D97"/>
    <w:rsid w:val="002A603E"/>
    <w:rsid w:val="002A63B9"/>
    <w:rsid w:val="002B4845"/>
    <w:rsid w:val="002B58E4"/>
    <w:rsid w:val="002B72AA"/>
    <w:rsid w:val="002C01FD"/>
    <w:rsid w:val="002C0E8E"/>
    <w:rsid w:val="002C159B"/>
    <w:rsid w:val="002C22A4"/>
    <w:rsid w:val="002C27A6"/>
    <w:rsid w:val="002C368F"/>
    <w:rsid w:val="002C40D2"/>
    <w:rsid w:val="002C43BD"/>
    <w:rsid w:val="002C5245"/>
    <w:rsid w:val="002C621D"/>
    <w:rsid w:val="002D0E59"/>
    <w:rsid w:val="002D1D5F"/>
    <w:rsid w:val="002D40BE"/>
    <w:rsid w:val="002D41E1"/>
    <w:rsid w:val="002E02A1"/>
    <w:rsid w:val="002E196A"/>
    <w:rsid w:val="002E20C7"/>
    <w:rsid w:val="002E20CD"/>
    <w:rsid w:val="002E222E"/>
    <w:rsid w:val="002E28D8"/>
    <w:rsid w:val="002E37D1"/>
    <w:rsid w:val="002E3BEE"/>
    <w:rsid w:val="002E4E4C"/>
    <w:rsid w:val="002E4EA7"/>
    <w:rsid w:val="002E5846"/>
    <w:rsid w:val="002E792B"/>
    <w:rsid w:val="002F1307"/>
    <w:rsid w:val="002F1DCB"/>
    <w:rsid w:val="002F1F1E"/>
    <w:rsid w:val="002F20DC"/>
    <w:rsid w:val="002F333D"/>
    <w:rsid w:val="002F351A"/>
    <w:rsid w:val="002F498A"/>
    <w:rsid w:val="002F4AD8"/>
    <w:rsid w:val="002F5820"/>
    <w:rsid w:val="002F6361"/>
    <w:rsid w:val="002F6A9F"/>
    <w:rsid w:val="00300C31"/>
    <w:rsid w:val="003034E0"/>
    <w:rsid w:val="00303BB4"/>
    <w:rsid w:val="00304771"/>
    <w:rsid w:val="00304F1F"/>
    <w:rsid w:val="003052D4"/>
    <w:rsid w:val="00306C5B"/>
    <w:rsid w:val="00307DB3"/>
    <w:rsid w:val="00307ED2"/>
    <w:rsid w:val="0031076D"/>
    <w:rsid w:val="00311AA6"/>
    <w:rsid w:val="00311C4D"/>
    <w:rsid w:val="003121AB"/>
    <w:rsid w:val="0031239E"/>
    <w:rsid w:val="00314A42"/>
    <w:rsid w:val="003151BD"/>
    <w:rsid w:val="003153C8"/>
    <w:rsid w:val="00315524"/>
    <w:rsid w:val="0032058C"/>
    <w:rsid w:val="003208D0"/>
    <w:rsid w:val="003209D6"/>
    <w:rsid w:val="00320A0F"/>
    <w:rsid w:val="003217B9"/>
    <w:rsid w:val="00321924"/>
    <w:rsid w:val="00321EB6"/>
    <w:rsid w:val="003220A5"/>
    <w:rsid w:val="00322302"/>
    <w:rsid w:val="00323A1C"/>
    <w:rsid w:val="00324B59"/>
    <w:rsid w:val="00325F21"/>
    <w:rsid w:val="0032656E"/>
    <w:rsid w:val="00332190"/>
    <w:rsid w:val="00333CD0"/>
    <w:rsid w:val="00333D26"/>
    <w:rsid w:val="0033448D"/>
    <w:rsid w:val="00334AD2"/>
    <w:rsid w:val="00336DDB"/>
    <w:rsid w:val="0033709C"/>
    <w:rsid w:val="003370C5"/>
    <w:rsid w:val="00337568"/>
    <w:rsid w:val="0033778D"/>
    <w:rsid w:val="00341D26"/>
    <w:rsid w:val="00341F05"/>
    <w:rsid w:val="0034335E"/>
    <w:rsid w:val="00343A89"/>
    <w:rsid w:val="00344668"/>
    <w:rsid w:val="003462D9"/>
    <w:rsid w:val="00347247"/>
    <w:rsid w:val="00347DD4"/>
    <w:rsid w:val="00347E18"/>
    <w:rsid w:val="00352B43"/>
    <w:rsid w:val="00352C28"/>
    <w:rsid w:val="00355C86"/>
    <w:rsid w:val="0036077F"/>
    <w:rsid w:val="00360C86"/>
    <w:rsid w:val="00360F7A"/>
    <w:rsid w:val="00360FBC"/>
    <w:rsid w:val="00361537"/>
    <w:rsid w:val="003622EE"/>
    <w:rsid w:val="0036242A"/>
    <w:rsid w:val="00362C23"/>
    <w:rsid w:val="00362E90"/>
    <w:rsid w:val="00363817"/>
    <w:rsid w:val="00364884"/>
    <w:rsid w:val="00364FA0"/>
    <w:rsid w:val="003657F3"/>
    <w:rsid w:val="003661B2"/>
    <w:rsid w:val="00367F84"/>
    <w:rsid w:val="00370739"/>
    <w:rsid w:val="003712BC"/>
    <w:rsid w:val="00372164"/>
    <w:rsid w:val="00372CA1"/>
    <w:rsid w:val="00372F99"/>
    <w:rsid w:val="003738BD"/>
    <w:rsid w:val="00373AA6"/>
    <w:rsid w:val="003746F0"/>
    <w:rsid w:val="00374A20"/>
    <w:rsid w:val="00374E21"/>
    <w:rsid w:val="0037599A"/>
    <w:rsid w:val="00376D08"/>
    <w:rsid w:val="00377F40"/>
    <w:rsid w:val="00380C34"/>
    <w:rsid w:val="003818DC"/>
    <w:rsid w:val="00382513"/>
    <w:rsid w:val="00382CDE"/>
    <w:rsid w:val="00382FC6"/>
    <w:rsid w:val="00383388"/>
    <w:rsid w:val="003834F8"/>
    <w:rsid w:val="003838D0"/>
    <w:rsid w:val="003840C2"/>
    <w:rsid w:val="00384327"/>
    <w:rsid w:val="00384A89"/>
    <w:rsid w:val="00385086"/>
    <w:rsid w:val="00385D98"/>
    <w:rsid w:val="003861EF"/>
    <w:rsid w:val="00390306"/>
    <w:rsid w:val="003908A6"/>
    <w:rsid w:val="003927F6"/>
    <w:rsid w:val="003934E5"/>
    <w:rsid w:val="00393E85"/>
    <w:rsid w:val="003944BD"/>
    <w:rsid w:val="00394B51"/>
    <w:rsid w:val="003966F8"/>
    <w:rsid w:val="00396739"/>
    <w:rsid w:val="00397E51"/>
    <w:rsid w:val="003A04F6"/>
    <w:rsid w:val="003A2B4D"/>
    <w:rsid w:val="003A2D12"/>
    <w:rsid w:val="003A45E3"/>
    <w:rsid w:val="003A478C"/>
    <w:rsid w:val="003A5525"/>
    <w:rsid w:val="003A5889"/>
    <w:rsid w:val="003A6085"/>
    <w:rsid w:val="003A6B38"/>
    <w:rsid w:val="003A6B83"/>
    <w:rsid w:val="003A722F"/>
    <w:rsid w:val="003B039F"/>
    <w:rsid w:val="003B0DF4"/>
    <w:rsid w:val="003B1F9D"/>
    <w:rsid w:val="003B2AD1"/>
    <w:rsid w:val="003B2D2E"/>
    <w:rsid w:val="003B359C"/>
    <w:rsid w:val="003B461F"/>
    <w:rsid w:val="003B483F"/>
    <w:rsid w:val="003B4998"/>
    <w:rsid w:val="003B5A32"/>
    <w:rsid w:val="003C2CFE"/>
    <w:rsid w:val="003C3490"/>
    <w:rsid w:val="003C3756"/>
    <w:rsid w:val="003C3D2C"/>
    <w:rsid w:val="003C6221"/>
    <w:rsid w:val="003C68CC"/>
    <w:rsid w:val="003C6C63"/>
    <w:rsid w:val="003C7E62"/>
    <w:rsid w:val="003D017F"/>
    <w:rsid w:val="003D12B9"/>
    <w:rsid w:val="003D1CDF"/>
    <w:rsid w:val="003D242B"/>
    <w:rsid w:val="003D2492"/>
    <w:rsid w:val="003D29AA"/>
    <w:rsid w:val="003D2A99"/>
    <w:rsid w:val="003D444C"/>
    <w:rsid w:val="003D6920"/>
    <w:rsid w:val="003E09B5"/>
    <w:rsid w:val="003E1EF8"/>
    <w:rsid w:val="003E4C91"/>
    <w:rsid w:val="003E52D8"/>
    <w:rsid w:val="003F0B9F"/>
    <w:rsid w:val="003F0D62"/>
    <w:rsid w:val="003F2481"/>
    <w:rsid w:val="003F2F7D"/>
    <w:rsid w:val="003F313C"/>
    <w:rsid w:val="003F37FC"/>
    <w:rsid w:val="003F447B"/>
    <w:rsid w:val="003F4B2C"/>
    <w:rsid w:val="003F551C"/>
    <w:rsid w:val="003F626D"/>
    <w:rsid w:val="003F72ED"/>
    <w:rsid w:val="003F7D23"/>
    <w:rsid w:val="00400050"/>
    <w:rsid w:val="004002C8"/>
    <w:rsid w:val="00400468"/>
    <w:rsid w:val="0040099D"/>
    <w:rsid w:val="00401B23"/>
    <w:rsid w:val="00402ADB"/>
    <w:rsid w:val="0040368D"/>
    <w:rsid w:val="00404D76"/>
    <w:rsid w:val="004059D2"/>
    <w:rsid w:val="00405B98"/>
    <w:rsid w:val="00406C2E"/>
    <w:rsid w:val="00406EB0"/>
    <w:rsid w:val="00407711"/>
    <w:rsid w:val="00407C13"/>
    <w:rsid w:val="00410638"/>
    <w:rsid w:val="00412511"/>
    <w:rsid w:val="004125C2"/>
    <w:rsid w:val="00412DFA"/>
    <w:rsid w:val="00413026"/>
    <w:rsid w:val="00413465"/>
    <w:rsid w:val="00414F2C"/>
    <w:rsid w:val="0041501E"/>
    <w:rsid w:val="0041586B"/>
    <w:rsid w:val="004159C3"/>
    <w:rsid w:val="00415A57"/>
    <w:rsid w:val="00416DAC"/>
    <w:rsid w:val="004178C3"/>
    <w:rsid w:val="00420880"/>
    <w:rsid w:val="00421179"/>
    <w:rsid w:val="0042330F"/>
    <w:rsid w:val="0042359D"/>
    <w:rsid w:val="0042568B"/>
    <w:rsid w:val="004257C3"/>
    <w:rsid w:val="00427B59"/>
    <w:rsid w:val="00431BFF"/>
    <w:rsid w:val="00432637"/>
    <w:rsid w:val="00432A58"/>
    <w:rsid w:val="004331C3"/>
    <w:rsid w:val="00433841"/>
    <w:rsid w:val="00433C00"/>
    <w:rsid w:val="00434617"/>
    <w:rsid w:val="00435051"/>
    <w:rsid w:val="004357AF"/>
    <w:rsid w:val="00435C69"/>
    <w:rsid w:val="00436082"/>
    <w:rsid w:val="004360FB"/>
    <w:rsid w:val="004364C1"/>
    <w:rsid w:val="00437CED"/>
    <w:rsid w:val="0044075B"/>
    <w:rsid w:val="0044076A"/>
    <w:rsid w:val="00440900"/>
    <w:rsid w:val="0044121D"/>
    <w:rsid w:val="0044139A"/>
    <w:rsid w:val="00441682"/>
    <w:rsid w:val="00441A7C"/>
    <w:rsid w:val="00441BF6"/>
    <w:rsid w:val="0044274F"/>
    <w:rsid w:val="004441A0"/>
    <w:rsid w:val="00445861"/>
    <w:rsid w:val="00445A8E"/>
    <w:rsid w:val="00446D44"/>
    <w:rsid w:val="004473B6"/>
    <w:rsid w:val="0044761F"/>
    <w:rsid w:val="0045078A"/>
    <w:rsid w:val="0045086D"/>
    <w:rsid w:val="00451EF1"/>
    <w:rsid w:val="00452906"/>
    <w:rsid w:val="00452E60"/>
    <w:rsid w:val="00455FC1"/>
    <w:rsid w:val="00456FE5"/>
    <w:rsid w:val="00457490"/>
    <w:rsid w:val="00457953"/>
    <w:rsid w:val="00460FB3"/>
    <w:rsid w:val="00464851"/>
    <w:rsid w:val="004656CD"/>
    <w:rsid w:val="00467B14"/>
    <w:rsid w:val="004707FE"/>
    <w:rsid w:val="0047276D"/>
    <w:rsid w:val="00472AF6"/>
    <w:rsid w:val="00474016"/>
    <w:rsid w:val="00474A04"/>
    <w:rsid w:val="00475407"/>
    <w:rsid w:val="0047553A"/>
    <w:rsid w:val="00476240"/>
    <w:rsid w:val="00476439"/>
    <w:rsid w:val="004769E0"/>
    <w:rsid w:val="00476D7D"/>
    <w:rsid w:val="0047735C"/>
    <w:rsid w:val="004776BC"/>
    <w:rsid w:val="00477820"/>
    <w:rsid w:val="00477B96"/>
    <w:rsid w:val="00480840"/>
    <w:rsid w:val="00480D99"/>
    <w:rsid w:val="0048139F"/>
    <w:rsid w:val="00481B18"/>
    <w:rsid w:val="00481E40"/>
    <w:rsid w:val="00482405"/>
    <w:rsid w:val="004826A7"/>
    <w:rsid w:val="0048368C"/>
    <w:rsid w:val="00484ECE"/>
    <w:rsid w:val="0048586B"/>
    <w:rsid w:val="00486251"/>
    <w:rsid w:val="00486A4D"/>
    <w:rsid w:val="004900AB"/>
    <w:rsid w:val="0049094C"/>
    <w:rsid w:val="004915CB"/>
    <w:rsid w:val="004924DC"/>
    <w:rsid w:val="00492879"/>
    <w:rsid w:val="00493A4C"/>
    <w:rsid w:val="00494C04"/>
    <w:rsid w:val="0049789B"/>
    <w:rsid w:val="004979A5"/>
    <w:rsid w:val="00497F35"/>
    <w:rsid w:val="004A05E6"/>
    <w:rsid w:val="004A0FD3"/>
    <w:rsid w:val="004A14E4"/>
    <w:rsid w:val="004A1C10"/>
    <w:rsid w:val="004A204E"/>
    <w:rsid w:val="004A26A5"/>
    <w:rsid w:val="004A27F0"/>
    <w:rsid w:val="004A3212"/>
    <w:rsid w:val="004A37CD"/>
    <w:rsid w:val="004A40D9"/>
    <w:rsid w:val="004A4F8A"/>
    <w:rsid w:val="004A5494"/>
    <w:rsid w:val="004A5AF4"/>
    <w:rsid w:val="004A61C5"/>
    <w:rsid w:val="004A62A0"/>
    <w:rsid w:val="004A77DF"/>
    <w:rsid w:val="004B1417"/>
    <w:rsid w:val="004B305C"/>
    <w:rsid w:val="004B320E"/>
    <w:rsid w:val="004B339A"/>
    <w:rsid w:val="004B5201"/>
    <w:rsid w:val="004B55B7"/>
    <w:rsid w:val="004B6468"/>
    <w:rsid w:val="004B6EF8"/>
    <w:rsid w:val="004B7125"/>
    <w:rsid w:val="004B756A"/>
    <w:rsid w:val="004B7FB1"/>
    <w:rsid w:val="004C2734"/>
    <w:rsid w:val="004C384C"/>
    <w:rsid w:val="004C3867"/>
    <w:rsid w:val="004C393C"/>
    <w:rsid w:val="004C3DB0"/>
    <w:rsid w:val="004C4720"/>
    <w:rsid w:val="004C4951"/>
    <w:rsid w:val="004C4CD0"/>
    <w:rsid w:val="004C5060"/>
    <w:rsid w:val="004C5165"/>
    <w:rsid w:val="004C6322"/>
    <w:rsid w:val="004C6E0E"/>
    <w:rsid w:val="004C70DC"/>
    <w:rsid w:val="004D0211"/>
    <w:rsid w:val="004D0794"/>
    <w:rsid w:val="004D199B"/>
    <w:rsid w:val="004D3296"/>
    <w:rsid w:val="004D499A"/>
    <w:rsid w:val="004D530C"/>
    <w:rsid w:val="004D5B0F"/>
    <w:rsid w:val="004D5E77"/>
    <w:rsid w:val="004D6ED7"/>
    <w:rsid w:val="004D7626"/>
    <w:rsid w:val="004E1A40"/>
    <w:rsid w:val="004E200A"/>
    <w:rsid w:val="004E23FC"/>
    <w:rsid w:val="004E2409"/>
    <w:rsid w:val="004E261D"/>
    <w:rsid w:val="004E4273"/>
    <w:rsid w:val="004E4C0C"/>
    <w:rsid w:val="004E6D1D"/>
    <w:rsid w:val="004E6DCE"/>
    <w:rsid w:val="004E6DE6"/>
    <w:rsid w:val="004E765E"/>
    <w:rsid w:val="004E7815"/>
    <w:rsid w:val="004F06F5"/>
    <w:rsid w:val="004F12A4"/>
    <w:rsid w:val="004F1C56"/>
    <w:rsid w:val="004F1C89"/>
    <w:rsid w:val="004F253F"/>
    <w:rsid w:val="004F2DDD"/>
    <w:rsid w:val="004F33A0"/>
    <w:rsid w:val="004F3BD2"/>
    <w:rsid w:val="004F4665"/>
    <w:rsid w:val="004F730C"/>
    <w:rsid w:val="00500592"/>
    <w:rsid w:val="00501171"/>
    <w:rsid w:val="00502129"/>
    <w:rsid w:val="0050387A"/>
    <w:rsid w:val="00504812"/>
    <w:rsid w:val="005048E2"/>
    <w:rsid w:val="00504CA4"/>
    <w:rsid w:val="0050648F"/>
    <w:rsid w:val="00506603"/>
    <w:rsid w:val="0050689D"/>
    <w:rsid w:val="00506EEE"/>
    <w:rsid w:val="00507012"/>
    <w:rsid w:val="00507394"/>
    <w:rsid w:val="005077F5"/>
    <w:rsid w:val="005108C0"/>
    <w:rsid w:val="0051094F"/>
    <w:rsid w:val="00511873"/>
    <w:rsid w:val="00512461"/>
    <w:rsid w:val="00512A2F"/>
    <w:rsid w:val="00513B7E"/>
    <w:rsid w:val="0051475D"/>
    <w:rsid w:val="00514B11"/>
    <w:rsid w:val="00515BE9"/>
    <w:rsid w:val="00515C74"/>
    <w:rsid w:val="00516F6A"/>
    <w:rsid w:val="00517113"/>
    <w:rsid w:val="00517588"/>
    <w:rsid w:val="0052007E"/>
    <w:rsid w:val="00522C8D"/>
    <w:rsid w:val="00522E01"/>
    <w:rsid w:val="0052337A"/>
    <w:rsid w:val="00524385"/>
    <w:rsid w:val="005246BE"/>
    <w:rsid w:val="00525137"/>
    <w:rsid w:val="005251DD"/>
    <w:rsid w:val="0053009D"/>
    <w:rsid w:val="005301A6"/>
    <w:rsid w:val="005309A2"/>
    <w:rsid w:val="00530A68"/>
    <w:rsid w:val="00530AD4"/>
    <w:rsid w:val="00531409"/>
    <w:rsid w:val="0053183A"/>
    <w:rsid w:val="00532CE7"/>
    <w:rsid w:val="00532D8B"/>
    <w:rsid w:val="005331EF"/>
    <w:rsid w:val="0053324C"/>
    <w:rsid w:val="00534A28"/>
    <w:rsid w:val="00535018"/>
    <w:rsid w:val="0053595E"/>
    <w:rsid w:val="00537571"/>
    <w:rsid w:val="0053761B"/>
    <w:rsid w:val="00540168"/>
    <w:rsid w:val="005410E2"/>
    <w:rsid w:val="00541508"/>
    <w:rsid w:val="00541AE3"/>
    <w:rsid w:val="00543498"/>
    <w:rsid w:val="00544BE5"/>
    <w:rsid w:val="00547F7A"/>
    <w:rsid w:val="00550160"/>
    <w:rsid w:val="005523A8"/>
    <w:rsid w:val="00552F2C"/>
    <w:rsid w:val="005534F4"/>
    <w:rsid w:val="00553A25"/>
    <w:rsid w:val="0055451B"/>
    <w:rsid w:val="005547EB"/>
    <w:rsid w:val="005555E0"/>
    <w:rsid w:val="0055599F"/>
    <w:rsid w:val="00556D68"/>
    <w:rsid w:val="005570D6"/>
    <w:rsid w:val="00557E45"/>
    <w:rsid w:val="005600FF"/>
    <w:rsid w:val="005612FC"/>
    <w:rsid w:val="00561F44"/>
    <w:rsid w:val="00563AC8"/>
    <w:rsid w:val="00563EB8"/>
    <w:rsid w:val="005647BF"/>
    <w:rsid w:val="00564AF1"/>
    <w:rsid w:val="005651B0"/>
    <w:rsid w:val="005655DB"/>
    <w:rsid w:val="005678DC"/>
    <w:rsid w:val="00570270"/>
    <w:rsid w:val="00570BC3"/>
    <w:rsid w:val="0057182A"/>
    <w:rsid w:val="00571E59"/>
    <w:rsid w:val="00572079"/>
    <w:rsid w:val="00572350"/>
    <w:rsid w:val="00573602"/>
    <w:rsid w:val="0057364B"/>
    <w:rsid w:val="00574552"/>
    <w:rsid w:val="00574682"/>
    <w:rsid w:val="00574773"/>
    <w:rsid w:val="0057496F"/>
    <w:rsid w:val="00575F37"/>
    <w:rsid w:val="005761EC"/>
    <w:rsid w:val="005765CD"/>
    <w:rsid w:val="005773E1"/>
    <w:rsid w:val="00577C07"/>
    <w:rsid w:val="00577DB1"/>
    <w:rsid w:val="00580D5C"/>
    <w:rsid w:val="00580DE7"/>
    <w:rsid w:val="00583E52"/>
    <w:rsid w:val="00583FFD"/>
    <w:rsid w:val="0058519A"/>
    <w:rsid w:val="005856BD"/>
    <w:rsid w:val="00586BCA"/>
    <w:rsid w:val="00587632"/>
    <w:rsid w:val="00590B28"/>
    <w:rsid w:val="005911BE"/>
    <w:rsid w:val="00591273"/>
    <w:rsid w:val="005927A4"/>
    <w:rsid w:val="00593152"/>
    <w:rsid w:val="00594157"/>
    <w:rsid w:val="005956A3"/>
    <w:rsid w:val="00595958"/>
    <w:rsid w:val="00595CAB"/>
    <w:rsid w:val="00597BBF"/>
    <w:rsid w:val="005A10F2"/>
    <w:rsid w:val="005A1F58"/>
    <w:rsid w:val="005A21E0"/>
    <w:rsid w:val="005A28FF"/>
    <w:rsid w:val="005A2C09"/>
    <w:rsid w:val="005A3778"/>
    <w:rsid w:val="005A3AD8"/>
    <w:rsid w:val="005A3DF8"/>
    <w:rsid w:val="005A5549"/>
    <w:rsid w:val="005A7CF8"/>
    <w:rsid w:val="005B121D"/>
    <w:rsid w:val="005B3309"/>
    <w:rsid w:val="005B41C9"/>
    <w:rsid w:val="005B4853"/>
    <w:rsid w:val="005B66CC"/>
    <w:rsid w:val="005B6CA1"/>
    <w:rsid w:val="005B770C"/>
    <w:rsid w:val="005B7814"/>
    <w:rsid w:val="005C02E4"/>
    <w:rsid w:val="005C06ED"/>
    <w:rsid w:val="005C09B2"/>
    <w:rsid w:val="005C11B8"/>
    <w:rsid w:val="005C2609"/>
    <w:rsid w:val="005C43EC"/>
    <w:rsid w:val="005C45DD"/>
    <w:rsid w:val="005D21F1"/>
    <w:rsid w:val="005D2FDA"/>
    <w:rsid w:val="005D3F06"/>
    <w:rsid w:val="005D4B73"/>
    <w:rsid w:val="005D5575"/>
    <w:rsid w:val="005D5802"/>
    <w:rsid w:val="005D5AA9"/>
    <w:rsid w:val="005D66E6"/>
    <w:rsid w:val="005D690B"/>
    <w:rsid w:val="005D7119"/>
    <w:rsid w:val="005D76C8"/>
    <w:rsid w:val="005D7890"/>
    <w:rsid w:val="005E1026"/>
    <w:rsid w:val="005E19C1"/>
    <w:rsid w:val="005E2194"/>
    <w:rsid w:val="005E24F0"/>
    <w:rsid w:val="005E36FE"/>
    <w:rsid w:val="005E490F"/>
    <w:rsid w:val="005E4BC9"/>
    <w:rsid w:val="005E5314"/>
    <w:rsid w:val="005E7074"/>
    <w:rsid w:val="005E7C78"/>
    <w:rsid w:val="005F04A7"/>
    <w:rsid w:val="005F114F"/>
    <w:rsid w:val="005F18C5"/>
    <w:rsid w:val="005F2097"/>
    <w:rsid w:val="005F2A08"/>
    <w:rsid w:val="005F36CC"/>
    <w:rsid w:val="005F3EB1"/>
    <w:rsid w:val="005F466B"/>
    <w:rsid w:val="005F46D8"/>
    <w:rsid w:val="005F5469"/>
    <w:rsid w:val="005F57FA"/>
    <w:rsid w:val="005F63F3"/>
    <w:rsid w:val="005F68DB"/>
    <w:rsid w:val="005F6D7F"/>
    <w:rsid w:val="00600C2F"/>
    <w:rsid w:val="00601EEF"/>
    <w:rsid w:val="00602A4D"/>
    <w:rsid w:val="00604307"/>
    <w:rsid w:val="0060487F"/>
    <w:rsid w:val="006048BE"/>
    <w:rsid w:val="00604EAD"/>
    <w:rsid w:val="0060513F"/>
    <w:rsid w:val="006072CF"/>
    <w:rsid w:val="006104FB"/>
    <w:rsid w:val="006115B5"/>
    <w:rsid w:val="00612A2F"/>
    <w:rsid w:val="00612AAE"/>
    <w:rsid w:val="00612FD9"/>
    <w:rsid w:val="00612FE6"/>
    <w:rsid w:val="006139E0"/>
    <w:rsid w:val="006156B4"/>
    <w:rsid w:val="00615DAF"/>
    <w:rsid w:val="00616E05"/>
    <w:rsid w:val="00617985"/>
    <w:rsid w:val="0062131B"/>
    <w:rsid w:val="006227DF"/>
    <w:rsid w:val="00623321"/>
    <w:rsid w:val="006236C8"/>
    <w:rsid w:val="00624093"/>
    <w:rsid w:val="00624E09"/>
    <w:rsid w:val="00626025"/>
    <w:rsid w:val="00626E7E"/>
    <w:rsid w:val="00630EE9"/>
    <w:rsid w:val="00631643"/>
    <w:rsid w:val="00631698"/>
    <w:rsid w:val="00631E44"/>
    <w:rsid w:val="00633329"/>
    <w:rsid w:val="006335AF"/>
    <w:rsid w:val="00634C57"/>
    <w:rsid w:val="00634CE7"/>
    <w:rsid w:val="006350D5"/>
    <w:rsid w:val="0063642C"/>
    <w:rsid w:val="00637858"/>
    <w:rsid w:val="00637C3D"/>
    <w:rsid w:val="00637EFD"/>
    <w:rsid w:val="006404A7"/>
    <w:rsid w:val="00640715"/>
    <w:rsid w:val="00640A38"/>
    <w:rsid w:val="00641787"/>
    <w:rsid w:val="00642489"/>
    <w:rsid w:val="00642910"/>
    <w:rsid w:val="00644137"/>
    <w:rsid w:val="0064478C"/>
    <w:rsid w:val="006451E4"/>
    <w:rsid w:val="00645B33"/>
    <w:rsid w:val="00647D47"/>
    <w:rsid w:val="006510C7"/>
    <w:rsid w:val="006516CB"/>
    <w:rsid w:val="0065224C"/>
    <w:rsid w:val="0065267E"/>
    <w:rsid w:val="006538D9"/>
    <w:rsid w:val="00653BD0"/>
    <w:rsid w:val="00654110"/>
    <w:rsid w:val="0065517D"/>
    <w:rsid w:val="00656C5D"/>
    <w:rsid w:val="00656CFB"/>
    <w:rsid w:val="00656DA5"/>
    <w:rsid w:val="00657C02"/>
    <w:rsid w:val="00657E87"/>
    <w:rsid w:val="00660D2D"/>
    <w:rsid w:val="00661EDB"/>
    <w:rsid w:val="00662469"/>
    <w:rsid w:val="00664647"/>
    <w:rsid w:val="00664803"/>
    <w:rsid w:val="00665982"/>
    <w:rsid w:val="00665BA4"/>
    <w:rsid w:val="006674BE"/>
    <w:rsid w:val="00667AF2"/>
    <w:rsid w:val="0067017A"/>
    <w:rsid w:val="00670489"/>
    <w:rsid w:val="006710C9"/>
    <w:rsid w:val="00671D05"/>
    <w:rsid w:val="00672866"/>
    <w:rsid w:val="006741CD"/>
    <w:rsid w:val="00674D89"/>
    <w:rsid w:val="00675E37"/>
    <w:rsid w:val="00676736"/>
    <w:rsid w:val="006769A4"/>
    <w:rsid w:val="00676D76"/>
    <w:rsid w:val="00676F9F"/>
    <w:rsid w:val="00677591"/>
    <w:rsid w:val="00677594"/>
    <w:rsid w:val="0068032F"/>
    <w:rsid w:val="00680D37"/>
    <w:rsid w:val="0068174E"/>
    <w:rsid w:val="00681DCE"/>
    <w:rsid w:val="0068260E"/>
    <w:rsid w:val="006846B3"/>
    <w:rsid w:val="00684D59"/>
    <w:rsid w:val="00684E25"/>
    <w:rsid w:val="006858A4"/>
    <w:rsid w:val="00686354"/>
    <w:rsid w:val="00686718"/>
    <w:rsid w:val="00686BFA"/>
    <w:rsid w:val="00686DED"/>
    <w:rsid w:val="006875A0"/>
    <w:rsid w:val="00687D27"/>
    <w:rsid w:val="00690E9E"/>
    <w:rsid w:val="00695065"/>
    <w:rsid w:val="00695BEF"/>
    <w:rsid w:val="00695EFF"/>
    <w:rsid w:val="006966C7"/>
    <w:rsid w:val="006968C1"/>
    <w:rsid w:val="006977F6"/>
    <w:rsid w:val="00697A13"/>
    <w:rsid w:val="006A072C"/>
    <w:rsid w:val="006A109C"/>
    <w:rsid w:val="006A5898"/>
    <w:rsid w:val="006A6354"/>
    <w:rsid w:val="006A6565"/>
    <w:rsid w:val="006A7691"/>
    <w:rsid w:val="006A7808"/>
    <w:rsid w:val="006A7E9D"/>
    <w:rsid w:val="006A7EE2"/>
    <w:rsid w:val="006B0514"/>
    <w:rsid w:val="006B0F92"/>
    <w:rsid w:val="006B1975"/>
    <w:rsid w:val="006B2785"/>
    <w:rsid w:val="006B344A"/>
    <w:rsid w:val="006B39B8"/>
    <w:rsid w:val="006B39F9"/>
    <w:rsid w:val="006B4006"/>
    <w:rsid w:val="006B58C9"/>
    <w:rsid w:val="006B60ED"/>
    <w:rsid w:val="006B6CC5"/>
    <w:rsid w:val="006B74AC"/>
    <w:rsid w:val="006B78D8"/>
    <w:rsid w:val="006B79EA"/>
    <w:rsid w:val="006C0512"/>
    <w:rsid w:val="006C0C5D"/>
    <w:rsid w:val="006C113F"/>
    <w:rsid w:val="006C123E"/>
    <w:rsid w:val="006C15A1"/>
    <w:rsid w:val="006C1752"/>
    <w:rsid w:val="006C28CA"/>
    <w:rsid w:val="006C2BBF"/>
    <w:rsid w:val="006C2FBD"/>
    <w:rsid w:val="006C4355"/>
    <w:rsid w:val="006C469D"/>
    <w:rsid w:val="006C46B5"/>
    <w:rsid w:val="006C474D"/>
    <w:rsid w:val="006C484F"/>
    <w:rsid w:val="006C52EC"/>
    <w:rsid w:val="006C56D4"/>
    <w:rsid w:val="006C6681"/>
    <w:rsid w:val="006C683C"/>
    <w:rsid w:val="006C6924"/>
    <w:rsid w:val="006C6C1E"/>
    <w:rsid w:val="006C7076"/>
    <w:rsid w:val="006C7746"/>
    <w:rsid w:val="006C7CA6"/>
    <w:rsid w:val="006D0AC4"/>
    <w:rsid w:val="006D18B3"/>
    <w:rsid w:val="006D1E89"/>
    <w:rsid w:val="006D3CD4"/>
    <w:rsid w:val="006D3E8A"/>
    <w:rsid w:val="006D61F6"/>
    <w:rsid w:val="006E1332"/>
    <w:rsid w:val="006E279A"/>
    <w:rsid w:val="006E2A88"/>
    <w:rsid w:val="006E313B"/>
    <w:rsid w:val="006E3A45"/>
    <w:rsid w:val="006E4789"/>
    <w:rsid w:val="006E47E7"/>
    <w:rsid w:val="006E53AD"/>
    <w:rsid w:val="006E58CB"/>
    <w:rsid w:val="006E7227"/>
    <w:rsid w:val="006F0741"/>
    <w:rsid w:val="006F0BA8"/>
    <w:rsid w:val="006F1C27"/>
    <w:rsid w:val="006F40DF"/>
    <w:rsid w:val="006F42BB"/>
    <w:rsid w:val="006F438E"/>
    <w:rsid w:val="006F440B"/>
    <w:rsid w:val="006F4B69"/>
    <w:rsid w:val="006F5323"/>
    <w:rsid w:val="006F5416"/>
    <w:rsid w:val="006F624B"/>
    <w:rsid w:val="006F6D87"/>
    <w:rsid w:val="007006CB"/>
    <w:rsid w:val="0070398A"/>
    <w:rsid w:val="00705242"/>
    <w:rsid w:val="007055E0"/>
    <w:rsid w:val="00705C4B"/>
    <w:rsid w:val="007065C5"/>
    <w:rsid w:val="00706AA0"/>
    <w:rsid w:val="00706AD4"/>
    <w:rsid w:val="00707150"/>
    <w:rsid w:val="00707EFA"/>
    <w:rsid w:val="00713549"/>
    <w:rsid w:val="007136DB"/>
    <w:rsid w:val="007140BE"/>
    <w:rsid w:val="00715502"/>
    <w:rsid w:val="00715E4D"/>
    <w:rsid w:val="00716514"/>
    <w:rsid w:val="00716F48"/>
    <w:rsid w:val="00717114"/>
    <w:rsid w:val="0071779F"/>
    <w:rsid w:val="007211F5"/>
    <w:rsid w:val="00723435"/>
    <w:rsid w:val="00723436"/>
    <w:rsid w:val="007240E2"/>
    <w:rsid w:val="0072583E"/>
    <w:rsid w:val="00725BB5"/>
    <w:rsid w:val="00727735"/>
    <w:rsid w:val="00727C02"/>
    <w:rsid w:val="00730AE8"/>
    <w:rsid w:val="00730F1B"/>
    <w:rsid w:val="007313D5"/>
    <w:rsid w:val="0073186D"/>
    <w:rsid w:val="00732136"/>
    <w:rsid w:val="0073333D"/>
    <w:rsid w:val="007341C8"/>
    <w:rsid w:val="007343D9"/>
    <w:rsid w:val="00735448"/>
    <w:rsid w:val="00736BF2"/>
    <w:rsid w:val="00737DEC"/>
    <w:rsid w:val="00737FBD"/>
    <w:rsid w:val="00741493"/>
    <w:rsid w:val="007434E5"/>
    <w:rsid w:val="0074499B"/>
    <w:rsid w:val="007465A7"/>
    <w:rsid w:val="007477BD"/>
    <w:rsid w:val="00750B47"/>
    <w:rsid w:val="00752157"/>
    <w:rsid w:val="00752180"/>
    <w:rsid w:val="00752323"/>
    <w:rsid w:val="00753122"/>
    <w:rsid w:val="007532B7"/>
    <w:rsid w:val="00753CAB"/>
    <w:rsid w:val="00754A70"/>
    <w:rsid w:val="00754BC9"/>
    <w:rsid w:val="00755202"/>
    <w:rsid w:val="00755D3A"/>
    <w:rsid w:val="00756554"/>
    <w:rsid w:val="007566A0"/>
    <w:rsid w:val="0075751D"/>
    <w:rsid w:val="007578D3"/>
    <w:rsid w:val="007602CF"/>
    <w:rsid w:val="00760391"/>
    <w:rsid w:val="007609C6"/>
    <w:rsid w:val="007615F3"/>
    <w:rsid w:val="0076175D"/>
    <w:rsid w:val="007629D5"/>
    <w:rsid w:val="007634FE"/>
    <w:rsid w:val="00763B85"/>
    <w:rsid w:val="00764974"/>
    <w:rsid w:val="00764D18"/>
    <w:rsid w:val="0076521E"/>
    <w:rsid w:val="00765795"/>
    <w:rsid w:val="007661E9"/>
    <w:rsid w:val="00767062"/>
    <w:rsid w:val="00767777"/>
    <w:rsid w:val="0077108A"/>
    <w:rsid w:val="00771972"/>
    <w:rsid w:val="00772DAB"/>
    <w:rsid w:val="007740FE"/>
    <w:rsid w:val="00774D2C"/>
    <w:rsid w:val="00776169"/>
    <w:rsid w:val="00776527"/>
    <w:rsid w:val="00776533"/>
    <w:rsid w:val="00777040"/>
    <w:rsid w:val="00777CE6"/>
    <w:rsid w:val="00777F8B"/>
    <w:rsid w:val="007803F7"/>
    <w:rsid w:val="00780EF1"/>
    <w:rsid w:val="00781A91"/>
    <w:rsid w:val="00785778"/>
    <w:rsid w:val="00786C87"/>
    <w:rsid w:val="0078721E"/>
    <w:rsid w:val="0078755E"/>
    <w:rsid w:val="007877C9"/>
    <w:rsid w:val="00790764"/>
    <w:rsid w:val="0079085F"/>
    <w:rsid w:val="00791005"/>
    <w:rsid w:val="00793D78"/>
    <w:rsid w:val="0079453C"/>
    <w:rsid w:val="00794677"/>
    <w:rsid w:val="007A1616"/>
    <w:rsid w:val="007A170B"/>
    <w:rsid w:val="007A1CD6"/>
    <w:rsid w:val="007A33E2"/>
    <w:rsid w:val="007A342C"/>
    <w:rsid w:val="007A3CAF"/>
    <w:rsid w:val="007A516D"/>
    <w:rsid w:val="007A55BA"/>
    <w:rsid w:val="007A5E65"/>
    <w:rsid w:val="007A65E1"/>
    <w:rsid w:val="007A775D"/>
    <w:rsid w:val="007B02AC"/>
    <w:rsid w:val="007B0834"/>
    <w:rsid w:val="007B0E83"/>
    <w:rsid w:val="007B11FA"/>
    <w:rsid w:val="007B1396"/>
    <w:rsid w:val="007B16D6"/>
    <w:rsid w:val="007B2011"/>
    <w:rsid w:val="007B2CB3"/>
    <w:rsid w:val="007B2CFE"/>
    <w:rsid w:val="007B309B"/>
    <w:rsid w:val="007B35A5"/>
    <w:rsid w:val="007B3622"/>
    <w:rsid w:val="007B3D5E"/>
    <w:rsid w:val="007B3DCB"/>
    <w:rsid w:val="007B5725"/>
    <w:rsid w:val="007B6689"/>
    <w:rsid w:val="007B6747"/>
    <w:rsid w:val="007B6F72"/>
    <w:rsid w:val="007B780E"/>
    <w:rsid w:val="007C1F0C"/>
    <w:rsid w:val="007C1FFB"/>
    <w:rsid w:val="007C2812"/>
    <w:rsid w:val="007C2D94"/>
    <w:rsid w:val="007C5F92"/>
    <w:rsid w:val="007C6227"/>
    <w:rsid w:val="007C6BBD"/>
    <w:rsid w:val="007C6D89"/>
    <w:rsid w:val="007C7BE4"/>
    <w:rsid w:val="007D0382"/>
    <w:rsid w:val="007D1A1F"/>
    <w:rsid w:val="007D2E18"/>
    <w:rsid w:val="007D3A5A"/>
    <w:rsid w:val="007D40DF"/>
    <w:rsid w:val="007D42E5"/>
    <w:rsid w:val="007D4458"/>
    <w:rsid w:val="007E0D4A"/>
    <w:rsid w:val="007E1788"/>
    <w:rsid w:val="007E2618"/>
    <w:rsid w:val="007E29B4"/>
    <w:rsid w:val="007E2A0F"/>
    <w:rsid w:val="007E2F12"/>
    <w:rsid w:val="007E435A"/>
    <w:rsid w:val="007E49F7"/>
    <w:rsid w:val="007E4C70"/>
    <w:rsid w:val="007E4EFE"/>
    <w:rsid w:val="007E61A2"/>
    <w:rsid w:val="007E78B6"/>
    <w:rsid w:val="007E79B4"/>
    <w:rsid w:val="007E7E61"/>
    <w:rsid w:val="007F0845"/>
    <w:rsid w:val="007F08A4"/>
    <w:rsid w:val="007F20F3"/>
    <w:rsid w:val="007F2390"/>
    <w:rsid w:val="007F2CAC"/>
    <w:rsid w:val="007F4740"/>
    <w:rsid w:val="007F524A"/>
    <w:rsid w:val="007F595A"/>
    <w:rsid w:val="007F6E7E"/>
    <w:rsid w:val="007F708D"/>
    <w:rsid w:val="008006B3"/>
    <w:rsid w:val="00801E13"/>
    <w:rsid w:val="00803008"/>
    <w:rsid w:val="00803069"/>
    <w:rsid w:val="008067D4"/>
    <w:rsid w:val="00807145"/>
    <w:rsid w:val="0080734C"/>
    <w:rsid w:val="0080798E"/>
    <w:rsid w:val="00807C82"/>
    <w:rsid w:val="00811791"/>
    <w:rsid w:val="008117CC"/>
    <w:rsid w:val="008125A4"/>
    <w:rsid w:val="00813DCA"/>
    <w:rsid w:val="00814A0E"/>
    <w:rsid w:val="008161A6"/>
    <w:rsid w:val="00816905"/>
    <w:rsid w:val="00817A17"/>
    <w:rsid w:val="00817EC1"/>
    <w:rsid w:val="0082112D"/>
    <w:rsid w:val="0082121F"/>
    <w:rsid w:val="00821FF6"/>
    <w:rsid w:val="0082248B"/>
    <w:rsid w:val="00822574"/>
    <w:rsid w:val="00822CDC"/>
    <w:rsid w:val="00822F08"/>
    <w:rsid w:val="00823DBB"/>
    <w:rsid w:val="00825C4D"/>
    <w:rsid w:val="00826A08"/>
    <w:rsid w:val="00827186"/>
    <w:rsid w:val="00827776"/>
    <w:rsid w:val="00827C8E"/>
    <w:rsid w:val="00827D1E"/>
    <w:rsid w:val="00830AEA"/>
    <w:rsid w:val="00830E86"/>
    <w:rsid w:val="0083143E"/>
    <w:rsid w:val="008315D5"/>
    <w:rsid w:val="00831CDE"/>
    <w:rsid w:val="00834304"/>
    <w:rsid w:val="00834FAA"/>
    <w:rsid w:val="008354FB"/>
    <w:rsid w:val="00836086"/>
    <w:rsid w:val="0083630F"/>
    <w:rsid w:val="00836A06"/>
    <w:rsid w:val="008373F2"/>
    <w:rsid w:val="008374BC"/>
    <w:rsid w:val="00840293"/>
    <w:rsid w:val="008408D4"/>
    <w:rsid w:val="008417B5"/>
    <w:rsid w:val="00841901"/>
    <w:rsid w:val="00841C18"/>
    <w:rsid w:val="008458BD"/>
    <w:rsid w:val="00846121"/>
    <w:rsid w:val="008466C6"/>
    <w:rsid w:val="0084708F"/>
    <w:rsid w:val="008477C8"/>
    <w:rsid w:val="008478A6"/>
    <w:rsid w:val="0085114D"/>
    <w:rsid w:val="008520A8"/>
    <w:rsid w:val="00852217"/>
    <w:rsid w:val="008532BF"/>
    <w:rsid w:val="008537E8"/>
    <w:rsid w:val="00853F59"/>
    <w:rsid w:val="00855408"/>
    <w:rsid w:val="00855BD0"/>
    <w:rsid w:val="00855EFE"/>
    <w:rsid w:val="008562D8"/>
    <w:rsid w:val="00856D65"/>
    <w:rsid w:val="00861B41"/>
    <w:rsid w:val="00861B9F"/>
    <w:rsid w:val="00861BE3"/>
    <w:rsid w:val="008625D3"/>
    <w:rsid w:val="008630BD"/>
    <w:rsid w:val="00863434"/>
    <w:rsid w:val="0086344F"/>
    <w:rsid w:val="008637E8"/>
    <w:rsid w:val="008641AC"/>
    <w:rsid w:val="00865E4C"/>
    <w:rsid w:val="0086796D"/>
    <w:rsid w:val="00867DAB"/>
    <w:rsid w:val="0087000B"/>
    <w:rsid w:val="008701E4"/>
    <w:rsid w:val="008704E9"/>
    <w:rsid w:val="0087116C"/>
    <w:rsid w:val="008727DE"/>
    <w:rsid w:val="008734E7"/>
    <w:rsid w:val="0087368D"/>
    <w:rsid w:val="00874FE8"/>
    <w:rsid w:val="00875944"/>
    <w:rsid w:val="00875A32"/>
    <w:rsid w:val="00876086"/>
    <w:rsid w:val="00876E83"/>
    <w:rsid w:val="008772BC"/>
    <w:rsid w:val="008778F6"/>
    <w:rsid w:val="0088056A"/>
    <w:rsid w:val="00882911"/>
    <w:rsid w:val="0088419D"/>
    <w:rsid w:val="0088522F"/>
    <w:rsid w:val="00885D40"/>
    <w:rsid w:val="00886D96"/>
    <w:rsid w:val="008873D4"/>
    <w:rsid w:val="0088793C"/>
    <w:rsid w:val="00891EDF"/>
    <w:rsid w:val="00892872"/>
    <w:rsid w:val="0089296D"/>
    <w:rsid w:val="00893E85"/>
    <w:rsid w:val="00894031"/>
    <w:rsid w:val="00894C5D"/>
    <w:rsid w:val="00895508"/>
    <w:rsid w:val="008967E9"/>
    <w:rsid w:val="00896A5C"/>
    <w:rsid w:val="0089708C"/>
    <w:rsid w:val="008972D2"/>
    <w:rsid w:val="008974F1"/>
    <w:rsid w:val="0089754C"/>
    <w:rsid w:val="008A0ADD"/>
    <w:rsid w:val="008A0D27"/>
    <w:rsid w:val="008A2414"/>
    <w:rsid w:val="008A37E2"/>
    <w:rsid w:val="008A388E"/>
    <w:rsid w:val="008A3CBA"/>
    <w:rsid w:val="008A3DD6"/>
    <w:rsid w:val="008A4B59"/>
    <w:rsid w:val="008A63E1"/>
    <w:rsid w:val="008B1581"/>
    <w:rsid w:val="008B165B"/>
    <w:rsid w:val="008B27DF"/>
    <w:rsid w:val="008B3A80"/>
    <w:rsid w:val="008B3C07"/>
    <w:rsid w:val="008B3F7B"/>
    <w:rsid w:val="008B42C9"/>
    <w:rsid w:val="008B6106"/>
    <w:rsid w:val="008B692D"/>
    <w:rsid w:val="008B74AE"/>
    <w:rsid w:val="008B7C02"/>
    <w:rsid w:val="008B7D2B"/>
    <w:rsid w:val="008B7EF9"/>
    <w:rsid w:val="008C0049"/>
    <w:rsid w:val="008C0E88"/>
    <w:rsid w:val="008C198E"/>
    <w:rsid w:val="008C4B50"/>
    <w:rsid w:val="008C66EF"/>
    <w:rsid w:val="008C7569"/>
    <w:rsid w:val="008C7DDC"/>
    <w:rsid w:val="008D0DBD"/>
    <w:rsid w:val="008D127E"/>
    <w:rsid w:val="008D1CA8"/>
    <w:rsid w:val="008D1E6A"/>
    <w:rsid w:val="008D2A16"/>
    <w:rsid w:val="008D33F5"/>
    <w:rsid w:val="008D35E4"/>
    <w:rsid w:val="008D6C3A"/>
    <w:rsid w:val="008E292B"/>
    <w:rsid w:val="008E2C57"/>
    <w:rsid w:val="008E31FF"/>
    <w:rsid w:val="008E3287"/>
    <w:rsid w:val="008E5B5B"/>
    <w:rsid w:val="008E6DCB"/>
    <w:rsid w:val="008E6F06"/>
    <w:rsid w:val="008E79BB"/>
    <w:rsid w:val="008E7B8E"/>
    <w:rsid w:val="008E7FC9"/>
    <w:rsid w:val="008F029B"/>
    <w:rsid w:val="008F0E4E"/>
    <w:rsid w:val="008F2A5D"/>
    <w:rsid w:val="008F3636"/>
    <w:rsid w:val="008F3CF6"/>
    <w:rsid w:val="008F3FC9"/>
    <w:rsid w:val="008F4632"/>
    <w:rsid w:val="008F49E6"/>
    <w:rsid w:val="008F585B"/>
    <w:rsid w:val="008F6075"/>
    <w:rsid w:val="008F6351"/>
    <w:rsid w:val="009003A8"/>
    <w:rsid w:val="00900496"/>
    <w:rsid w:val="009021DA"/>
    <w:rsid w:val="00902500"/>
    <w:rsid w:val="00902EA5"/>
    <w:rsid w:val="00902EFF"/>
    <w:rsid w:val="00903A8E"/>
    <w:rsid w:val="0090406B"/>
    <w:rsid w:val="0090432C"/>
    <w:rsid w:val="00904F96"/>
    <w:rsid w:val="009052A3"/>
    <w:rsid w:val="009056D7"/>
    <w:rsid w:val="009057B8"/>
    <w:rsid w:val="00905B8D"/>
    <w:rsid w:val="00906401"/>
    <w:rsid w:val="009065CB"/>
    <w:rsid w:val="00906B79"/>
    <w:rsid w:val="00906FE2"/>
    <w:rsid w:val="0090786F"/>
    <w:rsid w:val="009110F7"/>
    <w:rsid w:val="0091155E"/>
    <w:rsid w:val="00912437"/>
    <w:rsid w:val="00912A92"/>
    <w:rsid w:val="009134A0"/>
    <w:rsid w:val="00915D07"/>
    <w:rsid w:val="009162AE"/>
    <w:rsid w:val="00916856"/>
    <w:rsid w:val="00917251"/>
    <w:rsid w:val="0091728D"/>
    <w:rsid w:val="00917DD4"/>
    <w:rsid w:val="009203CC"/>
    <w:rsid w:val="00920EC4"/>
    <w:rsid w:val="0092180B"/>
    <w:rsid w:val="00921F14"/>
    <w:rsid w:val="009225C2"/>
    <w:rsid w:val="00923CB0"/>
    <w:rsid w:val="00924871"/>
    <w:rsid w:val="00924AC8"/>
    <w:rsid w:val="00925429"/>
    <w:rsid w:val="0092597A"/>
    <w:rsid w:val="0092626B"/>
    <w:rsid w:val="00926520"/>
    <w:rsid w:val="00926CF0"/>
    <w:rsid w:val="009273A9"/>
    <w:rsid w:val="0093033E"/>
    <w:rsid w:val="009305FC"/>
    <w:rsid w:val="00930FB1"/>
    <w:rsid w:val="0093139F"/>
    <w:rsid w:val="00932443"/>
    <w:rsid w:val="00932B32"/>
    <w:rsid w:val="00932B66"/>
    <w:rsid w:val="00933562"/>
    <w:rsid w:val="00933F4A"/>
    <w:rsid w:val="00934F44"/>
    <w:rsid w:val="00934FF2"/>
    <w:rsid w:val="00935238"/>
    <w:rsid w:val="00935BD4"/>
    <w:rsid w:val="009373B2"/>
    <w:rsid w:val="00937AE2"/>
    <w:rsid w:val="00940449"/>
    <w:rsid w:val="009407A7"/>
    <w:rsid w:val="00941CD3"/>
    <w:rsid w:val="0094416B"/>
    <w:rsid w:val="0094427A"/>
    <w:rsid w:val="00944C7C"/>
    <w:rsid w:val="00945245"/>
    <w:rsid w:val="00945523"/>
    <w:rsid w:val="00950921"/>
    <w:rsid w:val="00952D37"/>
    <w:rsid w:val="009568DC"/>
    <w:rsid w:val="00957445"/>
    <w:rsid w:val="0095759C"/>
    <w:rsid w:val="00957C1B"/>
    <w:rsid w:val="009618EE"/>
    <w:rsid w:val="009624D2"/>
    <w:rsid w:val="009628D9"/>
    <w:rsid w:val="00962DA7"/>
    <w:rsid w:val="009637AE"/>
    <w:rsid w:val="00964776"/>
    <w:rsid w:val="009647FD"/>
    <w:rsid w:val="00964A4E"/>
    <w:rsid w:val="00964B35"/>
    <w:rsid w:val="009651C7"/>
    <w:rsid w:val="00965797"/>
    <w:rsid w:val="00965A10"/>
    <w:rsid w:val="009670A3"/>
    <w:rsid w:val="009674BE"/>
    <w:rsid w:val="00971C77"/>
    <w:rsid w:val="00972FCD"/>
    <w:rsid w:val="009741FC"/>
    <w:rsid w:val="00974923"/>
    <w:rsid w:val="00975909"/>
    <w:rsid w:val="00976378"/>
    <w:rsid w:val="00977C3D"/>
    <w:rsid w:val="00980D3D"/>
    <w:rsid w:val="0098103E"/>
    <w:rsid w:val="00983101"/>
    <w:rsid w:val="00983E41"/>
    <w:rsid w:val="00986EC6"/>
    <w:rsid w:val="00987A30"/>
    <w:rsid w:val="00990312"/>
    <w:rsid w:val="009908B9"/>
    <w:rsid w:val="0099182E"/>
    <w:rsid w:val="00992AAE"/>
    <w:rsid w:val="00992CF3"/>
    <w:rsid w:val="0099321E"/>
    <w:rsid w:val="00993AEB"/>
    <w:rsid w:val="00994868"/>
    <w:rsid w:val="00994D28"/>
    <w:rsid w:val="00994F2C"/>
    <w:rsid w:val="009957CC"/>
    <w:rsid w:val="0099584E"/>
    <w:rsid w:val="009968D6"/>
    <w:rsid w:val="00996E2F"/>
    <w:rsid w:val="009971E0"/>
    <w:rsid w:val="00997953"/>
    <w:rsid w:val="009A04FD"/>
    <w:rsid w:val="009A10A0"/>
    <w:rsid w:val="009A1CAB"/>
    <w:rsid w:val="009A2359"/>
    <w:rsid w:val="009A24F1"/>
    <w:rsid w:val="009A2F94"/>
    <w:rsid w:val="009A35A6"/>
    <w:rsid w:val="009A3E7C"/>
    <w:rsid w:val="009A4D57"/>
    <w:rsid w:val="009A60D1"/>
    <w:rsid w:val="009A64F5"/>
    <w:rsid w:val="009B00D2"/>
    <w:rsid w:val="009B05B3"/>
    <w:rsid w:val="009B284F"/>
    <w:rsid w:val="009B3764"/>
    <w:rsid w:val="009B4430"/>
    <w:rsid w:val="009B5F4B"/>
    <w:rsid w:val="009B66CE"/>
    <w:rsid w:val="009B6FD3"/>
    <w:rsid w:val="009B756A"/>
    <w:rsid w:val="009B7DB2"/>
    <w:rsid w:val="009C0696"/>
    <w:rsid w:val="009C1750"/>
    <w:rsid w:val="009C2A74"/>
    <w:rsid w:val="009C2E29"/>
    <w:rsid w:val="009C3E8F"/>
    <w:rsid w:val="009C554B"/>
    <w:rsid w:val="009C5EB3"/>
    <w:rsid w:val="009C656C"/>
    <w:rsid w:val="009C7126"/>
    <w:rsid w:val="009C719E"/>
    <w:rsid w:val="009C7799"/>
    <w:rsid w:val="009D07A9"/>
    <w:rsid w:val="009D0AE2"/>
    <w:rsid w:val="009D0EBB"/>
    <w:rsid w:val="009D3ACD"/>
    <w:rsid w:val="009D587D"/>
    <w:rsid w:val="009D75BE"/>
    <w:rsid w:val="009D7731"/>
    <w:rsid w:val="009E1120"/>
    <w:rsid w:val="009E178F"/>
    <w:rsid w:val="009E1922"/>
    <w:rsid w:val="009E1A3D"/>
    <w:rsid w:val="009E3B41"/>
    <w:rsid w:val="009E4715"/>
    <w:rsid w:val="009E5273"/>
    <w:rsid w:val="009E57A8"/>
    <w:rsid w:val="009E5B85"/>
    <w:rsid w:val="009E5DDB"/>
    <w:rsid w:val="009F4059"/>
    <w:rsid w:val="009F4982"/>
    <w:rsid w:val="009F4CA7"/>
    <w:rsid w:val="009F703C"/>
    <w:rsid w:val="009F74E1"/>
    <w:rsid w:val="009F7D36"/>
    <w:rsid w:val="009F7FC7"/>
    <w:rsid w:val="00A00E71"/>
    <w:rsid w:val="00A01CB0"/>
    <w:rsid w:val="00A02D00"/>
    <w:rsid w:val="00A0306F"/>
    <w:rsid w:val="00A03B10"/>
    <w:rsid w:val="00A03E2E"/>
    <w:rsid w:val="00A04616"/>
    <w:rsid w:val="00A04717"/>
    <w:rsid w:val="00A05EE4"/>
    <w:rsid w:val="00A076C8"/>
    <w:rsid w:val="00A10857"/>
    <w:rsid w:val="00A10D66"/>
    <w:rsid w:val="00A127B4"/>
    <w:rsid w:val="00A132EF"/>
    <w:rsid w:val="00A14114"/>
    <w:rsid w:val="00A1412D"/>
    <w:rsid w:val="00A1575D"/>
    <w:rsid w:val="00A16413"/>
    <w:rsid w:val="00A16545"/>
    <w:rsid w:val="00A16AED"/>
    <w:rsid w:val="00A16E1D"/>
    <w:rsid w:val="00A17A15"/>
    <w:rsid w:val="00A17D5B"/>
    <w:rsid w:val="00A201E1"/>
    <w:rsid w:val="00A20FE1"/>
    <w:rsid w:val="00A22900"/>
    <w:rsid w:val="00A22E10"/>
    <w:rsid w:val="00A23E43"/>
    <w:rsid w:val="00A24ED9"/>
    <w:rsid w:val="00A25216"/>
    <w:rsid w:val="00A2628E"/>
    <w:rsid w:val="00A2731E"/>
    <w:rsid w:val="00A309AC"/>
    <w:rsid w:val="00A30F65"/>
    <w:rsid w:val="00A319BC"/>
    <w:rsid w:val="00A3279E"/>
    <w:rsid w:val="00A34B0B"/>
    <w:rsid w:val="00A34B5F"/>
    <w:rsid w:val="00A35900"/>
    <w:rsid w:val="00A35ACA"/>
    <w:rsid w:val="00A37DAD"/>
    <w:rsid w:val="00A40EAC"/>
    <w:rsid w:val="00A418BC"/>
    <w:rsid w:val="00A41FCF"/>
    <w:rsid w:val="00A43CF8"/>
    <w:rsid w:val="00A43DF2"/>
    <w:rsid w:val="00A445A8"/>
    <w:rsid w:val="00A44B0D"/>
    <w:rsid w:val="00A44D21"/>
    <w:rsid w:val="00A45087"/>
    <w:rsid w:val="00A45489"/>
    <w:rsid w:val="00A45C56"/>
    <w:rsid w:val="00A465E9"/>
    <w:rsid w:val="00A468E7"/>
    <w:rsid w:val="00A46DE0"/>
    <w:rsid w:val="00A47CE8"/>
    <w:rsid w:val="00A50D73"/>
    <w:rsid w:val="00A52A88"/>
    <w:rsid w:val="00A52CAD"/>
    <w:rsid w:val="00A53FC7"/>
    <w:rsid w:val="00A54056"/>
    <w:rsid w:val="00A54698"/>
    <w:rsid w:val="00A54E18"/>
    <w:rsid w:val="00A55569"/>
    <w:rsid w:val="00A567D3"/>
    <w:rsid w:val="00A60276"/>
    <w:rsid w:val="00A61C55"/>
    <w:rsid w:val="00A626FF"/>
    <w:rsid w:val="00A62CE1"/>
    <w:rsid w:val="00A655D3"/>
    <w:rsid w:val="00A65FEF"/>
    <w:rsid w:val="00A662D9"/>
    <w:rsid w:val="00A66828"/>
    <w:rsid w:val="00A66B08"/>
    <w:rsid w:val="00A66B98"/>
    <w:rsid w:val="00A6741E"/>
    <w:rsid w:val="00A7016A"/>
    <w:rsid w:val="00A7018D"/>
    <w:rsid w:val="00A70337"/>
    <w:rsid w:val="00A7191D"/>
    <w:rsid w:val="00A722F9"/>
    <w:rsid w:val="00A72742"/>
    <w:rsid w:val="00A72D42"/>
    <w:rsid w:val="00A745F9"/>
    <w:rsid w:val="00A74D81"/>
    <w:rsid w:val="00A75E40"/>
    <w:rsid w:val="00A76DD3"/>
    <w:rsid w:val="00A76F33"/>
    <w:rsid w:val="00A77697"/>
    <w:rsid w:val="00A77D1D"/>
    <w:rsid w:val="00A81652"/>
    <w:rsid w:val="00A81AF2"/>
    <w:rsid w:val="00A82BFF"/>
    <w:rsid w:val="00A83150"/>
    <w:rsid w:val="00A83398"/>
    <w:rsid w:val="00A83D6E"/>
    <w:rsid w:val="00A8521A"/>
    <w:rsid w:val="00A857C0"/>
    <w:rsid w:val="00A90F2C"/>
    <w:rsid w:val="00A90FED"/>
    <w:rsid w:val="00A915CB"/>
    <w:rsid w:val="00A9189D"/>
    <w:rsid w:val="00A91AF6"/>
    <w:rsid w:val="00A91E71"/>
    <w:rsid w:val="00A925B1"/>
    <w:rsid w:val="00A92D10"/>
    <w:rsid w:val="00A934F9"/>
    <w:rsid w:val="00A95F1A"/>
    <w:rsid w:val="00A96116"/>
    <w:rsid w:val="00A9614E"/>
    <w:rsid w:val="00A96C0F"/>
    <w:rsid w:val="00A97162"/>
    <w:rsid w:val="00AA0D8A"/>
    <w:rsid w:val="00AA212F"/>
    <w:rsid w:val="00AA2199"/>
    <w:rsid w:val="00AA2996"/>
    <w:rsid w:val="00AA2AF4"/>
    <w:rsid w:val="00AA4282"/>
    <w:rsid w:val="00AA441B"/>
    <w:rsid w:val="00AA52BF"/>
    <w:rsid w:val="00AA559A"/>
    <w:rsid w:val="00AA619D"/>
    <w:rsid w:val="00AA6C31"/>
    <w:rsid w:val="00AA7CE8"/>
    <w:rsid w:val="00AB1457"/>
    <w:rsid w:val="00AB2AF1"/>
    <w:rsid w:val="00AB325B"/>
    <w:rsid w:val="00AB503F"/>
    <w:rsid w:val="00AB5A64"/>
    <w:rsid w:val="00AB5CA1"/>
    <w:rsid w:val="00AB6456"/>
    <w:rsid w:val="00AC044E"/>
    <w:rsid w:val="00AC2395"/>
    <w:rsid w:val="00AC24FA"/>
    <w:rsid w:val="00AC2960"/>
    <w:rsid w:val="00AC2AC4"/>
    <w:rsid w:val="00AC4284"/>
    <w:rsid w:val="00AC45BD"/>
    <w:rsid w:val="00AC50BB"/>
    <w:rsid w:val="00AC6149"/>
    <w:rsid w:val="00AC6259"/>
    <w:rsid w:val="00AD0EE7"/>
    <w:rsid w:val="00AD168E"/>
    <w:rsid w:val="00AD1F05"/>
    <w:rsid w:val="00AD306C"/>
    <w:rsid w:val="00AD44CD"/>
    <w:rsid w:val="00AD5AD2"/>
    <w:rsid w:val="00AD6462"/>
    <w:rsid w:val="00AD66C5"/>
    <w:rsid w:val="00AD68C4"/>
    <w:rsid w:val="00AD71F9"/>
    <w:rsid w:val="00AE019D"/>
    <w:rsid w:val="00AE09B3"/>
    <w:rsid w:val="00AE1A83"/>
    <w:rsid w:val="00AE30BE"/>
    <w:rsid w:val="00AE354B"/>
    <w:rsid w:val="00AE3707"/>
    <w:rsid w:val="00AE3E6A"/>
    <w:rsid w:val="00AE43E0"/>
    <w:rsid w:val="00AE797C"/>
    <w:rsid w:val="00AE7CE7"/>
    <w:rsid w:val="00AE7FAB"/>
    <w:rsid w:val="00AF0DE4"/>
    <w:rsid w:val="00AF10C1"/>
    <w:rsid w:val="00AF1E87"/>
    <w:rsid w:val="00AF28D4"/>
    <w:rsid w:val="00AF36D6"/>
    <w:rsid w:val="00AF436B"/>
    <w:rsid w:val="00AF5179"/>
    <w:rsid w:val="00AF5CC2"/>
    <w:rsid w:val="00AF6776"/>
    <w:rsid w:val="00AF6F98"/>
    <w:rsid w:val="00B00913"/>
    <w:rsid w:val="00B01593"/>
    <w:rsid w:val="00B01FF9"/>
    <w:rsid w:val="00B023F2"/>
    <w:rsid w:val="00B02D10"/>
    <w:rsid w:val="00B02D4D"/>
    <w:rsid w:val="00B038CA"/>
    <w:rsid w:val="00B05945"/>
    <w:rsid w:val="00B06DB4"/>
    <w:rsid w:val="00B10A4D"/>
    <w:rsid w:val="00B10C90"/>
    <w:rsid w:val="00B11002"/>
    <w:rsid w:val="00B111F5"/>
    <w:rsid w:val="00B121B2"/>
    <w:rsid w:val="00B141B6"/>
    <w:rsid w:val="00B14BC1"/>
    <w:rsid w:val="00B166B2"/>
    <w:rsid w:val="00B16EB8"/>
    <w:rsid w:val="00B17E71"/>
    <w:rsid w:val="00B17FDE"/>
    <w:rsid w:val="00B20632"/>
    <w:rsid w:val="00B20C52"/>
    <w:rsid w:val="00B212C6"/>
    <w:rsid w:val="00B2379C"/>
    <w:rsid w:val="00B23D5D"/>
    <w:rsid w:val="00B2687D"/>
    <w:rsid w:val="00B26A61"/>
    <w:rsid w:val="00B26ED6"/>
    <w:rsid w:val="00B3108D"/>
    <w:rsid w:val="00B314FA"/>
    <w:rsid w:val="00B315BE"/>
    <w:rsid w:val="00B32DDB"/>
    <w:rsid w:val="00B32F57"/>
    <w:rsid w:val="00B3345C"/>
    <w:rsid w:val="00B34528"/>
    <w:rsid w:val="00B34931"/>
    <w:rsid w:val="00B34CC9"/>
    <w:rsid w:val="00B35177"/>
    <w:rsid w:val="00B35496"/>
    <w:rsid w:val="00B3563B"/>
    <w:rsid w:val="00B35AAF"/>
    <w:rsid w:val="00B35EDB"/>
    <w:rsid w:val="00B37027"/>
    <w:rsid w:val="00B37D3A"/>
    <w:rsid w:val="00B402FC"/>
    <w:rsid w:val="00B405D1"/>
    <w:rsid w:val="00B422E2"/>
    <w:rsid w:val="00B42D5F"/>
    <w:rsid w:val="00B42F6E"/>
    <w:rsid w:val="00B436C1"/>
    <w:rsid w:val="00B439DA"/>
    <w:rsid w:val="00B4411A"/>
    <w:rsid w:val="00B46604"/>
    <w:rsid w:val="00B46CB8"/>
    <w:rsid w:val="00B47089"/>
    <w:rsid w:val="00B47587"/>
    <w:rsid w:val="00B52151"/>
    <w:rsid w:val="00B52818"/>
    <w:rsid w:val="00B530CD"/>
    <w:rsid w:val="00B53C7D"/>
    <w:rsid w:val="00B53E56"/>
    <w:rsid w:val="00B552ED"/>
    <w:rsid w:val="00B55A97"/>
    <w:rsid w:val="00B55F5E"/>
    <w:rsid w:val="00B560AD"/>
    <w:rsid w:val="00B5649D"/>
    <w:rsid w:val="00B56B6F"/>
    <w:rsid w:val="00B5752E"/>
    <w:rsid w:val="00B60234"/>
    <w:rsid w:val="00B60AC1"/>
    <w:rsid w:val="00B62316"/>
    <w:rsid w:val="00B63A11"/>
    <w:rsid w:val="00B63B09"/>
    <w:rsid w:val="00B64425"/>
    <w:rsid w:val="00B64C24"/>
    <w:rsid w:val="00B65336"/>
    <w:rsid w:val="00B65CEF"/>
    <w:rsid w:val="00B6608F"/>
    <w:rsid w:val="00B679FB"/>
    <w:rsid w:val="00B732FE"/>
    <w:rsid w:val="00B73A14"/>
    <w:rsid w:val="00B73B11"/>
    <w:rsid w:val="00B7592B"/>
    <w:rsid w:val="00B7680F"/>
    <w:rsid w:val="00B76D1E"/>
    <w:rsid w:val="00B77543"/>
    <w:rsid w:val="00B77584"/>
    <w:rsid w:val="00B77CE4"/>
    <w:rsid w:val="00B80EC6"/>
    <w:rsid w:val="00B81288"/>
    <w:rsid w:val="00B81AA0"/>
    <w:rsid w:val="00B81D70"/>
    <w:rsid w:val="00B8203E"/>
    <w:rsid w:val="00B831FB"/>
    <w:rsid w:val="00B833B9"/>
    <w:rsid w:val="00B83E07"/>
    <w:rsid w:val="00B84CF6"/>
    <w:rsid w:val="00B85016"/>
    <w:rsid w:val="00B8561A"/>
    <w:rsid w:val="00B86643"/>
    <w:rsid w:val="00B86E56"/>
    <w:rsid w:val="00B90131"/>
    <w:rsid w:val="00B92951"/>
    <w:rsid w:val="00B92D1D"/>
    <w:rsid w:val="00B92E9A"/>
    <w:rsid w:val="00B930CE"/>
    <w:rsid w:val="00B938C5"/>
    <w:rsid w:val="00B94BA6"/>
    <w:rsid w:val="00B9554A"/>
    <w:rsid w:val="00B95940"/>
    <w:rsid w:val="00B95ACA"/>
    <w:rsid w:val="00B95B92"/>
    <w:rsid w:val="00B9632F"/>
    <w:rsid w:val="00B97ACC"/>
    <w:rsid w:val="00BA0495"/>
    <w:rsid w:val="00BA098F"/>
    <w:rsid w:val="00BA1866"/>
    <w:rsid w:val="00BA3787"/>
    <w:rsid w:val="00BA46E8"/>
    <w:rsid w:val="00BA554E"/>
    <w:rsid w:val="00BA6436"/>
    <w:rsid w:val="00BA684E"/>
    <w:rsid w:val="00BA6C2B"/>
    <w:rsid w:val="00BA7B64"/>
    <w:rsid w:val="00BB02A3"/>
    <w:rsid w:val="00BB0351"/>
    <w:rsid w:val="00BB15C3"/>
    <w:rsid w:val="00BB1AF4"/>
    <w:rsid w:val="00BB2202"/>
    <w:rsid w:val="00BB3C6B"/>
    <w:rsid w:val="00BB3FD6"/>
    <w:rsid w:val="00BB453F"/>
    <w:rsid w:val="00BB46F3"/>
    <w:rsid w:val="00BB4CB1"/>
    <w:rsid w:val="00BB4F98"/>
    <w:rsid w:val="00BB5ABF"/>
    <w:rsid w:val="00BB6EA2"/>
    <w:rsid w:val="00BB7B5B"/>
    <w:rsid w:val="00BC003F"/>
    <w:rsid w:val="00BC327F"/>
    <w:rsid w:val="00BC3816"/>
    <w:rsid w:val="00BC4291"/>
    <w:rsid w:val="00BC5332"/>
    <w:rsid w:val="00BC5C12"/>
    <w:rsid w:val="00BC7154"/>
    <w:rsid w:val="00BC731E"/>
    <w:rsid w:val="00BC7614"/>
    <w:rsid w:val="00BD25BB"/>
    <w:rsid w:val="00BD2AF8"/>
    <w:rsid w:val="00BD305F"/>
    <w:rsid w:val="00BD366B"/>
    <w:rsid w:val="00BD4A73"/>
    <w:rsid w:val="00BD4F09"/>
    <w:rsid w:val="00BD59F1"/>
    <w:rsid w:val="00BD6C75"/>
    <w:rsid w:val="00BD6D50"/>
    <w:rsid w:val="00BE0AD1"/>
    <w:rsid w:val="00BE0EF9"/>
    <w:rsid w:val="00BE1093"/>
    <w:rsid w:val="00BE117B"/>
    <w:rsid w:val="00BE18B9"/>
    <w:rsid w:val="00BE190A"/>
    <w:rsid w:val="00BE2495"/>
    <w:rsid w:val="00BE24DD"/>
    <w:rsid w:val="00BE3745"/>
    <w:rsid w:val="00BE386D"/>
    <w:rsid w:val="00BE4314"/>
    <w:rsid w:val="00BE557B"/>
    <w:rsid w:val="00BE5B92"/>
    <w:rsid w:val="00BE6F74"/>
    <w:rsid w:val="00BF02C8"/>
    <w:rsid w:val="00BF1578"/>
    <w:rsid w:val="00BF1D12"/>
    <w:rsid w:val="00BF1D3A"/>
    <w:rsid w:val="00BF2B5B"/>
    <w:rsid w:val="00BF32DC"/>
    <w:rsid w:val="00BF430C"/>
    <w:rsid w:val="00BF4E43"/>
    <w:rsid w:val="00BF5C4C"/>
    <w:rsid w:val="00BF5D23"/>
    <w:rsid w:val="00BF6F62"/>
    <w:rsid w:val="00BF717A"/>
    <w:rsid w:val="00C009D1"/>
    <w:rsid w:val="00C00BD7"/>
    <w:rsid w:val="00C01410"/>
    <w:rsid w:val="00C02F64"/>
    <w:rsid w:val="00C04B78"/>
    <w:rsid w:val="00C052AA"/>
    <w:rsid w:val="00C06EE3"/>
    <w:rsid w:val="00C07749"/>
    <w:rsid w:val="00C07ADB"/>
    <w:rsid w:val="00C07F12"/>
    <w:rsid w:val="00C11A15"/>
    <w:rsid w:val="00C11D48"/>
    <w:rsid w:val="00C125A0"/>
    <w:rsid w:val="00C1493E"/>
    <w:rsid w:val="00C15AE9"/>
    <w:rsid w:val="00C15DBD"/>
    <w:rsid w:val="00C17E2F"/>
    <w:rsid w:val="00C2010D"/>
    <w:rsid w:val="00C20CB5"/>
    <w:rsid w:val="00C20F4B"/>
    <w:rsid w:val="00C21430"/>
    <w:rsid w:val="00C21E61"/>
    <w:rsid w:val="00C21F94"/>
    <w:rsid w:val="00C223C3"/>
    <w:rsid w:val="00C23334"/>
    <w:rsid w:val="00C233A6"/>
    <w:rsid w:val="00C234DB"/>
    <w:rsid w:val="00C2479A"/>
    <w:rsid w:val="00C24903"/>
    <w:rsid w:val="00C24CEC"/>
    <w:rsid w:val="00C255C4"/>
    <w:rsid w:val="00C2590D"/>
    <w:rsid w:val="00C25D9C"/>
    <w:rsid w:val="00C27913"/>
    <w:rsid w:val="00C303A4"/>
    <w:rsid w:val="00C31F21"/>
    <w:rsid w:val="00C32631"/>
    <w:rsid w:val="00C33301"/>
    <w:rsid w:val="00C33311"/>
    <w:rsid w:val="00C33B68"/>
    <w:rsid w:val="00C35570"/>
    <w:rsid w:val="00C36A79"/>
    <w:rsid w:val="00C401D2"/>
    <w:rsid w:val="00C4031A"/>
    <w:rsid w:val="00C405D4"/>
    <w:rsid w:val="00C419D5"/>
    <w:rsid w:val="00C43D63"/>
    <w:rsid w:val="00C44A31"/>
    <w:rsid w:val="00C4513B"/>
    <w:rsid w:val="00C50E79"/>
    <w:rsid w:val="00C525FB"/>
    <w:rsid w:val="00C5385B"/>
    <w:rsid w:val="00C5390B"/>
    <w:rsid w:val="00C53DBC"/>
    <w:rsid w:val="00C54257"/>
    <w:rsid w:val="00C54697"/>
    <w:rsid w:val="00C550CE"/>
    <w:rsid w:val="00C553A5"/>
    <w:rsid w:val="00C55402"/>
    <w:rsid w:val="00C5603B"/>
    <w:rsid w:val="00C568D3"/>
    <w:rsid w:val="00C6014A"/>
    <w:rsid w:val="00C608AF"/>
    <w:rsid w:val="00C61F47"/>
    <w:rsid w:val="00C62828"/>
    <w:rsid w:val="00C638ED"/>
    <w:rsid w:val="00C719A3"/>
    <w:rsid w:val="00C71AC9"/>
    <w:rsid w:val="00C71D2F"/>
    <w:rsid w:val="00C72161"/>
    <w:rsid w:val="00C72984"/>
    <w:rsid w:val="00C73101"/>
    <w:rsid w:val="00C73885"/>
    <w:rsid w:val="00C73C93"/>
    <w:rsid w:val="00C7435A"/>
    <w:rsid w:val="00C747B1"/>
    <w:rsid w:val="00C75A58"/>
    <w:rsid w:val="00C77454"/>
    <w:rsid w:val="00C82191"/>
    <w:rsid w:val="00C82778"/>
    <w:rsid w:val="00C83134"/>
    <w:rsid w:val="00C832F3"/>
    <w:rsid w:val="00C85545"/>
    <w:rsid w:val="00C855B5"/>
    <w:rsid w:val="00C85F0E"/>
    <w:rsid w:val="00C90CF4"/>
    <w:rsid w:val="00C922DE"/>
    <w:rsid w:val="00C92843"/>
    <w:rsid w:val="00C92EB6"/>
    <w:rsid w:val="00C93389"/>
    <w:rsid w:val="00CA0346"/>
    <w:rsid w:val="00CA1BD6"/>
    <w:rsid w:val="00CA1E35"/>
    <w:rsid w:val="00CA37FF"/>
    <w:rsid w:val="00CA423A"/>
    <w:rsid w:val="00CA44A3"/>
    <w:rsid w:val="00CA5554"/>
    <w:rsid w:val="00CA6AB4"/>
    <w:rsid w:val="00CB04F1"/>
    <w:rsid w:val="00CB172B"/>
    <w:rsid w:val="00CB2351"/>
    <w:rsid w:val="00CB4930"/>
    <w:rsid w:val="00CB4C63"/>
    <w:rsid w:val="00CB5A48"/>
    <w:rsid w:val="00CB5CA9"/>
    <w:rsid w:val="00CB5E10"/>
    <w:rsid w:val="00CB613B"/>
    <w:rsid w:val="00CB6152"/>
    <w:rsid w:val="00CC04E9"/>
    <w:rsid w:val="00CC0834"/>
    <w:rsid w:val="00CC20FE"/>
    <w:rsid w:val="00CC2E7D"/>
    <w:rsid w:val="00CC655F"/>
    <w:rsid w:val="00CC6F86"/>
    <w:rsid w:val="00CC6FE5"/>
    <w:rsid w:val="00CC76BD"/>
    <w:rsid w:val="00CD10A5"/>
    <w:rsid w:val="00CD1129"/>
    <w:rsid w:val="00CD1262"/>
    <w:rsid w:val="00CD15D7"/>
    <w:rsid w:val="00CD1A80"/>
    <w:rsid w:val="00CD1CB5"/>
    <w:rsid w:val="00CD1CFD"/>
    <w:rsid w:val="00CD2076"/>
    <w:rsid w:val="00CD24CE"/>
    <w:rsid w:val="00CD29B5"/>
    <w:rsid w:val="00CD2B78"/>
    <w:rsid w:val="00CD37B1"/>
    <w:rsid w:val="00CD3FAB"/>
    <w:rsid w:val="00CD5456"/>
    <w:rsid w:val="00CD5798"/>
    <w:rsid w:val="00CD5C3E"/>
    <w:rsid w:val="00CD6331"/>
    <w:rsid w:val="00CE0BC4"/>
    <w:rsid w:val="00CE0D1A"/>
    <w:rsid w:val="00CE14BE"/>
    <w:rsid w:val="00CE17A4"/>
    <w:rsid w:val="00CE1BA9"/>
    <w:rsid w:val="00CE2A6D"/>
    <w:rsid w:val="00CE2BC4"/>
    <w:rsid w:val="00CE2D8F"/>
    <w:rsid w:val="00CE38E2"/>
    <w:rsid w:val="00CE47B8"/>
    <w:rsid w:val="00CE62FA"/>
    <w:rsid w:val="00CE670B"/>
    <w:rsid w:val="00CE6833"/>
    <w:rsid w:val="00CE69DA"/>
    <w:rsid w:val="00CE7483"/>
    <w:rsid w:val="00CF4908"/>
    <w:rsid w:val="00CF51EC"/>
    <w:rsid w:val="00CF545D"/>
    <w:rsid w:val="00CF5873"/>
    <w:rsid w:val="00CF6B3C"/>
    <w:rsid w:val="00CF73AE"/>
    <w:rsid w:val="00D01462"/>
    <w:rsid w:val="00D0242D"/>
    <w:rsid w:val="00D03A72"/>
    <w:rsid w:val="00D040DD"/>
    <w:rsid w:val="00D05C65"/>
    <w:rsid w:val="00D06ACE"/>
    <w:rsid w:val="00D06D68"/>
    <w:rsid w:val="00D06E66"/>
    <w:rsid w:val="00D075BE"/>
    <w:rsid w:val="00D07D13"/>
    <w:rsid w:val="00D10C15"/>
    <w:rsid w:val="00D11476"/>
    <w:rsid w:val="00D11C6C"/>
    <w:rsid w:val="00D12C25"/>
    <w:rsid w:val="00D1316D"/>
    <w:rsid w:val="00D133B4"/>
    <w:rsid w:val="00D13986"/>
    <w:rsid w:val="00D14C5B"/>
    <w:rsid w:val="00D15FED"/>
    <w:rsid w:val="00D214EF"/>
    <w:rsid w:val="00D21D6D"/>
    <w:rsid w:val="00D21D83"/>
    <w:rsid w:val="00D22F7B"/>
    <w:rsid w:val="00D235B7"/>
    <w:rsid w:val="00D23FAE"/>
    <w:rsid w:val="00D25F28"/>
    <w:rsid w:val="00D26071"/>
    <w:rsid w:val="00D269B9"/>
    <w:rsid w:val="00D27973"/>
    <w:rsid w:val="00D31537"/>
    <w:rsid w:val="00D31E1E"/>
    <w:rsid w:val="00D32663"/>
    <w:rsid w:val="00D32824"/>
    <w:rsid w:val="00D334E2"/>
    <w:rsid w:val="00D35AD6"/>
    <w:rsid w:val="00D35BBB"/>
    <w:rsid w:val="00D35E1A"/>
    <w:rsid w:val="00D35E5F"/>
    <w:rsid w:val="00D36DFB"/>
    <w:rsid w:val="00D36E1C"/>
    <w:rsid w:val="00D373AF"/>
    <w:rsid w:val="00D37A6A"/>
    <w:rsid w:val="00D4026D"/>
    <w:rsid w:val="00D40556"/>
    <w:rsid w:val="00D41ED8"/>
    <w:rsid w:val="00D41F74"/>
    <w:rsid w:val="00D4399E"/>
    <w:rsid w:val="00D43ED2"/>
    <w:rsid w:val="00D50F46"/>
    <w:rsid w:val="00D53057"/>
    <w:rsid w:val="00D5384E"/>
    <w:rsid w:val="00D53DF6"/>
    <w:rsid w:val="00D544E7"/>
    <w:rsid w:val="00D56409"/>
    <w:rsid w:val="00D56FBF"/>
    <w:rsid w:val="00D57677"/>
    <w:rsid w:val="00D57BAD"/>
    <w:rsid w:val="00D60415"/>
    <w:rsid w:val="00D61291"/>
    <w:rsid w:val="00D61B52"/>
    <w:rsid w:val="00D6215F"/>
    <w:rsid w:val="00D635D3"/>
    <w:rsid w:val="00D63BE5"/>
    <w:rsid w:val="00D63F6B"/>
    <w:rsid w:val="00D6475F"/>
    <w:rsid w:val="00D66223"/>
    <w:rsid w:val="00D6670E"/>
    <w:rsid w:val="00D66756"/>
    <w:rsid w:val="00D667B8"/>
    <w:rsid w:val="00D66B08"/>
    <w:rsid w:val="00D671CD"/>
    <w:rsid w:val="00D6758B"/>
    <w:rsid w:val="00D70289"/>
    <w:rsid w:val="00D70822"/>
    <w:rsid w:val="00D72076"/>
    <w:rsid w:val="00D726A9"/>
    <w:rsid w:val="00D743E0"/>
    <w:rsid w:val="00D75CB7"/>
    <w:rsid w:val="00D76025"/>
    <w:rsid w:val="00D77252"/>
    <w:rsid w:val="00D8084C"/>
    <w:rsid w:val="00D81809"/>
    <w:rsid w:val="00D82EF1"/>
    <w:rsid w:val="00D84246"/>
    <w:rsid w:val="00D84F43"/>
    <w:rsid w:val="00D85821"/>
    <w:rsid w:val="00D8598C"/>
    <w:rsid w:val="00D85B26"/>
    <w:rsid w:val="00D864D0"/>
    <w:rsid w:val="00D87C06"/>
    <w:rsid w:val="00D915EA"/>
    <w:rsid w:val="00D922A1"/>
    <w:rsid w:val="00D924E9"/>
    <w:rsid w:val="00D928BE"/>
    <w:rsid w:val="00D95C5D"/>
    <w:rsid w:val="00D97D00"/>
    <w:rsid w:val="00DA06E8"/>
    <w:rsid w:val="00DA096C"/>
    <w:rsid w:val="00DA1AB6"/>
    <w:rsid w:val="00DA26C4"/>
    <w:rsid w:val="00DA35CD"/>
    <w:rsid w:val="00DA368A"/>
    <w:rsid w:val="00DA3BCB"/>
    <w:rsid w:val="00DA3BE9"/>
    <w:rsid w:val="00DA544C"/>
    <w:rsid w:val="00DA5F8E"/>
    <w:rsid w:val="00DA6364"/>
    <w:rsid w:val="00DA6520"/>
    <w:rsid w:val="00DA653C"/>
    <w:rsid w:val="00DA6792"/>
    <w:rsid w:val="00DA69EF"/>
    <w:rsid w:val="00DA7114"/>
    <w:rsid w:val="00DA7C0C"/>
    <w:rsid w:val="00DA7C4E"/>
    <w:rsid w:val="00DB08A9"/>
    <w:rsid w:val="00DB08D8"/>
    <w:rsid w:val="00DB0C5D"/>
    <w:rsid w:val="00DB212F"/>
    <w:rsid w:val="00DB2DFA"/>
    <w:rsid w:val="00DB2EC8"/>
    <w:rsid w:val="00DB33D2"/>
    <w:rsid w:val="00DB38E0"/>
    <w:rsid w:val="00DB459B"/>
    <w:rsid w:val="00DB5D35"/>
    <w:rsid w:val="00DB5E9A"/>
    <w:rsid w:val="00DB657E"/>
    <w:rsid w:val="00DB7342"/>
    <w:rsid w:val="00DB7DA2"/>
    <w:rsid w:val="00DC002D"/>
    <w:rsid w:val="00DC169F"/>
    <w:rsid w:val="00DC17D0"/>
    <w:rsid w:val="00DC2B41"/>
    <w:rsid w:val="00DC3683"/>
    <w:rsid w:val="00DC435B"/>
    <w:rsid w:val="00DC53D8"/>
    <w:rsid w:val="00DC56FE"/>
    <w:rsid w:val="00DC5B3B"/>
    <w:rsid w:val="00DC6C2D"/>
    <w:rsid w:val="00DC7B1A"/>
    <w:rsid w:val="00DD129F"/>
    <w:rsid w:val="00DD32DD"/>
    <w:rsid w:val="00DD3F86"/>
    <w:rsid w:val="00DD5287"/>
    <w:rsid w:val="00DD59A0"/>
    <w:rsid w:val="00DD6C73"/>
    <w:rsid w:val="00DD7150"/>
    <w:rsid w:val="00DE0D8B"/>
    <w:rsid w:val="00DE1237"/>
    <w:rsid w:val="00DE140F"/>
    <w:rsid w:val="00DE2491"/>
    <w:rsid w:val="00DE3B58"/>
    <w:rsid w:val="00DE7AC8"/>
    <w:rsid w:val="00DF1857"/>
    <w:rsid w:val="00DF358E"/>
    <w:rsid w:val="00DF3613"/>
    <w:rsid w:val="00DF3643"/>
    <w:rsid w:val="00DF42FF"/>
    <w:rsid w:val="00DF4369"/>
    <w:rsid w:val="00DF4423"/>
    <w:rsid w:val="00DF4ADF"/>
    <w:rsid w:val="00DF5D1E"/>
    <w:rsid w:val="00E01C0E"/>
    <w:rsid w:val="00E0368F"/>
    <w:rsid w:val="00E03D73"/>
    <w:rsid w:val="00E03F9A"/>
    <w:rsid w:val="00E04694"/>
    <w:rsid w:val="00E06050"/>
    <w:rsid w:val="00E129E7"/>
    <w:rsid w:val="00E12ABE"/>
    <w:rsid w:val="00E12B1E"/>
    <w:rsid w:val="00E13BA4"/>
    <w:rsid w:val="00E1444C"/>
    <w:rsid w:val="00E161D9"/>
    <w:rsid w:val="00E16A95"/>
    <w:rsid w:val="00E17262"/>
    <w:rsid w:val="00E20016"/>
    <w:rsid w:val="00E2009B"/>
    <w:rsid w:val="00E20154"/>
    <w:rsid w:val="00E20BB9"/>
    <w:rsid w:val="00E21661"/>
    <w:rsid w:val="00E2251C"/>
    <w:rsid w:val="00E22716"/>
    <w:rsid w:val="00E2363D"/>
    <w:rsid w:val="00E2385F"/>
    <w:rsid w:val="00E238E5"/>
    <w:rsid w:val="00E23C6A"/>
    <w:rsid w:val="00E253A2"/>
    <w:rsid w:val="00E256D7"/>
    <w:rsid w:val="00E260F6"/>
    <w:rsid w:val="00E27127"/>
    <w:rsid w:val="00E27233"/>
    <w:rsid w:val="00E31771"/>
    <w:rsid w:val="00E31A3E"/>
    <w:rsid w:val="00E32080"/>
    <w:rsid w:val="00E3309D"/>
    <w:rsid w:val="00E33FE9"/>
    <w:rsid w:val="00E364EF"/>
    <w:rsid w:val="00E378B1"/>
    <w:rsid w:val="00E417BE"/>
    <w:rsid w:val="00E41CD5"/>
    <w:rsid w:val="00E43673"/>
    <w:rsid w:val="00E43A9E"/>
    <w:rsid w:val="00E44766"/>
    <w:rsid w:val="00E453F9"/>
    <w:rsid w:val="00E45D7D"/>
    <w:rsid w:val="00E4665D"/>
    <w:rsid w:val="00E46661"/>
    <w:rsid w:val="00E47854"/>
    <w:rsid w:val="00E47DFE"/>
    <w:rsid w:val="00E47EBA"/>
    <w:rsid w:val="00E50156"/>
    <w:rsid w:val="00E5076C"/>
    <w:rsid w:val="00E50D2E"/>
    <w:rsid w:val="00E50E4A"/>
    <w:rsid w:val="00E53470"/>
    <w:rsid w:val="00E539F6"/>
    <w:rsid w:val="00E54698"/>
    <w:rsid w:val="00E55791"/>
    <w:rsid w:val="00E578A2"/>
    <w:rsid w:val="00E61740"/>
    <w:rsid w:val="00E61EB5"/>
    <w:rsid w:val="00E6326B"/>
    <w:rsid w:val="00E6519D"/>
    <w:rsid w:val="00E66062"/>
    <w:rsid w:val="00E67305"/>
    <w:rsid w:val="00E67696"/>
    <w:rsid w:val="00E702E4"/>
    <w:rsid w:val="00E70DC9"/>
    <w:rsid w:val="00E71A58"/>
    <w:rsid w:val="00E72A26"/>
    <w:rsid w:val="00E72A7A"/>
    <w:rsid w:val="00E747DC"/>
    <w:rsid w:val="00E75C94"/>
    <w:rsid w:val="00E76110"/>
    <w:rsid w:val="00E76B9B"/>
    <w:rsid w:val="00E76E61"/>
    <w:rsid w:val="00E771F0"/>
    <w:rsid w:val="00E77929"/>
    <w:rsid w:val="00E80CA3"/>
    <w:rsid w:val="00E82618"/>
    <w:rsid w:val="00E8277F"/>
    <w:rsid w:val="00E8593F"/>
    <w:rsid w:val="00E90CA8"/>
    <w:rsid w:val="00E90E6E"/>
    <w:rsid w:val="00E919CC"/>
    <w:rsid w:val="00E92118"/>
    <w:rsid w:val="00E930A1"/>
    <w:rsid w:val="00E93820"/>
    <w:rsid w:val="00E94A86"/>
    <w:rsid w:val="00E96143"/>
    <w:rsid w:val="00E96833"/>
    <w:rsid w:val="00E96BA3"/>
    <w:rsid w:val="00EA01E3"/>
    <w:rsid w:val="00EA0C68"/>
    <w:rsid w:val="00EA1504"/>
    <w:rsid w:val="00EA1D0E"/>
    <w:rsid w:val="00EA2841"/>
    <w:rsid w:val="00EA32BC"/>
    <w:rsid w:val="00EA35A7"/>
    <w:rsid w:val="00EA3B32"/>
    <w:rsid w:val="00EA3D05"/>
    <w:rsid w:val="00EA4402"/>
    <w:rsid w:val="00EA513E"/>
    <w:rsid w:val="00EA596C"/>
    <w:rsid w:val="00EA7419"/>
    <w:rsid w:val="00EB0E32"/>
    <w:rsid w:val="00EB4511"/>
    <w:rsid w:val="00EB4A8E"/>
    <w:rsid w:val="00EB4BC5"/>
    <w:rsid w:val="00EB5BF7"/>
    <w:rsid w:val="00EB5E79"/>
    <w:rsid w:val="00EB6081"/>
    <w:rsid w:val="00EB6FAC"/>
    <w:rsid w:val="00EC03D7"/>
    <w:rsid w:val="00EC13A7"/>
    <w:rsid w:val="00EC1829"/>
    <w:rsid w:val="00EC1A2B"/>
    <w:rsid w:val="00EC2EB6"/>
    <w:rsid w:val="00EC7BC7"/>
    <w:rsid w:val="00ED0495"/>
    <w:rsid w:val="00ED0EF0"/>
    <w:rsid w:val="00ED12B9"/>
    <w:rsid w:val="00ED16B8"/>
    <w:rsid w:val="00ED2EA1"/>
    <w:rsid w:val="00ED3F10"/>
    <w:rsid w:val="00ED4D04"/>
    <w:rsid w:val="00ED5990"/>
    <w:rsid w:val="00ED5F5B"/>
    <w:rsid w:val="00ED62C6"/>
    <w:rsid w:val="00ED64C1"/>
    <w:rsid w:val="00ED6516"/>
    <w:rsid w:val="00EE0A6C"/>
    <w:rsid w:val="00EE3446"/>
    <w:rsid w:val="00EE3E78"/>
    <w:rsid w:val="00EE4B1B"/>
    <w:rsid w:val="00EE5FBA"/>
    <w:rsid w:val="00EE6E06"/>
    <w:rsid w:val="00EF0C83"/>
    <w:rsid w:val="00EF150D"/>
    <w:rsid w:val="00EF1F5A"/>
    <w:rsid w:val="00EF47BF"/>
    <w:rsid w:val="00EF5A13"/>
    <w:rsid w:val="00EF5FF9"/>
    <w:rsid w:val="00EF6BDC"/>
    <w:rsid w:val="00EF7CC7"/>
    <w:rsid w:val="00F01084"/>
    <w:rsid w:val="00F0160B"/>
    <w:rsid w:val="00F017E4"/>
    <w:rsid w:val="00F03F8D"/>
    <w:rsid w:val="00F040BC"/>
    <w:rsid w:val="00F04811"/>
    <w:rsid w:val="00F0488C"/>
    <w:rsid w:val="00F073ED"/>
    <w:rsid w:val="00F07C4C"/>
    <w:rsid w:val="00F10941"/>
    <w:rsid w:val="00F10F11"/>
    <w:rsid w:val="00F12CFB"/>
    <w:rsid w:val="00F12CFF"/>
    <w:rsid w:val="00F15AAA"/>
    <w:rsid w:val="00F15BEF"/>
    <w:rsid w:val="00F17898"/>
    <w:rsid w:val="00F20242"/>
    <w:rsid w:val="00F207C2"/>
    <w:rsid w:val="00F20BA9"/>
    <w:rsid w:val="00F219A1"/>
    <w:rsid w:val="00F23E20"/>
    <w:rsid w:val="00F23E40"/>
    <w:rsid w:val="00F24407"/>
    <w:rsid w:val="00F24FAA"/>
    <w:rsid w:val="00F25040"/>
    <w:rsid w:val="00F2665F"/>
    <w:rsid w:val="00F27071"/>
    <w:rsid w:val="00F27331"/>
    <w:rsid w:val="00F27EE5"/>
    <w:rsid w:val="00F30C65"/>
    <w:rsid w:val="00F32053"/>
    <w:rsid w:val="00F325F9"/>
    <w:rsid w:val="00F33523"/>
    <w:rsid w:val="00F3364D"/>
    <w:rsid w:val="00F3404D"/>
    <w:rsid w:val="00F349BF"/>
    <w:rsid w:val="00F34DDC"/>
    <w:rsid w:val="00F379A9"/>
    <w:rsid w:val="00F37EDC"/>
    <w:rsid w:val="00F432EE"/>
    <w:rsid w:val="00F437CC"/>
    <w:rsid w:val="00F44537"/>
    <w:rsid w:val="00F44640"/>
    <w:rsid w:val="00F46185"/>
    <w:rsid w:val="00F46423"/>
    <w:rsid w:val="00F4696A"/>
    <w:rsid w:val="00F46F70"/>
    <w:rsid w:val="00F47067"/>
    <w:rsid w:val="00F47B07"/>
    <w:rsid w:val="00F500AA"/>
    <w:rsid w:val="00F508F3"/>
    <w:rsid w:val="00F525EB"/>
    <w:rsid w:val="00F52CB5"/>
    <w:rsid w:val="00F5392C"/>
    <w:rsid w:val="00F53A68"/>
    <w:rsid w:val="00F55A92"/>
    <w:rsid w:val="00F55B87"/>
    <w:rsid w:val="00F57E16"/>
    <w:rsid w:val="00F602CF"/>
    <w:rsid w:val="00F614F7"/>
    <w:rsid w:val="00F6217C"/>
    <w:rsid w:val="00F62BFF"/>
    <w:rsid w:val="00F63AAE"/>
    <w:rsid w:val="00F63DDE"/>
    <w:rsid w:val="00F63FB7"/>
    <w:rsid w:val="00F6421B"/>
    <w:rsid w:val="00F649D2"/>
    <w:rsid w:val="00F64C6F"/>
    <w:rsid w:val="00F655EF"/>
    <w:rsid w:val="00F6602B"/>
    <w:rsid w:val="00F7150B"/>
    <w:rsid w:val="00F71DE6"/>
    <w:rsid w:val="00F72D71"/>
    <w:rsid w:val="00F7381C"/>
    <w:rsid w:val="00F73A0C"/>
    <w:rsid w:val="00F7549F"/>
    <w:rsid w:val="00F75580"/>
    <w:rsid w:val="00F756DB"/>
    <w:rsid w:val="00F767A8"/>
    <w:rsid w:val="00F768CC"/>
    <w:rsid w:val="00F8184A"/>
    <w:rsid w:val="00F83FF0"/>
    <w:rsid w:val="00F84E7D"/>
    <w:rsid w:val="00F85066"/>
    <w:rsid w:val="00F85761"/>
    <w:rsid w:val="00F87A4D"/>
    <w:rsid w:val="00F90814"/>
    <w:rsid w:val="00F913B7"/>
    <w:rsid w:val="00F93688"/>
    <w:rsid w:val="00F939F3"/>
    <w:rsid w:val="00F93D8A"/>
    <w:rsid w:val="00F959CC"/>
    <w:rsid w:val="00F9644E"/>
    <w:rsid w:val="00F97E48"/>
    <w:rsid w:val="00FA0105"/>
    <w:rsid w:val="00FA05A0"/>
    <w:rsid w:val="00FA08BA"/>
    <w:rsid w:val="00FA17CC"/>
    <w:rsid w:val="00FA1F01"/>
    <w:rsid w:val="00FA26DF"/>
    <w:rsid w:val="00FA38FB"/>
    <w:rsid w:val="00FA5112"/>
    <w:rsid w:val="00FA5526"/>
    <w:rsid w:val="00FA5BC0"/>
    <w:rsid w:val="00FA5D4D"/>
    <w:rsid w:val="00FA6637"/>
    <w:rsid w:val="00FA70D3"/>
    <w:rsid w:val="00FA7AEC"/>
    <w:rsid w:val="00FB0AEA"/>
    <w:rsid w:val="00FB0EE2"/>
    <w:rsid w:val="00FB1762"/>
    <w:rsid w:val="00FB1A79"/>
    <w:rsid w:val="00FB208B"/>
    <w:rsid w:val="00FB256A"/>
    <w:rsid w:val="00FB2B2D"/>
    <w:rsid w:val="00FB5302"/>
    <w:rsid w:val="00FB542E"/>
    <w:rsid w:val="00FB564F"/>
    <w:rsid w:val="00FB662B"/>
    <w:rsid w:val="00FB6977"/>
    <w:rsid w:val="00FB7473"/>
    <w:rsid w:val="00FB7DBB"/>
    <w:rsid w:val="00FC05F8"/>
    <w:rsid w:val="00FC0E5F"/>
    <w:rsid w:val="00FC1266"/>
    <w:rsid w:val="00FC16F6"/>
    <w:rsid w:val="00FC1A95"/>
    <w:rsid w:val="00FC1ED4"/>
    <w:rsid w:val="00FC36BA"/>
    <w:rsid w:val="00FC3BEC"/>
    <w:rsid w:val="00FC440B"/>
    <w:rsid w:val="00FC56DE"/>
    <w:rsid w:val="00FC5A83"/>
    <w:rsid w:val="00FC64DE"/>
    <w:rsid w:val="00FC684B"/>
    <w:rsid w:val="00FC7132"/>
    <w:rsid w:val="00FC7D98"/>
    <w:rsid w:val="00FD1135"/>
    <w:rsid w:val="00FD3265"/>
    <w:rsid w:val="00FD3CF7"/>
    <w:rsid w:val="00FD4916"/>
    <w:rsid w:val="00FD4D12"/>
    <w:rsid w:val="00FD4DCD"/>
    <w:rsid w:val="00FD4F73"/>
    <w:rsid w:val="00FD595E"/>
    <w:rsid w:val="00FD6633"/>
    <w:rsid w:val="00FD7AFE"/>
    <w:rsid w:val="00FE27C7"/>
    <w:rsid w:val="00FE2C7E"/>
    <w:rsid w:val="00FE2E2B"/>
    <w:rsid w:val="00FE2F78"/>
    <w:rsid w:val="00FE3137"/>
    <w:rsid w:val="00FE3942"/>
    <w:rsid w:val="00FE3B9E"/>
    <w:rsid w:val="00FE48E4"/>
    <w:rsid w:val="00FE634C"/>
    <w:rsid w:val="00FE6E69"/>
    <w:rsid w:val="00FE6F59"/>
    <w:rsid w:val="00FE7013"/>
    <w:rsid w:val="00FF036B"/>
    <w:rsid w:val="00FF2C2F"/>
    <w:rsid w:val="00FF2EF4"/>
    <w:rsid w:val="00FF3D76"/>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34B4848"/>
  <w15:docId w15:val="{4227B688-5359-4AB5-96D5-D86FA480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37986801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header" Target="header2.xml"/><Relationship Id="rId26" Type="http://schemas.openxmlformats.org/officeDocument/2006/relationships/chart" Target="charts/chart14.xml"/><Relationship Id="rId3" Type="http://schemas.openxmlformats.org/officeDocument/2006/relationships/numbering" Target="numbering.xml"/><Relationship Id="rId21" Type="http://schemas.openxmlformats.org/officeDocument/2006/relationships/chart" Target="charts/chart9.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5" Type="http://schemas.openxmlformats.org/officeDocument/2006/relationships/chart" Target="charts/chart13.xml"/><Relationship Id="rId33" Type="http://schemas.openxmlformats.org/officeDocument/2006/relationships/chart" Target="charts/chart21.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oter" Target="footer2.xml"/><Relationship Id="rId29" Type="http://schemas.openxmlformats.org/officeDocument/2006/relationships/chart" Target="charts/chart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2.xml"/><Relationship Id="rId32" Type="http://schemas.openxmlformats.org/officeDocument/2006/relationships/chart" Target="charts/chart20.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1.xml"/><Relationship Id="rId28" Type="http://schemas.openxmlformats.org/officeDocument/2006/relationships/chart" Target="charts/chart16.xml"/><Relationship Id="rId10" Type="http://schemas.openxmlformats.org/officeDocument/2006/relationships/chart" Target="charts/chart2.xml"/><Relationship Id="rId19" Type="http://schemas.openxmlformats.org/officeDocument/2006/relationships/footer" Target="footer1.xml"/><Relationship Id="rId31" Type="http://schemas.openxmlformats.org/officeDocument/2006/relationships/chart" Target="charts/chart19.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trh%20pr&#225;ce-rok-2018-ENGL.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trh%20pr&#225;ce-rok-2018-ENGL.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trh%20pr&#225;ce-rok-2018-ENGL.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JKAM%20CSU\PUBLIKACE\PUBLIKACE\2018\QMakro\Celorok-2018\Odv&#283;tv&#237;\Odv&#283;tv&#237;%20grafy-ROK-2018-ENGLi.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Dokumenty\Anal&#253;za\Q\2018Q4\eng\Makroanal&#253;za%20grafy_e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2240163796014418E-2"/>
          <c:y val="2.3046636085626952E-2"/>
          <c:w val="0.93617042384329663"/>
          <c:h val="0.74192840256670856"/>
        </c:manualLayout>
      </c:layout>
      <c:barChart>
        <c:barDir val="col"/>
        <c:grouping val="clustered"/>
        <c:varyColors val="0"/>
        <c:ser>
          <c:idx val="0"/>
          <c:order val="0"/>
          <c:tx>
            <c:strRef>
              <c:f>'souhrnná výkonnost 1'!$C$4</c:f>
              <c:strCache>
                <c:ptCount val="1"/>
                <c:pt idx="0">
                  <c:v>CR year-on-year change</c:v>
                </c:pt>
              </c:strCache>
            </c:strRef>
          </c:tx>
          <c:spPr>
            <a:solidFill>
              <a:schemeClr val="bg1">
                <a:lumMod val="65000"/>
              </a:schemeClr>
            </a:solidFill>
            <a:ln>
              <a:noFill/>
            </a:ln>
          </c:spPr>
          <c:invertIfNegative val="0"/>
          <c:cat>
            <c:multiLvlStrRef>
              <c:f>'souhrnná výkonnost 1'!$A$9:$B$32</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1'!$C$9:$C$32</c:f>
              <c:numCache>
                <c:formatCode>#\ ##0.0</c:formatCode>
                <c:ptCount val="24"/>
                <c:pt idx="0">
                  <c:v>-1.8</c:v>
                </c:pt>
                <c:pt idx="1">
                  <c:v>-1.1000000000000001</c:v>
                </c:pt>
                <c:pt idx="2">
                  <c:v>-0.3</c:v>
                </c:pt>
                <c:pt idx="3">
                  <c:v>1.3</c:v>
                </c:pt>
                <c:pt idx="4">
                  <c:v>1.5996926444218076</c:v>
                </c:pt>
                <c:pt idx="5">
                  <c:v>2.4019552100365473</c:v>
                </c:pt>
                <c:pt idx="6">
                  <c:v>3.4030564515715724</c:v>
                </c:pt>
                <c:pt idx="7">
                  <c:v>3.4380052076485867</c:v>
                </c:pt>
                <c:pt idx="8">
                  <c:v>5.2550726107844667</c:v>
                </c:pt>
                <c:pt idx="9">
                  <c:v>5.7987847820089087</c:v>
                </c:pt>
                <c:pt idx="10">
                  <c:v>5.5707669225332381</c:v>
                </c:pt>
                <c:pt idx="11">
                  <c:v>4.9148252973919995</c:v>
                </c:pt>
                <c:pt idx="12">
                  <c:v>3.562390609972212</c:v>
                </c:pt>
                <c:pt idx="13">
                  <c:v>2.4146777549828045</c:v>
                </c:pt>
                <c:pt idx="14">
                  <c:v>1.6940486553423995</c:v>
                </c:pt>
                <c:pt idx="15">
                  <c:v>1.8037525372218255</c:v>
                </c:pt>
                <c:pt idx="16">
                  <c:v>3</c:v>
                </c:pt>
                <c:pt idx="17">
                  <c:v>5</c:v>
                </c:pt>
                <c:pt idx="18">
                  <c:v>5.2</c:v>
                </c:pt>
                <c:pt idx="19">
                  <c:v>4.9881960614611103</c:v>
                </c:pt>
                <c:pt idx="20">
                  <c:v>4.2</c:v>
                </c:pt>
                <c:pt idx="21" formatCode="General">
                  <c:v>2.2999999999999998</c:v>
                </c:pt>
                <c:pt idx="22" formatCode="General">
                  <c:v>2.4</c:v>
                </c:pt>
                <c:pt idx="23">
                  <c:v>2.6</c:v>
                </c:pt>
              </c:numCache>
            </c:numRef>
          </c:val>
          <c:extLst>
            <c:ext xmlns:c16="http://schemas.microsoft.com/office/drawing/2014/chart" uri="{C3380CC4-5D6E-409C-BE32-E72D297353CC}">
              <c16:uniqueId val="{00000000-8CB9-4BCD-84FB-F063816A34B2}"/>
            </c:ext>
          </c:extLst>
        </c:ser>
        <c:ser>
          <c:idx val="1"/>
          <c:order val="1"/>
          <c:tx>
            <c:strRef>
              <c:f>'souhrnná výkonnost 1'!$D$4</c:f>
              <c:strCache>
                <c:ptCount val="1"/>
                <c:pt idx="0">
                  <c:v>EU28 year-on-year change</c:v>
                </c:pt>
              </c:strCache>
            </c:strRef>
          </c:tx>
          <c:spPr>
            <a:solidFill>
              <a:schemeClr val="bg1">
                <a:lumMod val="50000"/>
              </a:schemeClr>
            </a:solidFill>
            <a:ln>
              <a:noFill/>
            </a:ln>
          </c:spPr>
          <c:invertIfNegative val="0"/>
          <c:cat>
            <c:multiLvlStrRef>
              <c:f>'souhrnná výkonnost 1'!$A$9:$B$32</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1'!$D$9:$D$32</c:f>
              <c:numCache>
                <c:formatCode>#\ ##0.0</c:formatCode>
                <c:ptCount val="24"/>
                <c:pt idx="0">
                  <c:v>-0.6</c:v>
                </c:pt>
                <c:pt idx="1">
                  <c:v>0.1</c:v>
                </c:pt>
                <c:pt idx="2">
                  <c:v>0.5</c:v>
                </c:pt>
                <c:pt idx="3">
                  <c:v>1.2</c:v>
                </c:pt>
                <c:pt idx="4">
                  <c:v>1.8</c:v>
                </c:pt>
                <c:pt idx="5">
                  <c:v>1.6</c:v>
                </c:pt>
                <c:pt idx="6">
                  <c:v>1.7</c:v>
                </c:pt>
                <c:pt idx="7">
                  <c:v>1.9</c:v>
                </c:pt>
                <c:pt idx="8">
                  <c:v>2.2000000000000002</c:v>
                </c:pt>
                <c:pt idx="9">
                  <c:v>2.2999999999999998</c:v>
                </c:pt>
                <c:pt idx="10">
                  <c:v>2.2000000000000002</c:v>
                </c:pt>
                <c:pt idx="11">
                  <c:v>2.2000000000000002</c:v>
                </c:pt>
                <c:pt idx="12">
                  <c:v>2</c:v>
                </c:pt>
                <c:pt idx="13">
                  <c:v>1.9</c:v>
                </c:pt>
                <c:pt idx="14">
                  <c:v>1.8</c:v>
                </c:pt>
                <c:pt idx="15">
                  <c:v>2.1</c:v>
                </c:pt>
                <c:pt idx="16">
                  <c:v>2.2000000000000002</c:v>
                </c:pt>
                <c:pt idx="17">
                  <c:v>2.5</c:v>
                </c:pt>
                <c:pt idx="18">
                  <c:v>2.8</c:v>
                </c:pt>
                <c:pt idx="19">
                  <c:v>2.7</c:v>
                </c:pt>
                <c:pt idx="20">
                  <c:v>2.4</c:v>
                </c:pt>
                <c:pt idx="21">
                  <c:v>2.2000000000000002</c:v>
                </c:pt>
                <c:pt idx="22">
                  <c:v>1.8</c:v>
                </c:pt>
                <c:pt idx="23">
                  <c:v>1.4</c:v>
                </c:pt>
              </c:numCache>
            </c:numRef>
          </c:val>
          <c:extLst>
            <c:ext xmlns:c16="http://schemas.microsoft.com/office/drawing/2014/chart" uri="{C3380CC4-5D6E-409C-BE32-E72D297353CC}">
              <c16:uniqueId val="{00000001-8CB9-4BCD-84FB-F063816A34B2}"/>
            </c:ext>
          </c:extLst>
        </c:ser>
        <c:dLbls>
          <c:showLegendKey val="0"/>
          <c:showVal val="0"/>
          <c:showCatName val="0"/>
          <c:showSerName val="0"/>
          <c:showPercent val="0"/>
          <c:showBubbleSize val="0"/>
        </c:dLbls>
        <c:gapWidth val="100"/>
        <c:axId val="115054080"/>
        <c:axId val="115056000"/>
      </c:barChart>
      <c:lineChart>
        <c:grouping val="standard"/>
        <c:varyColors val="0"/>
        <c:ser>
          <c:idx val="2"/>
          <c:order val="2"/>
          <c:tx>
            <c:strRef>
              <c:f>'souhrnná výkonnost 1'!$E$4</c:f>
              <c:strCache>
                <c:ptCount val="1"/>
                <c:pt idx="0">
                  <c:v>ČR quarter-on-quarter change</c:v>
                </c:pt>
              </c:strCache>
            </c:strRef>
          </c:tx>
          <c:spPr>
            <a:ln w="19050">
              <a:noFill/>
            </a:ln>
          </c:spPr>
          <c:marker>
            <c:symbol val="dash"/>
            <c:size val="8"/>
            <c:spPr>
              <a:solidFill>
                <a:schemeClr val="accent1"/>
              </a:solidFill>
              <a:ln>
                <a:noFill/>
              </a:ln>
            </c:spPr>
          </c:marker>
          <c:cat>
            <c:multiLvlStrRef>
              <c:f>'souhrnná výkonnost 1'!$A$9:$B$32</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1'!$E$9:$E$32</c:f>
              <c:numCache>
                <c:formatCode>#\ ##0.0</c:formatCode>
                <c:ptCount val="24"/>
                <c:pt idx="0">
                  <c:v>-0.5</c:v>
                </c:pt>
                <c:pt idx="1">
                  <c:v>0.2</c:v>
                </c:pt>
                <c:pt idx="2">
                  <c:v>0.3</c:v>
                </c:pt>
                <c:pt idx="3">
                  <c:v>1.3</c:v>
                </c:pt>
                <c:pt idx="4">
                  <c:v>-0.15199361076162177</c:v>
                </c:pt>
                <c:pt idx="5">
                  <c:v>0.94354943170505123</c:v>
                </c:pt>
                <c:pt idx="6">
                  <c:v>1.300826710614885</c:v>
                </c:pt>
                <c:pt idx="7">
                  <c:v>1.3092680104703618</c:v>
                </c:pt>
                <c:pt idx="8">
                  <c:v>1.6020092561128081</c:v>
                </c:pt>
                <c:pt idx="9">
                  <c:v>1.4649897297471739</c:v>
                </c:pt>
                <c:pt idx="10">
                  <c:v>1.0825028639160621</c:v>
                </c:pt>
                <c:pt idx="11">
                  <c:v>0.67980430723308416</c:v>
                </c:pt>
                <c:pt idx="12">
                  <c:v>0.29227937532607484</c:v>
                </c:pt>
                <c:pt idx="13">
                  <c:v>0.34052096885528726</c:v>
                </c:pt>
                <c:pt idx="14">
                  <c:v>0.37124745966146122</c:v>
                </c:pt>
                <c:pt idx="15">
                  <c:v>0.78841405879090587</c:v>
                </c:pt>
                <c:pt idx="16">
                  <c:v>1.4</c:v>
                </c:pt>
                <c:pt idx="17">
                  <c:v>2.2999999999999998</c:v>
                </c:pt>
                <c:pt idx="18">
                  <c:v>0.6</c:v>
                </c:pt>
                <c:pt idx="19">
                  <c:v>0.6</c:v>
                </c:pt>
                <c:pt idx="20">
                  <c:v>0.6</c:v>
                </c:pt>
                <c:pt idx="21">
                  <c:v>0.5</c:v>
                </c:pt>
                <c:pt idx="22">
                  <c:v>0.7</c:v>
                </c:pt>
                <c:pt idx="23">
                  <c:v>0.8</c:v>
                </c:pt>
              </c:numCache>
            </c:numRef>
          </c:val>
          <c:smooth val="0"/>
          <c:extLst>
            <c:ext xmlns:c16="http://schemas.microsoft.com/office/drawing/2014/chart" uri="{C3380CC4-5D6E-409C-BE32-E72D297353CC}">
              <c16:uniqueId val="{00000002-8CB9-4BCD-84FB-F063816A34B2}"/>
            </c:ext>
          </c:extLst>
        </c:ser>
        <c:ser>
          <c:idx val="3"/>
          <c:order val="3"/>
          <c:tx>
            <c:strRef>
              <c:f>'souhrnná výkonnost 1'!$F$4</c:f>
              <c:strCache>
                <c:ptCount val="1"/>
                <c:pt idx="0">
                  <c:v>EU28 quarter-on-quarter change</c:v>
                </c:pt>
              </c:strCache>
            </c:strRef>
          </c:tx>
          <c:spPr>
            <a:ln w="19050">
              <a:noFill/>
            </a:ln>
          </c:spPr>
          <c:marker>
            <c:symbol val="dash"/>
            <c:size val="8"/>
            <c:spPr>
              <a:solidFill>
                <a:schemeClr val="accent2"/>
              </a:solidFill>
              <a:ln>
                <a:noFill/>
              </a:ln>
            </c:spPr>
          </c:marker>
          <c:cat>
            <c:multiLvlStrRef>
              <c:f>'souhrnná výkonnost 1'!$A$9:$B$32</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1'!$F$9:$F$32</c:f>
              <c:numCache>
                <c:formatCode>#\ ##0.0</c:formatCode>
                <c:ptCount val="24"/>
                <c:pt idx="0">
                  <c:v>-0.1</c:v>
                </c:pt>
                <c:pt idx="1">
                  <c:v>0.5</c:v>
                </c:pt>
                <c:pt idx="2">
                  <c:v>0.5</c:v>
                </c:pt>
                <c:pt idx="3">
                  <c:v>0.3</c:v>
                </c:pt>
                <c:pt idx="4">
                  <c:v>0.5</c:v>
                </c:pt>
                <c:pt idx="5">
                  <c:v>0.3</c:v>
                </c:pt>
                <c:pt idx="6">
                  <c:v>0.5</c:v>
                </c:pt>
                <c:pt idx="7">
                  <c:v>0.5</c:v>
                </c:pt>
                <c:pt idx="8">
                  <c:v>0.8</c:v>
                </c:pt>
                <c:pt idx="9">
                  <c:v>0.4</c:v>
                </c:pt>
                <c:pt idx="10">
                  <c:v>0.5</c:v>
                </c:pt>
                <c:pt idx="11">
                  <c:v>0.5</c:v>
                </c:pt>
                <c:pt idx="12">
                  <c:v>0.5</c:v>
                </c:pt>
                <c:pt idx="13">
                  <c:v>0.3</c:v>
                </c:pt>
                <c:pt idx="14">
                  <c:v>0.4</c:v>
                </c:pt>
                <c:pt idx="15">
                  <c:v>0.8</c:v>
                </c:pt>
                <c:pt idx="16">
                  <c:v>0.7</c:v>
                </c:pt>
                <c:pt idx="17">
                  <c:v>0.6</c:v>
                </c:pt>
                <c:pt idx="18">
                  <c:v>0.6</c:v>
                </c:pt>
                <c:pt idx="19">
                  <c:v>0.7</c:v>
                </c:pt>
                <c:pt idx="20">
                  <c:v>0.4</c:v>
                </c:pt>
                <c:pt idx="21">
                  <c:v>0.5</c:v>
                </c:pt>
                <c:pt idx="22">
                  <c:v>0.3</c:v>
                </c:pt>
                <c:pt idx="23">
                  <c:v>0.3</c:v>
                </c:pt>
              </c:numCache>
            </c:numRef>
          </c:val>
          <c:smooth val="0"/>
          <c:extLst>
            <c:ext xmlns:c16="http://schemas.microsoft.com/office/drawing/2014/chart" uri="{C3380CC4-5D6E-409C-BE32-E72D297353CC}">
              <c16:uniqueId val="{00000003-8CB9-4BCD-84FB-F063816A34B2}"/>
            </c:ext>
          </c:extLst>
        </c:ser>
        <c:dLbls>
          <c:showLegendKey val="0"/>
          <c:showVal val="0"/>
          <c:showCatName val="0"/>
          <c:showSerName val="0"/>
          <c:showPercent val="0"/>
          <c:showBubbleSize val="0"/>
        </c:dLbls>
        <c:marker val="1"/>
        <c:smooth val="0"/>
        <c:axId val="115054080"/>
        <c:axId val="115056000"/>
      </c:lineChart>
      <c:catAx>
        <c:axId val="11505408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15056000"/>
        <c:crosses val="autoZero"/>
        <c:auto val="1"/>
        <c:lblAlgn val="ctr"/>
        <c:lblOffset val="100"/>
        <c:noMultiLvlLbl val="0"/>
      </c:catAx>
      <c:valAx>
        <c:axId val="115056000"/>
        <c:scaling>
          <c:orientation val="minMax"/>
          <c:max val="6"/>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054080"/>
        <c:crosses val="autoZero"/>
        <c:crossBetween val="between"/>
      </c:valAx>
      <c:spPr>
        <a:ln>
          <a:solidFill>
            <a:schemeClr val="tx1"/>
          </a:solidFill>
        </a:ln>
      </c:spPr>
    </c:plotArea>
    <c:legend>
      <c:legendPos val="b"/>
      <c:layout>
        <c:manualLayout>
          <c:xMode val="edge"/>
          <c:yMode val="edge"/>
          <c:x val="3.9667131036811888E-2"/>
          <c:y val="0.89437255125717996"/>
          <c:w val="0.93714918946301962"/>
          <c:h val="9.0301755758791014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4942586963863574E-2"/>
          <c:y val="2.8593943487560742E-2"/>
          <c:w val="0.92629263762242564"/>
          <c:h val="0.75790048407069865"/>
        </c:manualLayout>
      </c:layout>
      <c:barChart>
        <c:barDir val="col"/>
        <c:grouping val="clustered"/>
        <c:varyColors val="0"/>
        <c:ser>
          <c:idx val="3"/>
          <c:order val="3"/>
          <c:tx>
            <c:strRef>
              <c:f>'Ceny 3'!$F$5</c:f>
              <c:strCache>
                <c:ptCount val="1"/>
                <c:pt idx="0">
                  <c:v>Terms of trade</c:v>
                </c:pt>
              </c:strCache>
            </c:strRef>
          </c:tx>
          <c:spPr>
            <a:solidFill>
              <a:schemeClr val="bg1">
                <a:lumMod val="65000"/>
              </a:schemeClr>
            </a:solidFill>
          </c:spPr>
          <c:invertIfNegative val="0"/>
          <c:val>
            <c:numRef>
              <c:f>'Ceny 3'!$F$10:$F$33</c:f>
              <c:numCache>
                <c:formatCode>0.0</c:formatCode>
                <c:ptCount val="24"/>
                <c:pt idx="0">
                  <c:v>0.68832135610092848</c:v>
                </c:pt>
                <c:pt idx="1">
                  <c:v>0.63946036240010073</c:v>
                </c:pt>
                <c:pt idx="2">
                  <c:v>1.3558510769593681</c:v>
                </c:pt>
                <c:pt idx="3">
                  <c:v>1.2713017789618846</c:v>
                </c:pt>
                <c:pt idx="4">
                  <c:v>1.8784213412398998</c:v>
                </c:pt>
                <c:pt idx="5">
                  <c:v>2.0020176200900863</c:v>
                </c:pt>
                <c:pt idx="6">
                  <c:v>1.6653215602611766</c:v>
                </c:pt>
                <c:pt idx="7">
                  <c:v>0.61515952220756276</c:v>
                </c:pt>
                <c:pt idx="8">
                  <c:v>0.70897813043654878</c:v>
                </c:pt>
                <c:pt idx="9">
                  <c:v>1.5272904080077865E-2</c:v>
                </c:pt>
                <c:pt idx="10">
                  <c:v>5.6470144138785372E-2</c:v>
                </c:pt>
                <c:pt idx="11">
                  <c:v>0.72350624542671937</c:v>
                </c:pt>
                <c:pt idx="12">
                  <c:v>1.3716307461950237</c:v>
                </c:pt>
                <c:pt idx="13">
                  <c:v>1.6867359886262534</c:v>
                </c:pt>
                <c:pt idx="14">
                  <c:v>1.1999257237594492</c:v>
                </c:pt>
                <c:pt idx="15">
                  <c:v>-7.360987165711208E-2</c:v>
                </c:pt>
                <c:pt idx="16">
                  <c:v>-1.7911843078039453</c:v>
                </c:pt>
                <c:pt idx="17">
                  <c:v>-2.0087931751636461</c:v>
                </c:pt>
                <c:pt idx="18">
                  <c:v>-0.81828308981924636</c:v>
                </c:pt>
                <c:pt idx="19">
                  <c:v>0.36743330516347328</c:v>
                </c:pt>
                <c:pt idx="20">
                  <c:v>0.83350182108377169</c:v>
                </c:pt>
                <c:pt idx="21">
                  <c:v>0.26963500769743121</c:v>
                </c:pt>
                <c:pt idx="22">
                  <c:v>-1.2396050729682599</c:v>
                </c:pt>
                <c:pt idx="23">
                  <c:v>-0.92569217671029946</c:v>
                </c:pt>
              </c:numCache>
            </c:numRef>
          </c:val>
          <c:extLst>
            <c:ext xmlns:c16="http://schemas.microsoft.com/office/drawing/2014/chart" uri="{C3380CC4-5D6E-409C-BE32-E72D297353CC}">
              <c16:uniqueId val="{00000000-50D3-4605-9734-D3C84EE4B040}"/>
            </c:ext>
          </c:extLst>
        </c:ser>
        <c:dLbls>
          <c:showLegendKey val="0"/>
          <c:showVal val="0"/>
          <c:showCatName val="0"/>
          <c:showSerName val="0"/>
          <c:showPercent val="0"/>
          <c:showBubbleSize val="0"/>
        </c:dLbls>
        <c:gapWidth val="95"/>
        <c:axId val="130636416"/>
        <c:axId val="130650496"/>
      </c:barChart>
      <c:lineChart>
        <c:grouping val="standard"/>
        <c:varyColors val="0"/>
        <c:ser>
          <c:idx val="1"/>
          <c:order val="0"/>
          <c:tx>
            <c:strRef>
              <c:f>'Ceny 3'!$E$5</c:f>
              <c:strCache>
                <c:ptCount val="1"/>
                <c:pt idx="0">
                  <c:v>GDP</c:v>
                </c:pt>
              </c:strCache>
            </c:strRef>
          </c:tx>
          <c:spPr>
            <a:ln w="19050">
              <a:solidFill>
                <a:sysClr val="windowText" lastClr="000000"/>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3'!$E$10:$E$33</c:f>
              <c:numCache>
                <c:formatCode>#\ ##0.0</c:formatCode>
                <c:ptCount val="24"/>
                <c:pt idx="0">
                  <c:v>1.3090964196315298</c:v>
                </c:pt>
                <c:pt idx="1">
                  <c:v>1.1214491740584265</c:v>
                </c:pt>
                <c:pt idx="2">
                  <c:v>1.2864233587176699</c:v>
                </c:pt>
                <c:pt idx="3">
                  <c:v>1.9767247369108389</c:v>
                </c:pt>
                <c:pt idx="4">
                  <c:v>2.407594914453</c:v>
                </c:pt>
                <c:pt idx="5">
                  <c:v>2.7249796236052219</c:v>
                </c:pt>
                <c:pt idx="6">
                  <c:v>2.7309043114024405</c:v>
                </c:pt>
                <c:pt idx="7">
                  <c:v>2.0450860246019431</c:v>
                </c:pt>
                <c:pt idx="8">
                  <c:v>1.5290326327682209</c:v>
                </c:pt>
                <c:pt idx="9">
                  <c:v>1.3139842672081414</c:v>
                </c:pt>
                <c:pt idx="10">
                  <c:v>1.0788629840719182</c:v>
                </c:pt>
                <c:pt idx="11">
                  <c:v>0.77095099413880064</c:v>
                </c:pt>
                <c:pt idx="12" formatCode="General">
                  <c:v>1.4387577162199534</c:v>
                </c:pt>
                <c:pt idx="13" formatCode="General">
                  <c:v>1.1215971414352737</c:v>
                </c:pt>
                <c:pt idx="14" formatCode="General">
                  <c:v>1.3438040001657185</c:v>
                </c:pt>
                <c:pt idx="15" formatCode="General">
                  <c:v>1.1648544802629317</c:v>
                </c:pt>
                <c:pt idx="16" formatCode="General">
                  <c:v>0.69365165711947441</c:v>
                </c:pt>
                <c:pt idx="17" formatCode="General">
                  <c:v>0.99537659811153389</c:v>
                </c:pt>
                <c:pt idx="18" formatCode="General">
                  <c:v>1.6557106910590562</c:v>
                </c:pt>
                <c:pt idx="19" formatCode="General">
                  <c:v>2.3551331715590038</c:v>
                </c:pt>
                <c:pt idx="20" formatCode="General">
                  <c:v>2.312216622165991</c:v>
                </c:pt>
                <c:pt idx="21" formatCode="General">
                  <c:v>2.2156603104970856</c:v>
                </c:pt>
                <c:pt idx="22" formatCode="General">
                  <c:v>1.9620534815724398</c:v>
                </c:pt>
                <c:pt idx="23" formatCode="General">
                  <c:v>2.0818119378197935</c:v>
                </c:pt>
              </c:numCache>
            </c:numRef>
          </c:val>
          <c:smooth val="0"/>
          <c:extLst>
            <c:ext xmlns:c16="http://schemas.microsoft.com/office/drawing/2014/chart" uri="{C3380CC4-5D6E-409C-BE32-E72D297353CC}">
              <c16:uniqueId val="{00000001-50D3-4605-9734-D3C84EE4B040}"/>
            </c:ext>
          </c:extLst>
        </c:ser>
        <c:ser>
          <c:idx val="0"/>
          <c:order val="1"/>
          <c:tx>
            <c:strRef>
              <c:f>'Ceny 3'!$C$5</c:f>
              <c:strCache>
                <c:ptCount val="1"/>
                <c:pt idx="0">
                  <c:v>Final consumption expenditure</c:v>
                </c:pt>
              </c:strCache>
            </c:strRef>
          </c:tx>
          <c:spPr>
            <a:ln w="19050">
              <a:solidFill>
                <a:srgbClr val="0071BC"/>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3'!$C$10:$C$33</c:f>
              <c:numCache>
                <c:formatCode>0.0</c:formatCode>
                <c:ptCount val="24"/>
                <c:pt idx="0">
                  <c:v>0.60247759846711801</c:v>
                </c:pt>
                <c:pt idx="1">
                  <c:v>0.71501047559637243</c:v>
                </c:pt>
                <c:pt idx="2">
                  <c:v>0.62409740485169607</c:v>
                </c:pt>
                <c:pt idx="3">
                  <c:v>0.67710438317278943</c:v>
                </c:pt>
                <c:pt idx="4">
                  <c:v>0.62650162156883482</c:v>
                </c:pt>
                <c:pt idx="5">
                  <c:v>0.80920277041865063</c:v>
                </c:pt>
                <c:pt idx="6">
                  <c:v>0.91624532168385997</c:v>
                </c:pt>
                <c:pt idx="7">
                  <c:v>1.3064353546973706</c:v>
                </c:pt>
                <c:pt idx="8">
                  <c:v>0.63652260848525088</c:v>
                </c:pt>
                <c:pt idx="9">
                  <c:v>0.86716532212489028</c:v>
                </c:pt>
                <c:pt idx="10">
                  <c:v>0.93683253130978983</c:v>
                </c:pt>
                <c:pt idx="11">
                  <c:v>0.16681703489827271</c:v>
                </c:pt>
                <c:pt idx="12" formatCode="General">
                  <c:v>0.57557159874038177</c:v>
                </c:pt>
                <c:pt idx="13" formatCode="General">
                  <c:v>0.40917866617269283</c:v>
                </c:pt>
                <c:pt idx="14" formatCode="General">
                  <c:v>0.66134436037492605</c:v>
                </c:pt>
                <c:pt idx="15" formatCode="General">
                  <c:v>1.4119242556033669</c:v>
                </c:pt>
                <c:pt idx="16" formatCode="General">
                  <c:v>2.4794807943920603</c:v>
                </c:pt>
                <c:pt idx="17" formatCode="General">
                  <c:v>2.6335121261332262</c:v>
                </c:pt>
                <c:pt idx="18" formatCode="General">
                  <c:v>2.9619255327752967</c:v>
                </c:pt>
                <c:pt idx="19" formatCode="General">
                  <c:v>3.3354677822326124</c:v>
                </c:pt>
                <c:pt idx="20" formatCode="General">
                  <c:v>3.1777338105128479</c:v>
                </c:pt>
                <c:pt idx="21" formatCode="General">
                  <c:v>3.3619214017019345</c:v>
                </c:pt>
                <c:pt idx="22" formatCode="General">
                  <c:v>3.5673656574830517</c:v>
                </c:pt>
                <c:pt idx="23" formatCode="General">
                  <c:v>2.9979310577608942</c:v>
                </c:pt>
              </c:numCache>
            </c:numRef>
          </c:val>
          <c:smooth val="0"/>
          <c:extLst>
            <c:ext xmlns:c16="http://schemas.microsoft.com/office/drawing/2014/chart" uri="{C3380CC4-5D6E-409C-BE32-E72D297353CC}">
              <c16:uniqueId val="{00000002-50D3-4605-9734-D3C84EE4B040}"/>
            </c:ext>
          </c:extLst>
        </c:ser>
        <c:ser>
          <c:idx val="2"/>
          <c:order val="2"/>
          <c:tx>
            <c:strRef>
              <c:f>'Ceny 3'!$D$5</c:f>
              <c:strCache>
                <c:ptCount val="1"/>
                <c:pt idx="0">
                  <c:v>Gross capital formation</c:v>
                </c:pt>
              </c:strCache>
            </c:strRef>
          </c:tx>
          <c:spPr>
            <a:ln w="19050">
              <a:solidFill>
                <a:srgbClr val="BD1B21"/>
              </a:solidFill>
            </a:ln>
          </c:spPr>
          <c:marker>
            <c:symbol val="none"/>
          </c:marker>
          <c:cat>
            <c:multiLvlStrRef>
              <c:f>'Ceny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'Ceny 3'!$D$10:$D$33</c:f>
              <c:numCache>
                <c:formatCode>0.0</c:formatCode>
                <c:ptCount val="24"/>
                <c:pt idx="0">
                  <c:v>1.3321011611269427</c:v>
                </c:pt>
                <c:pt idx="1">
                  <c:v>0.46677568897830213</c:v>
                </c:pt>
                <c:pt idx="2">
                  <c:v>-0.63413537265201114</c:v>
                </c:pt>
                <c:pt idx="3">
                  <c:v>1.4887725616472522</c:v>
                </c:pt>
                <c:pt idx="4">
                  <c:v>1.119633392603987</c:v>
                </c:pt>
                <c:pt idx="5">
                  <c:v>1.6324225968647994</c:v>
                </c:pt>
                <c:pt idx="6">
                  <c:v>2.0883523339119847</c:v>
                </c:pt>
                <c:pt idx="7">
                  <c:v>2.0182548570513603</c:v>
                </c:pt>
                <c:pt idx="8">
                  <c:v>2.0919408211242256</c:v>
                </c:pt>
                <c:pt idx="9">
                  <c:v>2.5181249729440083</c:v>
                </c:pt>
                <c:pt idx="10">
                  <c:v>2.0736755454410485</c:v>
                </c:pt>
                <c:pt idx="11">
                  <c:v>1.110230989226423</c:v>
                </c:pt>
                <c:pt idx="12">
                  <c:v>1.0542109692344184</c:v>
                </c:pt>
                <c:pt idx="13">
                  <c:v>-0.4644562892466837</c:v>
                </c:pt>
                <c:pt idx="14">
                  <c:v>0.7121245326346326</c:v>
                </c:pt>
                <c:pt idx="15">
                  <c:v>1.2572281680150326</c:v>
                </c:pt>
                <c:pt idx="16" formatCode="General">
                  <c:v>1.0537696406372135</c:v>
                </c:pt>
                <c:pt idx="17" formatCode="General">
                  <c:v>2.9114331787664156</c:v>
                </c:pt>
                <c:pt idx="18" formatCode="General">
                  <c:v>1.6549156605788653</c:v>
                </c:pt>
                <c:pt idx="19" formatCode="General">
                  <c:v>0.39746543300944381</c:v>
                </c:pt>
                <c:pt idx="20" formatCode="General">
                  <c:v>-0.37866038551960912</c:v>
                </c:pt>
                <c:pt idx="21" formatCode="General">
                  <c:v>-0.40506446965153486</c:v>
                </c:pt>
                <c:pt idx="22" formatCode="General">
                  <c:v>1.5633289179078531</c:v>
                </c:pt>
                <c:pt idx="23" formatCode="General">
                  <c:v>2.1737781224447303</c:v>
                </c:pt>
              </c:numCache>
            </c:numRef>
          </c:val>
          <c:smooth val="0"/>
          <c:extLst>
            <c:ext xmlns:c16="http://schemas.microsoft.com/office/drawing/2014/chart" uri="{C3380CC4-5D6E-409C-BE32-E72D297353CC}">
              <c16:uniqueId val="{00000003-50D3-4605-9734-D3C84EE4B040}"/>
            </c:ext>
          </c:extLst>
        </c:ser>
        <c:dLbls>
          <c:showLegendKey val="0"/>
          <c:showVal val="0"/>
          <c:showCatName val="0"/>
          <c:showSerName val="0"/>
          <c:showPercent val="0"/>
          <c:showBubbleSize val="0"/>
        </c:dLbls>
        <c:marker val="1"/>
        <c:smooth val="0"/>
        <c:axId val="130636416"/>
        <c:axId val="130650496"/>
      </c:lineChart>
      <c:catAx>
        <c:axId val="130636416"/>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30650496"/>
        <c:crossesAt val="0"/>
        <c:auto val="1"/>
        <c:lblAlgn val="ctr"/>
        <c:lblOffset val="100"/>
        <c:noMultiLvlLbl val="0"/>
      </c:catAx>
      <c:valAx>
        <c:axId val="130650496"/>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636416"/>
        <c:crosses val="autoZero"/>
        <c:crossBetween val="between"/>
      </c:valAx>
      <c:spPr>
        <a:ln>
          <a:solidFill>
            <a:schemeClr val="tx1"/>
          </a:solidFill>
        </a:ln>
      </c:spPr>
    </c:plotArea>
    <c:legend>
      <c:legendPos val="b"/>
      <c:layout>
        <c:manualLayout>
          <c:xMode val="edge"/>
          <c:yMode val="edge"/>
          <c:x val="5.1257598784194246E-2"/>
          <c:y val="0.9105279747832935"/>
          <c:w val="0.92611385511651467"/>
          <c:h val="7.215158167285828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8568840579710145E-2"/>
          <c:y val="2.1811315924219865E-2"/>
          <c:w val="0.92237743255066085"/>
          <c:h val="0.73318107621299466"/>
        </c:manualLayout>
      </c:layout>
      <c:barChart>
        <c:barDir val="col"/>
        <c:grouping val="clustered"/>
        <c:varyColors val="0"/>
        <c:ser>
          <c:idx val="0"/>
          <c:order val="0"/>
          <c:tx>
            <c:strRef>
              <c:f>'Ceny 2'!$C$5</c:f>
              <c:strCache>
                <c:ptCount val="1"/>
                <c:pt idx="0">
                  <c:v>Total</c:v>
                </c:pt>
              </c:strCache>
            </c:strRef>
          </c:tx>
          <c:spPr>
            <a:solidFill>
              <a:schemeClr val="bg1">
                <a:lumMod val="65000"/>
              </a:schemeClr>
            </a:solidFill>
            <a:ln w="19050">
              <a:noFill/>
            </a:ln>
          </c:spPr>
          <c:invertIfNegative val="0"/>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2'!$C$14:$C$33</c:f>
              <c:numCache>
                <c:formatCode>0.0</c:formatCode>
                <c:ptCount val="20"/>
                <c:pt idx="0">
                  <c:v>0.20000000000000284</c:v>
                </c:pt>
                <c:pt idx="1">
                  <c:v>0.20000000000000284</c:v>
                </c:pt>
                <c:pt idx="2">
                  <c:v>0.59999999999999432</c:v>
                </c:pt>
                <c:pt idx="3">
                  <c:v>0.5</c:v>
                </c:pt>
                <c:pt idx="4">
                  <c:v>9.9999999999994316E-2</c:v>
                </c:pt>
                <c:pt idx="5">
                  <c:v>0.70000000000000284</c:v>
                </c:pt>
                <c:pt idx="6">
                  <c:v>0.40000000000000568</c:v>
                </c:pt>
                <c:pt idx="7">
                  <c:v>9.9999999999994316E-2</c:v>
                </c:pt>
                <c:pt idx="8">
                  <c:v>0.5</c:v>
                </c:pt>
                <c:pt idx="9">
                  <c:v>0.20000000000000284</c:v>
                </c:pt>
                <c:pt idx="10">
                  <c:v>0.5</c:v>
                </c:pt>
                <c:pt idx="11">
                  <c:v>1.4000000000000057</c:v>
                </c:pt>
                <c:pt idx="12" formatCode="General">
                  <c:v>2.4000000000000057</c:v>
                </c:pt>
                <c:pt idx="13" formatCode="General">
                  <c:v>2.2000000000000028</c:v>
                </c:pt>
                <c:pt idx="14">
                  <c:v>2.5</c:v>
                </c:pt>
                <c:pt idx="15">
                  <c:v>2.6</c:v>
                </c:pt>
                <c:pt idx="16">
                  <c:v>1.9</c:v>
                </c:pt>
                <c:pt idx="17">
                  <c:v>2.2999999999999998</c:v>
                </c:pt>
                <c:pt idx="18">
                  <c:v>2.4</c:v>
                </c:pt>
                <c:pt idx="19">
                  <c:v>2.1</c:v>
                </c:pt>
              </c:numCache>
            </c:numRef>
          </c:val>
          <c:extLst>
            <c:ext xmlns:c16="http://schemas.microsoft.com/office/drawing/2014/chart" uri="{C3380CC4-5D6E-409C-BE32-E72D297353CC}">
              <c16:uniqueId val="{00000000-D179-4B75-AF7F-86AF965777E3}"/>
            </c:ext>
          </c:extLst>
        </c:ser>
        <c:dLbls>
          <c:showLegendKey val="0"/>
          <c:showVal val="0"/>
          <c:showCatName val="0"/>
          <c:showSerName val="0"/>
          <c:showPercent val="0"/>
          <c:showBubbleSize val="0"/>
        </c:dLbls>
        <c:gapWidth val="95"/>
        <c:axId val="130513536"/>
        <c:axId val="130531712"/>
      </c:barChart>
      <c:lineChart>
        <c:grouping val="standard"/>
        <c:varyColors val="0"/>
        <c:ser>
          <c:idx val="1"/>
          <c:order val="1"/>
          <c:tx>
            <c:strRef>
              <c:f>'Ceny 2'!$D$5</c:f>
              <c:strCache>
                <c:ptCount val="1"/>
                <c:pt idx="0">
                  <c:v>Food</c:v>
                </c:pt>
              </c:strCache>
            </c:strRef>
          </c:tx>
          <c:spPr>
            <a:ln w="19050">
              <a:solidFill>
                <a:srgbClr val="0071BC"/>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2'!$D$14:$D$33</c:f>
              <c:numCache>
                <c:formatCode>0.0</c:formatCode>
                <c:ptCount val="20"/>
                <c:pt idx="0">
                  <c:v>3.9000000000000057</c:v>
                </c:pt>
                <c:pt idx="1">
                  <c:v>1.5</c:v>
                </c:pt>
                <c:pt idx="2">
                  <c:v>1.4000000000000057</c:v>
                </c:pt>
                <c:pt idx="3">
                  <c:v>1.2000000000000028</c:v>
                </c:pt>
                <c:pt idx="4">
                  <c:v>-1.5999999999999943</c:v>
                </c:pt>
                <c:pt idx="5">
                  <c:v>-9.9999999999994316E-2</c:v>
                </c:pt>
                <c:pt idx="6">
                  <c:v>-0.90000000000000568</c:v>
                </c:pt>
                <c:pt idx="7">
                  <c:v>-1.5999999999999943</c:v>
                </c:pt>
                <c:pt idx="8">
                  <c:v>-1.7000000000000028</c:v>
                </c:pt>
                <c:pt idx="9">
                  <c:v>-2.4000000000000057</c:v>
                </c:pt>
                <c:pt idx="10">
                  <c:v>-0.79999999999999716</c:v>
                </c:pt>
                <c:pt idx="11">
                  <c:v>1.2000000000000028</c:v>
                </c:pt>
                <c:pt idx="12" formatCode="General">
                  <c:v>4.2000000000000028</c:v>
                </c:pt>
                <c:pt idx="13" formatCode="General">
                  <c:v>4.5</c:v>
                </c:pt>
                <c:pt idx="14">
                  <c:v>5.7</c:v>
                </c:pt>
                <c:pt idx="15">
                  <c:v>6.3</c:v>
                </c:pt>
                <c:pt idx="16">
                  <c:v>2.9</c:v>
                </c:pt>
                <c:pt idx="17" formatCode="#\ ##0.0_ ;\-#\ ##0.0\ ">
                  <c:v>2.2999999999999998</c:v>
                </c:pt>
                <c:pt idx="18">
                  <c:v>0.6</c:v>
                </c:pt>
                <c:pt idx="19">
                  <c:v>-0.5</c:v>
                </c:pt>
              </c:numCache>
            </c:numRef>
          </c:val>
          <c:smooth val="0"/>
          <c:extLst>
            <c:ext xmlns:c16="http://schemas.microsoft.com/office/drawing/2014/chart" uri="{C3380CC4-5D6E-409C-BE32-E72D297353CC}">
              <c16:uniqueId val="{00000001-D179-4B75-AF7F-86AF965777E3}"/>
            </c:ext>
          </c:extLst>
        </c:ser>
        <c:ser>
          <c:idx val="3"/>
          <c:order val="2"/>
          <c:tx>
            <c:strRef>
              <c:f>'Ceny 2'!$F$5</c:f>
              <c:strCache>
                <c:ptCount val="1"/>
                <c:pt idx="0">
                  <c:v>Housing and energy</c:v>
                </c:pt>
              </c:strCache>
            </c:strRef>
          </c:tx>
          <c:spPr>
            <a:ln w="19050">
              <a:solidFill>
                <a:srgbClr val="7DBB2D"/>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2'!$F$14:$F$33</c:f>
              <c:numCache>
                <c:formatCode>0.0</c:formatCode>
                <c:ptCount val="20"/>
                <c:pt idx="0">
                  <c:v>-2.4000000000000057</c:v>
                </c:pt>
                <c:pt idx="1">
                  <c:v>-1.7000000000000028</c:v>
                </c:pt>
                <c:pt idx="2">
                  <c:v>-0.70000000000000284</c:v>
                </c:pt>
                <c:pt idx="3">
                  <c:v>-0.59999999999999432</c:v>
                </c:pt>
                <c:pt idx="4">
                  <c:v>1.0999999999999943</c:v>
                </c:pt>
                <c:pt idx="5">
                  <c:v>1.2000000000000028</c:v>
                </c:pt>
                <c:pt idx="6">
                  <c:v>0.79999999999999716</c:v>
                </c:pt>
                <c:pt idx="7">
                  <c:v>0.90000000000000568</c:v>
                </c:pt>
                <c:pt idx="8">
                  <c:v>0.90000000000000568</c:v>
                </c:pt>
                <c:pt idx="9">
                  <c:v>0.5</c:v>
                </c:pt>
                <c:pt idx="10">
                  <c:v>0.40000000000000568</c:v>
                </c:pt>
                <c:pt idx="11">
                  <c:v>0.59999999999999432</c:v>
                </c:pt>
                <c:pt idx="12" formatCode="General">
                  <c:v>0.79999999999999716</c:v>
                </c:pt>
                <c:pt idx="13" formatCode="General">
                  <c:v>1.5</c:v>
                </c:pt>
                <c:pt idx="14">
                  <c:v>2.1</c:v>
                </c:pt>
                <c:pt idx="15">
                  <c:v>2.2000000000000002</c:v>
                </c:pt>
                <c:pt idx="16">
                  <c:v>2.2999999999999998</c:v>
                </c:pt>
                <c:pt idx="17">
                  <c:v>2.6</c:v>
                </c:pt>
                <c:pt idx="18">
                  <c:v>3.2</c:v>
                </c:pt>
                <c:pt idx="19">
                  <c:v>3.8</c:v>
                </c:pt>
              </c:numCache>
            </c:numRef>
          </c:val>
          <c:smooth val="0"/>
          <c:extLst>
            <c:ext xmlns:c16="http://schemas.microsoft.com/office/drawing/2014/chart" uri="{C3380CC4-5D6E-409C-BE32-E72D297353CC}">
              <c16:uniqueId val="{00000002-D179-4B75-AF7F-86AF965777E3}"/>
            </c:ext>
          </c:extLst>
        </c:ser>
        <c:ser>
          <c:idx val="4"/>
          <c:order val="3"/>
          <c:tx>
            <c:strRef>
              <c:f>'Ceny 2'!$G$5</c:f>
              <c:strCache>
                <c:ptCount val="1"/>
                <c:pt idx="0">
                  <c:v>Transportation</c:v>
                </c:pt>
              </c:strCache>
            </c:strRef>
          </c:tx>
          <c:spPr>
            <a:ln w="19050">
              <a:solidFill>
                <a:srgbClr val="FFC000"/>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2'!$G$14:$G$33</c:f>
              <c:numCache>
                <c:formatCode>General</c:formatCode>
                <c:ptCount val="20"/>
                <c:pt idx="0">
                  <c:v>9.9999999999994316E-2</c:v>
                </c:pt>
                <c:pt idx="1">
                  <c:v>0.29999999999999716</c:v>
                </c:pt>
                <c:pt idx="2">
                  <c:v>0.5</c:v>
                </c:pt>
                <c:pt idx="3">
                  <c:v>0</c:v>
                </c:pt>
                <c:pt idx="4">
                  <c:v>-4.9000000000000057</c:v>
                </c:pt>
                <c:pt idx="5">
                  <c:v>-3.2999999999999972</c:v>
                </c:pt>
                <c:pt idx="6">
                  <c:v>-3.7999999999999972</c:v>
                </c:pt>
                <c:pt idx="7">
                  <c:v>-4.7000000000000028</c:v>
                </c:pt>
                <c:pt idx="8">
                  <c:v>-2.7000000000000028</c:v>
                </c:pt>
                <c:pt idx="9">
                  <c:v>-2.9000000000000057</c:v>
                </c:pt>
                <c:pt idx="10">
                  <c:v>-2.2999999999999972</c:v>
                </c:pt>
                <c:pt idx="11">
                  <c:v>1.0999999999999943</c:v>
                </c:pt>
                <c:pt idx="12">
                  <c:v>6</c:v>
                </c:pt>
                <c:pt idx="13">
                  <c:v>3.9000000000000057</c:v>
                </c:pt>
                <c:pt idx="14" formatCode="0.0">
                  <c:v>2.5</c:v>
                </c:pt>
                <c:pt idx="15" formatCode="0.0">
                  <c:v>2.5</c:v>
                </c:pt>
                <c:pt idx="16" formatCode="0.0">
                  <c:v>1</c:v>
                </c:pt>
                <c:pt idx="17" formatCode="0.0">
                  <c:v>3</c:v>
                </c:pt>
                <c:pt idx="18" formatCode="0.0">
                  <c:v>4.5</c:v>
                </c:pt>
                <c:pt idx="19" formatCode="0.0">
                  <c:v>2.6</c:v>
                </c:pt>
              </c:numCache>
            </c:numRef>
          </c:val>
          <c:smooth val="0"/>
          <c:extLst>
            <c:ext xmlns:c16="http://schemas.microsoft.com/office/drawing/2014/chart" uri="{C3380CC4-5D6E-409C-BE32-E72D297353CC}">
              <c16:uniqueId val="{00000003-D179-4B75-AF7F-86AF965777E3}"/>
            </c:ext>
          </c:extLst>
        </c:ser>
        <c:ser>
          <c:idx val="2"/>
          <c:order val="4"/>
          <c:tx>
            <c:strRef>
              <c:f>'Ceny 2'!$H$5</c:f>
              <c:strCache>
                <c:ptCount val="1"/>
                <c:pt idx="0">
                  <c:v>Restaurants and hotels</c:v>
                </c:pt>
              </c:strCache>
            </c:strRef>
          </c:tx>
          <c:spPr>
            <a:ln w="19050">
              <a:solidFill>
                <a:schemeClr val="accent2"/>
              </a:solidFill>
            </a:ln>
          </c:spPr>
          <c:marker>
            <c:symbol val="none"/>
          </c:marker>
          <c:cat>
            <c:multiLvlStrRef>
              <c:f>'Ceny 2'!$A$14:$B$33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2'!$H$14:$H$33</c:f>
              <c:numCache>
                <c:formatCode>###\ ###\ ##0.0</c:formatCode>
                <c:ptCount val="20"/>
                <c:pt idx="0">
                  <c:v>1.5999999999999943</c:v>
                </c:pt>
                <c:pt idx="1">
                  <c:v>1.7000000000000028</c:v>
                </c:pt>
                <c:pt idx="2">
                  <c:v>1.7000000000000028</c:v>
                </c:pt>
                <c:pt idx="3">
                  <c:v>1.7000000000000028</c:v>
                </c:pt>
                <c:pt idx="4">
                  <c:v>1.7000000000000028</c:v>
                </c:pt>
                <c:pt idx="5">
                  <c:v>1.5999999999999943</c:v>
                </c:pt>
                <c:pt idx="6">
                  <c:v>1.4000000000000057</c:v>
                </c:pt>
                <c:pt idx="7">
                  <c:v>1.2999999999999972</c:v>
                </c:pt>
                <c:pt idx="8">
                  <c:v>1.2000000000000028</c:v>
                </c:pt>
                <c:pt idx="9">
                  <c:v>1.0999999999999943</c:v>
                </c:pt>
                <c:pt idx="10">
                  <c:v>1.2000000000000028</c:v>
                </c:pt>
                <c:pt idx="11">
                  <c:v>2.7000000000000028</c:v>
                </c:pt>
                <c:pt idx="12">
                  <c:v>5.2000000000000028</c:v>
                </c:pt>
                <c:pt idx="13">
                  <c:v>5.7999999999999972</c:v>
                </c:pt>
                <c:pt idx="14">
                  <c:v>6.2999999999999972</c:v>
                </c:pt>
                <c:pt idx="15" formatCode="0.0">
                  <c:v>5.6</c:v>
                </c:pt>
                <c:pt idx="16" formatCode="0.0">
                  <c:v>3.5</c:v>
                </c:pt>
                <c:pt idx="17" formatCode="0.0">
                  <c:v>3.6</c:v>
                </c:pt>
                <c:pt idx="18" formatCode="0.0">
                  <c:v>3.5</c:v>
                </c:pt>
                <c:pt idx="19" formatCode="0.0">
                  <c:v>3.7</c:v>
                </c:pt>
              </c:numCache>
            </c:numRef>
          </c:val>
          <c:smooth val="0"/>
          <c:extLst>
            <c:ext xmlns:c16="http://schemas.microsoft.com/office/drawing/2014/chart" uri="{C3380CC4-5D6E-409C-BE32-E72D297353CC}">
              <c16:uniqueId val="{00000004-D179-4B75-AF7F-86AF965777E3}"/>
            </c:ext>
          </c:extLst>
        </c:ser>
        <c:dLbls>
          <c:showLegendKey val="0"/>
          <c:showVal val="0"/>
          <c:showCatName val="0"/>
          <c:showSerName val="0"/>
          <c:showPercent val="0"/>
          <c:showBubbleSize val="0"/>
        </c:dLbls>
        <c:marker val="1"/>
        <c:smooth val="0"/>
        <c:axId val="130513536"/>
        <c:axId val="130531712"/>
      </c:lineChart>
      <c:catAx>
        <c:axId val="130513536"/>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531712"/>
        <c:crosses val="autoZero"/>
        <c:auto val="1"/>
        <c:lblAlgn val="ctr"/>
        <c:lblOffset val="100"/>
        <c:noMultiLvlLbl val="0"/>
      </c:catAx>
      <c:valAx>
        <c:axId val="130531712"/>
        <c:scaling>
          <c:orientation val="minMax"/>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513536"/>
        <c:crosses val="autoZero"/>
        <c:crossBetween val="between"/>
        <c:majorUnit val="1"/>
      </c:valAx>
      <c:spPr>
        <a:ln>
          <a:solidFill>
            <a:schemeClr val="tx1"/>
          </a:solidFill>
        </a:ln>
      </c:spPr>
    </c:plotArea>
    <c:legend>
      <c:legendPos val="b"/>
      <c:layout>
        <c:manualLayout>
          <c:xMode val="edge"/>
          <c:yMode val="edge"/>
          <c:x val="5.6562767491901512E-2"/>
          <c:y val="0.8725582573454973"/>
          <c:w val="0.92362905268490836"/>
          <c:h val="0.10076212991106644"/>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9258203189717562E-2"/>
          <c:y val="2.9569886214146503E-2"/>
          <c:w val="0.92637856314472322"/>
          <c:h val="0.73556653157716956"/>
        </c:manualLayout>
      </c:layout>
      <c:barChart>
        <c:barDir val="col"/>
        <c:grouping val="clustered"/>
        <c:varyColors val="0"/>
        <c:ser>
          <c:idx val="0"/>
          <c:order val="0"/>
          <c:tx>
            <c:strRef>
              <c:f>'Ceny 1'!$C$5</c:f>
              <c:strCache>
                <c:ptCount val="1"/>
                <c:pt idx="0">
                  <c:v>Realised prices of older flats, the CR</c:v>
                </c:pt>
              </c:strCache>
            </c:strRef>
          </c:tx>
          <c:spPr>
            <a:solidFill>
              <a:schemeClr val="bg1">
                <a:lumMod val="65000"/>
              </a:schemeClr>
            </a:solidFill>
            <a:ln w="19050">
              <a:noFill/>
            </a:ln>
          </c:spPr>
          <c:invertIfNegative val="0"/>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1'!$C$14:$C$33</c:f>
              <c:numCache>
                <c:formatCode>General</c:formatCode>
                <c:ptCount val="20"/>
                <c:pt idx="0">
                  <c:v>1.2000000000000028</c:v>
                </c:pt>
                <c:pt idx="1">
                  <c:v>2.5</c:v>
                </c:pt>
                <c:pt idx="2">
                  <c:v>4.5</c:v>
                </c:pt>
                <c:pt idx="3">
                  <c:v>5.7000000000000028</c:v>
                </c:pt>
                <c:pt idx="4">
                  <c:v>4.2999999999999972</c:v>
                </c:pt>
                <c:pt idx="5">
                  <c:v>4.9000000000000057</c:v>
                </c:pt>
                <c:pt idx="6">
                  <c:v>6</c:v>
                </c:pt>
                <c:pt idx="7">
                  <c:v>6.7999999999999972</c:v>
                </c:pt>
                <c:pt idx="8">
                  <c:v>8.9000000000000057</c:v>
                </c:pt>
                <c:pt idx="9">
                  <c:v>10.299999999999997</c:v>
                </c:pt>
                <c:pt idx="10">
                  <c:v>12.299999999999997</c:v>
                </c:pt>
                <c:pt idx="11">
                  <c:v>14.599999999999994</c:v>
                </c:pt>
                <c:pt idx="12">
                  <c:v>17.200000000000003</c:v>
                </c:pt>
                <c:pt idx="13">
                  <c:v>18.700000000000003</c:v>
                </c:pt>
                <c:pt idx="14">
                  <c:v>15.799999999999997</c:v>
                </c:pt>
                <c:pt idx="15">
                  <c:v>12</c:v>
                </c:pt>
                <c:pt idx="16">
                  <c:v>9.2000000000000028</c:v>
                </c:pt>
                <c:pt idx="17">
                  <c:v>8</c:v>
                </c:pt>
                <c:pt idx="18">
                  <c:v>9.4000000000000057</c:v>
                </c:pt>
                <c:pt idx="19">
                  <c:v>11.400000000000006</c:v>
                </c:pt>
              </c:numCache>
            </c:numRef>
          </c:val>
          <c:extLst>
            <c:ext xmlns:c16="http://schemas.microsoft.com/office/drawing/2014/chart" uri="{C3380CC4-5D6E-409C-BE32-E72D297353CC}">
              <c16:uniqueId val="{00000000-A747-4D71-8406-77528309CB69}"/>
            </c:ext>
          </c:extLst>
        </c:ser>
        <c:ser>
          <c:idx val="1"/>
          <c:order val="1"/>
          <c:tx>
            <c:strRef>
              <c:f>'Ceny 1'!$D$5</c:f>
              <c:strCache>
                <c:ptCount val="1"/>
                <c:pt idx="0">
                  <c:v>Realised prices of older flats, Prague</c:v>
                </c:pt>
              </c:strCache>
            </c:strRef>
          </c:tx>
          <c:spPr>
            <a:solidFill>
              <a:prstClr val="black">
                <a:lumMod val="50000"/>
                <a:lumOff val="50000"/>
              </a:prstClr>
            </a:solidFill>
            <a:ln w="19050">
              <a:noFill/>
            </a:ln>
          </c:spPr>
          <c:invertIfNegative val="0"/>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1'!$D$14:$D$33</c:f>
              <c:numCache>
                <c:formatCode>General</c:formatCode>
                <c:ptCount val="20"/>
                <c:pt idx="0">
                  <c:v>2</c:v>
                </c:pt>
                <c:pt idx="1">
                  <c:v>2.0999999999999943</c:v>
                </c:pt>
                <c:pt idx="2">
                  <c:v>3.2000000000000028</c:v>
                </c:pt>
                <c:pt idx="3">
                  <c:v>5.2000000000000028</c:v>
                </c:pt>
                <c:pt idx="4">
                  <c:v>5</c:v>
                </c:pt>
                <c:pt idx="5">
                  <c:v>5.9000000000000057</c:v>
                </c:pt>
                <c:pt idx="6">
                  <c:v>5.5999999999999943</c:v>
                </c:pt>
                <c:pt idx="7">
                  <c:v>4.5999999999999943</c:v>
                </c:pt>
                <c:pt idx="8">
                  <c:v>5.7999999999999972</c:v>
                </c:pt>
                <c:pt idx="9">
                  <c:v>7.5</c:v>
                </c:pt>
                <c:pt idx="10">
                  <c:v>9.4000000000000057</c:v>
                </c:pt>
                <c:pt idx="11">
                  <c:v>13.900000000000006</c:v>
                </c:pt>
                <c:pt idx="12">
                  <c:v>16.200000000000003</c:v>
                </c:pt>
                <c:pt idx="13">
                  <c:v>19</c:v>
                </c:pt>
                <c:pt idx="14">
                  <c:v>16.400000000000006</c:v>
                </c:pt>
                <c:pt idx="15">
                  <c:v>11.099999999999994</c:v>
                </c:pt>
                <c:pt idx="16">
                  <c:v>8.2999999999999972</c:v>
                </c:pt>
                <c:pt idx="17">
                  <c:v>4</c:v>
                </c:pt>
                <c:pt idx="18">
                  <c:v>6</c:v>
                </c:pt>
                <c:pt idx="19">
                  <c:v>8.7000000000000028</c:v>
                </c:pt>
              </c:numCache>
            </c:numRef>
          </c:val>
          <c:extLst>
            <c:ext xmlns:c16="http://schemas.microsoft.com/office/drawing/2014/chart" uri="{C3380CC4-5D6E-409C-BE32-E72D297353CC}">
              <c16:uniqueId val="{00000001-A747-4D71-8406-77528309CB69}"/>
            </c:ext>
          </c:extLst>
        </c:ser>
        <c:dLbls>
          <c:showLegendKey val="0"/>
          <c:showVal val="0"/>
          <c:showCatName val="0"/>
          <c:showSerName val="0"/>
          <c:showPercent val="0"/>
          <c:showBubbleSize val="0"/>
        </c:dLbls>
        <c:gapWidth val="95"/>
        <c:axId val="130418560"/>
        <c:axId val="130420096"/>
      </c:barChart>
      <c:lineChart>
        <c:grouping val="standard"/>
        <c:varyColors val="0"/>
        <c:ser>
          <c:idx val="2"/>
          <c:order val="2"/>
          <c:tx>
            <c:strRef>
              <c:f>'Ceny 1'!$E$5</c:f>
              <c:strCache>
                <c:ptCount val="1"/>
                <c:pt idx="0">
                  <c:v>Catalogue prices of flats, the CR</c:v>
                </c:pt>
              </c:strCache>
            </c:strRef>
          </c:tx>
          <c:spPr>
            <a:ln w="19050">
              <a:solidFill>
                <a:schemeClr val="accent2"/>
              </a:solidFill>
            </a:ln>
          </c:spPr>
          <c:marker>
            <c:symbol val="none"/>
          </c:marker>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1'!$E$14:$E$33</c:f>
              <c:numCache>
                <c:formatCode>0.0</c:formatCode>
                <c:ptCount val="20"/>
                <c:pt idx="0">
                  <c:v>3.0082987551867131</c:v>
                </c:pt>
                <c:pt idx="1">
                  <c:v>4.1407867494824018</c:v>
                </c:pt>
                <c:pt idx="2">
                  <c:v>4.6201232032854209</c:v>
                </c:pt>
                <c:pt idx="3">
                  <c:v>2.7411167512690384</c:v>
                </c:pt>
                <c:pt idx="4">
                  <c:v>3.6253776435045406</c:v>
                </c:pt>
                <c:pt idx="5">
                  <c:v>4.9701789264413518</c:v>
                </c:pt>
                <c:pt idx="6">
                  <c:v>6.0843964671246207</c:v>
                </c:pt>
                <c:pt idx="7">
                  <c:v>9.5849802371541539</c:v>
                </c:pt>
                <c:pt idx="8">
                  <c:v>10.204081632653059</c:v>
                </c:pt>
                <c:pt idx="9">
                  <c:v>10.321969696969703</c:v>
                </c:pt>
                <c:pt idx="10">
                  <c:v>9.8982423681776162</c:v>
                </c:pt>
                <c:pt idx="11">
                  <c:v>9.9188458070333638</c:v>
                </c:pt>
                <c:pt idx="12">
                  <c:v>9.5238095238095202</c:v>
                </c:pt>
                <c:pt idx="13" formatCode="General">
                  <c:v>9.5278969957081507</c:v>
                </c:pt>
                <c:pt idx="14" formatCode="General">
                  <c:v>12.542087542087534</c:v>
                </c:pt>
                <c:pt idx="15" formatCode="General">
                  <c:v>12.469237079573411</c:v>
                </c:pt>
                <c:pt idx="16" formatCode="General">
                  <c:v>12.801932367149751</c:v>
                </c:pt>
                <c:pt idx="17" formatCode="General">
                  <c:v>12.2257053291536</c:v>
                </c:pt>
                <c:pt idx="18" formatCode="General">
                  <c:v>9.4988780852655328</c:v>
                </c:pt>
                <c:pt idx="19" formatCode="General">
                  <c:v>8.4609773887673203</c:v>
                </c:pt>
              </c:numCache>
            </c:numRef>
          </c:val>
          <c:smooth val="0"/>
          <c:extLst>
            <c:ext xmlns:c16="http://schemas.microsoft.com/office/drawing/2014/chart" uri="{C3380CC4-5D6E-409C-BE32-E72D297353CC}">
              <c16:uniqueId val="{00000002-A747-4D71-8406-77528309CB69}"/>
            </c:ext>
          </c:extLst>
        </c:ser>
        <c:ser>
          <c:idx val="3"/>
          <c:order val="3"/>
          <c:tx>
            <c:strRef>
              <c:f>'Ceny 1'!$F$5</c:f>
              <c:strCache>
                <c:ptCount val="1"/>
                <c:pt idx="0">
                  <c:v>Catalogue prices of flats, Prague</c:v>
                </c:pt>
              </c:strCache>
            </c:strRef>
          </c:tx>
          <c:spPr>
            <a:ln>
              <a:solidFill>
                <a:schemeClr val="accent1"/>
              </a:solidFill>
            </a:ln>
          </c:spPr>
          <c:marker>
            <c:symbol val="none"/>
          </c:marker>
          <c:cat>
            <c:multiLvlStrRef>
              <c:f>'Ceny 1'!$A$14:$B$33</c:f>
              <c:multiLvlStrCache>
                <c:ptCount val="20"/>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lvl>
                <c:lvl>
                  <c:pt idx="0">
                    <c:v>2014</c:v>
                  </c:pt>
                  <c:pt idx="4">
                    <c:v>2015</c:v>
                  </c:pt>
                  <c:pt idx="8">
                    <c:v>2016</c:v>
                  </c:pt>
                  <c:pt idx="12">
                    <c:v>2017</c:v>
                  </c:pt>
                  <c:pt idx="16">
                    <c:v>2018</c:v>
                  </c:pt>
                </c:lvl>
              </c:multiLvlStrCache>
            </c:multiLvlStrRef>
          </c:cat>
          <c:val>
            <c:numRef>
              <c:f>'Ceny 1'!$F$14:$F$33</c:f>
              <c:numCache>
                <c:formatCode>0.0</c:formatCode>
                <c:ptCount val="20"/>
                <c:pt idx="0">
                  <c:v>3.8310412573673931</c:v>
                </c:pt>
                <c:pt idx="1">
                  <c:v>5.2785923753665749</c:v>
                </c:pt>
                <c:pt idx="2">
                  <c:v>6.6731141199226212</c:v>
                </c:pt>
                <c:pt idx="3">
                  <c:v>5.1428571428571486</c:v>
                </c:pt>
                <c:pt idx="4">
                  <c:v>5.7710501419110631</c:v>
                </c:pt>
                <c:pt idx="5">
                  <c:v>6.4995357474466111</c:v>
                </c:pt>
                <c:pt idx="6">
                  <c:v>6.7089755213055353</c:v>
                </c:pt>
                <c:pt idx="7">
                  <c:v>8.7862318840579601</c:v>
                </c:pt>
                <c:pt idx="8">
                  <c:v>10.196779964221831</c:v>
                </c:pt>
                <c:pt idx="9">
                  <c:v>10.549258936355706</c:v>
                </c:pt>
                <c:pt idx="10">
                  <c:v>9.7706032285471416</c:v>
                </c:pt>
                <c:pt idx="11">
                  <c:v>11.323896752706073</c:v>
                </c:pt>
                <c:pt idx="12">
                  <c:v>13.636363636363633</c:v>
                </c:pt>
                <c:pt idx="13" formatCode="General">
                  <c:v>14.589905362776037</c:v>
                </c:pt>
                <c:pt idx="14" formatCode="General">
                  <c:v>18.266253869969059</c:v>
                </c:pt>
                <c:pt idx="15" formatCode="General">
                  <c:v>18.773373223635023</c:v>
                </c:pt>
                <c:pt idx="16" formatCode="General">
                  <c:v>15.071428571428566</c:v>
                </c:pt>
                <c:pt idx="17" formatCode="General">
                  <c:v>14.246386785960075</c:v>
                </c:pt>
                <c:pt idx="18" formatCode="General">
                  <c:v>10.732984293193702</c:v>
                </c:pt>
                <c:pt idx="19" formatCode="General">
                  <c:v>8.7531486146095574</c:v>
                </c:pt>
              </c:numCache>
            </c:numRef>
          </c:val>
          <c:smooth val="0"/>
          <c:extLst>
            <c:ext xmlns:c16="http://schemas.microsoft.com/office/drawing/2014/chart" uri="{C3380CC4-5D6E-409C-BE32-E72D297353CC}">
              <c16:uniqueId val="{00000003-A747-4D71-8406-77528309CB69}"/>
            </c:ext>
          </c:extLst>
        </c:ser>
        <c:dLbls>
          <c:showLegendKey val="0"/>
          <c:showVal val="0"/>
          <c:showCatName val="0"/>
          <c:showSerName val="0"/>
          <c:showPercent val="0"/>
          <c:showBubbleSize val="0"/>
        </c:dLbls>
        <c:marker val="1"/>
        <c:smooth val="0"/>
        <c:axId val="130418560"/>
        <c:axId val="130420096"/>
      </c:lineChart>
      <c:catAx>
        <c:axId val="130418560"/>
        <c:scaling>
          <c:orientation val="minMax"/>
        </c:scaling>
        <c:delete val="0"/>
        <c:axPos val="b"/>
        <c:numFmt formatCode="General" sourceLinked="0"/>
        <c:majorTickMark val="out"/>
        <c:minorTickMark val="none"/>
        <c:tickLblPos val="low"/>
        <c:spPr>
          <a:ln>
            <a:solidFill>
              <a:schemeClr val="tx1"/>
            </a:solidFill>
          </a:ln>
        </c:spPr>
        <c:txPr>
          <a:bodyPr rot="0" vert="horz"/>
          <a:lstStyle/>
          <a:p>
            <a:pPr>
              <a:defRPr/>
            </a:pPr>
            <a:endParaRPr lang="cs-CZ"/>
          </a:p>
        </c:txPr>
        <c:crossAx val="130420096"/>
        <c:crosses val="autoZero"/>
        <c:auto val="1"/>
        <c:lblAlgn val="ctr"/>
        <c:lblOffset val="100"/>
        <c:noMultiLvlLbl val="0"/>
      </c:catAx>
      <c:valAx>
        <c:axId val="130420096"/>
        <c:scaling>
          <c:orientation val="minMax"/>
          <c:min val="-6"/>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0418560"/>
        <c:crosses val="autoZero"/>
        <c:crossBetween val="between"/>
        <c:majorUnit val="2"/>
      </c:valAx>
      <c:spPr>
        <a:ln>
          <a:solidFill>
            <a:schemeClr val="tx1"/>
          </a:solidFill>
        </a:ln>
      </c:spPr>
    </c:plotArea>
    <c:legend>
      <c:legendPos val="b"/>
      <c:layout>
        <c:manualLayout>
          <c:xMode val="edge"/>
          <c:yMode val="edge"/>
          <c:x val="4.6528021206651497E-2"/>
          <c:y val="0.88817854328492629"/>
          <c:w val="0.9267997314289258"/>
          <c:h val="9.838061465721031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707738197712412E-2"/>
          <c:y val="2.1811315924219993E-2"/>
          <c:w val="0.89142432050272657"/>
          <c:h val="0.71663233141956562"/>
        </c:manualLayout>
      </c:layout>
      <c:barChart>
        <c:barDir val="col"/>
        <c:grouping val="clustered"/>
        <c:varyColors val="0"/>
        <c:ser>
          <c:idx val="0"/>
          <c:order val="0"/>
          <c:tx>
            <c:strRef>
              <c:f>'Ceny 4'!$C$5</c:f>
              <c:strCache>
                <c:ptCount val="1"/>
                <c:pt idx="0">
                  <c:v>Total</c:v>
                </c:pt>
              </c:strCache>
            </c:strRef>
          </c:tx>
          <c:spPr>
            <a:solidFill>
              <a:schemeClr val="bg1">
                <a:lumMod val="65000"/>
              </a:schemeClr>
            </a:solidFill>
            <a:ln w="19050">
              <a:noFill/>
            </a:ln>
          </c:spPr>
          <c:invertIfNegative val="0"/>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4'!$C$18:$C$77</c:f>
              <c:numCache>
                <c:formatCode>0.0</c:formatCode>
                <c:ptCount val="60"/>
                <c:pt idx="0">
                  <c:v>-0.70000000000000284</c:v>
                </c:pt>
                <c:pt idx="1">
                  <c:v>-0.70000000000000284</c:v>
                </c:pt>
                <c:pt idx="2">
                  <c:v>-0.79999999999999716</c:v>
                </c:pt>
                <c:pt idx="3">
                  <c:v>-0.29999999999999716</c:v>
                </c:pt>
                <c:pt idx="4">
                  <c:v>-9.9999999999994316E-2</c:v>
                </c:pt>
                <c:pt idx="5">
                  <c:v>-0.20000000000000284</c:v>
                </c:pt>
                <c:pt idx="6">
                  <c:v>-9.9999999999994316E-2</c:v>
                </c:pt>
                <c:pt idx="7">
                  <c:v>0</c:v>
                </c:pt>
                <c:pt idx="8">
                  <c:v>-0.29999999999999716</c:v>
                </c:pt>
                <c:pt idx="9">
                  <c:v>-0.29999999999999716</c:v>
                </c:pt>
                <c:pt idx="10">
                  <c:v>-1.7000000000000028</c:v>
                </c:pt>
                <c:pt idx="11">
                  <c:v>-3.7000000000000028</c:v>
                </c:pt>
                <c:pt idx="12">
                  <c:v>-3.5</c:v>
                </c:pt>
                <c:pt idx="13">
                  <c:v>-3.5999999999999943</c:v>
                </c:pt>
                <c:pt idx="14">
                  <c:v>-2.9000000000000057</c:v>
                </c:pt>
                <c:pt idx="15">
                  <c:v>-2.5999999999999943</c:v>
                </c:pt>
                <c:pt idx="16">
                  <c:v>-2.0999999999999943</c:v>
                </c:pt>
                <c:pt idx="17">
                  <c:v>-2.2999999999999972</c:v>
                </c:pt>
                <c:pt idx="18">
                  <c:v>-3</c:v>
                </c:pt>
                <c:pt idx="19">
                  <c:v>-3.7000000000000028</c:v>
                </c:pt>
                <c:pt idx="20">
                  <c:v>-4.2000000000000028</c:v>
                </c:pt>
                <c:pt idx="21">
                  <c:v>-3.9000000000000057</c:v>
                </c:pt>
                <c:pt idx="22">
                  <c:v>-3.7000000000000028</c:v>
                </c:pt>
                <c:pt idx="23">
                  <c:v>-2.9000000000000057</c:v>
                </c:pt>
                <c:pt idx="24">
                  <c:v>-3.4000000000000057</c:v>
                </c:pt>
                <c:pt idx="25">
                  <c:v>-4</c:v>
                </c:pt>
                <c:pt idx="26">
                  <c:v>-4.5</c:v>
                </c:pt>
                <c:pt idx="27">
                  <c:v>-4.7000000000000028</c:v>
                </c:pt>
                <c:pt idx="28">
                  <c:v>-4.7999999999999972</c:v>
                </c:pt>
                <c:pt idx="29">
                  <c:v>-4.4000000000000057</c:v>
                </c:pt>
                <c:pt idx="30">
                  <c:v>-4</c:v>
                </c:pt>
                <c:pt idx="31">
                  <c:v>-3.4000000000000057</c:v>
                </c:pt>
                <c:pt idx="32">
                  <c:v>-2.4000000000000057</c:v>
                </c:pt>
                <c:pt idx="33">
                  <c:v>-1.7000000000000028</c:v>
                </c:pt>
                <c:pt idx="34">
                  <c:v>-1.2999999999999972</c:v>
                </c:pt>
                <c:pt idx="35">
                  <c:v>-0.40000000000000568</c:v>
                </c:pt>
                <c:pt idx="36" formatCode="General">
                  <c:v>2.0999999999999943</c:v>
                </c:pt>
                <c:pt idx="37" formatCode="General">
                  <c:v>3.0999999999999943</c:v>
                </c:pt>
                <c:pt idx="38">
                  <c:v>3</c:v>
                </c:pt>
                <c:pt idx="39">
                  <c:v>3.2000000000000028</c:v>
                </c:pt>
                <c:pt idx="40" formatCode="General">
                  <c:v>2.2999999999999972</c:v>
                </c:pt>
                <c:pt idx="41" formatCode="General">
                  <c:v>1.2999999999999972</c:v>
                </c:pt>
                <c:pt idx="42" formatCode="General">
                  <c:v>1.1000000000000001</c:v>
                </c:pt>
                <c:pt idx="43" formatCode="General">
                  <c:v>1.4</c:v>
                </c:pt>
                <c:pt idx="44" formatCode="General">
                  <c:v>1.7</c:v>
                </c:pt>
                <c:pt idx="45" formatCode="General">
                  <c:v>1.1000000000000001</c:v>
                </c:pt>
                <c:pt idx="46" formatCode="General">
                  <c:v>0.9</c:v>
                </c:pt>
                <c:pt idx="47" formatCode="General">
                  <c:v>0.7</c:v>
                </c:pt>
                <c:pt idx="48" formatCode="General">
                  <c:v>0.5</c:v>
                </c:pt>
                <c:pt idx="49" formatCode="General">
                  <c:v>-0.3</c:v>
                </c:pt>
                <c:pt idx="50" formatCode="General">
                  <c:v>0.1</c:v>
                </c:pt>
                <c:pt idx="51" formatCode="General">
                  <c:v>0</c:v>
                </c:pt>
                <c:pt idx="52" formatCode="General">
                  <c:v>1.5</c:v>
                </c:pt>
                <c:pt idx="53" formatCode="General">
                  <c:v>2.9</c:v>
                </c:pt>
                <c:pt idx="54" formatCode="General">
                  <c:v>3.4</c:v>
                </c:pt>
                <c:pt idx="55" formatCode="General">
                  <c:v>3.3</c:v>
                </c:pt>
                <c:pt idx="56" formatCode="General">
                  <c:v>3.2</c:v>
                </c:pt>
                <c:pt idx="57" formatCode="General">
                  <c:v>3.9</c:v>
                </c:pt>
                <c:pt idx="58" formatCode="General">
                  <c:v>3.9</c:v>
                </c:pt>
                <c:pt idx="59" formatCode="General">
                  <c:v>2.4</c:v>
                </c:pt>
              </c:numCache>
            </c:numRef>
          </c:val>
          <c:extLst>
            <c:ext xmlns:c16="http://schemas.microsoft.com/office/drawing/2014/chart" uri="{C3380CC4-5D6E-409C-BE32-E72D297353CC}">
              <c16:uniqueId val="{00000000-2EBA-44D0-A25D-0827E1A3CDE3}"/>
            </c:ext>
          </c:extLst>
        </c:ser>
        <c:dLbls>
          <c:showLegendKey val="0"/>
          <c:showVal val="0"/>
          <c:showCatName val="0"/>
          <c:showSerName val="0"/>
          <c:showPercent val="0"/>
          <c:showBubbleSize val="0"/>
        </c:dLbls>
        <c:gapWidth val="96"/>
        <c:axId val="119381376"/>
        <c:axId val="130745472"/>
      </c:barChart>
      <c:lineChart>
        <c:grouping val="standard"/>
        <c:varyColors val="0"/>
        <c:ser>
          <c:idx val="1"/>
          <c:order val="1"/>
          <c:tx>
            <c:strRef>
              <c:f>'Ceny 4'!$D$5</c:f>
              <c:strCache>
                <c:ptCount val="1"/>
                <c:pt idx="0">
                  <c:v>Mining and quarrying,</c:v>
                </c:pt>
              </c:strCache>
            </c:strRef>
          </c:tx>
          <c:spPr>
            <a:ln w="19050">
              <a:solidFill>
                <a:srgbClr val="7DBB2D"/>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4'!$D$18:$D$77</c:f>
              <c:numCache>
                <c:formatCode>0.0</c:formatCode>
                <c:ptCount val="60"/>
                <c:pt idx="0">
                  <c:v>-3</c:v>
                </c:pt>
                <c:pt idx="1">
                  <c:v>-3.0999999999999943</c:v>
                </c:pt>
                <c:pt idx="2">
                  <c:v>-4</c:v>
                </c:pt>
                <c:pt idx="3">
                  <c:v>-4.0999999999999943</c:v>
                </c:pt>
                <c:pt idx="4">
                  <c:v>-4.5999999999999943</c:v>
                </c:pt>
                <c:pt idx="5">
                  <c:v>-4.7999999999999972</c:v>
                </c:pt>
                <c:pt idx="6">
                  <c:v>-3</c:v>
                </c:pt>
                <c:pt idx="7">
                  <c:v>-3.5999999999999943</c:v>
                </c:pt>
                <c:pt idx="8">
                  <c:v>-1.9000000000000057</c:v>
                </c:pt>
                <c:pt idx="9">
                  <c:v>-2.0999999999999943</c:v>
                </c:pt>
                <c:pt idx="10">
                  <c:v>-2.2999999999999972</c:v>
                </c:pt>
                <c:pt idx="11">
                  <c:v>-2.7999999999999972</c:v>
                </c:pt>
                <c:pt idx="12">
                  <c:v>-0.90000000000000568</c:v>
                </c:pt>
                <c:pt idx="13">
                  <c:v>-1.5</c:v>
                </c:pt>
                <c:pt idx="14">
                  <c:v>-0.90000000000000568</c:v>
                </c:pt>
                <c:pt idx="15">
                  <c:v>-0.90000000000000568</c:v>
                </c:pt>
                <c:pt idx="16">
                  <c:v>0.29999999999999716</c:v>
                </c:pt>
                <c:pt idx="17">
                  <c:v>0.59999999999999432</c:v>
                </c:pt>
                <c:pt idx="18">
                  <c:v>0.40000000000000568</c:v>
                </c:pt>
                <c:pt idx="19">
                  <c:v>-0.29999999999999716</c:v>
                </c:pt>
                <c:pt idx="20">
                  <c:v>-1.7000000000000028</c:v>
                </c:pt>
                <c:pt idx="21">
                  <c:v>-1.4000000000000057</c:v>
                </c:pt>
                <c:pt idx="22">
                  <c:v>-0.59999999999999432</c:v>
                </c:pt>
                <c:pt idx="23">
                  <c:v>-0.5</c:v>
                </c:pt>
                <c:pt idx="24">
                  <c:v>-6.5999999999999943</c:v>
                </c:pt>
                <c:pt idx="25">
                  <c:v>-6.0999999999999943</c:v>
                </c:pt>
                <c:pt idx="26">
                  <c:v>-6.5</c:v>
                </c:pt>
                <c:pt idx="27">
                  <c:v>-7</c:v>
                </c:pt>
                <c:pt idx="28">
                  <c:v>-7.0999999999999943</c:v>
                </c:pt>
                <c:pt idx="29">
                  <c:v>-7.2999999999999972</c:v>
                </c:pt>
                <c:pt idx="30">
                  <c:v>-6.5999999999999943</c:v>
                </c:pt>
                <c:pt idx="31">
                  <c:v>-6</c:v>
                </c:pt>
                <c:pt idx="32">
                  <c:v>-4.9000000000000057</c:v>
                </c:pt>
                <c:pt idx="33">
                  <c:v>-5.2000000000000028</c:v>
                </c:pt>
                <c:pt idx="34">
                  <c:v>-5.2999999999999972</c:v>
                </c:pt>
                <c:pt idx="35">
                  <c:v>-5.0999999999999943</c:v>
                </c:pt>
                <c:pt idx="36" formatCode="General">
                  <c:v>2.2999999999999972</c:v>
                </c:pt>
                <c:pt idx="37" formatCode="General">
                  <c:v>5.7999999999999972</c:v>
                </c:pt>
                <c:pt idx="38">
                  <c:v>6.2000000000000028</c:v>
                </c:pt>
                <c:pt idx="39">
                  <c:v>6.4000000000000057</c:v>
                </c:pt>
                <c:pt idx="40" formatCode="General">
                  <c:v>4.2999999999999972</c:v>
                </c:pt>
                <c:pt idx="41" formatCode="General">
                  <c:v>4.0999999999999943</c:v>
                </c:pt>
                <c:pt idx="42" formatCode="General">
                  <c:v>2.9</c:v>
                </c:pt>
                <c:pt idx="43" formatCode="General">
                  <c:v>1.7</c:v>
                </c:pt>
                <c:pt idx="44" formatCode="General">
                  <c:v>1.9</c:v>
                </c:pt>
                <c:pt idx="45" formatCode="General">
                  <c:v>3.4</c:v>
                </c:pt>
                <c:pt idx="46" formatCode="General">
                  <c:v>3.3</c:v>
                </c:pt>
                <c:pt idx="47" formatCode="General">
                  <c:v>3.6</c:v>
                </c:pt>
                <c:pt idx="48" formatCode="General">
                  <c:v>6.7</c:v>
                </c:pt>
                <c:pt idx="49" formatCode="General">
                  <c:v>5</c:v>
                </c:pt>
                <c:pt idx="50" formatCode="General">
                  <c:v>4.3</c:v>
                </c:pt>
                <c:pt idx="51" formatCode="General">
                  <c:v>4.5999999999999996</c:v>
                </c:pt>
                <c:pt idx="52" formatCode="General">
                  <c:v>7.4</c:v>
                </c:pt>
                <c:pt idx="53" formatCode="General">
                  <c:v>8</c:v>
                </c:pt>
                <c:pt idx="54" formatCode="General">
                  <c:v>8.4</c:v>
                </c:pt>
                <c:pt idx="55" formatCode="General">
                  <c:v>10.1</c:v>
                </c:pt>
                <c:pt idx="56" formatCode="General">
                  <c:v>9.9</c:v>
                </c:pt>
                <c:pt idx="57" formatCode="General">
                  <c:v>9</c:v>
                </c:pt>
                <c:pt idx="58" formatCode="General">
                  <c:v>9.1999999999999993</c:v>
                </c:pt>
                <c:pt idx="59" formatCode="General">
                  <c:v>8.3000000000000007</c:v>
                </c:pt>
              </c:numCache>
            </c:numRef>
          </c:val>
          <c:smooth val="0"/>
          <c:extLst>
            <c:ext xmlns:c16="http://schemas.microsoft.com/office/drawing/2014/chart" uri="{C3380CC4-5D6E-409C-BE32-E72D297353CC}">
              <c16:uniqueId val="{00000001-2EBA-44D0-A25D-0827E1A3CDE3}"/>
            </c:ext>
          </c:extLst>
        </c:ser>
        <c:ser>
          <c:idx val="2"/>
          <c:order val="2"/>
          <c:tx>
            <c:strRef>
              <c:f>'Ceny 4'!$E$5</c:f>
              <c:strCache>
                <c:ptCount val="1"/>
                <c:pt idx="0">
                  <c:v>Manufacturing</c:v>
                </c:pt>
              </c:strCache>
            </c:strRef>
          </c:tx>
          <c:spPr>
            <a:ln w="19050">
              <a:solidFill>
                <a:srgbClr val="BD1B21"/>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4'!$E$18:$E$77</c:f>
              <c:numCache>
                <c:formatCode>0.0</c:formatCode>
                <c:ptCount val="60"/>
                <c:pt idx="0">
                  <c:v>1.0999999999999943</c:v>
                </c:pt>
                <c:pt idx="1">
                  <c:v>1.2000000000000028</c:v>
                </c:pt>
                <c:pt idx="2">
                  <c:v>1</c:v>
                </c:pt>
                <c:pt idx="3">
                  <c:v>1.5999999999999943</c:v>
                </c:pt>
                <c:pt idx="4">
                  <c:v>1.9000000000000057</c:v>
                </c:pt>
                <c:pt idx="5">
                  <c:v>1.9000000000000057</c:v>
                </c:pt>
                <c:pt idx="6">
                  <c:v>1.7999999999999972</c:v>
                </c:pt>
                <c:pt idx="7">
                  <c:v>2.0999999999999943</c:v>
                </c:pt>
                <c:pt idx="8">
                  <c:v>1.5</c:v>
                </c:pt>
                <c:pt idx="9">
                  <c:v>1.5</c:v>
                </c:pt>
                <c:pt idx="10">
                  <c:v>-9.9999999999994316E-2</c:v>
                </c:pt>
                <c:pt idx="11">
                  <c:v>-2.7999999999999972</c:v>
                </c:pt>
                <c:pt idx="12">
                  <c:v>-4.2999999999999972</c:v>
                </c:pt>
                <c:pt idx="13">
                  <c:v>-4.4000000000000057</c:v>
                </c:pt>
                <c:pt idx="14">
                  <c:v>-3.5</c:v>
                </c:pt>
                <c:pt idx="15">
                  <c:v>-3.0999999999999943</c:v>
                </c:pt>
                <c:pt idx="16">
                  <c:v>-2.7000000000000028</c:v>
                </c:pt>
                <c:pt idx="17">
                  <c:v>-2.7999999999999972</c:v>
                </c:pt>
                <c:pt idx="18">
                  <c:v>-3.5999999999999943</c:v>
                </c:pt>
                <c:pt idx="19">
                  <c:v>-4.7000000000000028</c:v>
                </c:pt>
                <c:pt idx="20">
                  <c:v>-5.2000000000000028</c:v>
                </c:pt>
                <c:pt idx="21">
                  <c:v>-4.9000000000000057</c:v>
                </c:pt>
                <c:pt idx="22">
                  <c:v>-4.5999999999999943</c:v>
                </c:pt>
                <c:pt idx="23">
                  <c:v>-3.5</c:v>
                </c:pt>
                <c:pt idx="24">
                  <c:v>-3.2999999999999972</c:v>
                </c:pt>
                <c:pt idx="25">
                  <c:v>-4.0999999999999943</c:v>
                </c:pt>
                <c:pt idx="26">
                  <c:v>-4.5999999999999943</c:v>
                </c:pt>
                <c:pt idx="27">
                  <c:v>-4.9000000000000057</c:v>
                </c:pt>
                <c:pt idx="28">
                  <c:v>-5</c:v>
                </c:pt>
                <c:pt idx="29">
                  <c:v>-4.5</c:v>
                </c:pt>
                <c:pt idx="30">
                  <c:v>-4</c:v>
                </c:pt>
                <c:pt idx="31">
                  <c:v>-3.2000000000000028</c:v>
                </c:pt>
                <c:pt idx="32">
                  <c:v>-2</c:v>
                </c:pt>
                <c:pt idx="33">
                  <c:v>-1.0999999999999943</c:v>
                </c:pt>
                <c:pt idx="34">
                  <c:v>-0.59999999999999432</c:v>
                </c:pt>
                <c:pt idx="35">
                  <c:v>0.59999999999999432</c:v>
                </c:pt>
                <c:pt idx="36" formatCode="General">
                  <c:v>2.5999999999999943</c:v>
                </c:pt>
                <c:pt idx="37" formatCode="General">
                  <c:v>4</c:v>
                </c:pt>
                <c:pt idx="38">
                  <c:v>3.7999999999999972</c:v>
                </c:pt>
                <c:pt idx="39">
                  <c:v>4</c:v>
                </c:pt>
                <c:pt idx="40" formatCode="General">
                  <c:v>2.7999999999999972</c:v>
                </c:pt>
                <c:pt idx="41" formatCode="General">
                  <c:v>1.5</c:v>
                </c:pt>
                <c:pt idx="42" formatCode="General">
                  <c:v>1.4</c:v>
                </c:pt>
                <c:pt idx="43" formatCode="General">
                  <c:v>2</c:v>
                </c:pt>
                <c:pt idx="44" formatCode="General">
                  <c:v>2.1</c:v>
                </c:pt>
                <c:pt idx="45" formatCode="General">
                  <c:v>1.4</c:v>
                </c:pt>
                <c:pt idx="46" formatCode="General">
                  <c:v>1.1000000000000001</c:v>
                </c:pt>
                <c:pt idx="47" formatCode="General">
                  <c:v>0.9</c:v>
                </c:pt>
                <c:pt idx="48" formatCode="General">
                  <c:v>0.2</c:v>
                </c:pt>
                <c:pt idx="49" formatCode="General">
                  <c:v>-0.9</c:v>
                </c:pt>
                <c:pt idx="50" formatCode="General">
                  <c:v>-0.5</c:v>
                </c:pt>
                <c:pt idx="51" formatCode="General">
                  <c:v>-0.5</c:v>
                </c:pt>
                <c:pt idx="52" formatCode="General">
                  <c:v>1.3</c:v>
                </c:pt>
                <c:pt idx="53" formatCode="General">
                  <c:v>2.8</c:v>
                </c:pt>
                <c:pt idx="54" formatCode="General">
                  <c:v>3.4</c:v>
                </c:pt>
                <c:pt idx="55" formatCode="General">
                  <c:v>3.2</c:v>
                </c:pt>
                <c:pt idx="56" formatCode="General">
                  <c:v>3</c:v>
                </c:pt>
                <c:pt idx="57" formatCode="General">
                  <c:v>3.8</c:v>
                </c:pt>
                <c:pt idx="58" formatCode="General">
                  <c:v>3.9</c:v>
                </c:pt>
                <c:pt idx="59" formatCode="General">
                  <c:v>2.2000000000000002</c:v>
                </c:pt>
              </c:numCache>
            </c:numRef>
          </c:val>
          <c:smooth val="0"/>
          <c:extLst>
            <c:ext xmlns:c16="http://schemas.microsoft.com/office/drawing/2014/chart" uri="{C3380CC4-5D6E-409C-BE32-E72D297353CC}">
              <c16:uniqueId val="{00000002-2EBA-44D0-A25D-0827E1A3CDE3}"/>
            </c:ext>
          </c:extLst>
        </c:ser>
        <c:ser>
          <c:idx val="3"/>
          <c:order val="3"/>
          <c:tx>
            <c:strRef>
              <c:f>'Ceny 4'!$F$5</c:f>
              <c:strCache>
                <c:ptCount val="1"/>
                <c:pt idx="0">
                  <c:v>Electricity, gas, steam and air conditioning supply</c:v>
                </c:pt>
              </c:strCache>
            </c:strRef>
          </c:tx>
          <c:spPr>
            <a:ln w="19050">
              <a:solidFill>
                <a:srgbClr val="F8A124"/>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4'!$F$18:$F$77</c:f>
              <c:numCache>
                <c:formatCode>0.0</c:formatCode>
                <c:ptCount val="60"/>
                <c:pt idx="0">
                  <c:v>-8.7999999999999972</c:v>
                </c:pt>
                <c:pt idx="1">
                  <c:v>-8.7999999999999972</c:v>
                </c:pt>
                <c:pt idx="2">
                  <c:v>-8.7999999999999972</c:v>
                </c:pt>
                <c:pt idx="3">
                  <c:v>-8.5999999999999943</c:v>
                </c:pt>
                <c:pt idx="4">
                  <c:v>-8.5999999999999943</c:v>
                </c:pt>
                <c:pt idx="5">
                  <c:v>-8.7000000000000028</c:v>
                </c:pt>
                <c:pt idx="6">
                  <c:v>-8.7000000000000028</c:v>
                </c:pt>
                <c:pt idx="7">
                  <c:v>-8.5999999999999943</c:v>
                </c:pt>
                <c:pt idx="8">
                  <c:v>-8.5999999999999943</c:v>
                </c:pt>
                <c:pt idx="9">
                  <c:v>-8.9000000000000057</c:v>
                </c:pt>
                <c:pt idx="10">
                  <c:v>-8.9000000000000057</c:v>
                </c:pt>
                <c:pt idx="11">
                  <c:v>-8.5999999999999943</c:v>
                </c:pt>
                <c:pt idx="12">
                  <c:v>-0.79999999999999716</c:v>
                </c:pt>
                <c:pt idx="13">
                  <c:v>-0.79999999999999716</c:v>
                </c:pt>
                <c:pt idx="14">
                  <c:v>-0.79999999999999716</c:v>
                </c:pt>
                <c:pt idx="15">
                  <c:v>-0.70000000000000284</c:v>
                </c:pt>
                <c:pt idx="16">
                  <c:v>-0.70000000000000284</c:v>
                </c:pt>
                <c:pt idx="17">
                  <c:v>-0.70000000000000284</c:v>
                </c:pt>
                <c:pt idx="18">
                  <c:v>-0.70000000000000284</c:v>
                </c:pt>
                <c:pt idx="19">
                  <c:v>-0.79999999999999716</c:v>
                </c:pt>
                <c:pt idx="20">
                  <c:v>-0.79999999999999716</c:v>
                </c:pt>
                <c:pt idx="21">
                  <c:v>-0.90000000000000568</c:v>
                </c:pt>
                <c:pt idx="22">
                  <c:v>-0.90000000000000568</c:v>
                </c:pt>
                <c:pt idx="23">
                  <c:v>-0.90000000000000568</c:v>
                </c:pt>
                <c:pt idx="24">
                  <c:v>-4</c:v>
                </c:pt>
                <c:pt idx="25">
                  <c:v>-4.0999999999999943</c:v>
                </c:pt>
                <c:pt idx="26">
                  <c:v>-4.0999999999999943</c:v>
                </c:pt>
                <c:pt idx="27">
                  <c:v>-4</c:v>
                </c:pt>
                <c:pt idx="28">
                  <c:v>-4</c:v>
                </c:pt>
                <c:pt idx="29">
                  <c:v>-4.0999999999999943</c:v>
                </c:pt>
                <c:pt idx="30">
                  <c:v>-4</c:v>
                </c:pt>
                <c:pt idx="31">
                  <c:v>-4</c:v>
                </c:pt>
                <c:pt idx="32">
                  <c:v>-4.0999999999999943</c:v>
                </c:pt>
                <c:pt idx="33">
                  <c:v>-4.0999999999999943</c:v>
                </c:pt>
                <c:pt idx="34">
                  <c:v>-4.0999999999999943</c:v>
                </c:pt>
                <c:pt idx="35">
                  <c:v>-4.0999999999999943</c:v>
                </c:pt>
                <c:pt idx="36" formatCode="General">
                  <c:v>-1.0999999999999943</c:v>
                </c:pt>
                <c:pt idx="37" formatCode="General">
                  <c:v>-1.2000000000000028</c:v>
                </c:pt>
                <c:pt idx="38">
                  <c:v>-1.2000000000000028</c:v>
                </c:pt>
                <c:pt idx="39">
                  <c:v>-1.4000000000000057</c:v>
                </c:pt>
                <c:pt idx="40" formatCode="General">
                  <c:v>-1.2999999999999972</c:v>
                </c:pt>
                <c:pt idx="41" formatCode="General">
                  <c:v>-1.0999999999999943</c:v>
                </c:pt>
                <c:pt idx="42" formatCode="General">
                  <c:v>-1.1000000000000001</c:v>
                </c:pt>
                <c:pt idx="43" formatCode="General">
                  <c:v>-1.3</c:v>
                </c:pt>
                <c:pt idx="44" formatCode="General">
                  <c:v>-1.1000000000000001</c:v>
                </c:pt>
                <c:pt idx="45" formatCode="General">
                  <c:v>-1.1000000000000001</c:v>
                </c:pt>
                <c:pt idx="46" formatCode="General">
                  <c:v>-1.1000000000000001</c:v>
                </c:pt>
                <c:pt idx="47" formatCode="General">
                  <c:v>-1.1000000000000001</c:v>
                </c:pt>
                <c:pt idx="48" formatCode="General">
                  <c:v>1.5</c:v>
                </c:pt>
                <c:pt idx="49" formatCode="General">
                  <c:v>1.6</c:v>
                </c:pt>
                <c:pt idx="50" formatCode="General">
                  <c:v>1.6</c:v>
                </c:pt>
                <c:pt idx="51" formatCode="General">
                  <c:v>1.7</c:v>
                </c:pt>
                <c:pt idx="52" formatCode="General">
                  <c:v>1.7</c:v>
                </c:pt>
                <c:pt idx="53" formatCode="General">
                  <c:v>2.2999999999999998</c:v>
                </c:pt>
                <c:pt idx="54" formatCode="General">
                  <c:v>2.2999999999999998</c:v>
                </c:pt>
                <c:pt idx="55" formatCode="General">
                  <c:v>2.6</c:v>
                </c:pt>
                <c:pt idx="56" formatCode="General">
                  <c:v>2.7</c:v>
                </c:pt>
                <c:pt idx="57" formatCode="General">
                  <c:v>2.8</c:v>
                </c:pt>
                <c:pt idx="58" formatCode="General">
                  <c:v>2.8</c:v>
                </c:pt>
                <c:pt idx="59" formatCode="General">
                  <c:v>2.8</c:v>
                </c:pt>
              </c:numCache>
            </c:numRef>
          </c:val>
          <c:smooth val="0"/>
          <c:extLst>
            <c:ext xmlns:c16="http://schemas.microsoft.com/office/drawing/2014/chart" uri="{C3380CC4-5D6E-409C-BE32-E72D297353CC}">
              <c16:uniqueId val="{00000003-2EBA-44D0-A25D-0827E1A3CDE3}"/>
            </c:ext>
          </c:extLst>
        </c:ser>
        <c:ser>
          <c:idx val="4"/>
          <c:order val="4"/>
          <c:tx>
            <c:strRef>
              <c:f>'Ceny 4'!$G$5</c:f>
              <c:strCache>
                <c:ptCount val="1"/>
                <c:pt idx="0">
                  <c:v>Water supply, sewerage</c:v>
                </c:pt>
              </c:strCache>
            </c:strRef>
          </c:tx>
          <c:spPr>
            <a:ln w="19050">
              <a:solidFill>
                <a:schemeClr val="accent1"/>
              </a:solidFill>
            </a:ln>
          </c:spPr>
          <c:marker>
            <c:symbol val="none"/>
          </c:marker>
          <c:cat>
            <c:multiLvlStrRef>
              <c:f>'Ceny 4'!$A$18:$B$77</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'Ceny 4'!$G$18:$G$77</c:f>
              <c:numCache>
                <c:formatCode>General</c:formatCode>
                <c:ptCount val="60"/>
                <c:pt idx="0">
                  <c:v>3.4000000000000057</c:v>
                </c:pt>
                <c:pt idx="1">
                  <c:v>3.4000000000000057</c:v>
                </c:pt>
                <c:pt idx="2">
                  <c:v>3.4000000000000057</c:v>
                </c:pt>
                <c:pt idx="3">
                  <c:v>3.4000000000000057</c:v>
                </c:pt>
                <c:pt idx="4">
                  <c:v>3.4000000000000057</c:v>
                </c:pt>
                <c:pt idx="5">
                  <c:v>3.4000000000000057</c:v>
                </c:pt>
                <c:pt idx="6">
                  <c:v>3.4000000000000057</c:v>
                </c:pt>
                <c:pt idx="7">
                  <c:v>3.4000000000000057</c:v>
                </c:pt>
                <c:pt idx="8">
                  <c:v>3.4000000000000057</c:v>
                </c:pt>
                <c:pt idx="9">
                  <c:v>3.4000000000000057</c:v>
                </c:pt>
                <c:pt idx="10">
                  <c:v>3.4000000000000057</c:v>
                </c:pt>
                <c:pt idx="11">
                  <c:v>3.4000000000000057</c:v>
                </c:pt>
                <c:pt idx="12">
                  <c:v>3.4000000000000057</c:v>
                </c:pt>
                <c:pt idx="13">
                  <c:v>3.4000000000000057</c:v>
                </c:pt>
                <c:pt idx="14">
                  <c:v>3.4000000000000057</c:v>
                </c:pt>
                <c:pt idx="15">
                  <c:v>3.4000000000000057</c:v>
                </c:pt>
                <c:pt idx="16">
                  <c:v>3.4000000000000057</c:v>
                </c:pt>
                <c:pt idx="17">
                  <c:v>3.4000000000000057</c:v>
                </c:pt>
                <c:pt idx="18">
                  <c:v>3.4000000000000057</c:v>
                </c:pt>
                <c:pt idx="19">
                  <c:v>3.4000000000000057</c:v>
                </c:pt>
                <c:pt idx="20">
                  <c:v>3.4000000000000057</c:v>
                </c:pt>
                <c:pt idx="21">
                  <c:v>3.4000000000000057</c:v>
                </c:pt>
                <c:pt idx="22">
                  <c:v>3.4000000000000057</c:v>
                </c:pt>
                <c:pt idx="23">
                  <c:v>3.4000000000000057</c:v>
                </c:pt>
                <c:pt idx="24">
                  <c:v>0.5</c:v>
                </c:pt>
                <c:pt idx="25">
                  <c:v>0.5</c:v>
                </c:pt>
                <c:pt idx="26">
                  <c:v>0.5</c:v>
                </c:pt>
                <c:pt idx="27">
                  <c:v>1.5999999999999943</c:v>
                </c:pt>
                <c:pt idx="28">
                  <c:v>1.5999999999999943</c:v>
                </c:pt>
                <c:pt idx="29">
                  <c:v>1.5999999999999943</c:v>
                </c:pt>
                <c:pt idx="30">
                  <c:v>1.5999999999999943</c:v>
                </c:pt>
                <c:pt idx="31">
                  <c:v>1.5999999999999943</c:v>
                </c:pt>
                <c:pt idx="32">
                  <c:v>1.5999999999999943</c:v>
                </c:pt>
                <c:pt idx="33">
                  <c:v>1.5999999999999943</c:v>
                </c:pt>
                <c:pt idx="34">
                  <c:v>1.5999999999999943</c:v>
                </c:pt>
                <c:pt idx="35">
                  <c:v>1.5999999999999943</c:v>
                </c:pt>
                <c:pt idx="36">
                  <c:v>2.0999999999999943</c:v>
                </c:pt>
                <c:pt idx="37">
                  <c:v>2.0999999999999943</c:v>
                </c:pt>
                <c:pt idx="38" formatCode="0.0">
                  <c:v>2.0999999999999943</c:v>
                </c:pt>
                <c:pt idx="39" formatCode="0.0">
                  <c:v>1</c:v>
                </c:pt>
                <c:pt idx="40">
                  <c:v>1</c:v>
                </c:pt>
                <c:pt idx="41">
                  <c:v>1</c:v>
                </c:pt>
                <c:pt idx="42">
                  <c:v>1</c:v>
                </c:pt>
                <c:pt idx="43">
                  <c:v>1</c:v>
                </c:pt>
                <c:pt idx="44">
                  <c:v>1</c:v>
                </c:pt>
                <c:pt idx="45">
                  <c:v>1</c:v>
                </c:pt>
                <c:pt idx="46">
                  <c:v>1</c:v>
                </c:pt>
                <c:pt idx="47">
                  <c:v>1</c:v>
                </c:pt>
                <c:pt idx="48">
                  <c:v>1.9</c:v>
                </c:pt>
                <c:pt idx="49">
                  <c:v>1.9</c:v>
                </c:pt>
                <c:pt idx="50">
                  <c:v>1.9</c:v>
                </c:pt>
                <c:pt idx="51">
                  <c:v>1.9</c:v>
                </c:pt>
                <c:pt idx="52">
                  <c:v>1.9</c:v>
                </c:pt>
                <c:pt idx="53">
                  <c:v>1.9</c:v>
                </c:pt>
                <c:pt idx="54">
                  <c:v>1.9</c:v>
                </c:pt>
                <c:pt idx="55">
                  <c:v>1.9</c:v>
                </c:pt>
                <c:pt idx="56">
                  <c:v>1.9</c:v>
                </c:pt>
                <c:pt idx="57">
                  <c:v>1.9</c:v>
                </c:pt>
                <c:pt idx="58">
                  <c:v>1.9</c:v>
                </c:pt>
                <c:pt idx="59">
                  <c:v>1.9</c:v>
                </c:pt>
              </c:numCache>
            </c:numRef>
          </c:val>
          <c:smooth val="0"/>
          <c:extLst>
            <c:ext xmlns:c16="http://schemas.microsoft.com/office/drawing/2014/chart" uri="{C3380CC4-5D6E-409C-BE32-E72D297353CC}">
              <c16:uniqueId val="{00000004-2EBA-44D0-A25D-0827E1A3CDE3}"/>
            </c:ext>
          </c:extLst>
        </c:ser>
        <c:dLbls>
          <c:showLegendKey val="0"/>
          <c:showVal val="0"/>
          <c:showCatName val="0"/>
          <c:showSerName val="0"/>
          <c:showPercent val="0"/>
          <c:showBubbleSize val="0"/>
        </c:dLbls>
        <c:marker val="1"/>
        <c:smooth val="0"/>
        <c:axId val="119381376"/>
        <c:axId val="130745472"/>
      </c:lineChart>
      <c:catAx>
        <c:axId val="119381376"/>
        <c:scaling>
          <c:orientation val="minMax"/>
        </c:scaling>
        <c:delete val="0"/>
        <c:axPos val="b"/>
        <c:numFmt formatCode="General" sourceLinked="0"/>
        <c:majorTickMark val="out"/>
        <c:minorTickMark val="none"/>
        <c:tickLblPos val="low"/>
        <c:spPr>
          <a:ln>
            <a:solidFill>
              <a:schemeClr val="tx1"/>
            </a:solidFill>
          </a:ln>
        </c:spPr>
        <c:crossAx val="130745472"/>
        <c:crosses val="autoZero"/>
        <c:auto val="1"/>
        <c:lblAlgn val="ctr"/>
        <c:lblOffset val="100"/>
        <c:noMultiLvlLbl val="0"/>
      </c:catAx>
      <c:valAx>
        <c:axId val="130745472"/>
        <c:scaling>
          <c:orientation val="minMax"/>
          <c:max val="12"/>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9381376"/>
        <c:crosses val="autoZero"/>
        <c:crossBetween val="between"/>
        <c:majorUnit val="2"/>
      </c:valAx>
      <c:spPr>
        <a:ln>
          <a:solidFill>
            <a:schemeClr val="tx1"/>
          </a:solidFill>
        </a:ln>
      </c:spPr>
    </c:plotArea>
    <c:legend>
      <c:legendPos val="b"/>
      <c:layout>
        <c:manualLayout>
          <c:xMode val="edge"/>
          <c:yMode val="edge"/>
          <c:x val="5.0596282132642133E-2"/>
          <c:y val="0.86223931272106069"/>
          <c:w val="0.89560705842620769"/>
          <c:h val="0.12109402425765123"/>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306663279993532E-2"/>
          <c:y val="1.6549886621315367E-2"/>
          <c:w val="0.92698007507126057"/>
          <c:h val="0.71362200523083152"/>
        </c:manualLayout>
      </c:layout>
      <c:barChart>
        <c:barDir val="col"/>
        <c:grouping val="stacked"/>
        <c:varyColors val="0"/>
        <c:ser>
          <c:idx val="0"/>
          <c:order val="0"/>
          <c:tx>
            <c:strRef>
              <c:f>'Trh práce 1'!$AC$7</c:f>
              <c:strCache>
                <c:ptCount val="1"/>
                <c:pt idx="0">
                  <c:v>Agriculture, forestry and fishing</c:v>
                </c:pt>
              </c:strCache>
            </c:strRef>
          </c:tx>
          <c:spPr>
            <a:solidFill>
              <a:srgbClr val="7DBB2D"/>
            </a:solidFill>
            <a:ln>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1'!$AC$8:$AC$43</c:f>
              <c:numCache>
                <c:formatCode>#\ ##0.0</c:formatCode>
                <c:ptCount val="36"/>
                <c:pt idx="0">
                  <c:v>-0.23356174217311171</c:v>
                </c:pt>
                <c:pt idx="1">
                  <c:v>-0.1747122966562005</c:v>
                </c:pt>
                <c:pt idx="2">
                  <c:v>-0.13915962469226037</c:v>
                </c:pt>
                <c:pt idx="3">
                  <c:v>-0.14143959200405862</c:v>
                </c:pt>
                <c:pt idx="4">
                  <c:v>0.12025721096249922</c:v>
                </c:pt>
                <c:pt idx="5">
                  <c:v>9.358106375492109E-2</c:v>
                </c:pt>
                <c:pt idx="6">
                  <c:v>5.2909479039819948E-2</c:v>
                </c:pt>
                <c:pt idx="7">
                  <c:v>3.2200235806622762E-2</c:v>
                </c:pt>
                <c:pt idx="8">
                  <c:v>3.6416042268804891E-2</c:v>
                </c:pt>
                <c:pt idx="9">
                  <c:v>3.2594485393274086E-2</c:v>
                </c:pt>
                <c:pt idx="10">
                  <c:v>6.1848773312858325E-2</c:v>
                </c:pt>
                <c:pt idx="11">
                  <c:v>7.0937478899476325E-2</c:v>
                </c:pt>
                <c:pt idx="12">
                  <c:v>3.254323494845611E-2</c:v>
                </c:pt>
                <c:pt idx="13">
                  <c:v>7.6321874707195578E-2</c:v>
                </c:pt>
                <c:pt idx="14">
                  <c:v>2.3410924481669548E-2</c:v>
                </c:pt>
                <c:pt idx="15">
                  <c:v>-7.4800499194880665E-4</c:v>
                </c:pt>
                <c:pt idx="16">
                  <c:v>-6.3249219119214373E-4</c:v>
                </c:pt>
                <c:pt idx="17">
                  <c:v>-6.4752296459134953E-2</c:v>
                </c:pt>
                <c:pt idx="18">
                  <c:v>-3.5218637577225362E-2</c:v>
                </c:pt>
                <c:pt idx="19">
                  <c:v>-2.0958984742843256E-2</c:v>
                </c:pt>
                <c:pt idx="20">
                  <c:v>-2.3426406788155177E-2</c:v>
                </c:pt>
                <c:pt idx="21">
                  <c:v>-2.7474299959347057E-2</c:v>
                </c:pt>
                <c:pt idx="22">
                  <c:v>-4.4382342156993569E-2</c:v>
                </c:pt>
                <c:pt idx="23">
                  <c:v>-8.1709652130563096E-2</c:v>
                </c:pt>
                <c:pt idx="24">
                  <c:v>-0.1349012302557534</c:v>
                </c:pt>
                <c:pt idx="25">
                  <c:v>-5.8568195523339348E-2</c:v>
                </c:pt>
                <c:pt idx="26">
                  <c:v>-5.6239326192333558E-2</c:v>
                </c:pt>
                <c:pt idx="27">
                  <c:v>6.6170821514596537E-2</c:v>
                </c:pt>
                <c:pt idx="28">
                  <c:v>0.11723741570217129</c:v>
                </c:pt>
                <c:pt idx="29">
                  <c:v>4.0126527757696755E-2</c:v>
                </c:pt>
                <c:pt idx="30">
                  <c:v>3.1187617642086975E-2</c:v>
                </c:pt>
                <c:pt idx="31">
                  <c:v>-7.4823625304738392E-2</c:v>
                </c:pt>
                <c:pt idx="32">
                  <c:v>-5.6457958029779425E-2</c:v>
                </c:pt>
                <c:pt idx="33">
                  <c:v>-6.2853327364797804E-2</c:v>
                </c:pt>
                <c:pt idx="34">
                  <c:v>-7.0464313820449265E-2</c:v>
                </c:pt>
                <c:pt idx="35">
                  <c:v>-1.2232566219237755E-2</c:v>
                </c:pt>
              </c:numCache>
            </c:numRef>
          </c:val>
          <c:extLst>
            <c:ext xmlns:c16="http://schemas.microsoft.com/office/drawing/2014/chart" uri="{C3380CC4-5D6E-409C-BE32-E72D297353CC}">
              <c16:uniqueId val="{00000000-A8C7-4B91-B5E8-D178FC7675C1}"/>
            </c:ext>
          </c:extLst>
        </c:ser>
        <c:ser>
          <c:idx val="1"/>
          <c:order val="1"/>
          <c:tx>
            <c:strRef>
              <c:f>'Trh práce 1'!$AD$7</c:f>
              <c:strCache>
                <c:ptCount val="1"/>
                <c:pt idx="0">
                  <c:v>Manufacturing</c:v>
                </c:pt>
              </c:strCache>
            </c:strRef>
          </c:tx>
          <c:spPr>
            <a:solidFill>
              <a:srgbClr val="A6CDE8"/>
            </a:solidFill>
            <a:ln>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1'!$AD$8:$AD$43</c:f>
              <c:numCache>
                <c:formatCode>#\ ##0.0</c:formatCode>
                <c:ptCount val="36"/>
                <c:pt idx="0">
                  <c:v>-1.8468131005586972</c:v>
                </c:pt>
                <c:pt idx="1">
                  <c:v>-0.84788747706839906</c:v>
                </c:pt>
                <c:pt idx="2">
                  <c:v>-0.30139112378533134</c:v>
                </c:pt>
                <c:pt idx="3">
                  <c:v>-0.1425635369007866</c:v>
                </c:pt>
                <c:pt idx="4">
                  <c:v>0.97844827072395646</c:v>
                </c:pt>
                <c:pt idx="5">
                  <c:v>1.063786603492519</c:v>
                </c:pt>
                <c:pt idx="6">
                  <c:v>0.95643299792444314</c:v>
                </c:pt>
                <c:pt idx="7">
                  <c:v>0.57769272501294466</c:v>
                </c:pt>
                <c:pt idx="8">
                  <c:v>0.15443577162715652</c:v>
                </c:pt>
                <c:pt idx="9">
                  <c:v>0.13176409830306832</c:v>
                </c:pt>
                <c:pt idx="10">
                  <c:v>0.310669774882741</c:v>
                </c:pt>
                <c:pt idx="11">
                  <c:v>0.42067990356315849</c:v>
                </c:pt>
                <c:pt idx="12">
                  <c:v>-4.6819370352935923E-2</c:v>
                </c:pt>
                <c:pt idx="13">
                  <c:v>4.2064995953618928E-2</c:v>
                </c:pt>
                <c:pt idx="14">
                  <c:v>-0.1041687774205378</c:v>
                </c:pt>
                <c:pt idx="15">
                  <c:v>-5.5135841643404702E-2</c:v>
                </c:pt>
                <c:pt idx="16">
                  <c:v>0.20301022799169485</c:v>
                </c:pt>
                <c:pt idx="17">
                  <c:v>0.19724032346706391</c:v>
                </c:pt>
                <c:pt idx="18">
                  <c:v>0.39740852145595407</c:v>
                </c:pt>
                <c:pt idx="19">
                  <c:v>0.53497562558633682</c:v>
                </c:pt>
                <c:pt idx="20">
                  <c:v>0.89708201699004209</c:v>
                </c:pt>
                <c:pt idx="21">
                  <c:v>0.95891386110790222</c:v>
                </c:pt>
                <c:pt idx="22">
                  <c:v>0.81128655463120936</c:v>
                </c:pt>
                <c:pt idx="23">
                  <c:v>0.98230949962927161</c:v>
                </c:pt>
                <c:pt idx="24">
                  <c:v>0.87235611440990379</c:v>
                </c:pt>
                <c:pt idx="25">
                  <c:v>0.65986062735229012</c:v>
                </c:pt>
                <c:pt idx="26">
                  <c:v>0.73012796808490243</c:v>
                </c:pt>
                <c:pt idx="27">
                  <c:v>0.59894211322673929</c:v>
                </c:pt>
                <c:pt idx="28">
                  <c:v>0.19150433793723556</c:v>
                </c:pt>
                <c:pt idx="29">
                  <c:v>0.31407747649739137</c:v>
                </c:pt>
                <c:pt idx="30">
                  <c:v>0.44293254775485197</c:v>
                </c:pt>
                <c:pt idx="31">
                  <c:v>0.42858338027908338</c:v>
                </c:pt>
                <c:pt idx="32">
                  <c:v>0.6416396084024838</c:v>
                </c:pt>
                <c:pt idx="33">
                  <c:v>0.55147093281985682</c:v>
                </c:pt>
                <c:pt idx="34">
                  <c:v>0.39112071414268845</c:v>
                </c:pt>
                <c:pt idx="35">
                  <c:v>0.34532329629863218</c:v>
                </c:pt>
              </c:numCache>
            </c:numRef>
          </c:val>
          <c:extLst>
            <c:ext xmlns:c16="http://schemas.microsoft.com/office/drawing/2014/chart" uri="{C3380CC4-5D6E-409C-BE32-E72D297353CC}">
              <c16:uniqueId val="{00000001-A8C7-4B91-B5E8-D178FC7675C1}"/>
            </c:ext>
          </c:extLst>
        </c:ser>
        <c:ser>
          <c:idx val="2"/>
          <c:order val="2"/>
          <c:tx>
            <c:strRef>
              <c:f>'Trh práce 1'!$AE$7</c:f>
              <c:strCache>
                <c:ptCount val="1"/>
                <c:pt idx="0">
                  <c:v>Construction</c:v>
                </c:pt>
              </c:strCache>
            </c:strRef>
          </c:tx>
          <c:spPr>
            <a:solidFill>
              <a:srgbClr val="48AEE7"/>
            </a:solidFill>
            <a:ln w="19050">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1'!$AE$8:$AE$43</c:f>
              <c:numCache>
                <c:formatCode>#\ ##0.0</c:formatCode>
                <c:ptCount val="36"/>
                <c:pt idx="0">
                  <c:v>9.1805397291672322E-2</c:v>
                </c:pt>
                <c:pt idx="1">
                  <c:v>0.14233137183665134</c:v>
                </c:pt>
                <c:pt idx="2">
                  <c:v>0.18536243119285936</c:v>
                </c:pt>
                <c:pt idx="3">
                  <c:v>0.18846781268294879</c:v>
                </c:pt>
                <c:pt idx="4">
                  <c:v>-0.46608857908148404</c:v>
                </c:pt>
                <c:pt idx="5">
                  <c:v>-0.46105406019246514</c:v>
                </c:pt>
                <c:pt idx="6">
                  <c:v>-0.50213718404433083</c:v>
                </c:pt>
                <c:pt idx="7">
                  <c:v>-0.48550624820548732</c:v>
                </c:pt>
                <c:pt idx="8">
                  <c:v>-8.7100822625494942E-2</c:v>
                </c:pt>
                <c:pt idx="9">
                  <c:v>-5.7664119966716589E-2</c:v>
                </c:pt>
                <c:pt idx="10">
                  <c:v>-0.14694777392936498</c:v>
                </c:pt>
                <c:pt idx="11">
                  <c:v>-0.16362090947726265</c:v>
                </c:pt>
                <c:pt idx="12">
                  <c:v>-0.21164023265136817</c:v>
                </c:pt>
                <c:pt idx="13">
                  <c:v>-0.32390837579697213</c:v>
                </c:pt>
                <c:pt idx="14">
                  <c:v>-0.19120233196415506</c:v>
                </c:pt>
                <c:pt idx="15">
                  <c:v>-9.5508426866765084E-2</c:v>
                </c:pt>
                <c:pt idx="16">
                  <c:v>-0.43207122810811094</c:v>
                </c:pt>
                <c:pt idx="17">
                  <c:v>-0.30623380701892161</c:v>
                </c:pt>
                <c:pt idx="18">
                  <c:v>-0.361619939409007</c:v>
                </c:pt>
                <c:pt idx="19">
                  <c:v>-0.44866003208200655</c:v>
                </c:pt>
                <c:pt idx="20">
                  <c:v>-1.1988345755684198E-2</c:v>
                </c:pt>
                <c:pt idx="21">
                  <c:v>-4.8830126266074855E-3</c:v>
                </c:pt>
                <c:pt idx="22">
                  <c:v>-5.0789652116277763E-2</c:v>
                </c:pt>
                <c:pt idx="23">
                  <c:v>-8.1280730072134724E-2</c:v>
                </c:pt>
                <c:pt idx="24">
                  <c:v>-0.17435091395971647</c:v>
                </c:pt>
                <c:pt idx="25">
                  <c:v>-0.20154859782266646</c:v>
                </c:pt>
                <c:pt idx="26">
                  <c:v>-8.8031800957899836E-2</c:v>
                </c:pt>
                <c:pt idx="27">
                  <c:v>-6.5305214837806186E-2</c:v>
                </c:pt>
                <c:pt idx="28">
                  <c:v>-2.2163527088411759E-3</c:v>
                </c:pt>
                <c:pt idx="29">
                  <c:v>-6.9727441700161638E-3</c:v>
                </c:pt>
                <c:pt idx="30">
                  <c:v>6.3305925457414092E-2</c:v>
                </c:pt>
                <c:pt idx="31">
                  <c:v>-8.1773421900432991E-2</c:v>
                </c:pt>
                <c:pt idx="32">
                  <c:v>-3.220250441325003E-3</c:v>
                </c:pt>
                <c:pt idx="33">
                  <c:v>-5.6517382047379244E-2</c:v>
                </c:pt>
                <c:pt idx="34">
                  <c:v>-5.76119806097403E-2</c:v>
                </c:pt>
                <c:pt idx="35">
                  <c:v>-5.4366960974389271E-3</c:v>
                </c:pt>
              </c:numCache>
            </c:numRef>
          </c:val>
          <c:extLst>
            <c:ext xmlns:c16="http://schemas.microsoft.com/office/drawing/2014/chart" uri="{C3380CC4-5D6E-409C-BE32-E72D297353CC}">
              <c16:uniqueId val="{00000002-A8C7-4B91-B5E8-D178FC7675C1}"/>
            </c:ext>
          </c:extLst>
        </c:ser>
        <c:ser>
          <c:idx val="3"/>
          <c:order val="3"/>
          <c:tx>
            <c:strRef>
              <c:f>'Trh práce 1'!$AF$7</c:f>
              <c:strCache>
                <c:ptCount val="1"/>
                <c:pt idx="0">
                  <c:v>Trade,transport,accommodat.,restaurants</c:v>
                </c:pt>
              </c:strCache>
            </c:strRef>
          </c:tx>
          <c:spPr>
            <a:solidFill>
              <a:srgbClr val="FDDEB3"/>
            </a:solidFill>
            <a:ln w="19050">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1'!$AF$8:$AF$43</c:f>
              <c:numCache>
                <c:formatCode>#\ ##0.0</c:formatCode>
                <c:ptCount val="36"/>
                <c:pt idx="0">
                  <c:v>-0.32992745808419799</c:v>
                </c:pt>
                <c:pt idx="1">
                  <c:v>-0.13169415981863533</c:v>
                </c:pt>
                <c:pt idx="2">
                  <c:v>0.1363839128402832</c:v>
                </c:pt>
                <c:pt idx="3">
                  <c:v>0.26629606719849908</c:v>
                </c:pt>
                <c:pt idx="4">
                  <c:v>-4.4602253198547499E-2</c:v>
                </c:pt>
                <c:pt idx="5">
                  <c:v>-8.3343778532470478E-2</c:v>
                </c:pt>
                <c:pt idx="6">
                  <c:v>-8.9490576176930112E-2</c:v>
                </c:pt>
                <c:pt idx="7">
                  <c:v>-0.17073613404442001</c:v>
                </c:pt>
                <c:pt idx="8">
                  <c:v>-0.13093899013055701</c:v>
                </c:pt>
                <c:pt idx="9">
                  <c:v>-9.8654754695802052E-2</c:v>
                </c:pt>
                <c:pt idx="10">
                  <c:v>-8.3732505144657896E-2</c:v>
                </c:pt>
                <c:pt idx="11">
                  <c:v>-0.19994359954085053</c:v>
                </c:pt>
                <c:pt idx="12">
                  <c:v>0.20870161228994447</c:v>
                </c:pt>
                <c:pt idx="13">
                  <c:v>0.15908791702758593</c:v>
                </c:pt>
                <c:pt idx="14">
                  <c:v>1.2571076255283883E-2</c:v>
                </c:pt>
                <c:pt idx="15">
                  <c:v>1.6731690609384169E-2</c:v>
                </c:pt>
                <c:pt idx="16">
                  <c:v>-4.7436914339410621E-2</c:v>
                </c:pt>
                <c:pt idx="17">
                  <c:v>-0.23822328648818419</c:v>
                </c:pt>
                <c:pt idx="18">
                  <c:v>-0.10860390136816096</c:v>
                </c:pt>
                <c:pt idx="19">
                  <c:v>0.12986698621410456</c:v>
                </c:pt>
                <c:pt idx="20">
                  <c:v>0.13077123386609546</c:v>
                </c:pt>
                <c:pt idx="21">
                  <c:v>0.38187511999169982</c:v>
                </c:pt>
                <c:pt idx="22">
                  <c:v>0.21771179724458325</c:v>
                </c:pt>
                <c:pt idx="23">
                  <c:v>8.2353035218203058E-2</c:v>
                </c:pt>
                <c:pt idx="24">
                  <c:v>8.3575891644353945E-2</c:v>
                </c:pt>
                <c:pt idx="25">
                  <c:v>0.22999435517457698</c:v>
                </c:pt>
                <c:pt idx="26">
                  <c:v>-6.0153136002780421E-3</c:v>
                </c:pt>
                <c:pt idx="27">
                  <c:v>0.12124264186235174</c:v>
                </c:pt>
                <c:pt idx="28">
                  <c:v>0.30899013799470437</c:v>
                </c:pt>
                <c:pt idx="29">
                  <c:v>0.15780821001677431</c:v>
                </c:pt>
                <c:pt idx="30">
                  <c:v>0.50460501698984073</c:v>
                </c:pt>
                <c:pt idx="31">
                  <c:v>0.37073765481002691</c:v>
                </c:pt>
                <c:pt idx="32">
                  <c:v>0.25564268854377808</c:v>
                </c:pt>
                <c:pt idx="33">
                  <c:v>0.52295917889148047</c:v>
                </c:pt>
                <c:pt idx="34">
                  <c:v>0.34963934304087885</c:v>
                </c:pt>
                <c:pt idx="35">
                  <c:v>0.37874408224008366</c:v>
                </c:pt>
              </c:numCache>
            </c:numRef>
          </c:val>
          <c:extLst>
            <c:ext xmlns:c16="http://schemas.microsoft.com/office/drawing/2014/chart" uri="{C3380CC4-5D6E-409C-BE32-E72D297353CC}">
              <c16:uniqueId val="{00000003-A8C7-4B91-B5E8-D178FC7675C1}"/>
            </c:ext>
          </c:extLst>
        </c:ser>
        <c:ser>
          <c:idx val="4"/>
          <c:order val="4"/>
          <c:tx>
            <c:strRef>
              <c:f>'Trh práce 1'!$AG$7</c:f>
              <c:strCache>
                <c:ptCount val="1"/>
                <c:pt idx="0">
                  <c:v>Information and communication</c:v>
                </c:pt>
              </c:strCache>
            </c:strRef>
          </c:tx>
          <c:spPr>
            <a:solidFill>
              <a:srgbClr val="F8A124"/>
            </a:solidFill>
            <a:ln w="19050">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1'!$AG$8:$AG$43</c:f>
              <c:numCache>
                <c:formatCode>#\ ##0.0</c:formatCode>
                <c:ptCount val="36"/>
                <c:pt idx="0">
                  <c:v>-6.5544918462082921E-2</c:v>
                </c:pt>
                <c:pt idx="1">
                  <c:v>-7.6376746585239866E-2</c:v>
                </c:pt>
                <c:pt idx="2">
                  <c:v>-6.7365148634448022E-2</c:v>
                </c:pt>
                <c:pt idx="3">
                  <c:v>-8.1298680863339648E-2</c:v>
                </c:pt>
                <c:pt idx="4">
                  <c:v>-4.2754587475846345E-2</c:v>
                </c:pt>
                <c:pt idx="5">
                  <c:v>-8.4571460706150903E-2</c:v>
                </c:pt>
                <c:pt idx="6">
                  <c:v>-0.13311180898948402</c:v>
                </c:pt>
                <c:pt idx="7">
                  <c:v>-0.16297181769937</c:v>
                </c:pt>
                <c:pt idx="8">
                  <c:v>2.048030279095709E-2</c:v>
                </c:pt>
                <c:pt idx="9">
                  <c:v>3.5782645872203221E-2</c:v>
                </c:pt>
                <c:pt idx="10">
                  <c:v>5.3511170506353962E-2</c:v>
                </c:pt>
                <c:pt idx="11">
                  <c:v>7.1751710880125247E-2</c:v>
                </c:pt>
                <c:pt idx="12">
                  <c:v>4.0922274087106726E-2</c:v>
                </c:pt>
                <c:pt idx="13">
                  <c:v>7.4542810028706205E-2</c:v>
                </c:pt>
                <c:pt idx="14">
                  <c:v>3.1221123657486902E-2</c:v>
                </c:pt>
                <c:pt idx="15">
                  <c:v>3.1416209661862315E-2</c:v>
                </c:pt>
                <c:pt idx="16">
                  <c:v>0.10163358897218235</c:v>
                </c:pt>
                <c:pt idx="17">
                  <c:v>6.6224385648111464E-2</c:v>
                </c:pt>
                <c:pt idx="18">
                  <c:v>8.507895204899954E-2</c:v>
                </c:pt>
                <c:pt idx="19">
                  <c:v>8.2438673321849676E-2</c:v>
                </c:pt>
                <c:pt idx="20">
                  <c:v>8.1363526932014367E-3</c:v>
                </c:pt>
                <c:pt idx="21">
                  <c:v>5.196780506229165E-2</c:v>
                </c:pt>
                <c:pt idx="22">
                  <c:v>7.5696116134837246E-2</c:v>
                </c:pt>
                <c:pt idx="23">
                  <c:v>9.8730059267280498E-2</c:v>
                </c:pt>
                <c:pt idx="24">
                  <c:v>0.13556098886172266</c:v>
                </c:pt>
                <c:pt idx="25">
                  <c:v>0.11844690019297284</c:v>
                </c:pt>
                <c:pt idx="26">
                  <c:v>0.14205394425269552</c:v>
                </c:pt>
                <c:pt idx="27">
                  <c:v>0.1723519072008087</c:v>
                </c:pt>
                <c:pt idx="28">
                  <c:v>9.117616488441338E-2</c:v>
                </c:pt>
                <c:pt idx="29">
                  <c:v>7.4933250699032117E-2</c:v>
                </c:pt>
                <c:pt idx="30">
                  <c:v>9.0599839313492886E-2</c:v>
                </c:pt>
                <c:pt idx="31">
                  <c:v>6.5909755758085858E-2</c:v>
                </c:pt>
                <c:pt idx="32">
                  <c:v>0.11351853602518676</c:v>
                </c:pt>
                <c:pt idx="33">
                  <c:v>0.12467565771048955</c:v>
                </c:pt>
                <c:pt idx="34">
                  <c:v>0.1292683949019077</c:v>
                </c:pt>
                <c:pt idx="35">
                  <c:v>0.14219194553473155</c:v>
                </c:pt>
              </c:numCache>
            </c:numRef>
          </c:val>
          <c:extLst>
            <c:ext xmlns:c16="http://schemas.microsoft.com/office/drawing/2014/chart" uri="{C3380CC4-5D6E-409C-BE32-E72D297353CC}">
              <c16:uniqueId val="{00000004-A8C7-4B91-B5E8-D178FC7675C1}"/>
            </c:ext>
          </c:extLst>
        </c:ser>
        <c:ser>
          <c:idx val="5"/>
          <c:order val="5"/>
          <c:tx>
            <c:strRef>
              <c:f>'Trh práce 1'!$AH$7</c:f>
              <c:strCache>
                <c:ptCount val="1"/>
                <c:pt idx="0">
                  <c:v>Professional,scientific,technic.,admin.act.</c:v>
                </c:pt>
              </c:strCache>
            </c:strRef>
          </c:tx>
          <c:spPr>
            <a:solidFill>
              <a:srgbClr val="E8C0BE"/>
            </a:solidFill>
            <a:ln w="19050">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1'!$AH$8:$AH$43</c:f>
              <c:numCache>
                <c:formatCode>#\ ##0.0</c:formatCode>
                <c:ptCount val="36"/>
                <c:pt idx="0">
                  <c:v>-0.14301236484017521</c:v>
                </c:pt>
                <c:pt idx="1">
                  <c:v>-6.1261737596404291E-2</c:v>
                </c:pt>
                <c:pt idx="2">
                  <c:v>-5.7089109012243349E-3</c:v>
                </c:pt>
                <c:pt idx="3">
                  <c:v>-5.3554988412522542E-2</c:v>
                </c:pt>
                <c:pt idx="4">
                  <c:v>-0.2067200198355853</c:v>
                </c:pt>
                <c:pt idx="5">
                  <c:v>-0.23613080517931392</c:v>
                </c:pt>
                <c:pt idx="6">
                  <c:v>-0.38896256600127194</c:v>
                </c:pt>
                <c:pt idx="7">
                  <c:v>-0.29327044631221588</c:v>
                </c:pt>
                <c:pt idx="8">
                  <c:v>0.12079806500829224</c:v>
                </c:pt>
                <c:pt idx="9">
                  <c:v>0.13786318791493057</c:v>
                </c:pt>
                <c:pt idx="10">
                  <c:v>0.20517236359949115</c:v>
                </c:pt>
                <c:pt idx="11">
                  <c:v>0.246156229271838</c:v>
                </c:pt>
                <c:pt idx="12">
                  <c:v>4.8586513678384492E-2</c:v>
                </c:pt>
                <c:pt idx="13">
                  <c:v>0.15669606340428388</c:v>
                </c:pt>
                <c:pt idx="14">
                  <c:v>0.21355091197354684</c:v>
                </c:pt>
                <c:pt idx="15">
                  <c:v>0.20194166348436518</c:v>
                </c:pt>
                <c:pt idx="16">
                  <c:v>0.32444872870057895</c:v>
                </c:pt>
                <c:pt idx="17">
                  <c:v>0.23009735416503094</c:v>
                </c:pt>
                <c:pt idx="18">
                  <c:v>0.12021897659591836</c:v>
                </c:pt>
                <c:pt idx="19">
                  <c:v>8.6689509664060513E-2</c:v>
                </c:pt>
                <c:pt idx="20">
                  <c:v>0.11212051235438299</c:v>
                </c:pt>
                <c:pt idx="21">
                  <c:v>0.10889706472109727</c:v>
                </c:pt>
                <c:pt idx="22">
                  <c:v>0.21462534915444087</c:v>
                </c:pt>
                <c:pt idx="23">
                  <c:v>0.35403616631803658</c:v>
                </c:pt>
                <c:pt idx="24">
                  <c:v>0.28965343268521748</c:v>
                </c:pt>
                <c:pt idx="25">
                  <c:v>0.25529874501404182</c:v>
                </c:pt>
                <c:pt idx="26">
                  <c:v>0.24628082028826492</c:v>
                </c:pt>
                <c:pt idx="27">
                  <c:v>0.25598874788263026</c:v>
                </c:pt>
                <c:pt idx="28">
                  <c:v>0.23116940882994805</c:v>
                </c:pt>
                <c:pt idx="29">
                  <c:v>0.15482531945902892</c:v>
                </c:pt>
                <c:pt idx="30">
                  <c:v>9.278411216905956E-2</c:v>
                </c:pt>
                <c:pt idx="31">
                  <c:v>-4.4059444178685847E-2</c:v>
                </c:pt>
                <c:pt idx="32">
                  <c:v>0.11901744321154208</c:v>
                </c:pt>
                <c:pt idx="33">
                  <c:v>9.2171133508114345E-2</c:v>
                </c:pt>
                <c:pt idx="34">
                  <c:v>1.9539271794250693E-2</c:v>
                </c:pt>
                <c:pt idx="35">
                  <c:v>0.17991367941627653</c:v>
                </c:pt>
              </c:numCache>
            </c:numRef>
          </c:val>
          <c:extLst>
            <c:ext xmlns:c16="http://schemas.microsoft.com/office/drawing/2014/chart" uri="{C3380CC4-5D6E-409C-BE32-E72D297353CC}">
              <c16:uniqueId val="{00000005-A8C7-4B91-B5E8-D178FC7675C1}"/>
            </c:ext>
          </c:extLst>
        </c:ser>
        <c:ser>
          <c:idx val="6"/>
          <c:order val="6"/>
          <c:tx>
            <c:strRef>
              <c:f>'Trh práce 1'!$AI$7</c:f>
              <c:strCache>
                <c:ptCount val="1"/>
                <c:pt idx="0">
                  <c:v>Public admin.,education,health,soc.care</c:v>
                </c:pt>
              </c:strCache>
            </c:strRef>
          </c:tx>
          <c:spPr>
            <a:solidFill>
              <a:srgbClr val="D58D8B"/>
            </a:solidFill>
            <a:ln>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1'!$AI$8:$AI$43</c:f>
              <c:numCache>
                <c:formatCode>#\ ##0.0</c:formatCode>
                <c:ptCount val="36"/>
                <c:pt idx="0">
                  <c:v>-2.0907901466973439E-2</c:v>
                </c:pt>
                <c:pt idx="1">
                  <c:v>-6.2962909371343301E-2</c:v>
                </c:pt>
                <c:pt idx="2">
                  <c:v>-2.8209894211911567E-2</c:v>
                </c:pt>
                <c:pt idx="3">
                  <c:v>-2.2340869613912382E-2</c:v>
                </c:pt>
                <c:pt idx="4">
                  <c:v>-9.5105116285723379E-2</c:v>
                </c:pt>
                <c:pt idx="5">
                  <c:v>-0.14678722505612299</c:v>
                </c:pt>
                <c:pt idx="6">
                  <c:v>-0.16744479557477174</c:v>
                </c:pt>
                <c:pt idx="7">
                  <c:v>-0.1288994751598026</c:v>
                </c:pt>
                <c:pt idx="8">
                  <c:v>-0.43673451891530518</c:v>
                </c:pt>
                <c:pt idx="9">
                  <c:v>-0.32576663378174864</c:v>
                </c:pt>
                <c:pt idx="10">
                  <c:v>-5.8957348111554328E-2</c:v>
                </c:pt>
                <c:pt idx="11">
                  <c:v>3.9857648418602898E-2</c:v>
                </c:pt>
                <c:pt idx="12">
                  <c:v>0.15165663730097972</c:v>
                </c:pt>
                <c:pt idx="13">
                  <c:v>0.37473032344581875</c:v>
                </c:pt>
                <c:pt idx="14">
                  <c:v>0.18752347240275047</c:v>
                </c:pt>
                <c:pt idx="15">
                  <c:v>0.15316386427252701</c:v>
                </c:pt>
                <c:pt idx="16">
                  <c:v>0.26533047420509104</c:v>
                </c:pt>
                <c:pt idx="17">
                  <c:v>0.16561984768783769</c:v>
                </c:pt>
                <c:pt idx="18">
                  <c:v>0.34577941380228444</c:v>
                </c:pt>
                <c:pt idx="19">
                  <c:v>0.35604690325588367</c:v>
                </c:pt>
                <c:pt idx="20">
                  <c:v>0.26073669367319835</c:v>
                </c:pt>
                <c:pt idx="21">
                  <c:v>0.23875774589939752</c:v>
                </c:pt>
                <c:pt idx="22">
                  <c:v>9.980166640848423E-2</c:v>
                </c:pt>
                <c:pt idx="23">
                  <c:v>9.8593584066869605E-2</c:v>
                </c:pt>
                <c:pt idx="24">
                  <c:v>0.37561609810998425</c:v>
                </c:pt>
                <c:pt idx="25">
                  <c:v>0.36534296891607143</c:v>
                </c:pt>
                <c:pt idx="26">
                  <c:v>0.44871925875912344</c:v>
                </c:pt>
                <c:pt idx="27">
                  <c:v>0.54529373496970024</c:v>
                </c:pt>
                <c:pt idx="28">
                  <c:v>0.50744923788037166</c:v>
                </c:pt>
                <c:pt idx="29">
                  <c:v>0.561448400458187</c:v>
                </c:pt>
                <c:pt idx="30">
                  <c:v>0.64859608236418231</c:v>
                </c:pt>
                <c:pt idx="31">
                  <c:v>0.65218553161883674</c:v>
                </c:pt>
                <c:pt idx="32">
                  <c:v>0.43955476930389625</c:v>
                </c:pt>
                <c:pt idx="33">
                  <c:v>0.4662168520399318</c:v>
                </c:pt>
                <c:pt idx="34">
                  <c:v>0.40427107247132682</c:v>
                </c:pt>
                <c:pt idx="35">
                  <c:v>0.4249559990683125</c:v>
                </c:pt>
              </c:numCache>
            </c:numRef>
          </c:val>
          <c:extLst>
            <c:ext xmlns:c16="http://schemas.microsoft.com/office/drawing/2014/chart" uri="{C3380CC4-5D6E-409C-BE32-E72D297353CC}">
              <c16:uniqueId val="{00000006-A8C7-4B91-B5E8-D178FC7675C1}"/>
            </c:ext>
          </c:extLst>
        </c:ser>
        <c:ser>
          <c:idx val="7"/>
          <c:order val="7"/>
          <c:tx>
            <c:strRef>
              <c:f>'Trh práce 1'!$AJ$7</c:f>
              <c:strCache>
                <c:ptCount val="1"/>
                <c:pt idx="0">
                  <c:v>Other branches*</c:v>
                </c:pt>
              </c:strCache>
            </c:strRef>
          </c:tx>
          <c:spPr>
            <a:solidFill>
              <a:schemeClr val="bg1">
                <a:lumMod val="85000"/>
              </a:schemeClr>
            </a:solidFill>
            <a:ln>
              <a:noFill/>
            </a:ln>
          </c:spPr>
          <c:invertIfNegative val="0"/>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1'!$AJ$8:$AJ$43</c:f>
              <c:numCache>
                <c:formatCode>#\ ##0.0</c:formatCode>
                <c:ptCount val="36"/>
                <c:pt idx="0">
                  <c:v>-0.1901420983687783</c:v>
                </c:pt>
                <c:pt idx="1">
                  <c:v>-3.799283630699439E-2</c:v>
                </c:pt>
                <c:pt idx="2">
                  <c:v>4.5809088507411368E-2</c:v>
                </c:pt>
                <c:pt idx="3">
                  <c:v>4.7047939010411724E-2</c:v>
                </c:pt>
                <c:pt idx="4">
                  <c:v>-0.13197896124630437</c:v>
                </c:pt>
                <c:pt idx="5">
                  <c:v>-0.15009404639490076</c:v>
                </c:pt>
                <c:pt idx="6">
                  <c:v>-0.15241795135995928</c:v>
                </c:pt>
                <c:pt idx="7">
                  <c:v>-0.13857531101112103</c:v>
                </c:pt>
                <c:pt idx="8">
                  <c:v>0.27082819010483822</c:v>
                </c:pt>
                <c:pt idx="9">
                  <c:v>0.3204002270128683</c:v>
                </c:pt>
                <c:pt idx="10">
                  <c:v>0.32552298653328626</c:v>
                </c:pt>
                <c:pt idx="11">
                  <c:v>0.40308454905449781</c:v>
                </c:pt>
                <c:pt idx="12">
                  <c:v>0.2322105751813254</c:v>
                </c:pt>
                <c:pt idx="13">
                  <c:v>0.15133910198349895</c:v>
                </c:pt>
                <c:pt idx="14">
                  <c:v>-7.2219751069082586E-2</c:v>
                </c:pt>
                <c:pt idx="15">
                  <c:v>-0.22877142148506568</c:v>
                </c:pt>
                <c:pt idx="16">
                  <c:v>0.15741149408293634</c:v>
                </c:pt>
                <c:pt idx="17">
                  <c:v>3.8568736751197499E-2</c:v>
                </c:pt>
                <c:pt idx="18">
                  <c:v>0.16498909735535922</c:v>
                </c:pt>
                <c:pt idx="19">
                  <c:v>0.21998078070938992</c:v>
                </c:pt>
                <c:pt idx="20">
                  <c:v>-9.3528749920159276E-2</c:v>
                </c:pt>
                <c:pt idx="21">
                  <c:v>4.7320118345400244E-2</c:v>
                </c:pt>
                <c:pt idx="22">
                  <c:v>-3.2427239428080012E-3</c:v>
                </c:pt>
                <c:pt idx="23">
                  <c:v>-9.7462789549197376E-2</c:v>
                </c:pt>
                <c:pt idx="24">
                  <c:v>0.113090386929018</c:v>
                </c:pt>
                <c:pt idx="25">
                  <c:v>6.7491221034133714E-2</c:v>
                </c:pt>
                <c:pt idx="26">
                  <c:v>8.9786267424647681E-2</c:v>
                </c:pt>
                <c:pt idx="27">
                  <c:v>0.1606565992121825</c:v>
                </c:pt>
                <c:pt idx="28">
                  <c:v>1.2935092964532574E-2</c:v>
                </c:pt>
                <c:pt idx="29">
                  <c:v>5.8232863436240317E-2</c:v>
                </c:pt>
                <c:pt idx="30">
                  <c:v>9.6867752725118106E-2</c:v>
                </c:pt>
                <c:pt idx="31">
                  <c:v>0.11455833192795077</c:v>
                </c:pt>
                <c:pt idx="32">
                  <c:v>0.21835557817054407</c:v>
                </c:pt>
                <c:pt idx="33">
                  <c:v>0.22080207069190425</c:v>
                </c:pt>
                <c:pt idx="34">
                  <c:v>8.1956907430603219E-3</c:v>
                </c:pt>
                <c:pt idx="35">
                  <c:v>4.2990860578720841E-2</c:v>
                </c:pt>
              </c:numCache>
            </c:numRef>
          </c:val>
          <c:extLst>
            <c:ext xmlns:c16="http://schemas.microsoft.com/office/drawing/2014/chart" uri="{C3380CC4-5D6E-409C-BE32-E72D297353CC}">
              <c16:uniqueId val="{00000007-A8C7-4B91-B5E8-D178FC7675C1}"/>
            </c:ext>
          </c:extLst>
        </c:ser>
        <c:dLbls>
          <c:showLegendKey val="0"/>
          <c:showVal val="0"/>
          <c:showCatName val="0"/>
          <c:showSerName val="0"/>
          <c:showPercent val="0"/>
          <c:showBubbleSize val="0"/>
        </c:dLbls>
        <c:gapWidth val="47"/>
        <c:overlap val="100"/>
        <c:axId val="184299520"/>
        <c:axId val="184301056"/>
      </c:barChart>
      <c:lineChart>
        <c:grouping val="standard"/>
        <c:varyColors val="0"/>
        <c:ser>
          <c:idx val="8"/>
          <c:order val="8"/>
          <c:tx>
            <c:strRef>
              <c:f>'Trh práce 1'!$AK$7</c:f>
              <c:strCache>
                <c:ptCount val="1"/>
                <c:pt idx="0">
                  <c:v>Total employment</c:v>
                </c:pt>
              </c:strCache>
            </c:strRef>
          </c:tx>
          <c:spPr>
            <a:ln w="22225">
              <a:solidFill>
                <a:schemeClr val="tx1">
                  <a:lumMod val="95000"/>
                  <a:lumOff val="5000"/>
                </a:schemeClr>
              </a:solidFill>
            </a:ln>
          </c:spPr>
          <c:marker>
            <c:symbol val="none"/>
          </c:marker>
          <c:cat>
            <c:multiLvlStrRef>
              <c:f>'Trh práce 1'!$AA$8:$AB$43</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1'!$AK$8:$AK$43</c:f>
              <c:numCache>
                <c:formatCode>#\ ##0.0</c:formatCode>
                <c:ptCount val="36"/>
                <c:pt idx="0">
                  <c:v>-2.7381041866623406</c:v>
                </c:pt>
                <c:pt idx="1">
                  <c:v>-1.2505567915665665</c:v>
                </c:pt>
                <c:pt idx="2">
                  <c:v>-0.17427926968461804</c:v>
                </c:pt>
                <c:pt idx="3">
                  <c:v>6.0614151097240665E-2</c:v>
                </c:pt>
                <c:pt idx="4">
                  <c:v>0.11145596456296403</c:v>
                </c:pt>
                <c:pt idx="5">
                  <c:v>-4.6137088139772686E-3</c:v>
                </c:pt>
                <c:pt idx="6">
                  <c:v>-0.42422240518249055</c:v>
                </c:pt>
                <c:pt idx="7">
                  <c:v>-0.77006647161285002</c:v>
                </c:pt>
                <c:pt idx="8">
                  <c:v>-5.1815959871305495E-2</c:v>
                </c:pt>
                <c:pt idx="9">
                  <c:v>0.17631913605207217</c:v>
                </c:pt>
                <c:pt idx="10">
                  <c:v>0.66708744164915856</c:v>
                </c:pt>
                <c:pt idx="11">
                  <c:v>0.88890301106958702</c:v>
                </c:pt>
                <c:pt idx="12">
                  <c:v>0.45616124448189055</c:v>
                </c:pt>
                <c:pt idx="13">
                  <c:v>0.71087471075372832</c:v>
                </c:pt>
                <c:pt idx="14">
                  <c:v>0.10068664831696594</c:v>
                </c:pt>
                <c:pt idx="15">
                  <c:v>2.3089733040947635E-2</c:v>
                </c:pt>
                <c:pt idx="16">
                  <c:v>0.57169387931377003</c:v>
                </c:pt>
                <c:pt idx="17">
                  <c:v>8.8541257752993374E-2</c:v>
                </c:pt>
                <c:pt idx="18">
                  <c:v>0.60803248290413592</c:v>
                </c:pt>
                <c:pt idx="19">
                  <c:v>0.94037946192678135</c:v>
                </c:pt>
                <c:pt idx="20">
                  <c:v>1.2799033071129173</c:v>
                </c:pt>
                <c:pt idx="21">
                  <c:v>1.7553744025418325</c:v>
                </c:pt>
                <c:pt idx="22">
                  <c:v>1.3207067653574711</c:v>
                </c:pt>
                <c:pt idx="23">
                  <c:v>1.3555691727477779</c:v>
                </c:pt>
                <c:pt idx="24">
                  <c:v>1.5606007684247203</c:v>
                </c:pt>
                <c:pt idx="25">
                  <c:v>1.4363180243380782</c:v>
                </c:pt>
                <c:pt idx="26">
                  <c:v>1.5066818180591355</c:v>
                </c:pt>
                <c:pt idx="27">
                  <c:v>1.8553413510311998</c:v>
                </c:pt>
                <c:pt idx="28">
                  <c:v>1.4582454434845431</c:v>
                </c:pt>
                <c:pt idx="29">
                  <c:v>1.3544793041543386</c:v>
                </c:pt>
                <c:pt idx="30">
                  <c:v>1.970878894416046</c:v>
                </c:pt>
                <c:pt idx="31">
                  <c:v>1.4313181630101184</c:v>
                </c:pt>
                <c:pt idx="32">
                  <c:v>1.7280504151863312</c:v>
                </c:pt>
                <c:pt idx="33">
                  <c:v>1.8589251162496083</c:v>
                </c:pt>
                <c:pt idx="34">
                  <c:v>1.1739581926639318</c:v>
                </c:pt>
                <c:pt idx="35">
                  <c:v>1.4964506008200829</c:v>
                </c:pt>
              </c:numCache>
            </c:numRef>
          </c:val>
          <c:smooth val="0"/>
          <c:extLst>
            <c:ext xmlns:c16="http://schemas.microsoft.com/office/drawing/2014/chart" uri="{C3380CC4-5D6E-409C-BE32-E72D297353CC}">
              <c16:uniqueId val="{00000008-A8C7-4B91-B5E8-D178FC7675C1}"/>
            </c:ext>
          </c:extLst>
        </c:ser>
        <c:dLbls>
          <c:showLegendKey val="0"/>
          <c:showVal val="0"/>
          <c:showCatName val="0"/>
          <c:showSerName val="0"/>
          <c:showPercent val="0"/>
          <c:showBubbleSize val="0"/>
        </c:dLbls>
        <c:marker val="1"/>
        <c:smooth val="0"/>
        <c:axId val="184299520"/>
        <c:axId val="184301056"/>
      </c:lineChart>
      <c:catAx>
        <c:axId val="184299520"/>
        <c:scaling>
          <c:orientation val="minMax"/>
        </c:scaling>
        <c:delete val="0"/>
        <c:axPos val="b"/>
        <c:numFmt formatCode="General" sourceLinked="1"/>
        <c:majorTickMark val="out"/>
        <c:minorTickMark val="none"/>
        <c:tickLblPos val="low"/>
        <c:spPr>
          <a:ln>
            <a:solidFill>
              <a:schemeClr val="tx1"/>
            </a:solidFill>
          </a:ln>
        </c:spPr>
        <c:crossAx val="184301056"/>
        <c:crosses val="autoZero"/>
        <c:auto val="1"/>
        <c:lblAlgn val="ctr"/>
        <c:lblOffset val="10"/>
        <c:noMultiLvlLbl val="0"/>
      </c:catAx>
      <c:valAx>
        <c:axId val="184301056"/>
        <c:scaling>
          <c:orientation val="minMax"/>
          <c:max val="2"/>
          <c:min val="-3"/>
        </c:scaling>
        <c:delete val="0"/>
        <c:axPos val="l"/>
        <c:majorGridlines>
          <c:spPr>
            <a:ln w="6350">
              <a:solidFill>
                <a:schemeClr val="bg1">
                  <a:lumMod val="75000"/>
                </a:schemeClr>
              </a:solidFill>
            </a:ln>
          </c:spPr>
        </c:majorGridlines>
        <c:numFmt formatCode="0.0" sourceLinked="0"/>
        <c:majorTickMark val="out"/>
        <c:minorTickMark val="none"/>
        <c:tickLblPos val="nextTo"/>
        <c:spPr>
          <a:ln>
            <a:solidFill>
              <a:schemeClr val="tx1"/>
            </a:solidFill>
          </a:ln>
        </c:spPr>
        <c:crossAx val="184299520"/>
        <c:crosses val="autoZero"/>
        <c:crossBetween val="between"/>
        <c:majorUnit val="0.5"/>
      </c:valAx>
      <c:spPr>
        <a:ln>
          <a:solidFill>
            <a:schemeClr val="tx1"/>
          </a:solidFill>
        </a:ln>
      </c:spPr>
    </c:plotArea>
    <c:legend>
      <c:legendPos val="b"/>
      <c:layout>
        <c:manualLayout>
          <c:xMode val="edge"/>
          <c:yMode val="edge"/>
          <c:x val="5.5582430822068714E-2"/>
          <c:y val="0.83458955395312773"/>
          <c:w val="0.9272008319203987"/>
          <c:h val="0.16181455650038734"/>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183922558922563E-2"/>
          <c:y val="1.643251153889452E-2"/>
          <c:w val="0.8957392676767677"/>
          <c:h val="0.70307526191312719"/>
        </c:manualLayout>
      </c:layout>
      <c:barChart>
        <c:barDir val="col"/>
        <c:grouping val="clustered"/>
        <c:varyColors val="0"/>
        <c:ser>
          <c:idx val="0"/>
          <c:order val="0"/>
          <c:tx>
            <c:strRef>
              <c:f>'Trh práce-2'!$A$32</c:f>
              <c:strCache>
                <c:ptCount val="1"/>
                <c:pt idx="0">
                  <c:v>Unemployment rate – males (left axis)</c:v>
                </c:pt>
              </c:strCache>
            </c:strRef>
          </c:tx>
          <c:spPr>
            <a:solidFill>
              <a:srgbClr val="BCBCBC"/>
            </a:solidFill>
          </c:spPr>
          <c:invertIfNegative val="0"/>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práce-2'!$B$32:$AK$32</c:f>
              <c:numCache>
                <c:formatCode>0.0</c:formatCode>
                <c:ptCount val="36"/>
                <c:pt idx="0">
                  <c:v>7.0984261964423681</c:v>
                </c:pt>
                <c:pt idx="1">
                  <c:v>6.5135583821211851</c:v>
                </c:pt>
                <c:pt idx="2">
                  <c:v>6.1925174973206412</c:v>
                </c:pt>
                <c:pt idx="3">
                  <c:v>6.0751752494425988</c:v>
                </c:pt>
                <c:pt idx="4">
                  <c:v>6.0585504123063769</c:v>
                </c:pt>
                <c:pt idx="5">
                  <c:v>6.0037781675822162</c:v>
                </c:pt>
                <c:pt idx="6">
                  <c:v>5.7771123440108241</c:v>
                </c:pt>
                <c:pt idx="7">
                  <c:v>5.6914303332293281</c:v>
                </c:pt>
                <c:pt idx="8">
                  <c:v>5.999444560507885</c:v>
                </c:pt>
                <c:pt idx="9">
                  <c:v>5.9934774990686046</c:v>
                </c:pt>
                <c:pt idx="10">
                  <c:v>6.0666122060007597</c:v>
                </c:pt>
                <c:pt idx="11">
                  <c:v>6.252704068775639</c:v>
                </c:pt>
                <c:pt idx="12">
                  <c:v>6.2702270348516764</c:v>
                </c:pt>
                <c:pt idx="13">
                  <c:v>5.9057854548173836</c:v>
                </c:pt>
                <c:pt idx="14">
                  <c:v>5.9365078922261789</c:v>
                </c:pt>
                <c:pt idx="15">
                  <c:v>5.7576462287734786</c:v>
                </c:pt>
                <c:pt idx="16">
                  <c:v>5.5339334646450906</c:v>
                </c:pt>
                <c:pt idx="17">
                  <c:v>5.2282751984916649</c:v>
                </c:pt>
                <c:pt idx="18">
                  <c:v>4.9463964293731832</c:v>
                </c:pt>
                <c:pt idx="19">
                  <c:v>5.024899902558472</c:v>
                </c:pt>
                <c:pt idx="20">
                  <c:v>4.9895127892003819</c:v>
                </c:pt>
                <c:pt idx="21">
                  <c:v>4.3828206559983309</c:v>
                </c:pt>
                <c:pt idx="22">
                  <c:v>4.0788029838950886</c:v>
                </c:pt>
                <c:pt idx="23">
                  <c:v>3.7650503471565702</c:v>
                </c:pt>
                <c:pt idx="24">
                  <c:v>3.6073351390851784</c:v>
                </c:pt>
                <c:pt idx="25">
                  <c:v>3.5996652175846702</c:v>
                </c:pt>
                <c:pt idx="26">
                  <c:v>3.3951063649934792</c:v>
                </c:pt>
                <c:pt idx="27">
                  <c:v>3.1389186356449676</c:v>
                </c:pt>
                <c:pt idx="28">
                  <c:v>2.6662526129550046</c:v>
                </c:pt>
                <c:pt idx="29">
                  <c:v>2.5216779992488747</c:v>
                </c:pt>
                <c:pt idx="30">
                  <c:v>2.2664041897869676</c:v>
                </c:pt>
                <c:pt idx="31">
                  <c:v>2.0320842331450564</c:v>
                </c:pt>
                <c:pt idx="32">
                  <c:v>1.8733469612730087</c:v>
                </c:pt>
                <c:pt idx="33">
                  <c:v>1.8640033624857522</c:v>
                </c:pt>
                <c:pt idx="34">
                  <c:v>1.9071135231680394</c:v>
                </c:pt>
                <c:pt idx="35">
                  <c:v>1.6519589460728878</c:v>
                </c:pt>
              </c:numCache>
            </c:numRef>
          </c:val>
          <c:extLst>
            <c:ext xmlns:c16="http://schemas.microsoft.com/office/drawing/2014/chart" uri="{C3380CC4-5D6E-409C-BE32-E72D297353CC}">
              <c16:uniqueId val="{00000000-53C3-4347-B53C-18D09FCF393E}"/>
            </c:ext>
          </c:extLst>
        </c:ser>
        <c:ser>
          <c:idx val="1"/>
          <c:order val="1"/>
          <c:tx>
            <c:strRef>
              <c:f>'Trh práce-2'!$A$33</c:f>
              <c:strCache>
                <c:ptCount val="1"/>
                <c:pt idx="0">
                  <c:v>Unemployment rate -females (left axis)</c:v>
                </c:pt>
              </c:strCache>
            </c:strRef>
          </c:tx>
          <c:spPr>
            <a:solidFill>
              <a:srgbClr val="DBDBDB"/>
            </a:solidFill>
          </c:spPr>
          <c:invertIfNegative val="0"/>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práce-2'!$B$33:$AK$33</c:f>
              <c:numCache>
                <c:formatCode>0.0</c:formatCode>
                <c:ptCount val="36"/>
                <c:pt idx="0">
                  <c:v>8.7633696101973779</c:v>
                </c:pt>
                <c:pt idx="1">
                  <c:v>8.6310295790753013</c:v>
                </c:pt>
                <c:pt idx="2">
                  <c:v>8.4858096938064556</c:v>
                </c:pt>
                <c:pt idx="3">
                  <c:v>8.3010704919620277</c:v>
                </c:pt>
                <c:pt idx="4">
                  <c:v>8.1745626452512052</c:v>
                </c:pt>
                <c:pt idx="5">
                  <c:v>8.1868732965665512</c:v>
                </c:pt>
                <c:pt idx="6">
                  <c:v>7.7763311994031126</c:v>
                </c:pt>
                <c:pt idx="7">
                  <c:v>7.728281834271491</c:v>
                </c:pt>
                <c:pt idx="8">
                  <c:v>8.0311636412730021</c:v>
                </c:pt>
                <c:pt idx="9">
                  <c:v>8.2407929954465864</c:v>
                </c:pt>
                <c:pt idx="10">
                  <c:v>8.3049407606014238</c:v>
                </c:pt>
                <c:pt idx="11">
                  <c:v>8.5479216720113502</c:v>
                </c:pt>
                <c:pt idx="12">
                  <c:v>8.4753243348388825</c:v>
                </c:pt>
                <c:pt idx="13">
                  <c:v>8.4592364247587515</c:v>
                </c:pt>
                <c:pt idx="14">
                  <c:v>8.3592289534544673</c:v>
                </c:pt>
                <c:pt idx="15">
                  <c:v>8.2500639941225327</c:v>
                </c:pt>
                <c:pt idx="16">
                  <c:v>8.0240692285867024</c:v>
                </c:pt>
                <c:pt idx="17">
                  <c:v>7.6998248722356237</c:v>
                </c:pt>
                <c:pt idx="18">
                  <c:v>7.2762005720021952</c:v>
                </c:pt>
                <c:pt idx="19">
                  <c:v>7.0072976233268598</c:v>
                </c:pt>
                <c:pt idx="20">
                  <c:v>6.9060385283823491</c:v>
                </c:pt>
                <c:pt idx="21">
                  <c:v>6.2608308369461865</c:v>
                </c:pt>
                <c:pt idx="22">
                  <c:v>5.933528937116729</c:v>
                </c:pt>
                <c:pt idx="23">
                  <c:v>5.6186615875899149</c:v>
                </c:pt>
                <c:pt idx="24">
                  <c:v>5.1175314592534695</c:v>
                </c:pt>
                <c:pt idx="25">
                  <c:v>4.8514367476859439</c:v>
                </c:pt>
                <c:pt idx="26">
                  <c:v>4.7843125946435121</c:v>
                </c:pt>
                <c:pt idx="27">
                  <c:v>4.3218514532585237</c:v>
                </c:pt>
                <c:pt idx="28">
                  <c:v>4.3358388222216275</c:v>
                </c:pt>
                <c:pt idx="29">
                  <c:v>3.929492039085563</c:v>
                </c:pt>
                <c:pt idx="30">
                  <c:v>3.3798364906482892</c:v>
                </c:pt>
                <c:pt idx="31">
                  <c:v>2.965262464140936</c:v>
                </c:pt>
                <c:pt idx="32">
                  <c:v>3.0204080900762871</c:v>
                </c:pt>
                <c:pt idx="33">
                  <c:v>2.9041871494445224</c:v>
                </c:pt>
                <c:pt idx="34">
                  <c:v>2.8378548971947644</c:v>
                </c:pt>
                <c:pt idx="35">
                  <c:v>2.59784094406429</c:v>
                </c:pt>
              </c:numCache>
            </c:numRef>
          </c:val>
          <c:extLst>
            <c:ext xmlns:c16="http://schemas.microsoft.com/office/drawing/2014/chart" uri="{C3380CC4-5D6E-409C-BE32-E72D297353CC}">
              <c16:uniqueId val="{00000001-53C3-4347-B53C-18D09FCF393E}"/>
            </c:ext>
          </c:extLst>
        </c:ser>
        <c:dLbls>
          <c:showLegendKey val="0"/>
          <c:showVal val="0"/>
          <c:showCatName val="0"/>
          <c:showSerName val="0"/>
          <c:showPercent val="0"/>
          <c:showBubbleSize val="0"/>
        </c:dLbls>
        <c:gapWidth val="68"/>
        <c:axId val="188511744"/>
        <c:axId val="188513280"/>
      </c:barChart>
      <c:lineChart>
        <c:grouping val="standard"/>
        <c:varyColors val="0"/>
        <c:ser>
          <c:idx val="2"/>
          <c:order val="2"/>
          <c:tx>
            <c:strRef>
              <c:f>'Trh práce-2'!$A$34</c:f>
              <c:strCache>
                <c:ptCount val="1"/>
                <c:pt idx="0">
                  <c:v>% share of long-term unemployed &gt;1 year (in %, right axis)</c:v>
                </c:pt>
              </c:strCache>
            </c:strRef>
          </c:tx>
          <c:spPr>
            <a:ln w="19050">
              <a:solidFill>
                <a:srgbClr val="00B050"/>
              </a:solidFill>
              <a:prstDash val="solid"/>
            </a:ln>
          </c:spPr>
          <c:marker>
            <c:symbol val="none"/>
          </c:marker>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práce-2'!$B$34:$AK$34</c:f>
              <c:numCache>
                <c:formatCode>0.0</c:formatCode>
                <c:ptCount val="36"/>
                <c:pt idx="0">
                  <c:v>35.78199052132701</c:v>
                </c:pt>
                <c:pt idx="1">
                  <c:v>41.6</c:v>
                </c:pt>
                <c:pt idx="2">
                  <c:v>43.048128342245988</c:v>
                </c:pt>
                <c:pt idx="3">
                  <c:v>44.0771349862259</c:v>
                </c:pt>
                <c:pt idx="4">
                  <c:v>39.946380697050934</c:v>
                </c:pt>
                <c:pt idx="5">
                  <c:v>39.03133903133903</c:v>
                </c:pt>
                <c:pt idx="6">
                  <c:v>40.233236151603499</c:v>
                </c:pt>
                <c:pt idx="7">
                  <c:v>42.985074626865668</c:v>
                </c:pt>
                <c:pt idx="8">
                  <c:v>43.089430894308947</c:v>
                </c:pt>
                <c:pt idx="9">
                  <c:v>44.444444444444443</c:v>
                </c:pt>
                <c:pt idx="10">
                  <c:v>43.20652173913043</c:v>
                </c:pt>
                <c:pt idx="11">
                  <c:v>42.744063324538253</c:v>
                </c:pt>
                <c:pt idx="12">
                  <c:v>43.256997455470739</c:v>
                </c:pt>
                <c:pt idx="13">
                  <c:v>43.922651933701658</c:v>
                </c:pt>
                <c:pt idx="14">
                  <c:v>43.78378378378379</c:v>
                </c:pt>
                <c:pt idx="15">
                  <c:v>42.25352112676056</c:v>
                </c:pt>
                <c:pt idx="16">
                  <c:v>41.061452513966479</c:v>
                </c:pt>
                <c:pt idx="17">
                  <c:v>43.260188087774296</c:v>
                </c:pt>
                <c:pt idx="18">
                  <c:v>43.769968051118212</c:v>
                </c:pt>
                <c:pt idx="19">
                  <c:v>46.229508196721312</c:v>
                </c:pt>
                <c:pt idx="20">
                  <c:v>45.741324921135643</c:v>
                </c:pt>
                <c:pt idx="21">
                  <c:v>46.564885496183209</c:v>
                </c:pt>
                <c:pt idx="22">
                  <c:v>48.638132295719842</c:v>
                </c:pt>
                <c:pt idx="23">
                  <c:v>48.52320675105485</c:v>
                </c:pt>
                <c:pt idx="24">
                  <c:v>45.887445887445885</c:v>
                </c:pt>
                <c:pt idx="25">
                  <c:v>43.333333333333336</c:v>
                </c:pt>
                <c:pt idx="26">
                  <c:v>39.436619718309856</c:v>
                </c:pt>
                <c:pt idx="27">
                  <c:v>39.0625</c:v>
                </c:pt>
                <c:pt idx="28">
                  <c:v>36.95652173913043</c:v>
                </c:pt>
                <c:pt idx="29">
                  <c:v>37.106918238993707</c:v>
                </c:pt>
                <c:pt idx="30">
                  <c:v>32.666666666666664</c:v>
                </c:pt>
                <c:pt idx="31">
                  <c:v>31.007751937984494</c:v>
                </c:pt>
                <c:pt idx="32">
                  <c:v>31.538461538461537</c:v>
                </c:pt>
                <c:pt idx="33">
                  <c:v>30.508474576271187</c:v>
                </c:pt>
                <c:pt idx="34">
                  <c:v>29.133858267716533</c:v>
                </c:pt>
                <c:pt idx="35">
                  <c:v>31.441441441441441</c:v>
                </c:pt>
              </c:numCache>
            </c:numRef>
          </c:val>
          <c:smooth val="0"/>
          <c:extLst>
            <c:ext xmlns:c16="http://schemas.microsoft.com/office/drawing/2014/chart" uri="{C3380CC4-5D6E-409C-BE32-E72D297353CC}">
              <c16:uniqueId val="{00000002-53C3-4347-B53C-18D09FCF393E}"/>
            </c:ext>
          </c:extLst>
        </c:ser>
        <c:ser>
          <c:idx val="3"/>
          <c:order val="3"/>
          <c:tx>
            <c:strRef>
              <c:f>'Trh práce-2'!$A$36</c:f>
              <c:strCache>
                <c:ptCount val="1"/>
                <c:pt idx="0">
                  <c:v>% share of unemployed persons aged 50 years and more (in %, right axis)</c:v>
                </c:pt>
              </c:strCache>
            </c:strRef>
          </c:tx>
          <c:spPr>
            <a:ln w="19050"/>
          </c:spPr>
          <c:marker>
            <c:symbol val="none"/>
          </c:marker>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práce-2'!$B$36:$AK$36</c:f>
              <c:numCache>
                <c:formatCode>0.0</c:formatCode>
                <c:ptCount val="36"/>
                <c:pt idx="0">
                  <c:v>22.485207100591715</c:v>
                </c:pt>
                <c:pt idx="1">
                  <c:v>23.791722296395193</c:v>
                </c:pt>
                <c:pt idx="2">
                  <c:v>23.656776263031272</c:v>
                </c:pt>
                <c:pt idx="3">
                  <c:v>24.221548635987876</c:v>
                </c:pt>
                <c:pt idx="4">
                  <c:v>24.577408103031928</c:v>
                </c:pt>
                <c:pt idx="5">
                  <c:v>23.107569721115539</c:v>
                </c:pt>
                <c:pt idx="6">
                  <c:v>22.935512109716953</c:v>
                </c:pt>
                <c:pt idx="7">
                  <c:v>22.875037280047721</c:v>
                </c:pt>
                <c:pt idx="8">
                  <c:v>22.914409534127845</c:v>
                </c:pt>
                <c:pt idx="9">
                  <c:v>22.969506982046166</c:v>
                </c:pt>
                <c:pt idx="10">
                  <c:v>20.76651263930416</c:v>
                </c:pt>
                <c:pt idx="11">
                  <c:v>23.912470340100185</c:v>
                </c:pt>
                <c:pt idx="12">
                  <c:v>22.969187675070028</c:v>
                </c:pt>
                <c:pt idx="13">
                  <c:v>22.793296089385471</c:v>
                </c:pt>
                <c:pt idx="14">
                  <c:v>21.13095238095238</c:v>
                </c:pt>
                <c:pt idx="15">
                  <c:v>22.059651097355097</c:v>
                </c:pt>
                <c:pt idx="16">
                  <c:v>23.141419787590831</c:v>
                </c:pt>
                <c:pt idx="17">
                  <c:v>21.720025109855616</c:v>
                </c:pt>
                <c:pt idx="18">
                  <c:v>22.161816437480013</c:v>
                </c:pt>
                <c:pt idx="19">
                  <c:v>20.962987225679658</c:v>
                </c:pt>
                <c:pt idx="20">
                  <c:v>23.213156230234031</c:v>
                </c:pt>
                <c:pt idx="21">
                  <c:v>24.140565317035907</c:v>
                </c:pt>
                <c:pt idx="22">
                  <c:v>22.451361867704282</c:v>
                </c:pt>
                <c:pt idx="23">
                  <c:v>23.954372623574148</c:v>
                </c:pt>
                <c:pt idx="24">
                  <c:v>28.157439446366784</c:v>
                </c:pt>
                <c:pt idx="25">
                  <c:v>26.180257510729614</c:v>
                </c:pt>
                <c:pt idx="26">
                  <c:v>22.86384976525822</c:v>
                </c:pt>
                <c:pt idx="27">
                  <c:v>24.947807933194156</c:v>
                </c:pt>
                <c:pt idx="28">
                  <c:v>26.138828633405641</c:v>
                </c:pt>
                <c:pt idx="29">
                  <c:v>24.763705103969755</c:v>
                </c:pt>
                <c:pt idx="30">
                  <c:v>23.380093520374086</c:v>
                </c:pt>
                <c:pt idx="31">
                  <c:v>23.931623931623935</c:v>
                </c:pt>
                <c:pt idx="32">
                  <c:v>25.808936825885976</c:v>
                </c:pt>
                <c:pt idx="33">
                  <c:v>24.957698815566832</c:v>
                </c:pt>
                <c:pt idx="34">
                  <c:v>24.311565696302122</c:v>
                </c:pt>
                <c:pt idx="35">
                  <c:v>23.285198555956679</c:v>
                </c:pt>
              </c:numCache>
            </c:numRef>
          </c:val>
          <c:smooth val="0"/>
          <c:extLst>
            <c:ext xmlns:c16="http://schemas.microsoft.com/office/drawing/2014/chart" uri="{C3380CC4-5D6E-409C-BE32-E72D297353CC}">
              <c16:uniqueId val="{00000003-53C3-4347-B53C-18D09FCF393E}"/>
            </c:ext>
          </c:extLst>
        </c:ser>
        <c:ser>
          <c:idx val="4"/>
          <c:order val="4"/>
          <c:tx>
            <c:strRef>
              <c:f>'Trh práce-2'!$A$37</c:f>
              <c:strCache>
                <c:ptCount val="1"/>
                <c:pt idx="0">
                  <c:v>% share of unemployed persons aged 24 years and less  (in %, right axis)</c:v>
                </c:pt>
              </c:strCache>
            </c:strRef>
          </c:tx>
          <c:spPr>
            <a:ln w="19050"/>
          </c:spPr>
          <c:marker>
            <c:symbol val="none"/>
          </c:marker>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práce-2'!$B$37:$AK$37</c:f>
              <c:numCache>
                <c:formatCode>0.0</c:formatCode>
                <c:ptCount val="36"/>
                <c:pt idx="0">
                  <c:v>18.34319526627219</c:v>
                </c:pt>
                <c:pt idx="1">
                  <c:v>18.477970627503339</c:v>
                </c:pt>
                <c:pt idx="2">
                  <c:v>20.502539427960436</c:v>
                </c:pt>
                <c:pt idx="3">
                  <c:v>19.3717277486911</c:v>
                </c:pt>
                <c:pt idx="4">
                  <c:v>16.930507110276363</c:v>
                </c:pt>
                <c:pt idx="5">
                  <c:v>18.639726807057485</c:v>
                </c:pt>
                <c:pt idx="6">
                  <c:v>20.747009045812664</c:v>
                </c:pt>
                <c:pt idx="7">
                  <c:v>20.131225767968981</c:v>
                </c:pt>
                <c:pt idx="8">
                  <c:v>19.312026002166846</c:v>
                </c:pt>
                <c:pt idx="9">
                  <c:v>20.091194072385296</c:v>
                </c:pt>
                <c:pt idx="10">
                  <c:v>20.331611851046478</c:v>
                </c:pt>
                <c:pt idx="11">
                  <c:v>19.746902188241499</c:v>
                </c:pt>
                <c:pt idx="12">
                  <c:v>17.672523554876499</c:v>
                </c:pt>
                <c:pt idx="13">
                  <c:v>17.486033519553075</c:v>
                </c:pt>
                <c:pt idx="14">
                  <c:v>19.669913419913421</c:v>
                </c:pt>
                <c:pt idx="15">
                  <c:v>19.752391671356222</c:v>
                </c:pt>
                <c:pt idx="16">
                  <c:v>16.014533258803802</c:v>
                </c:pt>
                <c:pt idx="17">
                  <c:v>17.043314500941616</c:v>
                </c:pt>
                <c:pt idx="18">
                  <c:v>19.059801726894786</c:v>
                </c:pt>
                <c:pt idx="19">
                  <c:v>17.851293809367835</c:v>
                </c:pt>
                <c:pt idx="20">
                  <c:v>15.528146742567998</c:v>
                </c:pt>
                <c:pt idx="21">
                  <c:v>15.699006875477464</c:v>
                </c:pt>
                <c:pt idx="22">
                  <c:v>17.548638132295721</c:v>
                </c:pt>
                <c:pt idx="23">
                  <c:v>16.603295310519645</c:v>
                </c:pt>
                <c:pt idx="24">
                  <c:v>13.711072664359861</c:v>
                </c:pt>
                <c:pt idx="25">
                  <c:v>15.450643776824036</c:v>
                </c:pt>
                <c:pt idx="26">
                  <c:v>18.122065727699532</c:v>
                </c:pt>
                <c:pt idx="27">
                  <c:v>18.684759916492691</c:v>
                </c:pt>
                <c:pt idx="28">
                  <c:v>14.75054229934924</c:v>
                </c:pt>
                <c:pt idx="29">
                  <c:v>16.320100819155638</c:v>
                </c:pt>
                <c:pt idx="30">
                  <c:v>18.837675350701407</c:v>
                </c:pt>
                <c:pt idx="31">
                  <c:v>14.996114996114999</c:v>
                </c:pt>
                <c:pt idx="32">
                  <c:v>14.560862865947611</c:v>
                </c:pt>
                <c:pt idx="33">
                  <c:v>17.00507614213198</c:v>
                </c:pt>
                <c:pt idx="34">
                  <c:v>18.09598741148702</c:v>
                </c:pt>
                <c:pt idx="35">
                  <c:v>16.15523465703971</c:v>
                </c:pt>
              </c:numCache>
            </c:numRef>
          </c:val>
          <c:smooth val="0"/>
          <c:extLst>
            <c:ext xmlns:c16="http://schemas.microsoft.com/office/drawing/2014/chart" uri="{C3380CC4-5D6E-409C-BE32-E72D297353CC}">
              <c16:uniqueId val="{00000004-53C3-4347-B53C-18D09FCF393E}"/>
            </c:ext>
          </c:extLst>
        </c:ser>
        <c:ser>
          <c:idx val="5"/>
          <c:order val="5"/>
          <c:tx>
            <c:strRef>
              <c:f>'Trh práce-2'!$A$38</c:f>
              <c:strCache>
                <c:ptCount val="1"/>
                <c:pt idx="0">
                  <c:v>Economically inactive persons seeking employm. (right axis) *</c:v>
                </c:pt>
              </c:strCache>
            </c:strRef>
          </c:tx>
          <c:spPr>
            <a:ln w="19050">
              <a:solidFill>
                <a:srgbClr val="F6882E"/>
              </a:solidFill>
            </a:ln>
          </c:spPr>
          <c:marker>
            <c:symbol val="none"/>
          </c:marker>
          <c:cat>
            <c:multiLvlStrRef>
              <c:f>'Trh práce-2'!$B$30:$AK$31</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práce-2'!$B$38:$AK$38</c:f>
              <c:numCache>
                <c:formatCode>0.0</c:formatCode>
                <c:ptCount val="36"/>
                <c:pt idx="0">
                  <c:v>183.00000000000003</c:v>
                </c:pt>
                <c:pt idx="1">
                  <c:v>183.20000000000002</c:v>
                </c:pt>
                <c:pt idx="2">
                  <c:v>172.5</c:v>
                </c:pt>
                <c:pt idx="3">
                  <c:v>172.00000000000003</c:v>
                </c:pt>
                <c:pt idx="4">
                  <c:v>193.70000000000002</c:v>
                </c:pt>
                <c:pt idx="5">
                  <c:v>184.4</c:v>
                </c:pt>
                <c:pt idx="6">
                  <c:v>188.9</c:v>
                </c:pt>
                <c:pt idx="7">
                  <c:v>183.20000000000002</c:v>
                </c:pt>
                <c:pt idx="8">
                  <c:v>196.60000000000002</c:v>
                </c:pt>
                <c:pt idx="9">
                  <c:v>176.5</c:v>
                </c:pt>
                <c:pt idx="10">
                  <c:v>166.9</c:v>
                </c:pt>
                <c:pt idx="11">
                  <c:v>154.60000000000002</c:v>
                </c:pt>
                <c:pt idx="12">
                  <c:v>167.8</c:v>
                </c:pt>
                <c:pt idx="13">
                  <c:v>147.19999999999999</c:v>
                </c:pt>
                <c:pt idx="14">
                  <c:v>138.80000000000001</c:v>
                </c:pt>
                <c:pt idx="15">
                  <c:v>139.30000000000001</c:v>
                </c:pt>
                <c:pt idx="16">
                  <c:v>145.4</c:v>
                </c:pt>
                <c:pt idx="17">
                  <c:v>137.1</c:v>
                </c:pt>
                <c:pt idx="18">
                  <c:v>129</c:v>
                </c:pt>
                <c:pt idx="19">
                  <c:v>127.10000000000001</c:v>
                </c:pt>
                <c:pt idx="20" formatCode="General">
                  <c:v>138.5</c:v>
                </c:pt>
                <c:pt idx="21" formatCode="General">
                  <c:v>141.4</c:v>
                </c:pt>
                <c:pt idx="22" formatCode="General">
                  <c:v>137.1</c:v>
                </c:pt>
                <c:pt idx="23" formatCode="General">
                  <c:v>130.4</c:v>
                </c:pt>
                <c:pt idx="24" formatCode="General">
                  <c:v>141</c:v>
                </c:pt>
                <c:pt idx="25" formatCode="General">
                  <c:v>126.4</c:v>
                </c:pt>
                <c:pt idx="26" formatCode="General">
                  <c:v>129.69999999999999</c:v>
                </c:pt>
                <c:pt idx="27" formatCode="General">
                  <c:v>127.1</c:v>
                </c:pt>
                <c:pt idx="28">
                  <c:v>133.1</c:v>
                </c:pt>
                <c:pt idx="29">
                  <c:v>120.1</c:v>
                </c:pt>
                <c:pt idx="30">
                  <c:v>121.3</c:v>
                </c:pt>
                <c:pt idx="31">
                  <c:v>119.1</c:v>
                </c:pt>
                <c:pt idx="32">
                  <c:v>113.5</c:v>
                </c:pt>
                <c:pt idx="33">
                  <c:v>108.4</c:v>
                </c:pt>
                <c:pt idx="34">
                  <c:v>110.3</c:v>
                </c:pt>
                <c:pt idx="35">
                  <c:v>101.7</c:v>
                </c:pt>
              </c:numCache>
            </c:numRef>
          </c:val>
          <c:smooth val="0"/>
          <c:extLst>
            <c:ext xmlns:c16="http://schemas.microsoft.com/office/drawing/2014/chart" uri="{C3380CC4-5D6E-409C-BE32-E72D297353CC}">
              <c16:uniqueId val="{00000005-53C3-4347-B53C-18D09FCF393E}"/>
            </c:ext>
          </c:extLst>
        </c:ser>
        <c:dLbls>
          <c:showLegendKey val="0"/>
          <c:showVal val="0"/>
          <c:showCatName val="0"/>
          <c:showSerName val="0"/>
          <c:showPercent val="0"/>
          <c:showBubbleSize val="0"/>
        </c:dLbls>
        <c:marker val="1"/>
        <c:smooth val="0"/>
        <c:axId val="188537088"/>
        <c:axId val="188535552"/>
      </c:lineChart>
      <c:catAx>
        <c:axId val="188511744"/>
        <c:scaling>
          <c:orientation val="minMax"/>
        </c:scaling>
        <c:delete val="0"/>
        <c:axPos val="b"/>
        <c:numFmt formatCode="General" sourceLinked="0"/>
        <c:majorTickMark val="out"/>
        <c:minorTickMark val="none"/>
        <c:tickLblPos val="low"/>
        <c:spPr>
          <a:ln>
            <a:solidFill>
              <a:schemeClr val="tx1"/>
            </a:solidFill>
          </a:ln>
        </c:spPr>
        <c:crossAx val="188513280"/>
        <c:crossesAt val="-50"/>
        <c:auto val="1"/>
        <c:lblAlgn val="ctr"/>
        <c:lblOffset val="0"/>
        <c:noMultiLvlLbl val="0"/>
      </c:catAx>
      <c:valAx>
        <c:axId val="188513280"/>
        <c:scaling>
          <c:orientation val="minMax"/>
          <c:max val="10"/>
          <c:min val="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88511744"/>
        <c:crosses val="autoZero"/>
        <c:crossBetween val="between"/>
        <c:majorUnit val="1"/>
      </c:valAx>
      <c:valAx>
        <c:axId val="188535552"/>
        <c:scaling>
          <c:orientation val="minMax"/>
          <c:max val="200"/>
        </c:scaling>
        <c:delete val="0"/>
        <c:axPos val="r"/>
        <c:numFmt formatCode="0" sourceLinked="0"/>
        <c:majorTickMark val="out"/>
        <c:minorTickMark val="none"/>
        <c:tickLblPos val="nextTo"/>
        <c:crossAx val="188537088"/>
        <c:crosses val="max"/>
        <c:crossBetween val="between"/>
        <c:majorUnit val="20"/>
      </c:valAx>
      <c:catAx>
        <c:axId val="188537088"/>
        <c:scaling>
          <c:orientation val="minMax"/>
        </c:scaling>
        <c:delete val="1"/>
        <c:axPos val="b"/>
        <c:numFmt formatCode="General" sourceLinked="1"/>
        <c:majorTickMark val="out"/>
        <c:minorTickMark val="none"/>
        <c:tickLblPos val="none"/>
        <c:crossAx val="188535552"/>
        <c:crosses val="autoZero"/>
        <c:auto val="1"/>
        <c:lblAlgn val="ctr"/>
        <c:lblOffset val="100"/>
        <c:noMultiLvlLbl val="0"/>
      </c:catAx>
      <c:spPr>
        <a:ln>
          <a:solidFill>
            <a:schemeClr val="tx1"/>
          </a:solidFill>
        </a:ln>
      </c:spPr>
    </c:plotArea>
    <c:legend>
      <c:legendPos val="b"/>
      <c:layout>
        <c:manualLayout>
          <c:xMode val="edge"/>
          <c:yMode val="edge"/>
          <c:x val="4.4636930522445627E-2"/>
          <c:y val="0.81186737262976016"/>
          <c:w val="0.89492054145151811"/>
          <c:h val="0.1773333474365861"/>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0091348527306885E-2"/>
          <c:y val="1.6549886621315266E-2"/>
          <c:w val="0.94100987714831674"/>
          <c:h val="0.79275028344671217"/>
        </c:manualLayout>
      </c:layout>
      <c:barChart>
        <c:barDir val="col"/>
        <c:grouping val="clustered"/>
        <c:varyColors val="0"/>
        <c:ser>
          <c:idx val="5"/>
          <c:order val="2"/>
          <c:tx>
            <c:strRef>
              <c:f>'Trh práce 3'!$E$8</c:f>
              <c:strCache>
                <c:ptCount val="1"/>
                <c:pt idx="0">
                  <c:v>Average wage (real)</c:v>
                </c:pt>
              </c:strCache>
            </c:strRef>
          </c:tx>
          <c:spPr>
            <a:solidFill>
              <a:srgbClr val="A6A6A6"/>
            </a:solidFill>
            <a:ln>
              <a:noFill/>
            </a:ln>
          </c:spPr>
          <c:invertIfNegative val="0"/>
          <c:cat>
            <c:multiLvlStrRef>
              <c:f>'Trh práce 3'!$A$9:$B$44</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3'!$E$9:$E$44</c:f>
              <c:numCache>
                <c:formatCode>#\ ##0.0</c:formatCode>
                <c:ptCount val="36"/>
                <c:pt idx="0">
                  <c:v>2.0999999999999943</c:v>
                </c:pt>
                <c:pt idx="1">
                  <c:v>1.9000000000000057</c:v>
                </c:pt>
                <c:pt idx="2">
                  <c:v>0.29999999999999716</c:v>
                </c:pt>
                <c:pt idx="3">
                  <c:v>-1.4000000000000057</c:v>
                </c:pt>
                <c:pt idx="4">
                  <c:v>1.0999999999999943</c:v>
                </c:pt>
                <c:pt idx="5">
                  <c:v>0.79999999999999716</c:v>
                </c:pt>
                <c:pt idx="6">
                  <c:v>0.29999999999999716</c:v>
                </c:pt>
                <c:pt idx="7">
                  <c:v>0</c:v>
                </c:pt>
                <c:pt idx="8">
                  <c:v>-0.5</c:v>
                </c:pt>
                <c:pt idx="9">
                  <c:v>-1.2999999999999972</c:v>
                </c:pt>
                <c:pt idx="10">
                  <c:v>-1.7999999999999972</c:v>
                </c:pt>
                <c:pt idx="11">
                  <c:v>0.40000000000000568</c:v>
                </c:pt>
                <c:pt idx="12">
                  <c:v>-2.4000000000000057</c:v>
                </c:pt>
                <c:pt idx="13">
                  <c:v>-0.5</c:v>
                </c:pt>
                <c:pt idx="14">
                  <c:v>0</c:v>
                </c:pt>
                <c:pt idx="15">
                  <c:v>-3.0999999999999943</c:v>
                </c:pt>
                <c:pt idx="16">
                  <c:v>3.7000000000000028</c:v>
                </c:pt>
                <c:pt idx="17">
                  <c:v>2.5999999999999943</c:v>
                </c:pt>
                <c:pt idx="18">
                  <c:v>1.5999999999999943</c:v>
                </c:pt>
                <c:pt idx="19">
                  <c:v>2.2999999999999972</c:v>
                </c:pt>
                <c:pt idx="20">
                  <c:v>2.2000000000000028</c:v>
                </c:pt>
                <c:pt idx="21">
                  <c:v>2.5999999999999943</c:v>
                </c:pt>
                <c:pt idx="22">
                  <c:v>3.0999999999999943</c:v>
                </c:pt>
                <c:pt idx="23">
                  <c:v>3.5999999999999943</c:v>
                </c:pt>
                <c:pt idx="24">
                  <c:v>4.2000000000000028</c:v>
                </c:pt>
                <c:pt idx="25">
                  <c:v>3.7999999999999972</c:v>
                </c:pt>
                <c:pt idx="26">
                  <c:v>4.2000000000000028</c:v>
                </c:pt>
                <c:pt idx="27">
                  <c:v>3</c:v>
                </c:pt>
                <c:pt idx="28">
                  <c:v>2.0999999999999943</c:v>
                </c:pt>
                <c:pt idx="29">
                  <c:v>4.5999999999999943</c:v>
                </c:pt>
                <c:pt idx="30">
                  <c:v>3.5</c:v>
                </c:pt>
                <c:pt idx="31">
                  <c:v>4.7000000000000028</c:v>
                </c:pt>
                <c:pt idx="32">
                  <c:v>6.5999999999999943</c:v>
                </c:pt>
                <c:pt idx="33">
                  <c:v>6.2999999999999972</c:v>
                </c:pt>
                <c:pt idx="34">
                  <c:v>6</c:v>
                </c:pt>
                <c:pt idx="35">
                  <c:v>4.7000000000000028</c:v>
                </c:pt>
              </c:numCache>
            </c:numRef>
          </c:val>
          <c:extLst>
            <c:ext xmlns:c16="http://schemas.microsoft.com/office/drawing/2014/chart" uri="{C3380CC4-5D6E-409C-BE32-E72D297353CC}">
              <c16:uniqueId val="{00000000-1DF6-4204-A4FB-E25B1FD364D4}"/>
            </c:ext>
          </c:extLst>
        </c:ser>
        <c:dLbls>
          <c:showLegendKey val="0"/>
          <c:showVal val="0"/>
          <c:showCatName val="0"/>
          <c:showSerName val="0"/>
          <c:showPercent val="0"/>
          <c:showBubbleSize val="0"/>
        </c:dLbls>
        <c:gapWidth val="39"/>
        <c:axId val="185182464"/>
        <c:axId val="185192832"/>
      </c:barChart>
      <c:lineChart>
        <c:grouping val="standard"/>
        <c:varyColors val="0"/>
        <c:ser>
          <c:idx val="0"/>
          <c:order val="0"/>
          <c:tx>
            <c:strRef>
              <c:f>'Trh práce 3'!$C$8</c:f>
              <c:strCache>
                <c:ptCount val="1"/>
                <c:pt idx="0">
                  <c:v>Average wage (nominal)</c:v>
                </c:pt>
              </c:strCache>
            </c:strRef>
          </c:tx>
          <c:spPr>
            <a:ln w="19050">
              <a:solidFill>
                <a:srgbClr val="0071BC"/>
              </a:solidFill>
            </a:ln>
          </c:spPr>
          <c:marker>
            <c:symbol val="none"/>
          </c:marker>
          <c:cat>
            <c:multiLvlStrRef>
              <c:f>'Trh práce 3'!$A$9:$B$44</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3'!$C$9:$C$44</c:f>
              <c:numCache>
                <c:formatCode>0.0</c:formatCode>
                <c:ptCount val="36"/>
                <c:pt idx="0">
                  <c:v>2.7999999999999972</c:v>
                </c:pt>
                <c:pt idx="1">
                  <c:v>3.0999999999999943</c:v>
                </c:pt>
                <c:pt idx="2">
                  <c:v>2.2000000000000028</c:v>
                </c:pt>
                <c:pt idx="3">
                  <c:v>0.70000000000000284</c:v>
                </c:pt>
                <c:pt idx="4">
                  <c:v>2.7999999999999972</c:v>
                </c:pt>
                <c:pt idx="5">
                  <c:v>2.5999999999999943</c:v>
                </c:pt>
                <c:pt idx="6">
                  <c:v>2.0999999999999943</c:v>
                </c:pt>
                <c:pt idx="7">
                  <c:v>2.4000000000000057</c:v>
                </c:pt>
                <c:pt idx="8">
                  <c:v>3.2000000000000028</c:v>
                </c:pt>
                <c:pt idx="9">
                  <c:v>2.0999999999999943</c:v>
                </c:pt>
                <c:pt idx="10">
                  <c:v>1.4000000000000057</c:v>
                </c:pt>
                <c:pt idx="11">
                  <c:v>3.2000000000000028</c:v>
                </c:pt>
                <c:pt idx="12">
                  <c:v>-0.59999999999999432</c:v>
                </c:pt>
                <c:pt idx="13">
                  <c:v>1</c:v>
                </c:pt>
                <c:pt idx="14">
                  <c:v>1.2000000000000028</c:v>
                </c:pt>
                <c:pt idx="15">
                  <c:v>-2</c:v>
                </c:pt>
                <c:pt idx="16">
                  <c:v>3.9000000000000057</c:v>
                </c:pt>
                <c:pt idx="17">
                  <c:v>2.7999999999999972</c:v>
                </c:pt>
                <c:pt idx="18">
                  <c:v>2.2000000000000028</c:v>
                </c:pt>
                <c:pt idx="19">
                  <c:v>2.7999999999999972</c:v>
                </c:pt>
                <c:pt idx="20">
                  <c:v>2.2999999999999972</c:v>
                </c:pt>
                <c:pt idx="21">
                  <c:v>3.2999999999999972</c:v>
                </c:pt>
                <c:pt idx="22">
                  <c:v>3.5</c:v>
                </c:pt>
                <c:pt idx="23">
                  <c:v>3.7000000000000028</c:v>
                </c:pt>
                <c:pt idx="24">
                  <c:v>4.7000000000000028</c:v>
                </c:pt>
                <c:pt idx="25">
                  <c:v>4</c:v>
                </c:pt>
                <c:pt idx="26">
                  <c:v>4.7000000000000028</c:v>
                </c:pt>
                <c:pt idx="27">
                  <c:v>4.4000000000000057</c:v>
                </c:pt>
                <c:pt idx="28">
                  <c:v>4.5</c:v>
                </c:pt>
                <c:pt idx="29">
                  <c:v>6.9000000000000057</c:v>
                </c:pt>
                <c:pt idx="30">
                  <c:v>6.0999999999999943</c:v>
                </c:pt>
                <c:pt idx="31">
                  <c:v>7.4000000000000057</c:v>
                </c:pt>
                <c:pt idx="32">
                  <c:v>8.5999999999999943</c:v>
                </c:pt>
                <c:pt idx="33">
                  <c:v>8.7000000000000028</c:v>
                </c:pt>
                <c:pt idx="34">
                  <c:v>8.5</c:v>
                </c:pt>
                <c:pt idx="35">
                  <c:v>6.9000000000000057</c:v>
                </c:pt>
              </c:numCache>
            </c:numRef>
          </c:val>
          <c:smooth val="0"/>
          <c:extLst>
            <c:ext xmlns:c16="http://schemas.microsoft.com/office/drawing/2014/chart" uri="{C3380CC4-5D6E-409C-BE32-E72D297353CC}">
              <c16:uniqueId val="{00000001-1DF6-4204-A4FB-E25B1FD364D4}"/>
            </c:ext>
          </c:extLst>
        </c:ser>
        <c:ser>
          <c:idx val="4"/>
          <c:order val="1"/>
          <c:tx>
            <c:strRef>
              <c:f>'Trh práce 3'!$D$8</c:f>
              <c:strCache>
                <c:ptCount val="1"/>
                <c:pt idx="0">
                  <c:v>Median wage (nominal)</c:v>
                </c:pt>
              </c:strCache>
            </c:strRef>
          </c:tx>
          <c:spPr>
            <a:ln w="19050">
              <a:solidFill>
                <a:srgbClr val="BD1B21"/>
              </a:solidFill>
            </a:ln>
          </c:spPr>
          <c:marker>
            <c:symbol val="none"/>
          </c:marker>
          <c:cat>
            <c:multiLvlStrRef>
              <c:f>'Trh práce 3'!$A$9:$B$44</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3'!$D$9:$D$44</c:f>
              <c:numCache>
                <c:formatCode>0.0</c:formatCode>
                <c:ptCount val="36"/>
                <c:pt idx="0">
                  <c:v>3.2000000000000028</c:v>
                </c:pt>
                <c:pt idx="1">
                  <c:v>2.5999999999999943</c:v>
                </c:pt>
                <c:pt idx="2">
                  <c:v>2.7999999999999972</c:v>
                </c:pt>
                <c:pt idx="3">
                  <c:v>1.7999999999999972</c:v>
                </c:pt>
                <c:pt idx="4">
                  <c:v>2.7999999999999972</c:v>
                </c:pt>
                <c:pt idx="5">
                  <c:v>2.2000000000000028</c:v>
                </c:pt>
                <c:pt idx="6">
                  <c:v>1.7000000000000028</c:v>
                </c:pt>
                <c:pt idx="7">
                  <c:v>2.2000000000000028</c:v>
                </c:pt>
                <c:pt idx="8">
                  <c:v>1.4000000000000057</c:v>
                </c:pt>
                <c:pt idx="9">
                  <c:v>1.2999999999999972</c:v>
                </c:pt>
                <c:pt idx="10">
                  <c:v>-0.40000000000000568</c:v>
                </c:pt>
                <c:pt idx="11">
                  <c:v>-0.59999999999999432</c:v>
                </c:pt>
                <c:pt idx="12">
                  <c:v>0.59999999999999432</c:v>
                </c:pt>
                <c:pt idx="13">
                  <c:v>1.4000000000000057</c:v>
                </c:pt>
                <c:pt idx="14">
                  <c:v>2.2999999999999972</c:v>
                </c:pt>
                <c:pt idx="15">
                  <c:v>1.2000000000000028</c:v>
                </c:pt>
                <c:pt idx="16">
                  <c:v>4.7000000000000028</c:v>
                </c:pt>
                <c:pt idx="17">
                  <c:v>3.2999999999999972</c:v>
                </c:pt>
                <c:pt idx="18">
                  <c:v>2.5999999999999943</c:v>
                </c:pt>
                <c:pt idx="19">
                  <c:v>2.2999999999999972</c:v>
                </c:pt>
                <c:pt idx="20">
                  <c:v>0.70000000000000284</c:v>
                </c:pt>
                <c:pt idx="21">
                  <c:v>2.2999999999999972</c:v>
                </c:pt>
                <c:pt idx="22">
                  <c:v>3.7999999999999972</c:v>
                </c:pt>
                <c:pt idx="23">
                  <c:v>4.7000000000000028</c:v>
                </c:pt>
                <c:pt idx="24">
                  <c:v>6.7000000000000028</c:v>
                </c:pt>
                <c:pt idx="25">
                  <c:v>4.5999999999999943</c:v>
                </c:pt>
                <c:pt idx="26">
                  <c:v>5.2999999999999972</c:v>
                </c:pt>
                <c:pt idx="27">
                  <c:v>6.2000000000000028</c:v>
                </c:pt>
                <c:pt idx="28">
                  <c:v>4.4000000000000057</c:v>
                </c:pt>
                <c:pt idx="29">
                  <c:v>7.4000000000000057</c:v>
                </c:pt>
                <c:pt idx="30">
                  <c:v>6.5999999999999943</c:v>
                </c:pt>
                <c:pt idx="31">
                  <c:v>8.4000000000000057</c:v>
                </c:pt>
                <c:pt idx="32">
                  <c:v>8.4000000000000057</c:v>
                </c:pt>
                <c:pt idx="33">
                  <c:v>9.5</c:v>
                </c:pt>
                <c:pt idx="34">
                  <c:v>9.7999999999999972</c:v>
                </c:pt>
                <c:pt idx="35">
                  <c:v>7.0999999999999943</c:v>
                </c:pt>
              </c:numCache>
            </c:numRef>
          </c:val>
          <c:smooth val="0"/>
          <c:extLst>
            <c:ext xmlns:c16="http://schemas.microsoft.com/office/drawing/2014/chart" uri="{C3380CC4-5D6E-409C-BE32-E72D297353CC}">
              <c16:uniqueId val="{00000002-1DF6-4204-A4FB-E25B1FD364D4}"/>
            </c:ext>
          </c:extLst>
        </c:ser>
        <c:ser>
          <c:idx val="1"/>
          <c:order val="3"/>
          <c:tx>
            <c:strRef>
              <c:f>'Trh práce 3'!$F$8</c:f>
              <c:strCache>
                <c:ptCount val="1"/>
                <c:pt idx="0">
                  <c:v>Labour productivity in economy (real)**</c:v>
                </c:pt>
              </c:strCache>
            </c:strRef>
          </c:tx>
          <c:spPr>
            <a:ln w="19050">
              <a:noFill/>
              <a:prstDash val="solid"/>
            </a:ln>
          </c:spPr>
          <c:marker>
            <c:symbol val="diamond"/>
            <c:size val="5"/>
            <c:spPr>
              <a:solidFill>
                <a:srgbClr val="FFFF00"/>
              </a:solidFill>
              <a:ln>
                <a:solidFill>
                  <a:schemeClr val="tx1">
                    <a:lumMod val="95000"/>
                    <a:lumOff val="5000"/>
                  </a:schemeClr>
                </a:solidFill>
              </a:ln>
            </c:spPr>
          </c:marker>
          <c:cat>
            <c:multiLvlStrRef>
              <c:f>'Trh práce 3'!$A$9:$B$44</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'Trh práce 3'!$F$9:$F$44</c:f>
              <c:numCache>
                <c:formatCode>0.0</c:formatCode>
                <c:ptCount val="36"/>
                <c:pt idx="0">
                  <c:v>3.5332846838865208</c:v>
                </c:pt>
                <c:pt idx="1">
                  <c:v>4.425122650740704</c:v>
                </c:pt>
                <c:pt idx="2">
                  <c:v>2.3152819998793319</c:v>
                </c:pt>
                <c:pt idx="3">
                  <c:v>2.9717863026053948</c:v>
                </c:pt>
                <c:pt idx="4">
                  <c:v>2.9527260280244576</c:v>
                </c:pt>
                <c:pt idx="5">
                  <c:v>2.0923191727528945</c:v>
                </c:pt>
                <c:pt idx="6">
                  <c:v>1.8080251400873806</c:v>
                </c:pt>
                <c:pt idx="7">
                  <c:v>1.5019620723850409</c:v>
                </c:pt>
                <c:pt idx="8">
                  <c:v>0.41537995919813397</c:v>
                </c:pt>
                <c:pt idx="9">
                  <c:v>-1.2819231607881107</c:v>
                </c:pt>
                <c:pt idx="10">
                  <c:v>-1.8249350322319771</c:v>
                </c:pt>
                <c:pt idx="11">
                  <c:v>-2.0588258996494346</c:v>
                </c:pt>
                <c:pt idx="12">
                  <c:v>-2.8802810421720295</c:v>
                </c:pt>
                <c:pt idx="13">
                  <c:v>-1.8279480046633836</c:v>
                </c:pt>
                <c:pt idx="14">
                  <c:v>0.4046193699375209</c:v>
                </c:pt>
                <c:pt idx="15">
                  <c:v>0.95515229453815209</c:v>
                </c:pt>
                <c:pt idx="16">
                  <c:v>1.7448585072078089</c:v>
                </c:pt>
                <c:pt idx="17">
                  <c:v>2.7515963261383547</c:v>
                </c:pt>
                <c:pt idx="18">
                  <c:v>3.0294730201186439</c:v>
                </c:pt>
                <c:pt idx="19">
                  <c:v>1.0840279704352724</c:v>
                </c:pt>
                <c:pt idx="20">
                  <c:v>3.7518410336967918</c:v>
                </c:pt>
                <c:pt idx="21">
                  <c:v>4.1202609165826658</c:v>
                </c:pt>
                <c:pt idx="22">
                  <c:v>3.76028698995718</c:v>
                </c:pt>
                <c:pt idx="23">
                  <c:v>3.6745015563024737</c:v>
                </c:pt>
                <c:pt idx="24">
                  <c:v>1.4752745888902723</c:v>
                </c:pt>
                <c:pt idx="25">
                  <c:v>2.0687313721092977</c:v>
                </c:pt>
                <c:pt idx="26">
                  <c:v>6.7689948363209851E-2</c:v>
                </c:pt>
                <c:pt idx="27">
                  <c:v>-0.12588932224844029</c:v>
                </c:pt>
                <c:pt idx="28">
                  <c:v>2.1515124153600311</c:v>
                </c:pt>
                <c:pt idx="29">
                  <c:v>2.3231135835342371</c:v>
                </c:pt>
                <c:pt idx="30">
                  <c:v>2.9467476194007958</c:v>
                </c:pt>
                <c:pt idx="31">
                  <c:v>3.5413178743205265</c:v>
                </c:pt>
                <c:pt idx="32">
                  <c:v>1.6945670414427525</c:v>
                </c:pt>
                <c:pt idx="33">
                  <c:v>0.79998776266418758</c:v>
                </c:pt>
                <c:pt idx="34">
                  <c:v>1.5089786634906517</c:v>
                </c:pt>
                <c:pt idx="35">
                  <c:v>1.6715158361527926</c:v>
                </c:pt>
              </c:numCache>
            </c:numRef>
          </c:val>
          <c:smooth val="0"/>
          <c:extLst>
            <c:ext xmlns:c16="http://schemas.microsoft.com/office/drawing/2014/chart" uri="{C3380CC4-5D6E-409C-BE32-E72D297353CC}">
              <c16:uniqueId val="{00000003-1DF6-4204-A4FB-E25B1FD364D4}"/>
            </c:ext>
          </c:extLst>
        </c:ser>
        <c:dLbls>
          <c:showLegendKey val="0"/>
          <c:showVal val="0"/>
          <c:showCatName val="0"/>
          <c:showSerName val="0"/>
          <c:showPercent val="0"/>
          <c:showBubbleSize val="0"/>
        </c:dLbls>
        <c:marker val="1"/>
        <c:smooth val="0"/>
        <c:axId val="185182464"/>
        <c:axId val="185192832"/>
      </c:lineChart>
      <c:catAx>
        <c:axId val="185182464"/>
        <c:scaling>
          <c:orientation val="minMax"/>
        </c:scaling>
        <c:delete val="0"/>
        <c:axPos val="b"/>
        <c:numFmt formatCode="General" sourceLinked="1"/>
        <c:majorTickMark val="out"/>
        <c:minorTickMark val="none"/>
        <c:tickLblPos val="low"/>
        <c:spPr>
          <a:ln>
            <a:solidFill>
              <a:schemeClr val="tx1"/>
            </a:solidFill>
          </a:ln>
        </c:spPr>
        <c:txPr>
          <a:bodyPr rot="0" vert="horz"/>
          <a:lstStyle/>
          <a:p>
            <a:pPr>
              <a:defRPr/>
            </a:pPr>
            <a:endParaRPr lang="cs-CZ"/>
          </a:p>
        </c:txPr>
        <c:crossAx val="185192832"/>
        <c:crosses val="autoZero"/>
        <c:auto val="1"/>
        <c:lblAlgn val="ctr"/>
        <c:lblOffset val="0"/>
        <c:tickMarkSkip val="4"/>
        <c:noMultiLvlLbl val="0"/>
      </c:catAx>
      <c:valAx>
        <c:axId val="185192832"/>
        <c:scaling>
          <c:orientation val="minMax"/>
          <c:max val="10"/>
          <c:min val="-4"/>
        </c:scaling>
        <c:delete val="0"/>
        <c:axPos val="l"/>
        <c:majorGridlines>
          <c:spPr>
            <a:ln>
              <a:solidFill>
                <a:schemeClr val="bg1">
                  <a:lumMod val="75000"/>
                </a:schemeClr>
              </a:solidFill>
            </a:ln>
          </c:spPr>
        </c:majorGridlines>
        <c:numFmt formatCode="0" sourceLinked="0"/>
        <c:majorTickMark val="out"/>
        <c:minorTickMark val="none"/>
        <c:tickLblPos val="nextTo"/>
        <c:spPr>
          <a:ln>
            <a:solidFill>
              <a:schemeClr val="tx1"/>
            </a:solidFill>
          </a:ln>
        </c:spPr>
        <c:crossAx val="185182464"/>
        <c:crosses val="autoZero"/>
        <c:crossBetween val="between"/>
        <c:majorUnit val="1"/>
      </c:valAx>
      <c:spPr>
        <a:ln>
          <a:solidFill>
            <a:schemeClr val="tx1"/>
          </a:solidFill>
        </a:ln>
      </c:spPr>
    </c:plotArea>
    <c:legend>
      <c:legendPos val="b"/>
      <c:layout>
        <c:manualLayout>
          <c:xMode val="edge"/>
          <c:yMode val="edge"/>
          <c:x val="4.4672385016341888E-2"/>
          <c:y val="0.90098015873015869"/>
          <c:w val="0.94307265361592563"/>
          <c:h val="8.822052154195012E-2"/>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557159743329959E-2"/>
          <c:y val="2.1711264016309892E-2"/>
          <c:w val="0.93757303275920301"/>
          <c:h val="0.73130361364404473"/>
        </c:manualLayout>
      </c:layout>
      <c:barChart>
        <c:barDir val="col"/>
        <c:grouping val="clustered"/>
        <c:varyColors val="0"/>
        <c:ser>
          <c:idx val="0"/>
          <c:order val="0"/>
          <c:tx>
            <c:strRef>
              <c:f>'Měnové podmínky 1'!$C$5</c:f>
              <c:strCache>
                <c:ptCount val="1"/>
                <c:pt idx="0">
                  <c:v>2W repo rate</c:v>
                </c:pt>
              </c:strCache>
            </c:strRef>
          </c:tx>
          <c:spPr>
            <a:solidFill>
              <a:schemeClr val="bg1">
                <a:lumMod val="65000"/>
              </a:schemeClr>
            </a:solidFill>
          </c:spPr>
          <c:invertIfNegative val="0"/>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1'!$C$30:$C$89</c:f>
              <c:numCache>
                <c:formatCode>0.00</c:formatCode>
                <c:ptCount val="60"/>
                <c:pt idx="0">
                  <c:v>0.05</c:v>
                </c:pt>
                <c:pt idx="1">
                  <c:v>0.05</c:v>
                </c:pt>
                <c:pt idx="2">
                  <c:v>0.05</c:v>
                </c:pt>
                <c:pt idx="3">
                  <c:v>0.05</c:v>
                </c:pt>
                <c:pt idx="4">
                  <c:v>0.05</c:v>
                </c:pt>
                <c:pt idx="5">
                  <c:v>0.05</c:v>
                </c:pt>
                <c:pt idx="6">
                  <c:v>0.05</c:v>
                </c:pt>
                <c:pt idx="7">
                  <c:v>0.05</c:v>
                </c:pt>
                <c:pt idx="8">
                  <c:v>0.05</c:v>
                </c:pt>
                <c:pt idx="9">
                  <c:v>0.05</c:v>
                </c:pt>
                <c:pt idx="10">
                  <c:v>0.05</c:v>
                </c:pt>
                <c:pt idx="11">
                  <c:v>0.05</c:v>
                </c:pt>
                <c:pt idx="12">
                  <c:v>0.05</c:v>
                </c:pt>
                <c:pt idx="13">
                  <c:v>0.05</c:v>
                </c:pt>
                <c:pt idx="14">
                  <c:v>0.05</c:v>
                </c:pt>
                <c:pt idx="15">
                  <c:v>0.05</c:v>
                </c:pt>
                <c:pt idx="16">
                  <c:v>0.05</c:v>
                </c:pt>
                <c:pt idx="17">
                  <c:v>0.05</c:v>
                </c:pt>
                <c:pt idx="18">
                  <c:v>0.05</c:v>
                </c:pt>
                <c:pt idx="19">
                  <c:v>0.05</c:v>
                </c:pt>
                <c:pt idx="20">
                  <c:v>0.05</c:v>
                </c:pt>
                <c:pt idx="21">
                  <c:v>0.05</c:v>
                </c:pt>
                <c:pt idx="22">
                  <c:v>0.05</c:v>
                </c:pt>
                <c:pt idx="23">
                  <c:v>0.05</c:v>
                </c:pt>
                <c:pt idx="24">
                  <c:v>0.05</c:v>
                </c:pt>
                <c:pt idx="25">
                  <c:v>0.05</c:v>
                </c:pt>
                <c:pt idx="26">
                  <c:v>0.05</c:v>
                </c:pt>
                <c:pt idx="27">
                  <c:v>0.05</c:v>
                </c:pt>
                <c:pt idx="28">
                  <c:v>0.05</c:v>
                </c:pt>
                <c:pt idx="29">
                  <c:v>0.05</c:v>
                </c:pt>
                <c:pt idx="30">
                  <c:v>0.05</c:v>
                </c:pt>
                <c:pt idx="31">
                  <c:v>0.05</c:v>
                </c:pt>
                <c:pt idx="32">
                  <c:v>0.05</c:v>
                </c:pt>
                <c:pt idx="33">
                  <c:v>0.05</c:v>
                </c:pt>
                <c:pt idx="34">
                  <c:v>0.05</c:v>
                </c:pt>
                <c:pt idx="35">
                  <c:v>0.05</c:v>
                </c:pt>
                <c:pt idx="36" formatCode="General">
                  <c:v>0.05</c:v>
                </c:pt>
                <c:pt idx="37" formatCode="General">
                  <c:v>0.05</c:v>
                </c:pt>
                <c:pt idx="38" formatCode="General">
                  <c:v>0.05</c:v>
                </c:pt>
                <c:pt idx="39" formatCode="General">
                  <c:v>0.05</c:v>
                </c:pt>
                <c:pt idx="40" formatCode="General">
                  <c:v>0.05</c:v>
                </c:pt>
                <c:pt idx="41" formatCode="General">
                  <c:v>0.05</c:v>
                </c:pt>
                <c:pt idx="42" formatCode="General">
                  <c:v>0.05</c:v>
                </c:pt>
                <c:pt idx="43" formatCode="General">
                  <c:v>0.25</c:v>
                </c:pt>
                <c:pt idx="44" formatCode="General">
                  <c:v>0.25</c:v>
                </c:pt>
                <c:pt idx="45" formatCode="General">
                  <c:v>0.25</c:v>
                </c:pt>
                <c:pt idx="46" formatCode="General">
                  <c:v>0.5</c:v>
                </c:pt>
                <c:pt idx="47" formatCode="General">
                  <c:v>0.5</c:v>
                </c:pt>
                <c:pt idx="48" formatCode="General">
                  <c:v>0.5</c:v>
                </c:pt>
                <c:pt idx="49" formatCode="General">
                  <c:v>0.75</c:v>
                </c:pt>
                <c:pt idx="50" formatCode="General">
                  <c:v>0.75</c:v>
                </c:pt>
                <c:pt idx="51" formatCode="General">
                  <c:v>0.75</c:v>
                </c:pt>
                <c:pt idx="52" formatCode="General">
                  <c:v>0.75</c:v>
                </c:pt>
                <c:pt idx="53" formatCode="General">
                  <c:v>1</c:v>
                </c:pt>
                <c:pt idx="54" formatCode="General">
                  <c:v>1</c:v>
                </c:pt>
                <c:pt idx="55" formatCode="General">
                  <c:v>1.25</c:v>
                </c:pt>
                <c:pt idx="56" formatCode="General">
                  <c:v>1.5</c:v>
                </c:pt>
                <c:pt idx="57" formatCode="General">
                  <c:v>1.5</c:v>
                </c:pt>
                <c:pt idx="58" formatCode="General">
                  <c:v>1.75</c:v>
                </c:pt>
                <c:pt idx="59" formatCode="General">
                  <c:v>1.75</c:v>
                </c:pt>
              </c:numCache>
            </c:numRef>
          </c:val>
          <c:extLst>
            <c:ext xmlns:c16="http://schemas.microsoft.com/office/drawing/2014/chart" uri="{C3380CC4-5D6E-409C-BE32-E72D297353CC}">
              <c16:uniqueId val="{00000000-707B-437A-8706-27ED6CC45AE1}"/>
            </c:ext>
          </c:extLst>
        </c:ser>
        <c:dLbls>
          <c:showLegendKey val="0"/>
          <c:showVal val="0"/>
          <c:showCatName val="0"/>
          <c:showSerName val="0"/>
          <c:showPercent val="0"/>
          <c:showBubbleSize val="0"/>
        </c:dLbls>
        <c:gapWidth val="31"/>
        <c:axId val="131001344"/>
        <c:axId val="131027712"/>
      </c:barChart>
      <c:lineChart>
        <c:grouping val="standard"/>
        <c:varyColors val="0"/>
        <c:ser>
          <c:idx val="3"/>
          <c:order val="1"/>
          <c:tx>
            <c:strRef>
              <c:f>'Měnové podmínky 1'!$F$5</c:f>
              <c:strCache>
                <c:ptCount val="1"/>
                <c:pt idx="0">
                  <c:v>Average yield of government bonds (2Y)</c:v>
                </c:pt>
              </c:strCache>
            </c:strRef>
          </c:tx>
          <c:spPr>
            <a:ln w="19050">
              <a:solidFill>
                <a:srgbClr val="7DBB2D"/>
              </a:solidFill>
            </a:ln>
          </c:spPr>
          <c:marker>
            <c:symbol val="none"/>
          </c:marker>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1'!$F$30:$F$89</c:f>
              <c:numCache>
                <c:formatCode>0.00</c:formatCode>
                <c:ptCount val="60"/>
                <c:pt idx="0">
                  <c:v>0.23</c:v>
                </c:pt>
                <c:pt idx="1">
                  <c:v>0.28000000000000003</c:v>
                </c:pt>
                <c:pt idx="2">
                  <c:v>0.26</c:v>
                </c:pt>
                <c:pt idx="3">
                  <c:v>0.23</c:v>
                </c:pt>
                <c:pt idx="4">
                  <c:v>0.21</c:v>
                </c:pt>
                <c:pt idx="5">
                  <c:v>0.24</c:v>
                </c:pt>
                <c:pt idx="6">
                  <c:v>0.23</c:v>
                </c:pt>
                <c:pt idx="7">
                  <c:v>0.18</c:v>
                </c:pt>
                <c:pt idx="8">
                  <c:v>0.14000000000000001</c:v>
                </c:pt>
                <c:pt idx="9">
                  <c:v>0.1</c:v>
                </c:pt>
                <c:pt idx="10">
                  <c:v>0.12</c:v>
                </c:pt>
                <c:pt idx="11">
                  <c:v>0.13</c:v>
                </c:pt>
                <c:pt idx="12">
                  <c:v>0.09</c:v>
                </c:pt>
                <c:pt idx="13">
                  <c:v>0.06</c:v>
                </c:pt>
                <c:pt idx="14">
                  <c:v>0.04</c:v>
                </c:pt>
                <c:pt idx="15">
                  <c:v>-0.03</c:v>
                </c:pt>
                <c:pt idx="16">
                  <c:v>0.04</c:v>
                </c:pt>
                <c:pt idx="17">
                  <c:v>0.11</c:v>
                </c:pt>
                <c:pt idx="18">
                  <c:v>0.02</c:v>
                </c:pt>
                <c:pt idx="19">
                  <c:v>-7.0000000000000007E-2</c:v>
                </c:pt>
                <c:pt idx="20">
                  <c:v>-0.3</c:v>
                </c:pt>
                <c:pt idx="21">
                  <c:v>-0.28000000000000003</c:v>
                </c:pt>
                <c:pt idx="22">
                  <c:v>-0.33</c:v>
                </c:pt>
                <c:pt idx="23">
                  <c:v>-0.38</c:v>
                </c:pt>
                <c:pt idx="24" formatCode="General">
                  <c:v>-0.21</c:v>
                </c:pt>
                <c:pt idx="25" formatCode="General">
                  <c:v>-0.18</c:v>
                </c:pt>
                <c:pt idx="26" formatCode="General">
                  <c:v>-0.17</c:v>
                </c:pt>
                <c:pt idx="27" formatCode="General">
                  <c:v>-0.08</c:v>
                </c:pt>
                <c:pt idx="28" formatCode="General">
                  <c:v>-0.04</c:v>
                </c:pt>
                <c:pt idx="29" formatCode="General">
                  <c:v>-0.05</c:v>
                </c:pt>
                <c:pt idx="30" formatCode="General">
                  <c:v>-0.13</c:v>
                </c:pt>
                <c:pt idx="31" formatCode="General">
                  <c:v>-0.22</c:v>
                </c:pt>
                <c:pt idx="32" formatCode="General">
                  <c:v>-0.5</c:v>
                </c:pt>
                <c:pt idx="33" formatCode="General">
                  <c:v>-0.74</c:v>
                </c:pt>
                <c:pt idx="34" formatCode="General">
                  <c:v>-0.73</c:v>
                </c:pt>
                <c:pt idx="35" formatCode="General">
                  <c:v>-0.81</c:v>
                </c:pt>
                <c:pt idx="36" formatCode="General">
                  <c:v>-0.88</c:v>
                </c:pt>
                <c:pt idx="37" formatCode="General">
                  <c:v>-0.53</c:v>
                </c:pt>
                <c:pt idx="38" formatCode="General">
                  <c:v>-0.44</c:v>
                </c:pt>
                <c:pt idx="39" formatCode="General">
                  <c:v>-0.23</c:v>
                </c:pt>
                <c:pt idx="40" formatCode="General">
                  <c:v>-0.24</c:v>
                </c:pt>
                <c:pt idx="41" formatCode="General">
                  <c:v>-0.25</c:v>
                </c:pt>
                <c:pt idx="42" formatCode="General">
                  <c:v>-0.28999999999999998</c:v>
                </c:pt>
                <c:pt idx="43" formatCode="General">
                  <c:v>-0.33</c:v>
                </c:pt>
                <c:pt idx="44" formatCode="General">
                  <c:v>-0.28999999999999998</c:v>
                </c:pt>
                <c:pt idx="45" formatCode="General">
                  <c:v>0.12</c:v>
                </c:pt>
                <c:pt idx="46" formatCode="General">
                  <c:v>0.31</c:v>
                </c:pt>
                <c:pt idx="47" formatCode="General">
                  <c:v>0.19</c:v>
                </c:pt>
                <c:pt idx="48" formatCode="General">
                  <c:v>0.46</c:v>
                </c:pt>
                <c:pt idx="49" formatCode="General">
                  <c:v>0.55000000000000004</c:v>
                </c:pt>
                <c:pt idx="50" formatCode="General">
                  <c:v>0.62</c:v>
                </c:pt>
                <c:pt idx="51" formatCode="General">
                  <c:v>0.6</c:v>
                </c:pt>
                <c:pt idx="52" formatCode="General">
                  <c:v>0.7</c:v>
                </c:pt>
                <c:pt idx="53" formatCode="General">
                  <c:v>0.89</c:v>
                </c:pt>
                <c:pt idx="54" formatCode="General">
                  <c:v>1.0900000000000001</c:v>
                </c:pt>
                <c:pt idx="55" formatCode="General">
                  <c:v>1.26</c:v>
                </c:pt>
                <c:pt idx="56" formatCode="General">
                  <c:v>1.34</c:v>
                </c:pt>
                <c:pt idx="57" formatCode="General">
                  <c:v>1.44</c:v>
                </c:pt>
                <c:pt idx="58" formatCode="General">
                  <c:v>1.49</c:v>
                </c:pt>
                <c:pt idx="59" formatCode="General">
                  <c:v>1.52</c:v>
                </c:pt>
              </c:numCache>
            </c:numRef>
          </c:val>
          <c:smooth val="0"/>
          <c:extLst>
            <c:ext xmlns:c16="http://schemas.microsoft.com/office/drawing/2014/chart" uri="{C3380CC4-5D6E-409C-BE32-E72D297353CC}">
              <c16:uniqueId val="{00000001-707B-437A-8706-27ED6CC45AE1}"/>
            </c:ext>
          </c:extLst>
        </c:ser>
        <c:ser>
          <c:idx val="1"/>
          <c:order val="2"/>
          <c:tx>
            <c:strRef>
              <c:f>'Měnové podmínky 1'!$D$5</c:f>
              <c:strCache>
                <c:ptCount val="1"/>
                <c:pt idx="0">
                  <c:v>PRIBOR (3M)</c:v>
                </c:pt>
              </c:strCache>
            </c:strRef>
          </c:tx>
          <c:spPr>
            <a:ln w="19050">
              <a:solidFill>
                <a:srgbClr val="0071BC"/>
              </a:solidFill>
            </a:ln>
          </c:spPr>
          <c:marker>
            <c:symbol val="none"/>
          </c:marker>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1'!$D$30:$D$89</c:f>
              <c:numCache>
                <c:formatCode>0.00</c:formatCode>
                <c:ptCount val="60"/>
                <c:pt idx="0">
                  <c:v>0.37</c:v>
                </c:pt>
                <c:pt idx="1">
                  <c:v>0.37</c:v>
                </c:pt>
                <c:pt idx="2">
                  <c:v>0.37</c:v>
                </c:pt>
                <c:pt idx="3">
                  <c:v>0.37</c:v>
                </c:pt>
                <c:pt idx="4">
                  <c:v>0.37</c:v>
                </c:pt>
                <c:pt idx="5">
                  <c:v>0.35</c:v>
                </c:pt>
                <c:pt idx="6">
                  <c:v>0.35</c:v>
                </c:pt>
                <c:pt idx="7">
                  <c:v>0.35</c:v>
                </c:pt>
                <c:pt idx="8">
                  <c:v>0.35</c:v>
                </c:pt>
                <c:pt idx="9">
                  <c:v>0.35</c:v>
                </c:pt>
                <c:pt idx="10">
                  <c:v>0.34</c:v>
                </c:pt>
                <c:pt idx="11">
                  <c:v>0.34</c:v>
                </c:pt>
                <c:pt idx="12">
                  <c:v>0.33</c:v>
                </c:pt>
                <c:pt idx="13">
                  <c:v>0.33</c:v>
                </c:pt>
                <c:pt idx="14">
                  <c:v>0.32</c:v>
                </c:pt>
                <c:pt idx="15">
                  <c:v>0.31</c:v>
                </c:pt>
                <c:pt idx="16">
                  <c:v>0.31</c:v>
                </c:pt>
                <c:pt idx="17">
                  <c:v>0.31</c:v>
                </c:pt>
                <c:pt idx="18">
                  <c:v>0.31</c:v>
                </c:pt>
                <c:pt idx="19">
                  <c:v>0.31</c:v>
                </c:pt>
                <c:pt idx="20">
                  <c:v>0.3</c:v>
                </c:pt>
                <c:pt idx="21">
                  <c:v>0.28999999999999998</c:v>
                </c:pt>
                <c:pt idx="22">
                  <c:v>0.28999999999999998</c:v>
                </c:pt>
                <c:pt idx="23">
                  <c:v>0.28999999999999998</c:v>
                </c:pt>
                <c:pt idx="24">
                  <c:v>0.28999999999999998</c:v>
                </c:pt>
                <c:pt idx="25">
                  <c:v>0.28000000000000003</c:v>
                </c:pt>
                <c:pt idx="26">
                  <c:v>0.28999999999999998</c:v>
                </c:pt>
                <c:pt idx="27">
                  <c:v>0.28999999999999998</c:v>
                </c:pt>
                <c:pt idx="28">
                  <c:v>0.28999999999999998</c:v>
                </c:pt>
                <c:pt idx="29">
                  <c:v>0.28999999999999998</c:v>
                </c:pt>
                <c:pt idx="30">
                  <c:v>0.28999999999999998</c:v>
                </c:pt>
                <c:pt idx="31">
                  <c:v>0.28999999999999998</c:v>
                </c:pt>
                <c:pt idx="32">
                  <c:v>0.28999999999999998</c:v>
                </c:pt>
                <c:pt idx="33">
                  <c:v>0.28999999999999998</c:v>
                </c:pt>
                <c:pt idx="34">
                  <c:v>0.28999999999999998</c:v>
                </c:pt>
                <c:pt idx="35">
                  <c:v>0.28999999999999998</c:v>
                </c:pt>
                <c:pt idx="36" formatCode="General">
                  <c:v>0.28000000000000003</c:v>
                </c:pt>
                <c:pt idx="37" formatCode="General">
                  <c:v>0.28000000000000003</c:v>
                </c:pt>
                <c:pt idx="38" formatCode="General">
                  <c:v>0.28000000000000003</c:v>
                </c:pt>
                <c:pt idx="39" formatCode="General">
                  <c:v>0.28999999999999998</c:v>
                </c:pt>
                <c:pt idx="40" formatCode="General">
                  <c:v>0.3</c:v>
                </c:pt>
                <c:pt idx="41" formatCode="General">
                  <c:v>0.3</c:v>
                </c:pt>
                <c:pt idx="42" formatCode="General">
                  <c:v>0.3</c:v>
                </c:pt>
                <c:pt idx="43" formatCode="General">
                  <c:v>0.43</c:v>
                </c:pt>
                <c:pt idx="44" formatCode="General">
                  <c:v>0.46</c:v>
                </c:pt>
                <c:pt idx="45" formatCode="General">
                  <c:v>0.51</c:v>
                </c:pt>
                <c:pt idx="46" formatCode="General">
                  <c:v>0.71</c:v>
                </c:pt>
                <c:pt idx="47" formatCode="General">
                  <c:v>0.75</c:v>
                </c:pt>
                <c:pt idx="48" formatCode="General">
                  <c:v>0.77</c:v>
                </c:pt>
                <c:pt idx="49" formatCode="General">
                  <c:v>0.9</c:v>
                </c:pt>
                <c:pt idx="50" formatCode="General">
                  <c:v>0.9</c:v>
                </c:pt>
                <c:pt idx="51" formatCode="General">
                  <c:v>0.9</c:v>
                </c:pt>
                <c:pt idx="52" formatCode="General">
                  <c:v>0.9</c:v>
                </c:pt>
                <c:pt idx="53" formatCode="General">
                  <c:v>0.93</c:v>
                </c:pt>
                <c:pt idx="54" formatCode="General">
                  <c:v>1.18</c:v>
                </c:pt>
                <c:pt idx="55" formatCode="General">
                  <c:v>1.45</c:v>
                </c:pt>
                <c:pt idx="56" formatCode="General">
                  <c:v>1.54</c:v>
                </c:pt>
                <c:pt idx="57" formatCode="General">
                  <c:v>1.76</c:v>
                </c:pt>
                <c:pt idx="58" formatCode="General">
                  <c:v>1.99</c:v>
                </c:pt>
                <c:pt idx="59" formatCode="General">
                  <c:v>2.0099999999999998</c:v>
                </c:pt>
              </c:numCache>
            </c:numRef>
          </c:val>
          <c:smooth val="0"/>
          <c:extLst>
            <c:ext xmlns:c16="http://schemas.microsoft.com/office/drawing/2014/chart" uri="{C3380CC4-5D6E-409C-BE32-E72D297353CC}">
              <c16:uniqueId val="{00000002-707B-437A-8706-27ED6CC45AE1}"/>
            </c:ext>
          </c:extLst>
        </c:ser>
        <c:ser>
          <c:idx val="4"/>
          <c:order val="3"/>
          <c:tx>
            <c:strRef>
              <c:f>'Měnové podmínky 1'!$G$5</c:f>
              <c:strCache>
                <c:ptCount val="1"/>
                <c:pt idx="0">
                  <c:v>Average yield of government bonds (5Y)</c:v>
                </c:pt>
              </c:strCache>
            </c:strRef>
          </c:tx>
          <c:spPr>
            <a:ln w="19050">
              <a:solidFill>
                <a:srgbClr val="F8A124"/>
              </a:solidFill>
            </a:ln>
          </c:spPr>
          <c:marker>
            <c:symbol val="none"/>
          </c:marker>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1'!$G$30:$G$89</c:f>
              <c:numCache>
                <c:formatCode>0.00</c:formatCode>
                <c:ptCount val="60"/>
                <c:pt idx="0">
                  <c:v>1.0900000000000001</c:v>
                </c:pt>
                <c:pt idx="1">
                  <c:v>1.2</c:v>
                </c:pt>
                <c:pt idx="2">
                  <c:v>1.1399999999999999</c:v>
                </c:pt>
                <c:pt idx="3">
                  <c:v>0.99</c:v>
                </c:pt>
                <c:pt idx="4">
                  <c:v>0.8</c:v>
                </c:pt>
                <c:pt idx="5">
                  <c:v>0.68</c:v>
                </c:pt>
                <c:pt idx="6">
                  <c:v>0.65</c:v>
                </c:pt>
                <c:pt idx="7">
                  <c:v>0.62</c:v>
                </c:pt>
                <c:pt idx="8">
                  <c:v>0.51</c:v>
                </c:pt>
                <c:pt idx="9">
                  <c:v>0.37</c:v>
                </c:pt>
                <c:pt idx="10">
                  <c:v>0.24</c:v>
                </c:pt>
                <c:pt idx="11">
                  <c:v>0.22</c:v>
                </c:pt>
                <c:pt idx="12">
                  <c:v>0.13</c:v>
                </c:pt>
                <c:pt idx="13">
                  <c:v>0.17</c:v>
                </c:pt>
                <c:pt idx="14">
                  <c:v>0.14000000000000001</c:v>
                </c:pt>
                <c:pt idx="15">
                  <c:v>0.05</c:v>
                </c:pt>
                <c:pt idx="16">
                  <c:v>0.22</c:v>
                </c:pt>
                <c:pt idx="17">
                  <c:v>0.43</c:v>
                </c:pt>
                <c:pt idx="18">
                  <c:v>0.35</c:v>
                </c:pt>
                <c:pt idx="19">
                  <c:v>0.2</c:v>
                </c:pt>
                <c:pt idx="20">
                  <c:v>0.06</c:v>
                </c:pt>
                <c:pt idx="21">
                  <c:v>-0.05</c:v>
                </c:pt>
                <c:pt idx="22">
                  <c:v>-0.05</c:v>
                </c:pt>
                <c:pt idx="23">
                  <c:v>-0.11</c:v>
                </c:pt>
                <c:pt idx="24" formatCode="General">
                  <c:v>0.04</c:v>
                </c:pt>
                <c:pt idx="25" formatCode="General">
                  <c:v>-0.08</c:v>
                </c:pt>
                <c:pt idx="26" formatCode="General">
                  <c:v>-0.1</c:v>
                </c:pt>
                <c:pt idx="27" formatCode="General">
                  <c:v>0.04</c:v>
                </c:pt>
                <c:pt idx="28" formatCode="General">
                  <c:v>7.0000000000000007E-2</c:v>
                </c:pt>
                <c:pt idx="29" formatCode="General">
                  <c:v>0.05</c:v>
                </c:pt>
                <c:pt idx="30" formatCode="General">
                  <c:v>-0.02</c:v>
                </c:pt>
                <c:pt idx="31" formatCode="General">
                  <c:v>-0.09</c:v>
                </c:pt>
                <c:pt idx="32" formatCode="General">
                  <c:v>-0.19</c:v>
                </c:pt>
                <c:pt idx="33" formatCode="General">
                  <c:v>-0.17</c:v>
                </c:pt>
                <c:pt idx="34" formatCode="General">
                  <c:v>-0.17</c:v>
                </c:pt>
                <c:pt idx="35" formatCode="General">
                  <c:v>-0.21</c:v>
                </c:pt>
                <c:pt idx="36" formatCode="General">
                  <c:v>-0.22</c:v>
                </c:pt>
                <c:pt idx="37" formatCode="General">
                  <c:v>0.09</c:v>
                </c:pt>
                <c:pt idx="38" formatCode="General">
                  <c:v>0.1</c:v>
                </c:pt>
                <c:pt idx="39" formatCode="General">
                  <c:v>0.16</c:v>
                </c:pt>
                <c:pt idx="40" formatCode="General">
                  <c:v>0.04</c:v>
                </c:pt>
                <c:pt idx="41" formatCode="General">
                  <c:v>-0.03</c:v>
                </c:pt>
                <c:pt idx="42" formatCode="General">
                  <c:v>0.14000000000000001</c:v>
                </c:pt>
                <c:pt idx="43" formatCode="General">
                  <c:v>0.09</c:v>
                </c:pt>
                <c:pt idx="44" formatCode="General">
                  <c:v>0.1</c:v>
                </c:pt>
                <c:pt idx="45" formatCode="General">
                  <c:v>0.63</c:v>
                </c:pt>
                <c:pt idx="46" formatCode="General">
                  <c:v>0.87</c:v>
                </c:pt>
                <c:pt idx="47" formatCode="General">
                  <c:v>0.68</c:v>
                </c:pt>
                <c:pt idx="48" formatCode="General">
                  <c:v>0.99</c:v>
                </c:pt>
                <c:pt idx="49" formatCode="General">
                  <c:v>1.07</c:v>
                </c:pt>
                <c:pt idx="50" formatCode="General">
                  <c:v>1.0900000000000001</c:v>
                </c:pt>
                <c:pt idx="51" formatCode="General">
                  <c:v>1.05</c:v>
                </c:pt>
                <c:pt idx="52" formatCode="General">
                  <c:v>1.21</c:v>
                </c:pt>
                <c:pt idx="53" formatCode="General">
                  <c:v>1.41</c:v>
                </c:pt>
                <c:pt idx="54" formatCode="General">
                  <c:v>1.44</c:v>
                </c:pt>
                <c:pt idx="55" formatCode="General">
                  <c:v>1.55</c:v>
                </c:pt>
                <c:pt idx="56" formatCode="General">
                  <c:v>1.7</c:v>
                </c:pt>
                <c:pt idx="57" formatCode="General">
                  <c:v>1.81</c:v>
                </c:pt>
                <c:pt idx="58" formatCode="General">
                  <c:v>1.79</c:v>
                </c:pt>
                <c:pt idx="59" formatCode="General">
                  <c:v>1.71</c:v>
                </c:pt>
              </c:numCache>
            </c:numRef>
          </c:val>
          <c:smooth val="0"/>
          <c:extLst>
            <c:ext xmlns:c16="http://schemas.microsoft.com/office/drawing/2014/chart" uri="{C3380CC4-5D6E-409C-BE32-E72D297353CC}">
              <c16:uniqueId val="{00000003-707B-437A-8706-27ED6CC45AE1}"/>
            </c:ext>
          </c:extLst>
        </c:ser>
        <c:ser>
          <c:idx val="2"/>
          <c:order val="4"/>
          <c:tx>
            <c:strRef>
              <c:f>'Měnové podmínky 1'!$E$5</c:f>
              <c:strCache>
                <c:ptCount val="1"/>
                <c:pt idx="0">
                  <c:v>PRIBOR (1Y)</c:v>
                </c:pt>
              </c:strCache>
            </c:strRef>
          </c:tx>
          <c:spPr>
            <a:ln w="19050">
              <a:solidFill>
                <a:srgbClr val="BD1B21"/>
              </a:solidFill>
            </a:ln>
          </c:spPr>
          <c:marker>
            <c:symbol val="none"/>
          </c:marker>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1'!$E$30:$E$89</c:f>
              <c:numCache>
                <c:formatCode>0.00</c:formatCode>
                <c:ptCount val="60"/>
                <c:pt idx="0">
                  <c:v>0.57999999999999996</c:v>
                </c:pt>
                <c:pt idx="1">
                  <c:v>0.55000000000000004</c:v>
                </c:pt>
                <c:pt idx="2">
                  <c:v>0.55000000000000004</c:v>
                </c:pt>
                <c:pt idx="3">
                  <c:v>0.55000000000000004</c:v>
                </c:pt>
                <c:pt idx="4">
                  <c:v>0.54</c:v>
                </c:pt>
                <c:pt idx="5">
                  <c:v>0.53</c:v>
                </c:pt>
                <c:pt idx="6">
                  <c:v>0.52</c:v>
                </c:pt>
                <c:pt idx="7">
                  <c:v>0.52</c:v>
                </c:pt>
                <c:pt idx="8">
                  <c:v>0.52</c:v>
                </c:pt>
                <c:pt idx="9">
                  <c:v>0.52</c:v>
                </c:pt>
                <c:pt idx="10">
                  <c:v>0.51</c:v>
                </c:pt>
                <c:pt idx="11">
                  <c:v>0.51</c:v>
                </c:pt>
                <c:pt idx="12">
                  <c:v>0.51</c:v>
                </c:pt>
                <c:pt idx="13">
                  <c:v>0.51</c:v>
                </c:pt>
                <c:pt idx="14">
                  <c:v>0.49</c:v>
                </c:pt>
                <c:pt idx="15">
                  <c:v>0.48</c:v>
                </c:pt>
                <c:pt idx="16">
                  <c:v>0.48</c:v>
                </c:pt>
                <c:pt idx="17">
                  <c:v>0.48</c:v>
                </c:pt>
                <c:pt idx="18">
                  <c:v>0.48</c:v>
                </c:pt>
                <c:pt idx="19">
                  <c:v>0.48</c:v>
                </c:pt>
                <c:pt idx="20">
                  <c:v>0.47</c:v>
                </c:pt>
                <c:pt idx="21">
                  <c:v>0.46</c:v>
                </c:pt>
                <c:pt idx="22">
                  <c:v>0.46</c:v>
                </c:pt>
                <c:pt idx="23">
                  <c:v>0.46</c:v>
                </c:pt>
                <c:pt idx="24">
                  <c:v>0.45</c:v>
                </c:pt>
                <c:pt idx="25">
                  <c:v>0.45</c:v>
                </c:pt>
                <c:pt idx="26">
                  <c:v>0.45</c:v>
                </c:pt>
                <c:pt idx="27">
                  <c:v>0.45</c:v>
                </c:pt>
                <c:pt idx="28">
                  <c:v>0.45</c:v>
                </c:pt>
                <c:pt idx="29">
                  <c:v>0.45</c:v>
                </c:pt>
                <c:pt idx="30">
                  <c:v>0.45</c:v>
                </c:pt>
                <c:pt idx="31">
                  <c:v>0.45</c:v>
                </c:pt>
                <c:pt idx="32">
                  <c:v>0.45</c:v>
                </c:pt>
                <c:pt idx="33">
                  <c:v>0.45</c:v>
                </c:pt>
                <c:pt idx="34">
                  <c:v>0.45</c:v>
                </c:pt>
                <c:pt idx="35">
                  <c:v>0.45</c:v>
                </c:pt>
                <c:pt idx="36" formatCode="General">
                  <c:v>0.44</c:v>
                </c:pt>
                <c:pt idx="37" formatCode="General">
                  <c:v>0.44</c:v>
                </c:pt>
                <c:pt idx="38" formatCode="General">
                  <c:v>0.44</c:v>
                </c:pt>
                <c:pt idx="39" formatCode="General">
                  <c:v>0.45</c:v>
                </c:pt>
                <c:pt idx="40" formatCode="General">
                  <c:v>0.46</c:v>
                </c:pt>
                <c:pt idx="41" formatCode="General">
                  <c:v>0.46</c:v>
                </c:pt>
                <c:pt idx="42" formatCode="General">
                  <c:v>0.47</c:v>
                </c:pt>
                <c:pt idx="43" formatCode="General">
                  <c:v>0.6</c:v>
                </c:pt>
                <c:pt idx="44" formatCode="General">
                  <c:v>0.64</c:v>
                </c:pt>
                <c:pt idx="45" formatCode="General">
                  <c:v>0.69</c:v>
                </c:pt>
                <c:pt idx="46" formatCode="General">
                  <c:v>0.91</c:v>
                </c:pt>
                <c:pt idx="47" formatCode="General">
                  <c:v>0.96</c:v>
                </c:pt>
                <c:pt idx="48" formatCode="General">
                  <c:v>0.98</c:v>
                </c:pt>
                <c:pt idx="49" formatCode="General">
                  <c:v>1.1100000000000001</c:v>
                </c:pt>
                <c:pt idx="50" formatCode="General">
                  <c:v>1.1200000000000001</c:v>
                </c:pt>
                <c:pt idx="51" formatCode="General">
                  <c:v>1.1200000000000001</c:v>
                </c:pt>
                <c:pt idx="52" formatCode="General">
                  <c:v>1.1200000000000001</c:v>
                </c:pt>
                <c:pt idx="53" formatCode="General">
                  <c:v>1.1499999999999999</c:v>
                </c:pt>
                <c:pt idx="54" formatCode="General">
                  <c:v>1.39</c:v>
                </c:pt>
                <c:pt idx="55" formatCode="General">
                  <c:v>1.67</c:v>
                </c:pt>
                <c:pt idx="56" formatCode="General">
                  <c:v>1.79</c:v>
                </c:pt>
                <c:pt idx="57" formatCode="General">
                  <c:v>1.95</c:v>
                </c:pt>
                <c:pt idx="58" formatCode="General">
                  <c:v>2.1800000000000002</c:v>
                </c:pt>
                <c:pt idx="59" formatCode="General">
                  <c:v>2.21</c:v>
                </c:pt>
              </c:numCache>
            </c:numRef>
          </c:val>
          <c:smooth val="0"/>
          <c:extLst>
            <c:ext xmlns:c16="http://schemas.microsoft.com/office/drawing/2014/chart" uri="{C3380CC4-5D6E-409C-BE32-E72D297353CC}">
              <c16:uniqueId val="{00000004-707B-437A-8706-27ED6CC45AE1}"/>
            </c:ext>
          </c:extLst>
        </c:ser>
        <c:ser>
          <c:idx val="5"/>
          <c:order val="5"/>
          <c:tx>
            <c:strRef>
              <c:f>'Měnové podmínky 1'!$H$5</c:f>
              <c:strCache>
                <c:ptCount val="1"/>
                <c:pt idx="0">
                  <c:v>Average yield of government bonds (10Y)</c:v>
                </c:pt>
              </c:strCache>
            </c:strRef>
          </c:tx>
          <c:spPr>
            <a:ln w="19050">
              <a:solidFill>
                <a:srgbClr val="48AEE7"/>
              </a:solidFill>
            </a:ln>
          </c:spPr>
          <c:marker>
            <c:symbol val="none"/>
          </c:marker>
          <c:cat>
            <c:multiLvlStrRef>
              <c:f>'Měnové podmínky 1'!$A$30:$B$89</c:f>
              <c:multiLvlStrCache>
                <c:ptCount val="60"/>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lvl>
                <c:lvl>
                  <c:pt idx="0">
                    <c:v>2014</c:v>
                  </c:pt>
                  <c:pt idx="12">
                    <c:v>2015</c:v>
                  </c:pt>
                  <c:pt idx="24">
                    <c:v>2016</c:v>
                  </c:pt>
                  <c:pt idx="36">
                    <c:v>2017</c:v>
                  </c:pt>
                  <c:pt idx="48">
                    <c:v>2018</c:v>
                  </c:pt>
                </c:lvl>
              </c:multiLvlStrCache>
            </c:multiLvlStrRef>
          </c:cat>
          <c:val>
            <c:numRef>
              <c:f>'Měnové podmínky 1'!$H$30:$H$89</c:f>
              <c:numCache>
                <c:formatCode>0.00</c:formatCode>
                <c:ptCount val="60"/>
                <c:pt idx="0">
                  <c:v>2.4300000000000002</c:v>
                </c:pt>
                <c:pt idx="1">
                  <c:v>2.2799999999999998</c:v>
                </c:pt>
                <c:pt idx="2">
                  <c:v>2.2000000000000002</c:v>
                </c:pt>
                <c:pt idx="3">
                  <c:v>2</c:v>
                </c:pt>
                <c:pt idx="4">
                  <c:v>1.73</c:v>
                </c:pt>
                <c:pt idx="5">
                  <c:v>1.55</c:v>
                </c:pt>
                <c:pt idx="6">
                  <c:v>1.49</c:v>
                </c:pt>
                <c:pt idx="7">
                  <c:v>1.38</c:v>
                </c:pt>
                <c:pt idx="8">
                  <c:v>1.21</c:v>
                </c:pt>
                <c:pt idx="9">
                  <c:v>1.1000000000000001</c:v>
                </c:pt>
                <c:pt idx="10">
                  <c:v>0.87</c:v>
                </c:pt>
                <c:pt idx="11">
                  <c:v>0.67</c:v>
                </c:pt>
                <c:pt idx="12">
                  <c:v>0.35</c:v>
                </c:pt>
                <c:pt idx="13">
                  <c:v>0.4</c:v>
                </c:pt>
                <c:pt idx="14">
                  <c:v>0.35</c:v>
                </c:pt>
                <c:pt idx="15">
                  <c:v>0.26</c:v>
                </c:pt>
                <c:pt idx="16">
                  <c:v>0.6</c:v>
                </c:pt>
                <c:pt idx="17">
                  <c:v>1.01</c:v>
                </c:pt>
                <c:pt idx="18">
                  <c:v>0.97</c:v>
                </c:pt>
                <c:pt idx="19">
                  <c:v>0.74</c:v>
                </c:pt>
                <c:pt idx="20">
                  <c:v>0.68</c:v>
                </c:pt>
                <c:pt idx="21">
                  <c:v>0.56000000000000005</c:v>
                </c:pt>
                <c:pt idx="22">
                  <c:v>0.49</c:v>
                </c:pt>
                <c:pt idx="23">
                  <c:v>0.49</c:v>
                </c:pt>
                <c:pt idx="24" formatCode="General">
                  <c:v>0.62</c:v>
                </c:pt>
                <c:pt idx="25" formatCode="General">
                  <c:v>0.46</c:v>
                </c:pt>
                <c:pt idx="26" formatCode="General">
                  <c:v>0.35</c:v>
                </c:pt>
                <c:pt idx="27" formatCode="General">
                  <c:v>0.43</c:v>
                </c:pt>
                <c:pt idx="28" formatCode="General">
                  <c:v>0.46</c:v>
                </c:pt>
                <c:pt idx="29" formatCode="General">
                  <c:v>0.45</c:v>
                </c:pt>
                <c:pt idx="30" formatCode="General">
                  <c:v>0.37</c:v>
                </c:pt>
                <c:pt idx="31" formatCode="General">
                  <c:v>0.28999999999999998</c:v>
                </c:pt>
                <c:pt idx="32" formatCode="General">
                  <c:v>0.25</c:v>
                </c:pt>
                <c:pt idx="33" formatCode="General">
                  <c:v>0.37</c:v>
                </c:pt>
                <c:pt idx="34" formatCode="General">
                  <c:v>0.55000000000000004</c:v>
                </c:pt>
                <c:pt idx="35" formatCode="General">
                  <c:v>0.53</c:v>
                </c:pt>
                <c:pt idx="36" formatCode="General">
                  <c:v>0.47</c:v>
                </c:pt>
                <c:pt idx="37" formatCode="General">
                  <c:v>0.63</c:v>
                </c:pt>
                <c:pt idx="38" formatCode="General">
                  <c:v>0.87</c:v>
                </c:pt>
                <c:pt idx="39" formatCode="General">
                  <c:v>0.96</c:v>
                </c:pt>
                <c:pt idx="40" formatCode="General">
                  <c:v>0.74</c:v>
                </c:pt>
                <c:pt idx="41" formatCode="General">
                  <c:v>0.77</c:v>
                </c:pt>
                <c:pt idx="42" formatCode="General">
                  <c:v>0.9</c:v>
                </c:pt>
                <c:pt idx="43" formatCode="General">
                  <c:v>0.83</c:v>
                </c:pt>
                <c:pt idx="44" formatCode="General">
                  <c:v>0.97</c:v>
                </c:pt>
                <c:pt idx="45" formatCode="General">
                  <c:v>1.45</c:v>
                </c:pt>
                <c:pt idx="46" formatCode="General">
                  <c:v>1.68</c:v>
                </c:pt>
                <c:pt idx="47" formatCode="General">
                  <c:v>1.5</c:v>
                </c:pt>
                <c:pt idx="48" formatCode="General">
                  <c:v>1.77</c:v>
                </c:pt>
                <c:pt idx="49" formatCode="General">
                  <c:v>1.82</c:v>
                </c:pt>
                <c:pt idx="50" formatCode="General">
                  <c:v>1.81</c:v>
                </c:pt>
                <c:pt idx="51" formatCode="General">
                  <c:v>1.74</c:v>
                </c:pt>
                <c:pt idx="52" formatCode="General">
                  <c:v>1.89</c:v>
                </c:pt>
                <c:pt idx="53" formatCode="General">
                  <c:v>2.14</c:v>
                </c:pt>
                <c:pt idx="54" formatCode="General">
                  <c:v>2.11</c:v>
                </c:pt>
                <c:pt idx="55" formatCode="General">
                  <c:v>2.14</c:v>
                </c:pt>
                <c:pt idx="56" formatCode="General">
                  <c:v>2.14</c:v>
                </c:pt>
                <c:pt idx="57" formatCode="General">
                  <c:v>2.14</c:v>
                </c:pt>
                <c:pt idx="58" formatCode="General">
                  <c:v>2.0699999999999998</c:v>
                </c:pt>
                <c:pt idx="59" formatCode="General">
                  <c:v>2.0099999999999998</c:v>
                </c:pt>
              </c:numCache>
            </c:numRef>
          </c:val>
          <c:smooth val="0"/>
          <c:extLst>
            <c:ext xmlns:c16="http://schemas.microsoft.com/office/drawing/2014/chart" uri="{C3380CC4-5D6E-409C-BE32-E72D297353CC}">
              <c16:uniqueId val="{00000005-707B-437A-8706-27ED6CC45AE1}"/>
            </c:ext>
          </c:extLst>
        </c:ser>
        <c:dLbls>
          <c:showLegendKey val="0"/>
          <c:showVal val="0"/>
          <c:showCatName val="0"/>
          <c:showSerName val="0"/>
          <c:showPercent val="0"/>
          <c:showBubbleSize val="0"/>
        </c:dLbls>
        <c:marker val="1"/>
        <c:smooth val="0"/>
        <c:axId val="131001344"/>
        <c:axId val="131027712"/>
      </c:lineChart>
      <c:catAx>
        <c:axId val="131001344"/>
        <c:scaling>
          <c:orientation val="minMax"/>
        </c:scaling>
        <c:delete val="0"/>
        <c:axPos val="b"/>
        <c:numFmt formatCode="General" sourceLinked="0"/>
        <c:majorTickMark val="out"/>
        <c:minorTickMark val="none"/>
        <c:tickLblPos val="low"/>
        <c:spPr>
          <a:ln>
            <a:solidFill>
              <a:schemeClr val="tx1"/>
            </a:solidFill>
          </a:ln>
        </c:spPr>
        <c:crossAx val="131027712"/>
        <c:crosses val="autoZero"/>
        <c:auto val="1"/>
        <c:lblAlgn val="ctr"/>
        <c:lblOffset val="100"/>
        <c:noMultiLvlLbl val="0"/>
      </c:catAx>
      <c:valAx>
        <c:axId val="131027712"/>
        <c:scaling>
          <c:orientation val="minMax"/>
          <c:min val="-1"/>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31001344"/>
        <c:crosses val="autoZero"/>
        <c:crossBetween val="between"/>
        <c:majorUnit val="1"/>
      </c:valAx>
      <c:spPr>
        <a:ln>
          <a:solidFill>
            <a:schemeClr val="tx1"/>
          </a:solidFill>
        </a:ln>
      </c:spPr>
    </c:plotArea>
    <c:legend>
      <c:legendPos val="b"/>
      <c:layout>
        <c:manualLayout>
          <c:xMode val="edge"/>
          <c:yMode val="edge"/>
          <c:x val="4.2139690982776527E-2"/>
          <c:y val="0.87558269120103249"/>
          <c:w val="0.93886651469098281"/>
          <c:h val="0.11015705924459968"/>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5577477727787412E-2"/>
          <c:y val="1.7107238390107405E-2"/>
          <c:w val="0.9019171237054221"/>
          <c:h val="0.76840961824134735"/>
        </c:manualLayout>
      </c:layout>
      <c:barChart>
        <c:barDir val="col"/>
        <c:grouping val="clustered"/>
        <c:varyColors val="0"/>
        <c:ser>
          <c:idx val="2"/>
          <c:order val="4"/>
          <c:tx>
            <c:strRef>
              <c:f>'Státní rozpočet-příjmy'!$A$40</c:f>
              <c:strCache>
                <c:ptCount val="1"/>
                <c:pt idx="0">
                  <c:v>State budget balance (right axis)</c:v>
                </c:pt>
              </c:strCache>
            </c:strRef>
          </c:tx>
          <c:spPr>
            <a:solidFill>
              <a:sysClr val="window" lastClr="FFFFFF">
                <a:lumMod val="75000"/>
              </a:sysClr>
            </a:solidFill>
          </c:spPr>
          <c:invertIfNegative val="0"/>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rozpočet-příjmy'!$B$40:$O$40</c:f>
              <c:numCache>
                <c:formatCode>#\ ##0.0</c:formatCode>
                <c:ptCount val="14"/>
                <c:pt idx="0">
                  <c:v>-56.36</c:v>
                </c:pt>
                <c:pt idx="1">
                  <c:v>-97.3</c:v>
                </c:pt>
                <c:pt idx="2">
                  <c:v>-66.391999999999996</c:v>
                </c:pt>
                <c:pt idx="3">
                  <c:v>-20.003</c:v>
                </c:pt>
                <c:pt idx="4">
                  <c:v>-192.39400000000001</c:v>
                </c:pt>
                <c:pt idx="5">
                  <c:v>-156.416</c:v>
                </c:pt>
                <c:pt idx="6">
                  <c:v>-142.77099999999999</c:v>
                </c:pt>
                <c:pt idx="7">
                  <c:v>-101</c:v>
                </c:pt>
                <c:pt idx="8">
                  <c:v>-81.263999999999996</c:v>
                </c:pt>
                <c:pt idx="9">
                  <c:v>-77.78</c:v>
                </c:pt>
                <c:pt idx="10">
                  <c:v>-62.8</c:v>
                </c:pt>
                <c:pt idx="11">
                  <c:v>61.77</c:v>
                </c:pt>
                <c:pt idx="12">
                  <c:v>-6.15</c:v>
                </c:pt>
                <c:pt idx="13">
                  <c:v>2.94</c:v>
                </c:pt>
              </c:numCache>
            </c:numRef>
          </c:val>
          <c:extLst>
            <c:ext xmlns:c16="http://schemas.microsoft.com/office/drawing/2014/chart" uri="{C3380CC4-5D6E-409C-BE32-E72D297353CC}">
              <c16:uniqueId val="{00000000-D52E-4DE2-BFC4-A3EB035039BF}"/>
            </c:ext>
          </c:extLst>
        </c:ser>
        <c:dLbls>
          <c:showLegendKey val="0"/>
          <c:showVal val="0"/>
          <c:showCatName val="0"/>
          <c:showSerName val="0"/>
          <c:showPercent val="0"/>
          <c:showBubbleSize val="0"/>
        </c:dLbls>
        <c:gapWidth val="43"/>
        <c:axId val="66858368"/>
        <c:axId val="66856832"/>
      </c:barChart>
      <c:lineChart>
        <c:grouping val="standard"/>
        <c:varyColors val="0"/>
        <c:ser>
          <c:idx val="0"/>
          <c:order val="0"/>
          <c:tx>
            <c:strRef>
              <c:f>'Státní rozpočet-příjmy'!$A$36</c:f>
              <c:strCache>
                <c:ptCount val="1"/>
                <c:pt idx="0">
                  <c:v>Value added tax (VAT)</c:v>
                </c:pt>
              </c:strCache>
            </c:strRef>
          </c:tx>
          <c:spPr>
            <a:ln w="19050">
              <a:solidFill>
                <a:srgbClr val="BD1B25"/>
              </a:solidFill>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rozpočet-příjmy'!$B$36:$O$36</c:f>
              <c:numCache>
                <c:formatCode>0.0</c:formatCode>
                <c:ptCount val="14"/>
                <c:pt idx="0">
                  <c:v>13.155608643718097</c:v>
                </c:pt>
                <c:pt idx="1">
                  <c:v>4.4959454920589224</c:v>
                </c:pt>
                <c:pt idx="2">
                  <c:v>8.540729176232901</c:v>
                </c:pt>
                <c:pt idx="3">
                  <c:v>7.9575260174295579</c:v>
                </c:pt>
                <c:pt idx="4">
                  <c:v>-0.61914651828048761</c:v>
                </c:pt>
                <c:pt idx="5">
                  <c:v>6.2852411182524435</c:v>
                </c:pt>
                <c:pt idx="6">
                  <c:v>2.1665739194954341</c:v>
                </c:pt>
                <c:pt idx="7">
                  <c:v>1.0312647518065461</c:v>
                </c:pt>
                <c:pt idx="8">
                  <c:v>10.865111598317938</c:v>
                </c:pt>
                <c:pt idx="9">
                  <c:v>4.674836283472743</c:v>
                </c:pt>
                <c:pt idx="10">
                  <c:v>2.7750247770069336</c:v>
                </c:pt>
                <c:pt idx="11">
                  <c:v>5.3881388621022381</c:v>
                </c:pt>
                <c:pt idx="12">
                  <c:v>9.138739563079028</c:v>
                </c:pt>
                <c:pt idx="13">
                  <c:v>8.2844267449172122</c:v>
                </c:pt>
              </c:numCache>
            </c:numRef>
          </c:val>
          <c:smooth val="0"/>
          <c:extLst>
            <c:ext xmlns:c16="http://schemas.microsoft.com/office/drawing/2014/chart" uri="{C3380CC4-5D6E-409C-BE32-E72D297353CC}">
              <c16:uniqueId val="{00000001-D52E-4DE2-BFC4-A3EB035039BF}"/>
            </c:ext>
          </c:extLst>
        </c:ser>
        <c:ser>
          <c:idx val="1"/>
          <c:order val="1"/>
          <c:tx>
            <c:strRef>
              <c:f>'Státní rozpočet-příjmy'!$A$37</c:f>
              <c:strCache>
                <c:ptCount val="1"/>
                <c:pt idx="0">
                  <c:v>Consumption tax</c:v>
                </c:pt>
              </c:strCache>
            </c:strRef>
          </c:tx>
          <c:spPr>
            <a:ln w="19050">
              <a:solidFill>
                <a:srgbClr val="7DBB2D"/>
              </a:solidFill>
              <a:prstDash val="solid"/>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rozpočet-příjmy'!$B$37:$O$37</c:f>
              <c:numCache>
                <c:formatCode>0.0</c:formatCode>
                <c:ptCount val="14"/>
                <c:pt idx="0">
                  <c:v>15.148989372785991</c:v>
                </c:pt>
                <c:pt idx="1">
                  <c:v>8.1704668838219305</c:v>
                </c:pt>
                <c:pt idx="2">
                  <c:v>16.227519866164769</c:v>
                </c:pt>
                <c:pt idx="3">
                  <c:v>-4.2605253688377047</c:v>
                </c:pt>
                <c:pt idx="4">
                  <c:v>-1.4733518755167978</c:v>
                </c:pt>
                <c:pt idx="5">
                  <c:v>5.4932478828107207</c:v>
                </c:pt>
                <c:pt idx="6">
                  <c:v>6.0099804729876354</c:v>
                </c:pt>
                <c:pt idx="7">
                  <c:v>0.13644426251875075</c:v>
                </c:pt>
                <c:pt idx="8">
                  <c:v>-2.2891402098378535</c:v>
                </c:pt>
                <c:pt idx="9">
                  <c:v>-1.4712034583739921</c:v>
                </c:pt>
                <c:pt idx="10">
                  <c:v>6.5034321704055031</c:v>
                </c:pt>
                <c:pt idx="11">
                  <c:v>5.1362126245847008</c:v>
                </c:pt>
                <c:pt idx="12">
                  <c:v>2.9071604626177248</c:v>
                </c:pt>
                <c:pt idx="13">
                  <c:v>2.8495977399742003</c:v>
                </c:pt>
              </c:numCache>
            </c:numRef>
          </c:val>
          <c:smooth val="0"/>
          <c:extLst>
            <c:ext xmlns:c16="http://schemas.microsoft.com/office/drawing/2014/chart" uri="{C3380CC4-5D6E-409C-BE32-E72D297353CC}">
              <c16:uniqueId val="{00000002-D52E-4DE2-BFC4-A3EB035039BF}"/>
            </c:ext>
          </c:extLst>
        </c:ser>
        <c:ser>
          <c:idx val="3"/>
          <c:order val="2"/>
          <c:tx>
            <c:strRef>
              <c:f>'Státní rozpočet-příjmy'!$A$38</c:f>
              <c:strCache>
                <c:ptCount val="1"/>
                <c:pt idx="0">
                  <c:v>Income taxes of natural persons (from employment) </c:v>
                </c:pt>
              </c:strCache>
            </c:strRef>
          </c:tx>
          <c:spPr>
            <a:ln w="19050">
              <a:solidFill>
                <a:srgbClr val="0071BC"/>
              </a:solidFill>
              <a:prstDash val="solid"/>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rozpočet-příjmy'!$B$38:$O$38</c:f>
              <c:numCache>
                <c:formatCode>0.0</c:formatCode>
                <c:ptCount val="14"/>
                <c:pt idx="0">
                  <c:v>7.8339666764104123</c:v>
                </c:pt>
                <c:pt idx="1">
                  <c:v>0.86744375169422483</c:v>
                </c:pt>
                <c:pt idx="2">
                  <c:v>13.222252082773451</c:v>
                </c:pt>
                <c:pt idx="3">
                  <c:v>-8.8693725769443859</c:v>
                </c:pt>
                <c:pt idx="4">
                  <c:v>-3.5943740232679318</c:v>
                </c:pt>
                <c:pt idx="5">
                  <c:v>0.72046109510085898</c:v>
                </c:pt>
                <c:pt idx="6">
                  <c:v>6.7328326180257534</c:v>
                </c:pt>
                <c:pt idx="7">
                  <c:v>0.35184719778837348</c:v>
                </c:pt>
                <c:pt idx="8">
                  <c:v>5.2925953752399835</c:v>
                </c:pt>
                <c:pt idx="9">
                  <c:v>3.7580274320145861</c:v>
                </c:pt>
                <c:pt idx="10">
                  <c:v>4.011614579353548</c:v>
                </c:pt>
                <c:pt idx="11">
                  <c:v>9.7487511019688498</c:v>
                </c:pt>
                <c:pt idx="12">
                  <c:v>13.2873686324386</c:v>
                </c:pt>
                <c:pt idx="13">
                  <c:v>14.441030489246032</c:v>
                </c:pt>
              </c:numCache>
            </c:numRef>
          </c:val>
          <c:smooth val="0"/>
          <c:extLst>
            <c:ext xmlns:c16="http://schemas.microsoft.com/office/drawing/2014/chart" uri="{C3380CC4-5D6E-409C-BE32-E72D297353CC}">
              <c16:uniqueId val="{00000003-D52E-4DE2-BFC4-A3EB035039BF}"/>
            </c:ext>
          </c:extLst>
        </c:ser>
        <c:ser>
          <c:idx val="4"/>
          <c:order val="3"/>
          <c:tx>
            <c:strRef>
              <c:f>'Státní rozpočet-příjmy'!$A$39</c:f>
              <c:strCache>
                <c:ptCount val="1"/>
                <c:pt idx="0">
                  <c:v>Income taxes of legal persons (corporations)</c:v>
                </c:pt>
              </c:strCache>
            </c:strRef>
          </c:tx>
          <c:spPr>
            <a:ln w="19050">
              <a:noFill/>
            </a:ln>
          </c:spPr>
          <c:marker>
            <c:symbol val="diamond"/>
            <c:size val="6"/>
            <c:spPr>
              <a:solidFill>
                <a:srgbClr val="984807"/>
              </a:solidFill>
              <a:ln>
                <a:noFill/>
              </a:ln>
            </c:spPr>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rozpočet-příjmy'!$B$39:$O$39</c:f>
              <c:numCache>
                <c:formatCode>0.0</c:formatCode>
                <c:ptCount val="14"/>
                <c:pt idx="0">
                  <c:v>26.963584434130652</c:v>
                </c:pt>
                <c:pt idx="1">
                  <c:v>-4.7873462214411262</c:v>
                </c:pt>
                <c:pt idx="2">
                  <c:v>20.193443591258116</c:v>
                </c:pt>
                <c:pt idx="3">
                  <c:v>12.113766201855157</c:v>
                </c:pt>
                <c:pt idx="4">
                  <c:v>-34.469344145526264</c:v>
                </c:pt>
                <c:pt idx="5">
                  <c:v>3.5618729096990052</c:v>
                </c:pt>
                <c:pt idx="6">
                  <c:v>-4.6423381236880346</c:v>
                </c:pt>
                <c:pt idx="7">
                  <c:v>8.3735500804335032</c:v>
                </c:pt>
                <c:pt idx="8">
                  <c:v>-5.6875</c:v>
                </c:pt>
                <c:pt idx="9">
                  <c:v>9.6752816434725162</c:v>
                </c:pt>
                <c:pt idx="10">
                  <c:v>11.412386706948624</c:v>
                </c:pt>
                <c:pt idx="11">
                  <c:v>11.667005626737165</c:v>
                </c:pt>
                <c:pt idx="12">
                  <c:v>3.6000485672656595</c:v>
                </c:pt>
                <c:pt idx="13">
                  <c:v>1.9689422795194673</c:v>
                </c:pt>
              </c:numCache>
            </c:numRef>
          </c:val>
          <c:smooth val="0"/>
          <c:extLst>
            <c:ext xmlns:c16="http://schemas.microsoft.com/office/drawing/2014/chart" uri="{C3380CC4-5D6E-409C-BE32-E72D297353CC}">
              <c16:uniqueId val="{00000004-D52E-4DE2-BFC4-A3EB035039BF}"/>
            </c:ext>
          </c:extLst>
        </c:ser>
        <c:dLbls>
          <c:showLegendKey val="0"/>
          <c:showVal val="0"/>
          <c:showCatName val="0"/>
          <c:showSerName val="0"/>
          <c:showPercent val="0"/>
          <c:showBubbleSize val="0"/>
        </c:dLbls>
        <c:marker val="1"/>
        <c:smooth val="0"/>
        <c:axId val="79288576"/>
        <c:axId val="66855296"/>
      </c:lineChart>
      <c:catAx>
        <c:axId val="79288576"/>
        <c:scaling>
          <c:orientation val="minMax"/>
        </c:scaling>
        <c:delete val="0"/>
        <c:axPos val="b"/>
        <c:numFmt formatCode="General" sourceLinked="1"/>
        <c:majorTickMark val="out"/>
        <c:minorTickMark val="none"/>
        <c:tickLblPos val="low"/>
        <c:spPr>
          <a:ln>
            <a:solidFill>
              <a:schemeClr val="tx1"/>
            </a:solidFill>
          </a:ln>
        </c:spPr>
        <c:crossAx val="66855296"/>
        <c:crosses val="autoZero"/>
        <c:auto val="1"/>
        <c:lblAlgn val="ctr"/>
        <c:lblOffset val="0"/>
        <c:noMultiLvlLbl val="0"/>
      </c:catAx>
      <c:valAx>
        <c:axId val="66855296"/>
        <c:scaling>
          <c:orientation val="minMax"/>
          <c:max val="30"/>
          <c:min val="-5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79288576"/>
        <c:crosses val="autoZero"/>
        <c:crossBetween val="between"/>
        <c:majorUnit val="5"/>
      </c:valAx>
      <c:valAx>
        <c:axId val="66856832"/>
        <c:scaling>
          <c:orientation val="minMax"/>
          <c:max val="120"/>
          <c:min val="-200"/>
        </c:scaling>
        <c:delete val="0"/>
        <c:axPos val="r"/>
        <c:numFmt formatCode="#,##0" sourceLinked="0"/>
        <c:majorTickMark val="out"/>
        <c:minorTickMark val="none"/>
        <c:tickLblPos val="nextTo"/>
        <c:crossAx val="66858368"/>
        <c:crosses val="max"/>
        <c:crossBetween val="between"/>
        <c:majorUnit val="20"/>
      </c:valAx>
      <c:catAx>
        <c:axId val="66858368"/>
        <c:scaling>
          <c:orientation val="minMax"/>
        </c:scaling>
        <c:delete val="1"/>
        <c:axPos val="b"/>
        <c:numFmt formatCode="General" sourceLinked="1"/>
        <c:majorTickMark val="out"/>
        <c:minorTickMark val="none"/>
        <c:tickLblPos val="none"/>
        <c:crossAx val="66856832"/>
        <c:crosses val="autoZero"/>
        <c:auto val="1"/>
        <c:lblAlgn val="ctr"/>
        <c:lblOffset val="100"/>
        <c:noMultiLvlLbl val="0"/>
      </c:catAx>
      <c:spPr>
        <a:ln>
          <a:solidFill>
            <a:schemeClr val="tx1"/>
          </a:solidFill>
        </a:ln>
      </c:spPr>
    </c:plotArea>
    <c:legend>
      <c:legendPos val="b"/>
      <c:layout>
        <c:manualLayout>
          <c:xMode val="edge"/>
          <c:yMode val="edge"/>
          <c:x val="5.1878156565656246E-2"/>
          <c:y val="0.83307866121765695"/>
          <c:w val="0.87839422563311753"/>
          <c:h val="0.15972180674767214"/>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654503640965086E-2"/>
          <c:y val="1.7112323287741892E-2"/>
          <c:w val="0.88571919735113291"/>
          <c:h val="0.76067747074773961"/>
        </c:manualLayout>
      </c:layout>
      <c:barChart>
        <c:barDir val="col"/>
        <c:grouping val="clustered"/>
        <c:varyColors val="0"/>
        <c:ser>
          <c:idx val="0"/>
          <c:order val="0"/>
          <c:tx>
            <c:strRef>
              <c:f>'Státní rozpočet-výdaje'!$B$31</c:f>
              <c:strCache>
                <c:ptCount val="1"/>
                <c:pt idx="0">
                  <c:v>Current expenditures (right axis)</c:v>
                </c:pt>
              </c:strCache>
            </c:strRef>
          </c:tx>
          <c:spPr>
            <a:solidFill>
              <a:schemeClr val="bg1">
                <a:lumMod val="75000"/>
              </a:schemeClr>
            </a:solidFill>
            <a:ln>
              <a:noFill/>
            </a:ln>
          </c:spPr>
          <c:invertIfNegative val="0"/>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rozpočet-výdaje'!$B$32:$B$45</c:f>
              <c:numCache>
                <c:formatCode>0.0</c:formatCode>
                <c:ptCount val="14"/>
                <c:pt idx="0">
                  <c:v>840.86</c:v>
                </c:pt>
                <c:pt idx="1">
                  <c:v>912.08</c:v>
                </c:pt>
                <c:pt idx="2">
                  <c:v>973.85</c:v>
                </c:pt>
                <c:pt idx="3">
                  <c:v>975.86</c:v>
                </c:pt>
                <c:pt idx="4">
                  <c:v>1032.78</c:v>
                </c:pt>
                <c:pt idx="5">
                  <c:v>1021.89</c:v>
                </c:pt>
                <c:pt idx="6">
                  <c:v>1031.83</c:v>
                </c:pt>
                <c:pt idx="7">
                  <c:v>1038.76</c:v>
                </c:pt>
                <c:pt idx="8">
                  <c:v>1070.8130000000001</c:v>
                </c:pt>
                <c:pt idx="9">
                  <c:v>1100.1020000000001</c:v>
                </c:pt>
                <c:pt idx="10">
                  <c:v>1121.6600000000001</c:v>
                </c:pt>
                <c:pt idx="11">
                  <c:v>1135.57</c:v>
                </c:pt>
                <c:pt idx="12">
                  <c:v>1198.05</c:v>
                </c:pt>
                <c:pt idx="13">
                  <c:v>1281.3399999999999</c:v>
                </c:pt>
              </c:numCache>
            </c:numRef>
          </c:val>
          <c:extLst>
            <c:ext xmlns:c16="http://schemas.microsoft.com/office/drawing/2014/chart" uri="{C3380CC4-5D6E-409C-BE32-E72D297353CC}">
              <c16:uniqueId val="{00000000-48CE-462A-93DE-B56D42FC5B4A}"/>
            </c:ext>
          </c:extLst>
        </c:ser>
        <c:dLbls>
          <c:showLegendKey val="0"/>
          <c:showVal val="0"/>
          <c:showCatName val="0"/>
          <c:showSerName val="0"/>
          <c:showPercent val="0"/>
          <c:showBubbleSize val="0"/>
        </c:dLbls>
        <c:gapWidth val="70"/>
        <c:axId val="72836608"/>
        <c:axId val="72835072"/>
      </c:barChart>
      <c:lineChart>
        <c:grouping val="standard"/>
        <c:varyColors val="0"/>
        <c:ser>
          <c:idx val="1"/>
          <c:order val="1"/>
          <c:tx>
            <c:strRef>
              <c:f>'Státní rozpočet-výdaje'!$C$31</c:f>
              <c:strCache>
                <c:ptCount val="1"/>
                <c:pt idx="0">
                  <c:v>Wages of public sector employees</c:v>
                </c:pt>
              </c:strCache>
            </c:strRef>
          </c:tx>
          <c:spPr>
            <a:ln w="19050">
              <a:solidFill>
                <a:srgbClr val="984807"/>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rozpočet-výdaje'!$C$32:$C$45</c:f>
              <c:numCache>
                <c:formatCode>0.0</c:formatCode>
                <c:ptCount val="14"/>
                <c:pt idx="0">
                  <c:v>88.07</c:v>
                </c:pt>
                <c:pt idx="1">
                  <c:v>89.99</c:v>
                </c:pt>
                <c:pt idx="2">
                  <c:v>95.76</c:v>
                </c:pt>
                <c:pt idx="3">
                  <c:v>97.33</c:v>
                </c:pt>
                <c:pt idx="4">
                  <c:v>100.19</c:v>
                </c:pt>
                <c:pt idx="5">
                  <c:v>97.67</c:v>
                </c:pt>
                <c:pt idx="6">
                  <c:v>89.6</c:v>
                </c:pt>
                <c:pt idx="7">
                  <c:v>90.45</c:v>
                </c:pt>
                <c:pt idx="8">
                  <c:v>92.375</c:v>
                </c:pt>
                <c:pt idx="9">
                  <c:v>96.582999999999998</c:v>
                </c:pt>
                <c:pt idx="10">
                  <c:v>104.19</c:v>
                </c:pt>
                <c:pt idx="11">
                  <c:v>109.86</c:v>
                </c:pt>
                <c:pt idx="12">
                  <c:v>120.08</c:v>
                </c:pt>
                <c:pt idx="13">
                  <c:v>133.51</c:v>
                </c:pt>
              </c:numCache>
            </c:numRef>
          </c:val>
          <c:smooth val="0"/>
          <c:extLst>
            <c:ext xmlns:c16="http://schemas.microsoft.com/office/drawing/2014/chart" uri="{C3380CC4-5D6E-409C-BE32-E72D297353CC}">
              <c16:uniqueId val="{00000001-48CE-462A-93DE-B56D42FC5B4A}"/>
            </c:ext>
          </c:extLst>
        </c:ser>
        <c:ser>
          <c:idx val="6"/>
          <c:order val="2"/>
          <c:tx>
            <c:strRef>
              <c:f>'Státní rozpočet-výdaje'!$D$31</c:f>
              <c:strCache>
                <c:ptCount val="1"/>
                <c:pt idx="0">
                  <c:v>Unemployment benefits</c:v>
                </c:pt>
              </c:strCache>
            </c:strRef>
          </c:tx>
          <c:spPr>
            <a:ln w="19050">
              <a:solidFill>
                <a:srgbClr val="F8A124"/>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rozpočet-výdaje'!$D$32:$D$45</c:f>
              <c:numCache>
                <c:formatCode>0.0</c:formatCode>
                <c:ptCount val="14"/>
                <c:pt idx="0">
                  <c:v>7.11</c:v>
                </c:pt>
                <c:pt idx="1">
                  <c:v>7.36</c:v>
                </c:pt>
                <c:pt idx="2">
                  <c:v>7.24</c:v>
                </c:pt>
                <c:pt idx="3">
                  <c:v>7.11</c:v>
                </c:pt>
                <c:pt idx="4">
                  <c:v>15.077999999999999</c:v>
                </c:pt>
                <c:pt idx="5">
                  <c:v>13.355</c:v>
                </c:pt>
                <c:pt idx="6">
                  <c:v>10.349</c:v>
                </c:pt>
                <c:pt idx="7">
                  <c:v>8.76</c:v>
                </c:pt>
                <c:pt idx="8">
                  <c:v>9.65</c:v>
                </c:pt>
                <c:pt idx="9">
                  <c:v>9.2620000000000005</c:v>
                </c:pt>
                <c:pt idx="10">
                  <c:v>8.2759999999999998</c:v>
                </c:pt>
                <c:pt idx="11">
                  <c:v>8.2200000000000006</c:v>
                </c:pt>
                <c:pt idx="12">
                  <c:v>7.82</c:v>
                </c:pt>
                <c:pt idx="13">
                  <c:v>7.51</c:v>
                </c:pt>
              </c:numCache>
            </c:numRef>
          </c:val>
          <c:smooth val="0"/>
          <c:extLst>
            <c:ext xmlns:c16="http://schemas.microsoft.com/office/drawing/2014/chart" uri="{C3380CC4-5D6E-409C-BE32-E72D297353CC}">
              <c16:uniqueId val="{00000002-48CE-462A-93DE-B56D42FC5B4A}"/>
            </c:ext>
          </c:extLst>
        </c:ser>
        <c:ser>
          <c:idx val="7"/>
          <c:order val="3"/>
          <c:tx>
            <c:strRef>
              <c:f>'Státní rozpočet-výdaje'!$E$31</c:f>
              <c:strCache>
                <c:ptCount val="1"/>
                <c:pt idx="0">
                  <c:v>State social support benefits**</c:v>
                </c:pt>
              </c:strCache>
            </c:strRef>
          </c:tx>
          <c:spPr>
            <a:ln w="19050">
              <a:solidFill>
                <a:srgbClr val="BD1B21"/>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rozpočet-výdaje'!$E$32:$E$45</c:f>
              <c:numCache>
                <c:formatCode>General</c:formatCode>
                <c:ptCount val="14"/>
                <c:pt idx="0">
                  <c:v>33.14</c:v>
                </c:pt>
                <c:pt idx="1">
                  <c:v>34.35</c:v>
                </c:pt>
                <c:pt idx="2">
                  <c:v>49.47</c:v>
                </c:pt>
                <c:pt idx="3">
                  <c:v>41.97</c:v>
                </c:pt>
                <c:pt idx="4">
                  <c:v>41.167999999999999</c:v>
                </c:pt>
                <c:pt idx="5">
                  <c:v>40.881</c:v>
                </c:pt>
                <c:pt idx="6">
                  <c:v>36.094000000000001</c:v>
                </c:pt>
                <c:pt idx="7">
                  <c:v>35.554000000000002</c:v>
                </c:pt>
                <c:pt idx="8">
                  <c:v>37.423000000000002</c:v>
                </c:pt>
                <c:pt idx="9">
                  <c:v>37.543999999999997</c:v>
                </c:pt>
                <c:pt idx="10">
                  <c:v>37.65</c:v>
                </c:pt>
                <c:pt idx="11">
                  <c:v>37.78</c:v>
                </c:pt>
                <c:pt idx="12">
                  <c:v>37.22</c:v>
                </c:pt>
                <c:pt idx="13">
                  <c:v>39.26</c:v>
                </c:pt>
              </c:numCache>
            </c:numRef>
          </c:val>
          <c:smooth val="0"/>
          <c:extLst>
            <c:ext xmlns:c16="http://schemas.microsoft.com/office/drawing/2014/chart" uri="{C3380CC4-5D6E-409C-BE32-E72D297353CC}">
              <c16:uniqueId val="{00000003-48CE-462A-93DE-B56D42FC5B4A}"/>
            </c:ext>
          </c:extLst>
        </c:ser>
        <c:ser>
          <c:idx val="2"/>
          <c:order val="4"/>
          <c:tx>
            <c:strRef>
              <c:f>'Státní rozpočet-výdaje'!$F$31</c:f>
              <c:strCache>
                <c:ptCount val="1"/>
                <c:pt idx="0">
                  <c:v>Sickness benefits</c:v>
                </c:pt>
              </c:strCache>
            </c:strRef>
          </c:tx>
          <c:spPr>
            <a:ln w="19050">
              <a:solidFill>
                <a:srgbClr val="0071BC"/>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rozpočet-výdaje'!$F$32:$F$45</c:f>
              <c:numCache>
                <c:formatCode>0.00</c:formatCode>
                <c:ptCount val="14"/>
                <c:pt idx="0">
                  <c:v>31.66</c:v>
                </c:pt>
                <c:pt idx="1">
                  <c:v>32.773000000000003</c:v>
                </c:pt>
                <c:pt idx="2">
                  <c:v>34.670999999999999</c:v>
                </c:pt>
                <c:pt idx="3">
                  <c:v>31.882000000000001</c:v>
                </c:pt>
                <c:pt idx="4">
                  <c:v>26.233000000000001</c:v>
                </c:pt>
                <c:pt idx="5">
                  <c:v>22.995999999999999</c:v>
                </c:pt>
                <c:pt idx="6">
                  <c:v>21.734000000000002</c:v>
                </c:pt>
                <c:pt idx="7">
                  <c:v>19.602</c:v>
                </c:pt>
                <c:pt idx="8">
                  <c:v>20.350000000000001</c:v>
                </c:pt>
                <c:pt idx="9">
                  <c:v>22.283000000000001</c:v>
                </c:pt>
                <c:pt idx="10">
                  <c:v>24.31</c:v>
                </c:pt>
                <c:pt idx="11">
                  <c:v>26.5</c:v>
                </c:pt>
                <c:pt idx="12">
                  <c:v>28.57</c:v>
                </c:pt>
                <c:pt idx="13">
                  <c:v>34.22</c:v>
                </c:pt>
              </c:numCache>
            </c:numRef>
          </c:val>
          <c:smooth val="0"/>
          <c:extLst>
            <c:ext xmlns:c16="http://schemas.microsoft.com/office/drawing/2014/chart" uri="{C3380CC4-5D6E-409C-BE32-E72D297353CC}">
              <c16:uniqueId val="{00000004-48CE-462A-93DE-B56D42FC5B4A}"/>
            </c:ext>
          </c:extLst>
        </c:ser>
        <c:ser>
          <c:idx val="3"/>
          <c:order val="5"/>
          <c:tx>
            <c:strRef>
              <c:f>'Státní rozpočet-výdaje'!$G$31</c:f>
              <c:strCache>
                <c:ptCount val="1"/>
                <c:pt idx="0">
                  <c:v>Social care benefits***</c:v>
                </c:pt>
              </c:strCache>
            </c:strRef>
          </c:tx>
          <c:spPr>
            <a:ln w="19050">
              <a:solidFill>
                <a:srgbClr val="7030A0"/>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rozpočet-výdaje'!$G$32:$G$45</c:f>
              <c:numCache>
                <c:formatCode>General</c:formatCode>
                <c:ptCount val="14"/>
                <c:pt idx="2" formatCode="0.00">
                  <c:v>20.811</c:v>
                </c:pt>
                <c:pt idx="3" formatCode="0.00">
                  <c:v>23.542000000000002</c:v>
                </c:pt>
                <c:pt idx="4" formatCode="0.00">
                  <c:v>24.256</c:v>
                </c:pt>
                <c:pt idx="5" formatCode="0.00">
                  <c:v>25.292000000000002</c:v>
                </c:pt>
                <c:pt idx="6" formatCode="0.00">
                  <c:v>24.966999999999999</c:v>
                </c:pt>
                <c:pt idx="7" formatCode="0.00">
                  <c:v>27.695499999999999</c:v>
                </c:pt>
                <c:pt idx="8" formatCode="0.00">
                  <c:v>31.978999999999999</c:v>
                </c:pt>
                <c:pt idx="9" formatCode="0.00">
                  <c:v>33.622</c:v>
                </c:pt>
                <c:pt idx="10" formatCode="0.00">
                  <c:v>33.621000000000002</c:v>
                </c:pt>
                <c:pt idx="11" formatCode="0.00">
                  <c:v>34.295000000000002</c:v>
                </c:pt>
                <c:pt idx="12" formatCode="0.00">
                  <c:v>34.439</c:v>
                </c:pt>
                <c:pt idx="13" formatCode="0.00">
                  <c:v>33.99</c:v>
                </c:pt>
              </c:numCache>
            </c:numRef>
          </c:val>
          <c:smooth val="0"/>
          <c:extLst>
            <c:ext xmlns:c16="http://schemas.microsoft.com/office/drawing/2014/chart" uri="{C3380CC4-5D6E-409C-BE32-E72D297353CC}">
              <c16:uniqueId val="{00000005-48CE-462A-93DE-B56D42FC5B4A}"/>
            </c:ext>
          </c:extLst>
        </c:ser>
        <c:ser>
          <c:idx val="4"/>
          <c:order val="6"/>
          <c:tx>
            <c:strRef>
              <c:f>'Státní rozpočet-výdaje'!$H$31</c:f>
              <c:strCache>
                <c:ptCount val="1"/>
                <c:pt idx="0">
                  <c:v>Non-investment purchases*</c:v>
                </c:pt>
              </c:strCache>
            </c:strRef>
          </c:tx>
          <c:spPr>
            <a:ln w="19050">
              <a:solidFill>
                <a:srgbClr val="7DBB2D"/>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rozpočet-výdaje'!$H$32:$H$45</c:f>
              <c:numCache>
                <c:formatCode>0.0</c:formatCode>
                <c:ptCount val="14"/>
                <c:pt idx="0">
                  <c:v>73.388000000000005</c:v>
                </c:pt>
                <c:pt idx="1">
                  <c:v>82.167000000000002</c:v>
                </c:pt>
                <c:pt idx="2">
                  <c:v>68.822999999999993</c:v>
                </c:pt>
                <c:pt idx="3">
                  <c:v>74.822999999999993</c:v>
                </c:pt>
                <c:pt idx="4">
                  <c:v>72.738</c:v>
                </c:pt>
                <c:pt idx="5">
                  <c:v>69.86</c:v>
                </c:pt>
                <c:pt idx="6">
                  <c:v>67.707999999999998</c:v>
                </c:pt>
                <c:pt idx="7">
                  <c:v>55.811</c:v>
                </c:pt>
                <c:pt idx="8">
                  <c:v>56.384999999999998</c:v>
                </c:pt>
                <c:pt idx="9">
                  <c:v>56.801000000000002</c:v>
                </c:pt>
                <c:pt idx="10">
                  <c:v>63.75</c:v>
                </c:pt>
                <c:pt idx="11">
                  <c:v>59.14</c:v>
                </c:pt>
                <c:pt idx="12">
                  <c:v>63.68</c:v>
                </c:pt>
                <c:pt idx="13">
                  <c:v>68.88</c:v>
                </c:pt>
              </c:numCache>
            </c:numRef>
          </c:val>
          <c:smooth val="0"/>
          <c:extLst>
            <c:ext xmlns:c16="http://schemas.microsoft.com/office/drawing/2014/chart" uri="{C3380CC4-5D6E-409C-BE32-E72D297353CC}">
              <c16:uniqueId val="{00000006-48CE-462A-93DE-B56D42FC5B4A}"/>
            </c:ext>
          </c:extLst>
        </c:ser>
        <c:ser>
          <c:idx val="5"/>
          <c:order val="7"/>
          <c:tx>
            <c:strRef>
              <c:f>'Státní rozpočet-výdaje'!$I$31</c:f>
              <c:strCache>
                <c:ptCount val="1"/>
                <c:pt idx="0">
                  <c:v>State debt (net expenditures)</c:v>
                </c:pt>
              </c:strCache>
            </c:strRef>
          </c:tx>
          <c:spPr>
            <a:ln w="19050">
              <a:solidFill>
                <a:srgbClr val="48AEE7"/>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rozpočet-výdaje'!$I$32:$I$45</c:f>
              <c:numCache>
                <c:formatCode>0.0</c:formatCode>
                <c:ptCount val="14"/>
                <c:pt idx="0">
                  <c:v>25.43</c:v>
                </c:pt>
                <c:pt idx="1">
                  <c:v>31.61</c:v>
                </c:pt>
                <c:pt idx="2">
                  <c:v>34.130000000000003</c:v>
                </c:pt>
                <c:pt idx="3">
                  <c:v>37.64</c:v>
                </c:pt>
                <c:pt idx="4">
                  <c:v>44.46</c:v>
                </c:pt>
                <c:pt idx="5">
                  <c:v>35.840000000000003</c:v>
                </c:pt>
                <c:pt idx="6">
                  <c:v>45.120000000000005</c:v>
                </c:pt>
                <c:pt idx="7">
                  <c:v>41.400000000000006</c:v>
                </c:pt>
                <c:pt idx="8">
                  <c:v>50.89</c:v>
                </c:pt>
                <c:pt idx="9">
                  <c:v>48.49</c:v>
                </c:pt>
                <c:pt idx="10">
                  <c:v>45.28</c:v>
                </c:pt>
                <c:pt idx="11">
                  <c:v>40.65</c:v>
                </c:pt>
                <c:pt idx="12">
                  <c:v>39.769999999999996</c:v>
                </c:pt>
                <c:pt idx="13">
                  <c:v>40.729999999999997</c:v>
                </c:pt>
              </c:numCache>
            </c:numRef>
          </c:val>
          <c:smooth val="0"/>
          <c:extLst>
            <c:ext xmlns:c16="http://schemas.microsoft.com/office/drawing/2014/chart" uri="{C3380CC4-5D6E-409C-BE32-E72D297353CC}">
              <c16:uniqueId val="{00000007-48CE-462A-93DE-B56D42FC5B4A}"/>
            </c:ext>
          </c:extLst>
        </c:ser>
        <c:ser>
          <c:idx val="8"/>
          <c:order val="8"/>
          <c:tx>
            <c:strRef>
              <c:f>'Státní rozpočet-výdaje'!$J$31</c:f>
              <c:strCache>
                <c:ptCount val="1"/>
                <c:pt idx="0">
                  <c:v>Capital expenditures</c:v>
                </c:pt>
              </c:strCache>
            </c:strRef>
          </c:tx>
          <c:spPr>
            <a:ln w="19050">
              <a:solidFill>
                <a:schemeClr val="tx1">
                  <a:lumMod val="95000"/>
                  <a:lumOff val="5000"/>
                </a:schemeClr>
              </a:solidFill>
              <a:prstDash val="sysDash"/>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rozpočet-výdaje'!$J$32:$J$45</c:f>
              <c:numCache>
                <c:formatCode>0.0</c:formatCode>
                <c:ptCount val="14"/>
                <c:pt idx="0">
                  <c:v>81.99</c:v>
                </c:pt>
                <c:pt idx="1">
                  <c:v>108.54</c:v>
                </c:pt>
                <c:pt idx="2">
                  <c:v>118.42</c:v>
                </c:pt>
                <c:pt idx="3">
                  <c:v>108.08</c:v>
                </c:pt>
                <c:pt idx="4">
                  <c:v>134.22999999999999</c:v>
                </c:pt>
                <c:pt idx="5">
                  <c:v>134.91</c:v>
                </c:pt>
                <c:pt idx="6">
                  <c:v>123.69</c:v>
                </c:pt>
                <c:pt idx="7">
                  <c:v>113.62</c:v>
                </c:pt>
                <c:pt idx="8">
                  <c:v>102.315</c:v>
                </c:pt>
                <c:pt idx="9">
                  <c:v>111.50700000000001</c:v>
                </c:pt>
                <c:pt idx="10">
                  <c:v>175.66</c:v>
                </c:pt>
                <c:pt idx="11">
                  <c:v>84.27</c:v>
                </c:pt>
                <c:pt idx="12">
                  <c:v>81.75</c:v>
                </c:pt>
                <c:pt idx="13">
                  <c:v>119.64</c:v>
                </c:pt>
              </c:numCache>
            </c:numRef>
          </c:val>
          <c:smooth val="0"/>
          <c:extLst>
            <c:ext xmlns:c16="http://schemas.microsoft.com/office/drawing/2014/chart" uri="{C3380CC4-5D6E-409C-BE32-E72D297353CC}">
              <c16:uniqueId val="{00000008-48CE-462A-93DE-B56D42FC5B4A}"/>
            </c:ext>
          </c:extLst>
        </c:ser>
        <c:dLbls>
          <c:showLegendKey val="0"/>
          <c:showVal val="0"/>
          <c:showCatName val="0"/>
          <c:showSerName val="0"/>
          <c:showPercent val="0"/>
          <c:showBubbleSize val="0"/>
        </c:dLbls>
        <c:marker val="1"/>
        <c:smooth val="0"/>
        <c:axId val="72827648"/>
        <c:axId val="72829184"/>
      </c:lineChart>
      <c:catAx>
        <c:axId val="72827648"/>
        <c:scaling>
          <c:orientation val="minMax"/>
        </c:scaling>
        <c:delete val="0"/>
        <c:axPos val="b"/>
        <c:numFmt formatCode="General" sourceLinked="1"/>
        <c:majorTickMark val="out"/>
        <c:minorTickMark val="none"/>
        <c:tickLblPos val="low"/>
        <c:spPr>
          <a:ln>
            <a:solidFill>
              <a:schemeClr val="bg1">
                <a:lumMod val="50000"/>
              </a:schemeClr>
            </a:solidFill>
          </a:ln>
        </c:spPr>
        <c:crossAx val="72829184"/>
        <c:crosses val="autoZero"/>
        <c:auto val="1"/>
        <c:lblAlgn val="ctr"/>
        <c:lblOffset val="20"/>
        <c:noMultiLvlLbl val="0"/>
      </c:catAx>
      <c:valAx>
        <c:axId val="72829184"/>
        <c:scaling>
          <c:orientation val="minMax"/>
          <c:max val="180"/>
          <c:min val="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72827648"/>
        <c:crosses val="autoZero"/>
        <c:crossBetween val="between"/>
        <c:majorUnit val="10"/>
      </c:valAx>
      <c:valAx>
        <c:axId val="72835072"/>
        <c:scaling>
          <c:orientation val="minMax"/>
          <c:max val="1300"/>
          <c:min val="0"/>
        </c:scaling>
        <c:delete val="0"/>
        <c:axPos val="r"/>
        <c:numFmt formatCode="0" sourceLinked="0"/>
        <c:majorTickMark val="out"/>
        <c:minorTickMark val="none"/>
        <c:tickLblPos val="nextTo"/>
        <c:spPr>
          <a:ln>
            <a:solidFill>
              <a:schemeClr val="tx1"/>
            </a:solidFill>
          </a:ln>
        </c:spPr>
        <c:crossAx val="72836608"/>
        <c:crosses val="max"/>
        <c:crossBetween val="between"/>
        <c:majorUnit val="100"/>
      </c:valAx>
      <c:catAx>
        <c:axId val="72836608"/>
        <c:scaling>
          <c:orientation val="minMax"/>
        </c:scaling>
        <c:delete val="1"/>
        <c:axPos val="b"/>
        <c:numFmt formatCode="General" sourceLinked="1"/>
        <c:majorTickMark val="out"/>
        <c:minorTickMark val="none"/>
        <c:tickLblPos val="none"/>
        <c:crossAx val="72835072"/>
        <c:crosses val="autoZero"/>
        <c:auto val="1"/>
        <c:lblAlgn val="ctr"/>
        <c:lblOffset val="100"/>
        <c:noMultiLvlLbl val="0"/>
      </c:catAx>
      <c:spPr>
        <a:ln>
          <a:solidFill>
            <a:schemeClr val="tx1"/>
          </a:solidFill>
        </a:ln>
      </c:spPr>
    </c:plotArea>
    <c:legend>
      <c:legendPos val="b"/>
      <c:layout>
        <c:manualLayout>
          <c:xMode val="edge"/>
          <c:yMode val="edge"/>
          <c:x val="5.5741128971108313E-2"/>
          <c:y val="0.82679736838094697"/>
          <c:w val="0.87022442515825205"/>
          <c:h val="0.16426429436431694"/>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724701079031984E-2"/>
          <c:y val="2.6970778117567422E-2"/>
          <c:w val="0.87770649039240944"/>
          <c:h val="0.76009512552065761"/>
        </c:manualLayout>
      </c:layout>
      <c:barChart>
        <c:barDir val="col"/>
        <c:grouping val="clustered"/>
        <c:varyColors val="0"/>
        <c:ser>
          <c:idx val="0"/>
          <c:order val="0"/>
          <c:tx>
            <c:strRef>
              <c:f>'souhrnná výkonnost 2'!$C$5</c:f>
              <c:strCache>
                <c:ptCount val="1"/>
                <c:pt idx="0">
                  <c:v>GDP (right axis)</c:v>
                </c:pt>
              </c:strCache>
            </c:strRef>
          </c:tx>
          <c:spPr>
            <a:solidFill>
              <a:schemeClr val="bg1">
                <a:lumMod val="65000"/>
              </a:schemeClr>
            </a:solidFill>
            <a:ln>
              <a:noFill/>
            </a:ln>
          </c:spPr>
          <c:invertIfNegative val="0"/>
          <c:val>
            <c:numRef>
              <c:f>'souhrnná výkonnost 2'!$C$18:$C$89</c:f>
              <c:numCache>
                <c:formatCode>0.0</c:formatCode>
                <c:ptCount val="72"/>
                <c:pt idx="0">
                  <c:v>-1.8</c:v>
                </c:pt>
                <c:pt idx="1">
                  <c:v>-1.8</c:v>
                </c:pt>
                <c:pt idx="2">
                  <c:v>-1.8</c:v>
                </c:pt>
                <c:pt idx="3">
                  <c:v>-1.1000000000000001</c:v>
                </c:pt>
                <c:pt idx="4">
                  <c:v>-1.1000000000000001</c:v>
                </c:pt>
                <c:pt idx="5">
                  <c:v>-1.1000000000000001</c:v>
                </c:pt>
                <c:pt idx="6">
                  <c:v>-0.3</c:v>
                </c:pt>
                <c:pt idx="7">
                  <c:v>-0.3</c:v>
                </c:pt>
                <c:pt idx="8">
                  <c:v>-0.3</c:v>
                </c:pt>
                <c:pt idx="9">
                  <c:v>1.3</c:v>
                </c:pt>
                <c:pt idx="10">
                  <c:v>1.3</c:v>
                </c:pt>
                <c:pt idx="11">
                  <c:v>1.3</c:v>
                </c:pt>
                <c:pt idx="12">
                  <c:v>1.6</c:v>
                </c:pt>
                <c:pt idx="13">
                  <c:v>1.6</c:v>
                </c:pt>
                <c:pt idx="14">
                  <c:v>1.6</c:v>
                </c:pt>
                <c:pt idx="15">
                  <c:v>2.4</c:v>
                </c:pt>
                <c:pt idx="16">
                  <c:v>2.4</c:v>
                </c:pt>
                <c:pt idx="17">
                  <c:v>2.4</c:v>
                </c:pt>
                <c:pt idx="18">
                  <c:v>3.4</c:v>
                </c:pt>
                <c:pt idx="19">
                  <c:v>3.4</c:v>
                </c:pt>
                <c:pt idx="20">
                  <c:v>3.4</c:v>
                </c:pt>
                <c:pt idx="21">
                  <c:v>3.4</c:v>
                </c:pt>
                <c:pt idx="22">
                  <c:v>3.4</c:v>
                </c:pt>
                <c:pt idx="23">
                  <c:v>3.4</c:v>
                </c:pt>
                <c:pt idx="24">
                  <c:v>5.3</c:v>
                </c:pt>
                <c:pt idx="25">
                  <c:v>5.3</c:v>
                </c:pt>
                <c:pt idx="26">
                  <c:v>5.3</c:v>
                </c:pt>
                <c:pt idx="27">
                  <c:v>5.8</c:v>
                </c:pt>
                <c:pt idx="28">
                  <c:v>5.8</c:v>
                </c:pt>
                <c:pt idx="29">
                  <c:v>5.8</c:v>
                </c:pt>
                <c:pt idx="30">
                  <c:v>5.6</c:v>
                </c:pt>
                <c:pt idx="31">
                  <c:v>5.6</c:v>
                </c:pt>
                <c:pt idx="32">
                  <c:v>5.6</c:v>
                </c:pt>
                <c:pt idx="33">
                  <c:v>4.9000000000000004</c:v>
                </c:pt>
                <c:pt idx="34">
                  <c:v>4.9000000000000004</c:v>
                </c:pt>
                <c:pt idx="35">
                  <c:v>4.9000000000000004</c:v>
                </c:pt>
                <c:pt idx="36">
                  <c:v>3.6</c:v>
                </c:pt>
                <c:pt idx="37">
                  <c:v>3.6</c:v>
                </c:pt>
                <c:pt idx="38">
                  <c:v>3.6</c:v>
                </c:pt>
                <c:pt idx="39">
                  <c:v>2.4</c:v>
                </c:pt>
                <c:pt idx="40">
                  <c:v>2.4</c:v>
                </c:pt>
                <c:pt idx="41" formatCode="General">
                  <c:v>2.4</c:v>
                </c:pt>
                <c:pt idx="42" formatCode="General">
                  <c:v>1.7</c:v>
                </c:pt>
                <c:pt idx="43" formatCode="General">
                  <c:v>1.7</c:v>
                </c:pt>
                <c:pt idx="44" formatCode="General">
                  <c:v>1.7</c:v>
                </c:pt>
                <c:pt idx="45" formatCode="General">
                  <c:v>1.8</c:v>
                </c:pt>
                <c:pt idx="46" formatCode="General">
                  <c:v>1.8</c:v>
                </c:pt>
                <c:pt idx="47" formatCode="General">
                  <c:v>1.8</c:v>
                </c:pt>
                <c:pt idx="48" formatCode="General">
                  <c:v>2.9</c:v>
                </c:pt>
                <c:pt idx="49" formatCode="General">
                  <c:v>2.9</c:v>
                </c:pt>
                <c:pt idx="50" formatCode="General">
                  <c:v>2.9</c:v>
                </c:pt>
                <c:pt idx="51" formatCode="General">
                  <c:v>4.9000000000000004</c:v>
                </c:pt>
                <c:pt idx="52" formatCode="General">
                  <c:v>4.9000000000000004</c:v>
                </c:pt>
                <c:pt idx="53" formatCode="General">
                  <c:v>4.9000000000000004</c:v>
                </c:pt>
                <c:pt idx="54" formatCode="General">
                  <c:v>5.0999999999999996</c:v>
                </c:pt>
                <c:pt idx="55" formatCode="General">
                  <c:v>5.0999999999999996</c:v>
                </c:pt>
                <c:pt idx="56" formatCode="General">
                  <c:v>5.0999999999999996</c:v>
                </c:pt>
                <c:pt idx="57" formatCode="General">
                  <c:v>5</c:v>
                </c:pt>
                <c:pt idx="58" formatCode="General">
                  <c:v>5</c:v>
                </c:pt>
                <c:pt idx="59" formatCode="General">
                  <c:v>5</c:v>
                </c:pt>
                <c:pt idx="60" formatCode="General">
                  <c:v>4.0999999999999996</c:v>
                </c:pt>
                <c:pt idx="61" formatCode="General">
                  <c:v>4.0999999999999996</c:v>
                </c:pt>
                <c:pt idx="62" formatCode="General">
                  <c:v>4.0999999999999996</c:v>
                </c:pt>
                <c:pt idx="63" formatCode="General">
                  <c:v>2.4</c:v>
                </c:pt>
                <c:pt idx="64" formatCode="General">
                  <c:v>2.4</c:v>
                </c:pt>
                <c:pt idx="65" formatCode="General">
                  <c:v>2.4</c:v>
                </c:pt>
                <c:pt idx="66" formatCode="General">
                  <c:v>2.4</c:v>
                </c:pt>
                <c:pt idx="67" formatCode="General">
                  <c:v>2.4</c:v>
                </c:pt>
                <c:pt idx="68" formatCode="General">
                  <c:v>2.4</c:v>
                </c:pt>
                <c:pt idx="69" formatCode="General">
                  <c:v>2.6</c:v>
                </c:pt>
                <c:pt idx="70" formatCode="General">
                  <c:v>2.6</c:v>
                </c:pt>
                <c:pt idx="71" formatCode="General">
                  <c:v>2.6</c:v>
                </c:pt>
              </c:numCache>
            </c:numRef>
          </c:val>
          <c:extLst>
            <c:ext xmlns:c16="http://schemas.microsoft.com/office/drawing/2014/chart" uri="{C3380CC4-5D6E-409C-BE32-E72D297353CC}">
              <c16:uniqueId val="{00000000-A7F3-4049-858E-806BB384A4F9}"/>
            </c:ext>
          </c:extLst>
        </c:ser>
        <c:dLbls>
          <c:showLegendKey val="0"/>
          <c:showVal val="0"/>
          <c:showCatName val="0"/>
          <c:showSerName val="0"/>
          <c:showPercent val="0"/>
          <c:showBubbleSize val="0"/>
        </c:dLbls>
        <c:gapWidth val="30"/>
        <c:axId val="115166592"/>
        <c:axId val="115165056"/>
      </c:barChart>
      <c:lineChart>
        <c:grouping val="standard"/>
        <c:varyColors val="0"/>
        <c:ser>
          <c:idx val="3"/>
          <c:order val="1"/>
          <c:tx>
            <c:strRef>
              <c:f>'souhrnná výkonnost 2'!$D$5</c:f>
              <c:strCache>
                <c:ptCount val="1"/>
                <c:pt idx="0">
                  <c:v>Entrepreneur confidence</c:v>
                </c:pt>
              </c:strCache>
            </c:strRef>
          </c:tx>
          <c:spPr>
            <a:ln w="19050">
              <a:solidFill>
                <a:srgbClr val="0071BC"/>
              </a:solidFill>
            </a:ln>
          </c:spPr>
          <c:marker>
            <c:symbol val="none"/>
          </c:marker>
          <c:cat>
            <c:multiLvlStrRef>
              <c:f>'souhrnná výkonnost 2'!$A$18:$B$89</c:f>
              <c:multiLvlStrCache>
                <c:ptCount val="72"/>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pt idx="67">
                    <c:v>8</c:v>
                  </c:pt>
                  <c:pt idx="68">
                    <c:v>9</c:v>
                  </c:pt>
                  <c:pt idx="69">
                    <c:v>10</c:v>
                  </c:pt>
                  <c:pt idx="70">
                    <c:v>11</c:v>
                  </c:pt>
                  <c:pt idx="71">
                    <c:v>12</c:v>
                  </c:pt>
                </c:lvl>
                <c:lvl>
                  <c:pt idx="0">
                    <c:v>2013</c:v>
                  </c:pt>
                  <c:pt idx="12">
                    <c:v>2014</c:v>
                  </c:pt>
                  <c:pt idx="24">
                    <c:v>2015</c:v>
                  </c:pt>
                  <c:pt idx="36">
                    <c:v>2016</c:v>
                  </c:pt>
                  <c:pt idx="48">
                    <c:v>2017</c:v>
                  </c:pt>
                  <c:pt idx="60">
                    <c:v>2018</c:v>
                  </c:pt>
                </c:lvl>
              </c:multiLvlStrCache>
            </c:multiLvlStrRef>
          </c:cat>
          <c:val>
            <c:numRef>
              <c:f>'souhrnná výkonnost 2'!$D$18:$D$89</c:f>
              <c:numCache>
                <c:formatCode>###\ ###\ ##0.0</c:formatCode>
                <c:ptCount val="72"/>
                <c:pt idx="0">
                  <c:v>84.6</c:v>
                </c:pt>
                <c:pt idx="1">
                  <c:v>85.2</c:v>
                </c:pt>
                <c:pt idx="2" formatCode="###\ ###\ ##0">
                  <c:v>85</c:v>
                </c:pt>
                <c:pt idx="3">
                  <c:v>82.7</c:v>
                </c:pt>
                <c:pt idx="4">
                  <c:v>83.6</c:v>
                </c:pt>
                <c:pt idx="5" formatCode="###\ ###\ ##0">
                  <c:v>84</c:v>
                </c:pt>
                <c:pt idx="6" formatCode="###\ ###\ ##0">
                  <c:v>84</c:v>
                </c:pt>
                <c:pt idx="7">
                  <c:v>84.8</c:v>
                </c:pt>
                <c:pt idx="8">
                  <c:v>87.5</c:v>
                </c:pt>
                <c:pt idx="9" formatCode="###\ ###\ ##0">
                  <c:v>89</c:v>
                </c:pt>
                <c:pt idx="10">
                  <c:v>89.9</c:v>
                </c:pt>
                <c:pt idx="11">
                  <c:v>90.9</c:v>
                </c:pt>
                <c:pt idx="12">
                  <c:v>90.1</c:v>
                </c:pt>
                <c:pt idx="13">
                  <c:v>90.9</c:v>
                </c:pt>
                <c:pt idx="14">
                  <c:v>91.6</c:v>
                </c:pt>
                <c:pt idx="15">
                  <c:v>91.5</c:v>
                </c:pt>
                <c:pt idx="16">
                  <c:v>91.5</c:v>
                </c:pt>
                <c:pt idx="17">
                  <c:v>92.5</c:v>
                </c:pt>
                <c:pt idx="18">
                  <c:v>91.6</c:v>
                </c:pt>
                <c:pt idx="19">
                  <c:v>92.5</c:v>
                </c:pt>
                <c:pt idx="20">
                  <c:v>93.2</c:v>
                </c:pt>
                <c:pt idx="21">
                  <c:v>92.8</c:v>
                </c:pt>
                <c:pt idx="22">
                  <c:v>93.5</c:v>
                </c:pt>
                <c:pt idx="23">
                  <c:v>94.8</c:v>
                </c:pt>
                <c:pt idx="24">
                  <c:v>94.3</c:v>
                </c:pt>
                <c:pt idx="25">
                  <c:v>93.4</c:v>
                </c:pt>
                <c:pt idx="26">
                  <c:v>92.9</c:v>
                </c:pt>
                <c:pt idx="27">
                  <c:v>93.2</c:v>
                </c:pt>
                <c:pt idx="28">
                  <c:v>93.8</c:v>
                </c:pt>
                <c:pt idx="29">
                  <c:v>95.5</c:v>
                </c:pt>
                <c:pt idx="30">
                  <c:v>94.6</c:v>
                </c:pt>
                <c:pt idx="31">
                  <c:v>94.2</c:v>
                </c:pt>
                <c:pt idx="32">
                  <c:v>94.4</c:v>
                </c:pt>
                <c:pt idx="33">
                  <c:v>93.2</c:v>
                </c:pt>
                <c:pt idx="34">
                  <c:v>94.2</c:v>
                </c:pt>
                <c:pt idx="35">
                  <c:v>94.3</c:v>
                </c:pt>
                <c:pt idx="36" formatCode="0.0">
                  <c:v>96</c:v>
                </c:pt>
                <c:pt idx="37" formatCode="0.0">
                  <c:v>95.3</c:v>
                </c:pt>
                <c:pt idx="38" formatCode="0.0">
                  <c:v>95.1</c:v>
                </c:pt>
                <c:pt idx="39" formatCode="0.0">
                  <c:v>93.8</c:v>
                </c:pt>
                <c:pt idx="40" formatCode="0.0">
                  <c:v>94.3</c:v>
                </c:pt>
                <c:pt idx="41" formatCode="0.0">
                  <c:v>93.5</c:v>
                </c:pt>
                <c:pt idx="42" formatCode="0.0">
                  <c:v>94</c:v>
                </c:pt>
                <c:pt idx="43" formatCode="0.0">
                  <c:v>95.3</c:v>
                </c:pt>
                <c:pt idx="44" formatCode="0.0">
                  <c:v>95.2</c:v>
                </c:pt>
                <c:pt idx="45" formatCode="0.0">
                  <c:v>95.2</c:v>
                </c:pt>
                <c:pt idx="46" formatCode="0.0">
                  <c:v>97.5</c:v>
                </c:pt>
                <c:pt idx="47" formatCode="0.0">
                  <c:v>97.1</c:v>
                </c:pt>
                <c:pt idx="48" formatCode="0.0">
                  <c:v>97</c:v>
                </c:pt>
                <c:pt idx="49" formatCode="0.0">
                  <c:v>95.9</c:v>
                </c:pt>
                <c:pt idx="50" formatCode="0.0">
                  <c:v>94.1</c:v>
                </c:pt>
                <c:pt idx="51" formatCode="0.0">
                  <c:v>95.1</c:v>
                </c:pt>
                <c:pt idx="52" formatCode="0.0">
                  <c:v>94.9</c:v>
                </c:pt>
                <c:pt idx="53" formatCode="0.0">
                  <c:v>95.2</c:v>
                </c:pt>
                <c:pt idx="54" formatCode="0.0">
                  <c:v>96.1</c:v>
                </c:pt>
                <c:pt idx="55" formatCode="0.0">
                  <c:v>96.8</c:v>
                </c:pt>
                <c:pt idx="56" formatCode="0.0">
                  <c:v>97</c:v>
                </c:pt>
                <c:pt idx="57" formatCode="0.0">
                  <c:v>97.4</c:v>
                </c:pt>
                <c:pt idx="58" formatCode="0.0">
                  <c:v>96.7</c:v>
                </c:pt>
                <c:pt idx="59" formatCode="0.0">
                  <c:v>97.5</c:v>
                </c:pt>
                <c:pt idx="60" formatCode="0.0">
                  <c:v>96.9</c:v>
                </c:pt>
                <c:pt idx="61" formatCode="0.0">
                  <c:v>97.5</c:v>
                </c:pt>
                <c:pt idx="62" formatCode="0.0">
                  <c:v>97</c:v>
                </c:pt>
                <c:pt idx="63" formatCode="0.0">
                  <c:v>97.6</c:v>
                </c:pt>
                <c:pt idx="64" formatCode="0.0">
                  <c:v>96.2</c:v>
                </c:pt>
                <c:pt idx="65" formatCode="0.0">
                  <c:v>97.4</c:v>
                </c:pt>
                <c:pt idx="66" formatCode="0.0">
                  <c:v>96.1</c:v>
                </c:pt>
                <c:pt idx="67" formatCode="0.0">
                  <c:v>96.9</c:v>
                </c:pt>
                <c:pt idx="68" formatCode="0.0">
                  <c:v>97.3</c:v>
                </c:pt>
                <c:pt idx="69" formatCode="0.0">
                  <c:v>97.3</c:v>
                </c:pt>
                <c:pt idx="70" formatCode="0.0">
                  <c:v>97.8</c:v>
                </c:pt>
                <c:pt idx="71" formatCode="0.0">
                  <c:v>96.4</c:v>
                </c:pt>
              </c:numCache>
            </c:numRef>
          </c:val>
          <c:smooth val="0"/>
          <c:extLst>
            <c:ext xmlns:c16="http://schemas.microsoft.com/office/drawing/2014/chart" uri="{C3380CC4-5D6E-409C-BE32-E72D297353CC}">
              <c16:uniqueId val="{00000001-A7F3-4049-858E-806BB384A4F9}"/>
            </c:ext>
          </c:extLst>
        </c:ser>
        <c:ser>
          <c:idx val="2"/>
          <c:order val="2"/>
          <c:tx>
            <c:strRef>
              <c:f>'souhrnná výkonnost 2'!$E$5</c:f>
              <c:strCache>
                <c:ptCount val="1"/>
                <c:pt idx="0">
                  <c:v>Consumer confidence</c:v>
                </c:pt>
              </c:strCache>
            </c:strRef>
          </c:tx>
          <c:spPr>
            <a:ln w="19050">
              <a:solidFill>
                <a:srgbClr val="BD1B21"/>
              </a:solidFill>
            </a:ln>
          </c:spPr>
          <c:marker>
            <c:symbol val="none"/>
          </c:marker>
          <c:cat>
            <c:multiLvlStrRef>
              <c:f>'souhrnná výkonnost 2'!$A$18:$B$89</c:f>
              <c:multiLvlStrCache>
                <c:ptCount val="72"/>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pt idx="67">
                    <c:v>8</c:v>
                  </c:pt>
                  <c:pt idx="68">
                    <c:v>9</c:v>
                  </c:pt>
                  <c:pt idx="69">
                    <c:v>10</c:v>
                  </c:pt>
                  <c:pt idx="70">
                    <c:v>11</c:v>
                  </c:pt>
                  <c:pt idx="71">
                    <c:v>12</c:v>
                  </c:pt>
                </c:lvl>
                <c:lvl>
                  <c:pt idx="0">
                    <c:v>2013</c:v>
                  </c:pt>
                  <c:pt idx="12">
                    <c:v>2014</c:v>
                  </c:pt>
                  <c:pt idx="24">
                    <c:v>2015</c:v>
                  </c:pt>
                  <c:pt idx="36">
                    <c:v>2016</c:v>
                  </c:pt>
                  <c:pt idx="48">
                    <c:v>2017</c:v>
                  </c:pt>
                  <c:pt idx="60">
                    <c:v>2018</c:v>
                  </c:pt>
                </c:lvl>
              </c:multiLvlStrCache>
            </c:multiLvlStrRef>
          </c:cat>
          <c:val>
            <c:numRef>
              <c:f>'souhrnná výkonnost 2'!$E$18:$E$89</c:f>
              <c:numCache>
                <c:formatCode>###\ ###\ ##0.0</c:formatCode>
                <c:ptCount val="72"/>
                <c:pt idx="0">
                  <c:v>73.8</c:v>
                </c:pt>
                <c:pt idx="1">
                  <c:v>79.5</c:v>
                </c:pt>
                <c:pt idx="2" formatCode="###\ ###\ ##0">
                  <c:v>81</c:v>
                </c:pt>
                <c:pt idx="3">
                  <c:v>77.900000000000006</c:v>
                </c:pt>
                <c:pt idx="4" formatCode="###\ ###\ ##0">
                  <c:v>82</c:v>
                </c:pt>
                <c:pt idx="5">
                  <c:v>82.8</c:v>
                </c:pt>
                <c:pt idx="6">
                  <c:v>81.3</c:v>
                </c:pt>
                <c:pt idx="7">
                  <c:v>84.9</c:v>
                </c:pt>
                <c:pt idx="8">
                  <c:v>87.7</c:v>
                </c:pt>
                <c:pt idx="9">
                  <c:v>88.5</c:v>
                </c:pt>
                <c:pt idx="10">
                  <c:v>92.8</c:v>
                </c:pt>
                <c:pt idx="11">
                  <c:v>92.6</c:v>
                </c:pt>
                <c:pt idx="12">
                  <c:v>96.9</c:v>
                </c:pt>
                <c:pt idx="13">
                  <c:v>93.1</c:v>
                </c:pt>
                <c:pt idx="14">
                  <c:v>96.7</c:v>
                </c:pt>
                <c:pt idx="15">
                  <c:v>98.4</c:v>
                </c:pt>
                <c:pt idx="16">
                  <c:v>98.2</c:v>
                </c:pt>
                <c:pt idx="17">
                  <c:v>99.4</c:v>
                </c:pt>
                <c:pt idx="18">
                  <c:v>99.9</c:v>
                </c:pt>
                <c:pt idx="19">
                  <c:v>97.9</c:v>
                </c:pt>
                <c:pt idx="20">
                  <c:v>96.3</c:v>
                </c:pt>
                <c:pt idx="21">
                  <c:v>100.2</c:v>
                </c:pt>
                <c:pt idx="22">
                  <c:v>103.6</c:v>
                </c:pt>
                <c:pt idx="23">
                  <c:v>105.1</c:v>
                </c:pt>
                <c:pt idx="24">
                  <c:v>106.7</c:v>
                </c:pt>
                <c:pt idx="25">
                  <c:v>105.7</c:v>
                </c:pt>
                <c:pt idx="26">
                  <c:v>105.7</c:v>
                </c:pt>
                <c:pt idx="27">
                  <c:v>104.3</c:v>
                </c:pt>
                <c:pt idx="28">
                  <c:v>103.6</c:v>
                </c:pt>
                <c:pt idx="29">
                  <c:v>104.3</c:v>
                </c:pt>
                <c:pt idx="30">
                  <c:v>103.6</c:v>
                </c:pt>
                <c:pt idx="31">
                  <c:v>103.6</c:v>
                </c:pt>
                <c:pt idx="32">
                  <c:v>103.3</c:v>
                </c:pt>
                <c:pt idx="33">
                  <c:v>104.8</c:v>
                </c:pt>
                <c:pt idx="34">
                  <c:v>105.3</c:v>
                </c:pt>
                <c:pt idx="35">
                  <c:v>107.4</c:v>
                </c:pt>
                <c:pt idx="36" formatCode="0.0">
                  <c:v>110</c:v>
                </c:pt>
                <c:pt idx="37" formatCode="0.0">
                  <c:v>106.2</c:v>
                </c:pt>
                <c:pt idx="38" formatCode="0.0">
                  <c:v>104.8</c:v>
                </c:pt>
                <c:pt idx="39" formatCode="0.0">
                  <c:v>104.3</c:v>
                </c:pt>
                <c:pt idx="40" formatCode="0.0">
                  <c:v>104.3</c:v>
                </c:pt>
                <c:pt idx="41" formatCode="0.0">
                  <c:v>103.8</c:v>
                </c:pt>
                <c:pt idx="42" formatCode="0.0">
                  <c:v>102.3</c:v>
                </c:pt>
                <c:pt idx="43" formatCode="0.0">
                  <c:v>104.3</c:v>
                </c:pt>
                <c:pt idx="44" formatCode="0.0">
                  <c:v>106.4</c:v>
                </c:pt>
                <c:pt idx="45" formatCode="0.0">
                  <c:v>108.9</c:v>
                </c:pt>
                <c:pt idx="46" formatCode="0.0">
                  <c:v>107.9</c:v>
                </c:pt>
                <c:pt idx="47" formatCode="0.0">
                  <c:v>108.7</c:v>
                </c:pt>
                <c:pt idx="48" formatCode="0.0">
                  <c:v>110</c:v>
                </c:pt>
                <c:pt idx="49" formatCode="0.0">
                  <c:v>108.2</c:v>
                </c:pt>
                <c:pt idx="50" formatCode="0.0">
                  <c:v>108.7</c:v>
                </c:pt>
                <c:pt idx="51" formatCode="0.0">
                  <c:v>108.4</c:v>
                </c:pt>
                <c:pt idx="52" formatCode="0.0">
                  <c:v>108.4</c:v>
                </c:pt>
                <c:pt idx="53" formatCode="0.0">
                  <c:v>106.2</c:v>
                </c:pt>
                <c:pt idx="54" formatCode="0.0">
                  <c:v>105.7</c:v>
                </c:pt>
                <c:pt idx="55" formatCode="0.0">
                  <c:v>107.9</c:v>
                </c:pt>
                <c:pt idx="56" formatCode="0.0">
                  <c:v>109.2</c:v>
                </c:pt>
                <c:pt idx="57" formatCode="0.0">
                  <c:v>108.7</c:v>
                </c:pt>
                <c:pt idx="58" formatCode="0.0">
                  <c:v>110.3</c:v>
                </c:pt>
                <c:pt idx="59" formatCode="0.0">
                  <c:v>110</c:v>
                </c:pt>
                <c:pt idx="60" formatCode="0.0">
                  <c:v>112.3</c:v>
                </c:pt>
                <c:pt idx="61" formatCode="0.0">
                  <c:v>112</c:v>
                </c:pt>
                <c:pt idx="62" formatCode="0.0">
                  <c:v>112.8</c:v>
                </c:pt>
                <c:pt idx="63" formatCode="0.0">
                  <c:v>112.5</c:v>
                </c:pt>
                <c:pt idx="64" formatCode="0.0">
                  <c:v>113.8</c:v>
                </c:pt>
                <c:pt idx="65" formatCode="0.0">
                  <c:v>113</c:v>
                </c:pt>
                <c:pt idx="66" formatCode="0.0">
                  <c:v>111.8</c:v>
                </c:pt>
                <c:pt idx="67" formatCode="0.0">
                  <c:v>110.3</c:v>
                </c:pt>
                <c:pt idx="68" formatCode="0.0">
                  <c:v>111</c:v>
                </c:pt>
                <c:pt idx="69" formatCode="0.0">
                  <c:v>112</c:v>
                </c:pt>
                <c:pt idx="70" formatCode="0.0">
                  <c:v>106.9</c:v>
                </c:pt>
                <c:pt idx="71" formatCode="0.0">
                  <c:v>109.2</c:v>
                </c:pt>
              </c:numCache>
            </c:numRef>
          </c:val>
          <c:smooth val="0"/>
          <c:extLst>
            <c:ext xmlns:c16="http://schemas.microsoft.com/office/drawing/2014/chart" uri="{C3380CC4-5D6E-409C-BE32-E72D297353CC}">
              <c16:uniqueId val="{00000002-A7F3-4049-858E-806BB384A4F9}"/>
            </c:ext>
          </c:extLst>
        </c:ser>
        <c:ser>
          <c:idx val="1"/>
          <c:order val="3"/>
          <c:tx>
            <c:strRef>
              <c:f>'souhrnná výkonnost 2'!$F$5</c:f>
              <c:strCache>
                <c:ptCount val="1"/>
                <c:pt idx="0">
                  <c:v>Total indicator</c:v>
                </c:pt>
              </c:strCache>
            </c:strRef>
          </c:tx>
          <c:spPr>
            <a:ln w="19050">
              <a:solidFill>
                <a:schemeClr val="tx1"/>
              </a:solidFill>
            </a:ln>
          </c:spPr>
          <c:marker>
            <c:symbol val="none"/>
          </c:marker>
          <c:cat>
            <c:multiLvlStrRef>
              <c:f>'souhrnná výkonnost 2'!$A$18:$B$89</c:f>
              <c:multiLvlStrCache>
                <c:ptCount val="72"/>
                <c:lvl>
                  <c:pt idx="0">
                    <c:v>1</c:v>
                  </c:pt>
                  <c:pt idx="1">
                    <c:v>2</c:v>
                  </c:pt>
                  <c:pt idx="2">
                    <c:v>3</c:v>
                  </c:pt>
                  <c:pt idx="3">
                    <c:v>4</c:v>
                  </c:pt>
                  <c:pt idx="4">
                    <c:v>5</c:v>
                  </c:pt>
                  <c:pt idx="5">
                    <c:v>6</c:v>
                  </c:pt>
                  <c:pt idx="6">
                    <c:v>7</c:v>
                  </c:pt>
                  <c:pt idx="7">
                    <c:v>8</c:v>
                  </c:pt>
                  <c:pt idx="8">
                    <c:v>9</c:v>
                  </c:pt>
                  <c:pt idx="9">
                    <c:v>10</c:v>
                  </c:pt>
                  <c:pt idx="10">
                    <c:v>11</c:v>
                  </c:pt>
                  <c:pt idx="11">
                    <c:v>12</c:v>
                  </c:pt>
                  <c:pt idx="12">
                    <c:v>1</c:v>
                  </c:pt>
                  <c:pt idx="13">
                    <c:v>2</c:v>
                  </c:pt>
                  <c:pt idx="14">
                    <c:v>3</c:v>
                  </c:pt>
                  <c:pt idx="15">
                    <c:v>4</c:v>
                  </c:pt>
                  <c:pt idx="16">
                    <c:v>5</c:v>
                  </c:pt>
                  <c:pt idx="17">
                    <c:v>6</c:v>
                  </c:pt>
                  <c:pt idx="18">
                    <c:v>7</c:v>
                  </c:pt>
                  <c:pt idx="19">
                    <c:v>8</c:v>
                  </c:pt>
                  <c:pt idx="20">
                    <c:v>9</c:v>
                  </c:pt>
                  <c:pt idx="21">
                    <c:v>10</c:v>
                  </c:pt>
                  <c:pt idx="22">
                    <c:v>11</c:v>
                  </c:pt>
                  <c:pt idx="23">
                    <c:v>12</c:v>
                  </c:pt>
                  <c:pt idx="24">
                    <c:v>1</c:v>
                  </c:pt>
                  <c:pt idx="25">
                    <c:v>2</c:v>
                  </c:pt>
                  <c:pt idx="26">
                    <c:v>3</c:v>
                  </c:pt>
                  <c:pt idx="27">
                    <c:v>4</c:v>
                  </c:pt>
                  <c:pt idx="28">
                    <c:v>5</c:v>
                  </c:pt>
                  <c:pt idx="29">
                    <c:v>6</c:v>
                  </c:pt>
                  <c:pt idx="30">
                    <c:v>7</c:v>
                  </c:pt>
                  <c:pt idx="31">
                    <c:v>8</c:v>
                  </c:pt>
                  <c:pt idx="32">
                    <c:v>9</c:v>
                  </c:pt>
                  <c:pt idx="33">
                    <c:v>10</c:v>
                  </c:pt>
                  <c:pt idx="34">
                    <c:v>11</c:v>
                  </c:pt>
                  <c:pt idx="35">
                    <c:v>12</c:v>
                  </c:pt>
                  <c:pt idx="36">
                    <c:v>1</c:v>
                  </c:pt>
                  <c:pt idx="37">
                    <c:v>2</c:v>
                  </c:pt>
                  <c:pt idx="38">
                    <c:v>3</c:v>
                  </c:pt>
                  <c:pt idx="39">
                    <c:v>4</c:v>
                  </c:pt>
                  <c:pt idx="40">
                    <c:v>5</c:v>
                  </c:pt>
                  <c:pt idx="41">
                    <c:v>6</c:v>
                  </c:pt>
                  <c:pt idx="42">
                    <c:v>7</c:v>
                  </c:pt>
                  <c:pt idx="43">
                    <c:v>8</c:v>
                  </c:pt>
                  <c:pt idx="44">
                    <c:v>9</c:v>
                  </c:pt>
                  <c:pt idx="45">
                    <c:v>10</c:v>
                  </c:pt>
                  <c:pt idx="46">
                    <c:v>11</c:v>
                  </c:pt>
                  <c:pt idx="47">
                    <c:v>12</c:v>
                  </c:pt>
                  <c:pt idx="48">
                    <c:v>1</c:v>
                  </c:pt>
                  <c:pt idx="49">
                    <c:v>2</c:v>
                  </c:pt>
                  <c:pt idx="50">
                    <c:v>3</c:v>
                  </c:pt>
                  <c:pt idx="51">
                    <c:v>4</c:v>
                  </c:pt>
                  <c:pt idx="52">
                    <c:v>5</c:v>
                  </c:pt>
                  <c:pt idx="53">
                    <c:v>6</c:v>
                  </c:pt>
                  <c:pt idx="54">
                    <c:v>7</c:v>
                  </c:pt>
                  <c:pt idx="55">
                    <c:v>8</c:v>
                  </c:pt>
                  <c:pt idx="56">
                    <c:v>9</c:v>
                  </c:pt>
                  <c:pt idx="57">
                    <c:v>10</c:v>
                  </c:pt>
                  <c:pt idx="58">
                    <c:v>11</c:v>
                  </c:pt>
                  <c:pt idx="59">
                    <c:v>12</c:v>
                  </c:pt>
                  <c:pt idx="60">
                    <c:v>1</c:v>
                  </c:pt>
                  <c:pt idx="61">
                    <c:v>2</c:v>
                  </c:pt>
                  <c:pt idx="62">
                    <c:v>3</c:v>
                  </c:pt>
                  <c:pt idx="63">
                    <c:v>4</c:v>
                  </c:pt>
                  <c:pt idx="64">
                    <c:v>5</c:v>
                  </c:pt>
                  <c:pt idx="65">
                    <c:v>6</c:v>
                  </c:pt>
                  <c:pt idx="66">
                    <c:v>7</c:v>
                  </c:pt>
                  <c:pt idx="67">
                    <c:v>8</c:v>
                  </c:pt>
                  <c:pt idx="68">
                    <c:v>9</c:v>
                  </c:pt>
                  <c:pt idx="69">
                    <c:v>10</c:v>
                  </c:pt>
                  <c:pt idx="70">
                    <c:v>11</c:v>
                  </c:pt>
                  <c:pt idx="71">
                    <c:v>12</c:v>
                  </c:pt>
                </c:lvl>
                <c:lvl>
                  <c:pt idx="0">
                    <c:v>2013</c:v>
                  </c:pt>
                  <c:pt idx="12">
                    <c:v>2014</c:v>
                  </c:pt>
                  <c:pt idx="24">
                    <c:v>2015</c:v>
                  </c:pt>
                  <c:pt idx="36">
                    <c:v>2016</c:v>
                  </c:pt>
                  <c:pt idx="48">
                    <c:v>2017</c:v>
                  </c:pt>
                  <c:pt idx="60">
                    <c:v>2018</c:v>
                  </c:pt>
                </c:lvl>
              </c:multiLvlStrCache>
            </c:multiLvlStrRef>
          </c:cat>
          <c:val>
            <c:numRef>
              <c:f>'souhrnná výkonnost 2'!$F$18:$F$89</c:f>
              <c:numCache>
                <c:formatCode>###\ ###\ ##0.0</c:formatCode>
                <c:ptCount val="72"/>
                <c:pt idx="0">
                  <c:v>82.8</c:v>
                </c:pt>
                <c:pt idx="1">
                  <c:v>84.2</c:v>
                </c:pt>
                <c:pt idx="2">
                  <c:v>84.4</c:v>
                </c:pt>
                <c:pt idx="3">
                  <c:v>81.900000000000006</c:v>
                </c:pt>
                <c:pt idx="4">
                  <c:v>83.3</c:v>
                </c:pt>
                <c:pt idx="5">
                  <c:v>83.8</c:v>
                </c:pt>
                <c:pt idx="6">
                  <c:v>83.6</c:v>
                </c:pt>
                <c:pt idx="7">
                  <c:v>84.8</c:v>
                </c:pt>
                <c:pt idx="8">
                  <c:v>87.5</c:v>
                </c:pt>
                <c:pt idx="9">
                  <c:v>88.9</c:v>
                </c:pt>
                <c:pt idx="10">
                  <c:v>90.4</c:v>
                </c:pt>
                <c:pt idx="11">
                  <c:v>91.2</c:v>
                </c:pt>
                <c:pt idx="12">
                  <c:v>91.3</c:v>
                </c:pt>
                <c:pt idx="13">
                  <c:v>91.2</c:v>
                </c:pt>
                <c:pt idx="14">
                  <c:v>92.4</c:v>
                </c:pt>
                <c:pt idx="15">
                  <c:v>92.6</c:v>
                </c:pt>
                <c:pt idx="16">
                  <c:v>92.6</c:v>
                </c:pt>
                <c:pt idx="17">
                  <c:v>93.6</c:v>
                </c:pt>
                <c:pt idx="18" formatCode="###\ ###\ ##0">
                  <c:v>93</c:v>
                </c:pt>
                <c:pt idx="19">
                  <c:v>93.4</c:v>
                </c:pt>
                <c:pt idx="20">
                  <c:v>93.7</c:v>
                </c:pt>
                <c:pt idx="21">
                  <c:v>94.1</c:v>
                </c:pt>
                <c:pt idx="22">
                  <c:v>95.2</c:v>
                </c:pt>
                <c:pt idx="23">
                  <c:v>96.5</c:v>
                </c:pt>
                <c:pt idx="24">
                  <c:v>96.4</c:v>
                </c:pt>
                <c:pt idx="25">
                  <c:v>95.5</c:v>
                </c:pt>
                <c:pt idx="26">
                  <c:v>95.1</c:v>
                </c:pt>
                <c:pt idx="27">
                  <c:v>95.1</c:v>
                </c:pt>
                <c:pt idx="28">
                  <c:v>95.5</c:v>
                </c:pt>
                <c:pt idx="29" formatCode="###\ ###\ ##0">
                  <c:v>97</c:v>
                </c:pt>
                <c:pt idx="30">
                  <c:v>96.1</c:v>
                </c:pt>
                <c:pt idx="31">
                  <c:v>95.7</c:v>
                </c:pt>
                <c:pt idx="32">
                  <c:v>95.9</c:v>
                </c:pt>
                <c:pt idx="33">
                  <c:v>95.1</c:v>
                </c:pt>
                <c:pt idx="34" formatCode="###\ ###\ ##0">
                  <c:v>96</c:v>
                </c:pt>
                <c:pt idx="35">
                  <c:v>96.5</c:v>
                </c:pt>
                <c:pt idx="36" formatCode="0.0">
                  <c:v>98.4</c:v>
                </c:pt>
                <c:pt idx="37" formatCode="0.0">
                  <c:v>97.1</c:v>
                </c:pt>
                <c:pt idx="38" formatCode="0.0">
                  <c:v>96.7</c:v>
                </c:pt>
                <c:pt idx="39" formatCode="0.0">
                  <c:v>95.6</c:v>
                </c:pt>
                <c:pt idx="40" formatCode="0.0">
                  <c:v>96</c:v>
                </c:pt>
                <c:pt idx="41" formatCode="0.0">
                  <c:v>95.3</c:v>
                </c:pt>
                <c:pt idx="42" formatCode="0.0">
                  <c:v>95.4</c:v>
                </c:pt>
                <c:pt idx="43" formatCode="0.0">
                  <c:v>96.8</c:v>
                </c:pt>
                <c:pt idx="44" formatCode="0.0">
                  <c:v>97.1</c:v>
                </c:pt>
                <c:pt idx="45" formatCode="0.0">
                  <c:v>97.5</c:v>
                </c:pt>
                <c:pt idx="46" formatCode="0.0">
                  <c:v>99.3</c:v>
                </c:pt>
                <c:pt idx="47" formatCode="0.0">
                  <c:v>99.1</c:v>
                </c:pt>
                <c:pt idx="48" formatCode="0.0">
                  <c:v>99.2</c:v>
                </c:pt>
                <c:pt idx="49" formatCode="0.0">
                  <c:v>98</c:v>
                </c:pt>
                <c:pt idx="50" formatCode="0.0">
                  <c:v>96.6</c:v>
                </c:pt>
                <c:pt idx="51" formatCode="0.0">
                  <c:v>97.4</c:v>
                </c:pt>
                <c:pt idx="52" formatCode="0.0">
                  <c:v>97.2</c:v>
                </c:pt>
                <c:pt idx="53" formatCode="0.0">
                  <c:v>97.1</c:v>
                </c:pt>
                <c:pt idx="54" formatCode="0.0">
                  <c:v>97.7</c:v>
                </c:pt>
                <c:pt idx="55" formatCode="0.0">
                  <c:v>98.7</c:v>
                </c:pt>
                <c:pt idx="56" formatCode="0.0">
                  <c:v>99.1</c:v>
                </c:pt>
                <c:pt idx="57" formatCode="0.0">
                  <c:v>99.3</c:v>
                </c:pt>
                <c:pt idx="58" formatCode="0.0">
                  <c:v>99</c:v>
                </c:pt>
                <c:pt idx="59" formatCode="0.0">
                  <c:v>99.6</c:v>
                </c:pt>
                <c:pt idx="60" formatCode="0.0">
                  <c:v>99.5</c:v>
                </c:pt>
                <c:pt idx="61" formatCode="0.0">
                  <c:v>99.9</c:v>
                </c:pt>
                <c:pt idx="62" formatCode="0.0">
                  <c:v>99.7</c:v>
                </c:pt>
                <c:pt idx="63" formatCode="0.0">
                  <c:v>100.1</c:v>
                </c:pt>
                <c:pt idx="64" formatCode="0.0">
                  <c:v>99.2</c:v>
                </c:pt>
                <c:pt idx="65" formatCode="0.0">
                  <c:v>100</c:v>
                </c:pt>
                <c:pt idx="66" formatCode="0.0">
                  <c:v>98.7</c:v>
                </c:pt>
                <c:pt idx="67" formatCode="0.0">
                  <c:v>99.1</c:v>
                </c:pt>
                <c:pt idx="68" formatCode="0.0">
                  <c:v>99.6</c:v>
                </c:pt>
                <c:pt idx="69" formatCode="0.0">
                  <c:v>99.8</c:v>
                </c:pt>
                <c:pt idx="70" formatCode="0.0">
                  <c:v>99.3</c:v>
                </c:pt>
                <c:pt idx="71" formatCode="0.0">
                  <c:v>98.6</c:v>
                </c:pt>
              </c:numCache>
            </c:numRef>
          </c:val>
          <c:smooth val="0"/>
          <c:extLst>
            <c:ext xmlns:c16="http://schemas.microsoft.com/office/drawing/2014/chart" uri="{C3380CC4-5D6E-409C-BE32-E72D297353CC}">
              <c16:uniqueId val="{00000003-A7F3-4049-858E-806BB384A4F9}"/>
            </c:ext>
          </c:extLst>
        </c:ser>
        <c:dLbls>
          <c:showLegendKey val="0"/>
          <c:showVal val="0"/>
          <c:showCatName val="0"/>
          <c:showSerName val="0"/>
          <c:showPercent val="0"/>
          <c:showBubbleSize val="0"/>
        </c:dLbls>
        <c:marker val="1"/>
        <c:smooth val="0"/>
        <c:axId val="115149440"/>
        <c:axId val="115163520"/>
      </c:lineChart>
      <c:catAx>
        <c:axId val="115149440"/>
        <c:scaling>
          <c:orientation val="minMax"/>
        </c:scaling>
        <c:delete val="0"/>
        <c:axPos val="b"/>
        <c:numFmt formatCode="General" sourceLinked="0"/>
        <c:majorTickMark val="out"/>
        <c:minorTickMark val="none"/>
        <c:tickLblPos val="low"/>
        <c:spPr>
          <a:ln>
            <a:solidFill>
              <a:schemeClr val="tx1"/>
            </a:solidFill>
          </a:ln>
        </c:spPr>
        <c:crossAx val="115163520"/>
        <c:crossesAt val="100"/>
        <c:auto val="1"/>
        <c:lblAlgn val="ctr"/>
        <c:lblOffset val="100"/>
        <c:noMultiLvlLbl val="0"/>
      </c:catAx>
      <c:valAx>
        <c:axId val="115163520"/>
        <c:scaling>
          <c:orientation val="minMax"/>
          <c:max val="130"/>
          <c:min val="7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149440"/>
        <c:crosses val="autoZero"/>
        <c:crossBetween val="between"/>
        <c:majorUnit val="5"/>
      </c:valAx>
      <c:valAx>
        <c:axId val="115165056"/>
        <c:scaling>
          <c:orientation val="minMax"/>
          <c:max val="6"/>
          <c:min val="-6"/>
        </c:scaling>
        <c:delete val="0"/>
        <c:axPos val="r"/>
        <c:numFmt formatCode="0" sourceLinked="0"/>
        <c:majorTickMark val="out"/>
        <c:minorTickMark val="none"/>
        <c:tickLblPos val="nextTo"/>
        <c:spPr>
          <a:ln>
            <a:solidFill>
              <a:schemeClr val="tx1"/>
            </a:solidFill>
          </a:ln>
        </c:spPr>
        <c:crossAx val="115166592"/>
        <c:crosses val="max"/>
        <c:crossBetween val="between"/>
        <c:majorUnit val="1"/>
      </c:valAx>
      <c:catAx>
        <c:axId val="115166592"/>
        <c:scaling>
          <c:orientation val="minMax"/>
        </c:scaling>
        <c:delete val="1"/>
        <c:axPos val="b"/>
        <c:majorTickMark val="out"/>
        <c:minorTickMark val="none"/>
        <c:tickLblPos val="none"/>
        <c:crossAx val="115165056"/>
        <c:crossesAt val="0"/>
        <c:auto val="1"/>
        <c:lblAlgn val="ctr"/>
        <c:lblOffset val="100"/>
        <c:noMultiLvlLbl val="0"/>
      </c:catAx>
      <c:spPr>
        <a:ln>
          <a:solidFill>
            <a:schemeClr val="tx1"/>
          </a:solidFill>
        </a:ln>
      </c:spPr>
    </c:plotArea>
    <c:legend>
      <c:legendPos val="b"/>
      <c:layout>
        <c:manualLayout>
          <c:xMode val="edge"/>
          <c:yMode val="edge"/>
          <c:x val="6.2295583422442583E-2"/>
          <c:y val="0.90228835978835553"/>
          <c:w val="0.88075331324325201"/>
          <c:h val="8.2645784081954179E-2"/>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306186868686933E-2"/>
          <c:y val="1.544165056508486E-2"/>
          <c:w val="0.89338762626262558"/>
          <c:h val="0.74932369614512473"/>
        </c:manualLayout>
      </c:layout>
      <c:barChart>
        <c:barDir val="col"/>
        <c:grouping val="clustered"/>
        <c:varyColors val="0"/>
        <c:ser>
          <c:idx val="4"/>
          <c:order val="4"/>
          <c:tx>
            <c:strRef>
              <c:f>'Státní rozpočet-důchody'!$F$25</c:f>
              <c:strCache>
                <c:ptCount val="1"/>
                <c:pt idx="0">
                  <c:v>Balance of incomes and expenditures on pensions (right axis)*</c:v>
                </c:pt>
              </c:strCache>
            </c:strRef>
          </c:tx>
          <c:spPr>
            <a:solidFill>
              <a:srgbClr val="A6A6A6"/>
            </a:solidFill>
            <a:ln w="22225">
              <a:noFill/>
            </a:ln>
          </c:spPr>
          <c:invertIfNegative val="0"/>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rozpočet-důchody'!$F$26:$F$39</c:f>
              <c:numCache>
                <c:formatCode>0.0</c:formatCode>
                <c:ptCount val="14"/>
                <c:pt idx="0">
                  <c:v>6.489999999999986</c:v>
                </c:pt>
                <c:pt idx="1">
                  <c:v>-0.95099999999998808</c:v>
                </c:pt>
                <c:pt idx="2">
                  <c:v>9.8049999999999962</c:v>
                </c:pt>
                <c:pt idx="3">
                  <c:v>2.518000000000006</c:v>
                </c:pt>
                <c:pt idx="4">
                  <c:v>-36.887999999999998</c:v>
                </c:pt>
                <c:pt idx="5">
                  <c:v>-35.613000000000042</c:v>
                </c:pt>
                <c:pt idx="6">
                  <c:v>-45.369000000000014</c:v>
                </c:pt>
                <c:pt idx="7">
                  <c:v>-54.930999999999983</c:v>
                </c:pt>
                <c:pt idx="8">
                  <c:v>-55.093000000000004</c:v>
                </c:pt>
                <c:pt idx="9">
                  <c:v>-48.859999999999992</c:v>
                </c:pt>
                <c:pt idx="10">
                  <c:v>-38.910000000000011</c:v>
                </c:pt>
                <c:pt idx="11">
                  <c:v>-21.140000000000015</c:v>
                </c:pt>
                <c:pt idx="12">
                  <c:v>-3.6400000000000095</c:v>
                </c:pt>
                <c:pt idx="13">
                  <c:v>18.390000000000022</c:v>
                </c:pt>
              </c:numCache>
            </c:numRef>
          </c:val>
          <c:extLst>
            <c:ext xmlns:c16="http://schemas.microsoft.com/office/drawing/2014/chart" uri="{C3380CC4-5D6E-409C-BE32-E72D297353CC}">
              <c16:uniqueId val="{00000000-C28B-4922-9D93-16D8BD4B8078}"/>
            </c:ext>
          </c:extLst>
        </c:ser>
        <c:dLbls>
          <c:showLegendKey val="0"/>
          <c:showVal val="0"/>
          <c:showCatName val="0"/>
          <c:showSerName val="0"/>
          <c:showPercent val="0"/>
          <c:showBubbleSize val="0"/>
        </c:dLbls>
        <c:gapWidth val="43"/>
        <c:axId val="307242544"/>
        <c:axId val="307247120"/>
      </c:barChart>
      <c:lineChart>
        <c:grouping val="standard"/>
        <c:varyColors val="0"/>
        <c:ser>
          <c:idx val="1"/>
          <c:order val="0"/>
          <c:tx>
            <c:strRef>
              <c:f>'Státní rozpočet-důchody'!$B$25</c:f>
              <c:strCache>
                <c:ptCount val="1"/>
                <c:pt idx="0">
                  <c:v>Total number of pension recipients</c:v>
                </c:pt>
              </c:strCache>
            </c:strRef>
          </c:tx>
          <c:spPr>
            <a:ln w="19050">
              <a:solidFill>
                <a:srgbClr val="7DBB2D"/>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rozpočet-důchody'!$B$26:$B$39</c:f>
              <c:numCache>
                <c:formatCode>0.0</c:formatCode>
                <c:ptCount val="14"/>
                <c:pt idx="0">
                  <c:v>0.960298339312331</c:v>
                </c:pt>
                <c:pt idx="1">
                  <c:v>1.4039248798675601</c:v>
                </c:pt>
                <c:pt idx="2">
                  <c:v>1.150327971460726</c:v>
                </c:pt>
                <c:pt idx="3">
                  <c:v>1.35219530676099</c:v>
                </c:pt>
                <c:pt idx="4">
                  <c:v>1.2590105491425732</c:v>
                </c:pt>
                <c:pt idx="5">
                  <c:v>1.2590385497583299</c:v>
                </c:pt>
                <c:pt idx="6">
                  <c:v>1.2165575292782336</c:v>
                </c:pt>
                <c:pt idx="7">
                  <c:v>0.78065162316620729</c:v>
                </c:pt>
                <c:pt idx="8">
                  <c:v>-0.27525405331357433</c:v>
                </c:pt>
                <c:pt idx="9">
                  <c:v>0.14223293635680534</c:v>
                </c:pt>
                <c:pt idx="10">
                  <c:v>0.14458216601522622</c:v>
                </c:pt>
                <c:pt idx="11">
                  <c:v>0.69028436103724289</c:v>
                </c:pt>
                <c:pt idx="12">
                  <c:v>0.15432720538825606</c:v>
                </c:pt>
                <c:pt idx="13">
                  <c:v>0.14807670712562526</c:v>
                </c:pt>
              </c:numCache>
            </c:numRef>
          </c:val>
          <c:smooth val="0"/>
          <c:extLst>
            <c:ext xmlns:c16="http://schemas.microsoft.com/office/drawing/2014/chart" uri="{C3380CC4-5D6E-409C-BE32-E72D297353CC}">
              <c16:uniqueId val="{00000001-C28B-4922-9D93-16D8BD4B8078}"/>
            </c:ext>
          </c:extLst>
        </c:ser>
        <c:ser>
          <c:idx val="0"/>
          <c:order val="1"/>
          <c:tx>
            <c:strRef>
              <c:f>'Státní rozpočet-důchody'!$C$25</c:f>
              <c:strCache>
                <c:ptCount val="1"/>
                <c:pt idx="0">
                  <c:v>in that old age pensions at early retirement*</c:v>
                </c:pt>
              </c:strCache>
            </c:strRef>
          </c:tx>
          <c:spPr>
            <a:ln w="19050">
              <a:noFill/>
              <a:prstDash val="solid"/>
            </a:ln>
          </c:spPr>
          <c:marker>
            <c:symbol val="diamond"/>
            <c:size val="6"/>
            <c:spPr>
              <a:solidFill>
                <a:srgbClr val="00B050"/>
              </a:solidFill>
              <a:ln>
                <a:noFill/>
              </a:ln>
            </c:spPr>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rozpočet-důchody'!$C$26:$C$39</c:f>
              <c:numCache>
                <c:formatCode>0.0</c:formatCode>
                <c:ptCount val="14"/>
                <c:pt idx="0">
                  <c:v>3.2587830529622721</c:v>
                </c:pt>
                <c:pt idx="1">
                  <c:v>7.0063233158306417</c:v>
                </c:pt>
                <c:pt idx="2">
                  <c:v>8.7430790291555667</c:v>
                </c:pt>
                <c:pt idx="3">
                  <c:v>7.5226680082491839</c:v>
                </c:pt>
                <c:pt idx="4">
                  <c:v>8.5731981032741089</c:v>
                </c:pt>
                <c:pt idx="5">
                  <c:v>10.22467910738925</c:v>
                </c:pt>
                <c:pt idx="6">
                  <c:v>11.076782390799053</c:v>
                </c:pt>
                <c:pt idx="7">
                  <c:v>11.146255849395658</c:v>
                </c:pt>
                <c:pt idx="8">
                  <c:v>3.6156368485331427</c:v>
                </c:pt>
                <c:pt idx="9">
                  <c:v>3.9770404782658346</c:v>
                </c:pt>
                <c:pt idx="10">
                  <c:v>3.8494695748835284</c:v>
                </c:pt>
                <c:pt idx="11">
                  <c:v>3.294779578105377</c:v>
                </c:pt>
                <c:pt idx="12">
                  <c:v>2.6102682936114832</c:v>
                </c:pt>
                <c:pt idx="13">
                  <c:v>2.0869865859291821</c:v>
                </c:pt>
              </c:numCache>
            </c:numRef>
          </c:val>
          <c:smooth val="0"/>
          <c:extLst>
            <c:ext xmlns:c16="http://schemas.microsoft.com/office/drawing/2014/chart" uri="{C3380CC4-5D6E-409C-BE32-E72D297353CC}">
              <c16:uniqueId val="{00000002-C28B-4922-9D93-16D8BD4B8078}"/>
            </c:ext>
          </c:extLst>
        </c:ser>
        <c:ser>
          <c:idx val="2"/>
          <c:order val="2"/>
          <c:tx>
            <c:strRef>
              <c:f>'Státní rozpočet-důchody'!$D$25</c:f>
              <c:strCache>
                <c:ptCount val="1"/>
                <c:pt idx="0">
                  <c:v>Incomes on pensions</c:v>
                </c:pt>
              </c:strCache>
            </c:strRef>
          </c:tx>
          <c:spPr>
            <a:ln w="22225">
              <a:solidFill>
                <a:srgbClr val="0071BC"/>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rozpočet-důchody'!$D$26:$D$39</c:f>
              <c:numCache>
                <c:formatCode>0.0</c:formatCode>
                <c:ptCount val="14"/>
                <c:pt idx="0">
                  <c:v>6.1875591004399126</c:v>
                </c:pt>
                <c:pt idx="1">
                  <c:v>7.1937432244076405</c:v>
                </c:pt>
                <c:pt idx="2">
                  <c:v>10.113414722242297</c:v>
                </c:pt>
                <c:pt idx="3">
                  <c:v>4.9498130289312883</c:v>
                </c:pt>
                <c:pt idx="4">
                  <c:v>-3.0442256602594142</c:v>
                </c:pt>
                <c:pt idx="5">
                  <c:v>2.4370587666419539</c:v>
                </c:pt>
                <c:pt idx="6">
                  <c:v>3.1815464014853632</c:v>
                </c:pt>
                <c:pt idx="7">
                  <c:v>1.2474075881420106</c:v>
                </c:pt>
                <c:pt idx="8">
                  <c:v>0.14760369912943361</c:v>
                </c:pt>
                <c:pt idx="9">
                  <c:v>2.8454550923419504</c:v>
                </c:pt>
                <c:pt idx="10">
                  <c:v>5.7089377632194527</c:v>
                </c:pt>
                <c:pt idx="11">
                  <c:v>6.0148295706064658</c:v>
                </c:pt>
                <c:pt idx="12">
                  <c:v>8.6721645179811162</c:v>
                </c:pt>
                <c:pt idx="13">
                  <c:v>10.075603024120966</c:v>
                </c:pt>
              </c:numCache>
            </c:numRef>
          </c:val>
          <c:smooth val="0"/>
          <c:extLst>
            <c:ext xmlns:c16="http://schemas.microsoft.com/office/drawing/2014/chart" uri="{C3380CC4-5D6E-409C-BE32-E72D297353CC}">
              <c16:uniqueId val="{00000003-C28B-4922-9D93-16D8BD4B8078}"/>
            </c:ext>
          </c:extLst>
        </c:ser>
        <c:ser>
          <c:idx val="3"/>
          <c:order val="3"/>
          <c:tx>
            <c:strRef>
              <c:f>'Státní rozpočet-důchody'!$E$25</c:f>
              <c:strCache>
                <c:ptCount val="1"/>
                <c:pt idx="0">
                  <c:v>Expenditures on pensions</c:v>
                </c:pt>
              </c:strCache>
            </c:strRef>
          </c:tx>
          <c:spPr>
            <a:ln w="22225">
              <a:solidFill>
                <a:srgbClr val="BD1B25"/>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rozpočet-důchody'!$E$26:$E$39</c:f>
              <c:numCache>
                <c:formatCode>0.0</c:formatCode>
                <c:ptCount val="14"/>
                <c:pt idx="0">
                  <c:v>7.1430118191228047</c:v>
                </c:pt>
                <c:pt idx="1">
                  <c:v>10.316100084886216</c:v>
                </c:pt>
                <c:pt idx="2">
                  <c:v>6.2086174613702099</c:v>
                </c:pt>
                <c:pt idx="3">
                  <c:v>7.8235669558917209</c:v>
                </c:pt>
                <c:pt idx="4">
                  <c:v>8.7210269668386076</c:v>
                </c:pt>
                <c:pt idx="5">
                  <c:v>1.890884904705274</c:v>
                </c:pt>
                <c:pt idx="6">
                  <c:v>6.3128767550611826</c:v>
                </c:pt>
                <c:pt idx="7">
                  <c:v>3.7933104934129176</c:v>
                </c:pt>
                <c:pt idx="8">
                  <c:v>0.19422507597550975</c:v>
                </c:pt>
                <c:pt idx="9">
                  <c:v>0.80125818696718909</c:v>
                </c:pt>
                <c:pt idx="10">
                  <c:v>2.4310595065312128</c:v>
                </c:pt>
                <c:pt idx="11">
                  <c:v>0.9488386215272584</c:v>
                </c:pt>
                <c:pt idx="12">
                  <c:v>3.8649522520490081</c:v>
                </c:pt>
                <c:pt idx="13">
                  <c:v>4.6936460821930979</c:v>
                </c:pt>
              </c:numCache>
            </c:numRef>
          </c:val>
          <c:smooth val="0"/>
          <c:extLst>
            <c:ext xmlns:c16="http://schemas.microsoft.com/office/drawing/2014/chart" uri="{C3380CC4-5D6E-409C-BE32-E72D297353CC}">
              <c16:uniqueId val="{00000004-C28B-4922-9D93-16D8BD4B8078}"/>
            </c:ext>
          </c:extLst>
        </c:ser>
        <c:dLbls>
          <c:showLegendKey val="0"/>
          <c:showVal val="0"/>
          <c:showCatName val="0"/>
          <c:showSerName val="0"/>
          <c:showPercent val="0"/>
          <c:showBubbleSize val="0"/>
        </c:dLbls>
        <c:marker val="1"/>
        <c:smooth val="0"/>
        <c:axId val="84210432"/>
        <c:axId val="84211968"/>
      </c:lineChart>
      <c:catAx>
        <c:axId val="84210432"/>
        <c:scaling>
          <c:orientation val="minMax"/>
        </c:scaling>
        <c:delete val="0"/>
        <c:axPos val="b"/>
        <c:numFmt formatCode="General" sourceLinked="1"/>
        <c:majorTickMark val="out"/>
        <c:minorTickMark val="none"/>
        <c:tickLblPos val="low"/>
        <c:spPr>
          <a:ln>
            <a:solidFill>
              <a:schemeClr val="bg1">
                <a:lumMod val="50000"/>
              </a:schemeClr>
            </a:solidFill>
          </a:ln>
        </c:spPr>
        <c:crossAx val="84211968"/>
        <c:crossesAt val="0"/>
        <c:auto val="1"/>
        <c:lblAlgn val="ctr"/>
        <c:lblOffset val="0"/>
        <c:noMultiLvlLbl val="0"/>
      </c:catAx>
      <c:valAx>
        <c:axId val="84211968"/>
        <c:scaling>
          <c:orientation val="minMax"/>
          <c:max val="15"/>
          <c:min val="-18"/>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84210432"/>
        <c:crosses val="autoZero"/>
        <c:crossBetween val="between"/>
        <c:majorUnit val="3"/>
      </c:valAx>
      <c:valAx>
        <c:axId val="307247120"/>
        <c:scaling>
          <c:orientation val="minMax"/>
          <c:max val="50"/>
          <c:min val="-60"/>
        </c:scaling>
        <c:delete val="0"/>
        <c:axPos val="r"/>
        <c:numFmt formatCode="0" sourceLinked="0"/>
        <c:majorTickMark val="out"/>
        <c:minorTickMark val="none"/>
        <c:tickLblPos val="nextTo"/>
        <c:crossAx val="307242544"/>
        <c:crosses val="max"/>
        <c:crossBetween val="between"/>
        <c:majorUnit val="10"/>
      </c:valAx>
      <c:catAx>
        <c:axId val="307242544"/>
        <c:scaling>
          <c:orientation val="minMax"/>
        </c:scaling>
        <c:delete val="1"/>
        <c:axPos val="b"/>
        <c:numFmt formatCode="General" sourceLinked="1"/>
        <c:majorTickMark val="out"/>
        <c:minorTickMark val="none"/>
        <c:tickLblPos val="nextTo"/>
        <c:crossAx val="307247120"/>
        <c:crosses val="autoZero"/>
        <c:auto val="1"/>
        <c:lblAlgn val="ctr"/>
        <c:lblOffset val="100"/>
        <c:noMultiLvlLbl val="0"/>
      </c:catAx>
      <c:spPr>
        <a:ln>
          <a:solidFill>
            <a:schemeClr val="tx1"/>
          </a:solidFill>
        </a:ln>
      </c:spPr>
    </c:plotArea>
    <c:legend>
      <c:legendPos val="b"/>
      <c:layout>
        <c:manualLayout>
          <c:xMode val="edge"/>
          <c:yMode val="edge"/>
          <c:x val="4.9599537037037039E-2"/>
          <c:y val="0.81475425170068028"/>
          <c:w val="0.90600946969696972"/>
          <c:h val="0.1783928571428571"/>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306186868686933E-2"/>
          <c:y val="1.544165056508486E-2"/>
          <c:w val="0.89338769905942716"/>
          <c:h val="0.8138071154386346"/>
        </c:manualLayout>
      </c:layout>
      <c:barChart>
        <c:barDir val="col"/>
        <c:grouping val="clustered"/>
        <c:varyColors val="0"/>
        <c:ser>
          <c:idx val="0"/>
          <c:order val="1"/>
          <c:tx>
            <c:strRef>
              <c:f>'Graf-Vládní sektor'!$A$5</c:f>
              <c:strCache>
                <c:ptCount val="1"/>
                <c:pt idx="0">
                  <c:v>Budget balance (Germany)</c:v>
                </c:pt>
              </c:strCache>
            </c:strRef>
          </c:tx>
          <c:spPr>
            <a:solidFill>
              <a:srgbClr val="A6CDE8"/>
            </a:solidFill>
          </c:spPr>
          <c:invertIfNegative val="0"/>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sektor'!$L$5:$Y$5</c:f>
              <c:numCache>
                <c:formatCode>#\ ##0.0</c:formatCode>
                <c:ptCount val="14"/>
                <c:pt idx="0">
                  <c:v>-3.4</c:v>
                </c:pt>
                <c:pt idx="1">
                  <c:v>-1.7</c:v>
                </c:pt>
                <c:pt idx="2">
                  <c:v>0.2</c:v>
                </c:pt>
                <c:pt idx="3">
                  <c:v>-0.2</c:v>
                </c:pt>
                <c:pt idx="4">
                  <c:v>-3.2</c:v>
                </c:pt>
                <c:pt idx="5">
                  <c:v>-4.2</c:v>
                </c:pt>
                <c:pt idx="6">
                  <c:v>-1</c:v>
                </c:pt>
                <c:pt idx="7">
                  <c:v>0</c:v>
                </c:pt>
                <c:pt idx="8">
                  <c:v>-0.1</c:v>
                </c:pt>
                <c:pt idx="9">
                  <c:v>0.6</c:v>
                </c:pt>
                <c:pt idx="10">
                  <c:v>0.8</c:v>
                </c:pt>
                <c:pt idx="11">
                  <c:v>0.9</c:v>
                </c:pt>
                <c:pt idx="12">
                  <c:v>1</c:v>
                </c:pt>
                <c:pt idx="13">
                  <c:v>2.0999999999999996</c:v>
                </c:pt>
              </c:numCache>
            </c:numRef>
          </c:val>
          <c:extLst>
            <c:ext xmlns:c16="http://schemas.microsoft.com/office/drawing/2014/chart" uri="{C3380CC4-5D6E-409C-BE32-E72D297353CC}">
              <c16:uniqueId val="{00000000-F6F9-4BC8-BB8A-4BE0E6641275}"/>
            </c:ext>
          </c:extLst>
        </c:ser>
        <c:ser>
          <c:idx val="2"/>
          <c:order val="2"/>
          <c:tx>
            <c:strRef>
              <c:f>'Graf-Vládní sektor'!$A$6</c:f>
              <c:strCache>
                <c:ptCount val="1"/>
                <c:pt idx="0">
                  <c:v>Budget balance (EU28)</c:v>
                </c:pt>
              </c:strCache>
            </c:strRef>
          </c:tx>
          <c:spPr>
            <a:solidFill>
              <a:srgbClr val="D2E7B6"/>
            </a:solidFill>
          </c:spPr>
          <c:invertIfNegative val="0"/>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sektor'!$L$6:$Y$6</c:f>
              <c:numCache>
                <c:formatCode>#\ ##0.0</c:formatCode>
                <c:ptCount val="14"/>
                <c:pt idx="0">
                  <c:v>-2.5</c:v>
                </c:pt>
                <c:pt idx="1">
                  <c:v>-1.6</c:v>
                </c:pt>
                <c:pt idx="2">
                  <c:v>-0.9</c:v>
                </c:pt>
                <c:pt idx="3">
                  <c:v>-2.5</c:v>
                </c:pt>
                <c:pt idx="4">
                  <c:v>-6.6</c:v>
                </c:pt>
                <c:pt idx="5">
                  <c:v>-6.4</c:v>
                </c:pt>
                <c:pt idx="6">
                  <c:v>-4.5999999999999996</c:v>
                </c:pt>
                <c:pt idx="7">
                  <c:v>-4.3</c:v>
                </c:pt>
                <c:pt idx="8">
                  <c:v>-3.3</c:v>
                </c:pt>
                <c:pt idx="9">
                  <c:v>-2.9</c:v>
                </c:pt>
                <c:pt idx="10">
                  <c:v>-2.2999999999999998</c:v>
                </c:pt>
                <c:pt idx="11">
                  <c:v>-1.7</c:v>
                </c:pt>
                <c:pt idx="12">
                  <c:v>-1</c:v>
                </c:pt>
                <c:pt idx="13">
                  <c:v>-0.53333333333333333</c:v>
                </c:pt>
              </c:numCache>
            </c:numRef>
          </c:val>
          <c:extLst>
            <c:ext xmlns:c16="http://schemas.microsoft.com/office/drawing/2014/chart" uri="{C3380CC4-5D6E-409C-BE32-E72D297353CC}">
              <c16:uniqueId val="{00000001-F6F9-4BC8-BB8A-4BE0E6641275}"/>
            </c:ext>
          </c:extLst>
        </c:ser>
        <c:dLbls>
          <c:showLegendKey val="0"/>
          <c:showVal val="0"/>
          <c:showCatName val="0"/>
          <c:showSerName val="0"/>
          <c:showPercent val="0"/>
          <c:showBubbleSize val="0"/>
        </c:dLbls>
        <c:gapWidth val="150"/>
        <c:axId val="91332608"/>
        <c:axId val="91334144"/>
      </c:barChart>
      <c:lineChart>
        <c:grouping val="standard"/>
        <c:varyColors val="0"/>
        <c:ser>
          <c:idx val="1"/>
          <c:order val="0"/>
          <c:tx>
            <c:strRef>
              <c:f>'Graf-Vládní sektor'!$A$4</c:f>
              <c:strCache>
                <c:ptCount val="1"/>
                <c:pt idx="0">
                  <c:v>Budget balance (CR)</c:v>
                </c:pt>
              </c:strCache>
            </c:strRef>
          </c:tx>
          <c:spPr>
            <a:ln>
              <a:noFill/>
            </a:ln>
          </c:spPr>
          <c:marker>
            <c:symbol val="diamond"/>
            <c:size val="7"/>
            <c:spPr>
              <a:solidFill>
                <a:schemeClr val="accent2">
                  <a:lumMod val="20000"/>
                  <a:lumOff val="80000"/>
                </a:schemeClr>
              </a:solidFill>
              <a:ln>
                <a:solidFill>
                  <a:srgbClr val="FF0000"/>
                </a:solidFill>
              </a:ln>
            </c:spPr>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sektor'!$L$4:$Y$4</c:f>
              <c:numCache>
                <c:formatCode>#\ ##0.0</c:formatCode>
                <c:ptCount val="14"/>
                <c:pt idx="0">
                  <c:v>-3</c:v>
                </c:pt>
                <c:pt idx="1">
                  <c:v>-2.2000000000000002</c:v>
                </c:pt>
                <c:pt idx="2">
                  <c:v>-0.7</c:v>
                </c:pt>
                <c:pt idx="3">
                  <c:v>-2</c:v>
                </c:pt>
                <c:pt idx="4">
                  <c:v>-5.5</c:v>
                </c:pt>
                <c:pt idx="5">
                  <c:v>-4.2</c:v>
                </c:pt>
                <c:pt idx="6">
                  <c:v>-2.7</c:v>
                </c:pt>
                <c:pt idx="7">
                  <c:v>-3.9</c:v>
                </c:pt>
                <c:pt idx="8">
                  <c:v>-1.2</c:v>
                </c:pt>
                <c:pt idx="9">
                  <c:v>-2.1</c:v>
                </c:pt>
                <c:pt idx="10" formatCode="#,##0.00">
                  <c:v>-0.61</c:v>
                </c:pt>
                <c:pt idx="11" formatCode="#,##0.00">
                  <c:v>0.72</c:v>
                </c:pt>
                <c:pt idx="12" formatCode="#,##0.00">
                  <c:v>1.57</c:v>
                </c:pt>
                <c:pt idx="13" formatCode="#,##0.00">
                  <c:v>0.89</c:v>
                </c:pt>
              </c:numCache>
            </c:numRef>
          </c:val>
          <c:smooth val="0"/>
          <c:extLst>
            <c:ext xmlns:c16="http://schemas.microsoft.com/office/drawing/2014/chart" uri="{C3380CC4-5D6E-409C-BE32-E72D297353CC}">
              <c16:uniqueId val="{00000002-F6F9-4BC8-BB8A-4BE0E6641275}"/>
            </c:ext>
          </c:extLst>
        </c:ser>
        <c:dLbls>
          <c:showLegendKey val="0"/>
          <c:showVal val="0"/>
          <c:showCatName val="0"/>
          <c:showSerName val="0"/>
          <c:showPercent val="0"/>
          <c:showBubbleSize val="0"/>
        </c:dLbls>
        <c:marker val="1"/>
        <c:smooth val="0"/>
        <c:axId val="91332608"/>
        <c:axId val="91334144"/>
      </c:lineChart>
      <c:lineChart>
        <c:grouping val="standard"/>
        <c:varyColors val="0"/>
        <c:ser>
          <c:idx val="3"/>
          <c:order val="3"/>
          <c:tx>
            <c:strRef>
              <c:f>'Graf-Vládní sektor'!$A$7</c:f>
              <c:strCache>
                <c:ptCount val="1"/>
                <c:pt idx="0">
                  <c:v>Indebtedness rate (CR), right axis</c:v>
                </c:pt>
              </c:strCache>
            </c:strRef>
          </c:tx>
          <c:spPr>
            <a:ln w="19050">
              <a:solidFill>
                <a:srgbClr val="BD1B25"/>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sektor'!$L$7:$Y$7</c:f>
              <c:numCache>
                <c:formatCode>#\ ##0.0</c:formatCode>
                <c:ptCount val="14"/>
                <c:pt idx="0">
                  <c:v>27.9</c:v>
                </c:pt>
                <c:pt idx="1">
                  <c:v>27.7</c:v>
                </c:pt>
                <c:pt idx="2">
                  <c:v>27.5</c:v>
                </c:pt>
                <c:pt idx="3">
                  <c:v>28.3</c:v>
                </c:pt>
                <c:pt idx="4">
                  <c:v>33.6</c:v>
                </c:pt>
                <c:pt idx="5">
                  <c:v>37.4</c:v>
                </c:pt>
                <c:pt idx="6">
                  <c:v>39.799999999999997</c:v>
                </c:pt>
                <c:pt idx="7">
                  <c:v>44.5</c:v>
                </c:pt>
                <c:pt idx="8">
                  <c:v>44.9</c:v>
                </c:pt>
                <c:pt idx="9">
                  <c:v>42.2</c:v>
                </c:pt>
                <c:pt idx="10" formatCode="#,##0.00">
                  <c:v>39.96</c:v>
                </c:pt>
                <c:pt idx="11" formatCode="#,##0.00">
                  <c:v>36.81</c:v>
                </c:pt>
                <c:pt idx="12" formatCode="#,##0.00">
                  <c:v>34.659999999999997</c:v>
                </c:pt>
                <c:pt idx="13" formatCode="#,##0.00">
                  <c:v>32.71</c:v>
                </c:pt>
              </c:numCache>
            </c:numRef>
          </c:val>
          <c:smooth val="0"/>
          <c:extLst>
            <c:ext xmlns:c16="http://schemas.microsoft.com/office/drawing/2014/chart" uri="{C3380CC4-5D6E-409C-BE32-E72D297353CC}">
              <c16:uniqueId val="{00000003-F6F9-4BC8-BB8A-4BE0E6641275}"/>
            </c:ext>
          </c:extLst>
        </c:ser>
        <c:ser>
          <c:idx val="4"/>
          <c:order val="4"/>
          <c:tx>
            <c:strRef>
              <c:f>'Graf-Vládní sektor'!$A$8</c:f>
              <c:strCache>
                <c:ptCount val="1"/>
                <c:pt idx="0">
                  <c:v>Indebtedness rate (Germany), right axis</c:v>
                </c:pt>
              </c:strCache>
            </c:strRef>
          </c:tx>
          <c:spPr>
            <a:ln w="19050">
              <a:solidFill>
                <a:srgbClr val="0071BC"/>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sektor'!$L$8:$Y$8</c:f>
              <c:numCache>
                <c:formatCode>#\ ##0.0</c:formatCode>
                <c:ptCount val="14"/>
                <c:pt idx="0">
                  <c:v>67</c:v>
                </c:pt>
                <c:pt idx="1">
                  <c:v>66.5</c:v>
                </c:pt>
                <c:pt idx="2">
                  <c:v>63.7</c:v>
                </c:pt>
                <c:pt idx="3">
                  <c:v>65.2</c:v>
                </c:pt>
                <c:pt idx="4">
                  <c:v>72.599999999999994</c:v>
                </c:pt>
                <c:pt idx="5">
                  <c:v>81</c:v>
                </c:pt>
                <c:pt idx="6">
                  <c:v>78.599999999999994</c:v>
                </c:pt>
                <c:pt idx="7">
                  <c:v>79.900000000000006</c:v>
                </c:pt>
                <c:pt idx="8">
                  <c:v>77.400000000000006</c:v>
                </c:pt>
                <c:pt idx="9">
                  <c:v>74.5</c:v>
                </c:pt>
                <c:pt idx="10">
                  <c:v>70.8</c:v>
                </c:pt>
                <c:pt idx="11">
                  <c:v>67.900000000000006</c:v>
                </c:pt>
                <c:pt idx="12">
                  <c:v>63.9</c:v>
                </c:pt>
                <c:pt idx="13">
                  <c:v>61</c:v>
                </c:pt>
              </c:numCache>
            </c:numRef>
          </c:val>
          <c:smooth val="0"/>
          <c:extLst>
            <c:ext xmlns:c16="http://schemas.microsoft.com/office/drawing/2014/chart" uri="{C3380CC4-5D6E-409C-BE32-E72D297353CC}">
              <c16:uniqueId val="{00000004-F6F9-4BC8-BB8A-4BE0E6641275}"/>
            </c:ext>
          </c:extLst>
        </c:ser>
        <c:ser>
          <c:idx val="5"/>
          <c:order val="5"/>
          <c:tx>
            <c:strRef>
              <c:f>'Graf-Vládní sektor'!$A$9</c:f>
              <c:strCache>
                <c:ptCount val="1"/>
                <c:pt idx="0">
                  <c:v>Indebtedness rate (EU28), right axis</c:v>
                </c:pt>
              </c:strCache>
            </c:strRef>
          </c:tx>
          <c:spPr>
            <a:ln w="19050">
              <a:solidFill>
                <a:srgbClr val="7DBB2D"/>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sektor'!$L$9:$Y$9</c:f>
              <c:numCache>
                <c:formatCode>#\ ##0.0</c:formatCode>
                <c:ptCount val="14"/>
                <c:pt idx="0">
                  <c:v>61.5</c:v>
                </c:pt>
                <c:pt idx="1">
                  <c:v>60.1</c:v>
                </c:pt>
                <c:pt idx="2">
                  <c:v>57.5</c:v>
                </c:pt>
                <c:pt idx="3">
                  <c:v>60.7</c:v>
                </c:pt>
                <c:pt idx="4">
                  <c:v>73.3</c:v>
                </c:pt>
                <c:pt idx="5">
                  <c:v>78.8</c:v>
                </c:pt>
                <c:pt idx="6">
                  <c:v>81.400000000000006</c:v>
                </c:pt>
                <c:pt idx="7">
                  <c:v>83.8</c:v>
                </c:pt>
                <c:pt idx="8">
                  <c:v>85.7</c:v>
                </c:pt>
                <c:pt idx="9">
                  <c:v>86.4</c:v>
                </c:pt>
                <c:pt idx="10">
                  <c:v>84.4</c:v>
                </c:pt>
                <c:pt idx="11">
                  <c:v>83.3</c:v>
                </c:pt>
                <c:pt idx="12">
                  <c:v>81.599999999999994</c:v>
                </c:pt>
                <c:pt idx="13">
                  <c:v>80.8</c:v>
                </c:pt>
              </c:numCache>
            </c:numRef>
          </c:val>
          <c:smooth val="0"/>
          <c:extLst>
            <c:ext xmlns:c16="http://schemas.microsoft.com/office/drawing/2014/chart" uri="{C3380CC4-5D6E-409C-BE32-E72D297353CC}">
              <c16:uniqueId val="{00000005-F6F9-4BC8-BB8A-4BE0E6641275}"/>
            </c:ext>
          </c:extLst>
        </c:ser>
        <c:dLbls>
          <c:showLegendKey val="0"/>
          <c:showVal val="0"/>
          <c:showCatName val="0"/>
          <c:showSerName val="0"/>
          <c:showPercent val="0"/>
          <c:showBubbleSize val="0"/>
        </c:dLbls>
        <c:marker val="1"/>
        <c:smooth val="0"/>
        <c:axId val="91341568"/>
        <c:axId val="91335680"/>
      </c:lineChart>
      <c:catAx>
        <c:axId val="91332608"/>
        <c:scaling>
          <c:orientation val="minMax"/>
        </c:scaling>
        <c:delete val="0"/>
        <c:axPos val="b"/>
        <c:numFmt formatCode="General" sourceLinked="1"/>
        <c:majorTickMark val="out"/>
        <c:minorTickMark val="none"/>
        <c:tickLblPos val="low"/>
        <c:spPr>
          <a:ln>
            <a:solidFill>
              <a:schemeClr val="bg1">
                <a:lumMod val="50000"/>
              </a:schemeClr>
            </a:solidFill>
          </a:ln>
        </c:spPr>
        <c:crossAx val="91334144"/>
        <c:crossesAt val="0"/>
        <c:auto val="1"/>
        <c:lblAlgn val="ctr"/>
        <c:lblOffset val="0"/>
        <c:noMultiLvlLbl val="0"/>
      </c:catAx>
      <c:valAx>
        <c:axId val="91334144"/>
        <c:scaling>
          <c:orientation val="minMax"/>
          <c:max val="3"/>
          <c:min val="-7"/>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91332608"/>
        <c:crosses val="autoZero"/>
        <c:crossBetween val="between"/>
        <c:majorUnit val="1"/>
      </c:valAx>
      <c:valAx>
        <c:axId val="91335680"/>
        <c:scaling>
          <c:orientation val="minMax"/>
          <c:max val="100"/>
          <c:min val="0"/>
        </c:scaling>
        <c:delete val="0"/>
        <c:axPos val="r"/>
        <c:numFmt formatCode="#,##0" sourceLinked="0"/>
        <c:majorTickMark val="out"/>
        <c:minorTickMark val="none"/>
        <c:tickLblPos val="nextTo"/>
        <c:crossAx val="91341568"/>
        <c:crosses val="max"/>
        <c:crossBetween val="between"/>
      </c:valAx>
      <c:catAx>
        <c:axId val="91341568"/>
        <c:scaling>
          <c:orientation val="minMax"/>
        </c:scaling>
        <c:delete val="1"/>
        <c:axPos val="b"/>
        <c:numFmt formatCode="General" sourceLinked="1"/>
        <c:majorTickMark val="out"/>
        <c:minorTickMark val="none"/>
        <c:tickLblPos val="none"/>
        <c:crossAx val="91335680"/>
        <c:crosses val="autoZero"/>
        <c:auto val="1"/>
        <c:lblAlgn val="ctr"/>
        <c:lblOffset val="100"/>
        <c:noMultiLvlLbl val="0"/>
      </c:catAx>
      <c:spPr>
        <a:ln>
          <a:solidFill>
            <a:schemeClr val="tx1"/>
          </a:solidFill>
        </a:ln>
      </c:spPr>
    </c:plotArea>
    <c:legend>
      <c:legendPos val="b"/>
      <c:layout>
        <c:manualLayout>
          <c:xMode val="edge"/>
          <c:yMode val="edge"/>
          <c:x val="4.6926978114478116E-2"/>
          <c:y val="0.87595039682539766"/>
          <c:w val="0.8902908249158249"/>
          <c:h val="0.1168500566893423"/>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948352704928246E-2"/>
          <c:y val="2.8458510079622041E-2"/>
          <c:w val="0.93956464282120367"/>
          <c:h val="0.6497469886299676"/>
        </c:manualLayout>
      </c:layout>
      <c:barChart>
        <c:barDir val="col"/>
        <c:grouping val="stacked"/>
        <c:varyColors val="0"/>
        <c:ser>
          <c:idx val="5"/>
          <c:order val="1"/>
          <c:tx>
            <c:strRef>
              <c:f>'souhrnná výkonnost 3'!$D$5</c:f>
              <c:strCache>
                <c:ptCount val="1"/>
                <c:pt idx="0">
                  <c:v>Final consumption expenditure of households (inc. non-profit inst.)</c:v>
                </c:pt>
              </c:strCache>
            </c:strRef>
          </c:tx>
          <c:spPr>
            <a:solidFill>
              <a:srgbClr val="0071BC"/>
            </a:solidFill>
            <a:ln>
              <a:noFill/>
            </a:ln>
          </c:spPr>
          <c:invertIfNegative val="0"/>
          <c:val>
            <c:numRef>
              <c:f>'souhrnná výkonnost 3'!$D$10:$D$33</c:f>
              <c:numCache>
                <c:formatCode>#\ ##0.0</c:formatCode>
                <c:ptCount val="24"/>
                <c:pt idx="0">
                  <c:v>0.40597446298276663</c:v>
                </c:pt>
                <c:pt idx="1">
                  <c:v>0.39628462481417587</c:v>
                </c:pt>
                <c:pt idx="2">
                  <c:v>0.10072438430113123</c:v>
                </c:pt>
                <c:pt idx="3">
                  <c:v>-0.14406158457489229</c:v>
                </c:pt>
                <c:pt idx="4">
                  <c:v>-0.34634066091739607</c:v>
                </c:pt>
                <c:pt idx="5">
                  <c:v>1.9385986465040451E-2</c:v>
                </c:pt>
                <c:pt idx="6">
                  <c:v>0.6409759581575154</c:v>
                </c:pt>
                <c:pt idx="7">
                  <c:v>1.1222751214521565</c:v>
                </c:pt>
                <c:pt idx="8">
                  <c:v>0.95324800193997639</c:v>
                </c:pt>
                <c:pt idx="9">
                  <c:v>0.87834008534043184</c:v>
                </c:pt>
                <c:pt idx="10">
                  <c:v>0.98282233736482061</c:v>
                </c:pt>
                <c:pt idx="11">
                  <c:v>1.2011732247886713</c:v>
                </c:pt>
                <c:pt idx="12">
                  <c:v>0.93830506590305751</c:v>
                </c:pt>
                <c:pt idx="13">
                  <c:v>1.0153624426824208</c:v>
                </c:pt>
                <c:pt idx="14">
                  <c:v>1.2128070502408641</c:v>
                </c:pt>
                <c:pt idx="15">
                  <c:v>1.1229514324692931</c:v>
                </c:pt>
                <c:pt idx="16">
                  <c:v>1.9458738005336886</c:v>
                </c:pt>
                <c:pt idx="17">
                  <c:v>2.2652735745102026</c:v>
                </c:pt>
                <c:pt idx="18">
                  <c:v>2.0895125347925299</c:v>
                </c:pt>
                <c:pt idx="19">
                  <c:v>1.9257383607728384</c:v>
                </c:pt>
                <c:pt idx="20">
                  <c:v>1.4872469872456544</c:v>
                </c:pt>
                <c:pt idx="21">
                  <c:v>1.0676463699887155</c:v>
                </c:pt>
                <c:pt idx="22">
                  <c:v>0.81935055793072309</c:v>
                </c:pt>
                <c:pt idx="23">
                  <c:v>0.56103747497586398</c:v>
                </c:pt>
              </c:numCache>
            </c:numRef>
          </c:val>
          <c:extLst>
            <c:ext xmlns:c16="http://schemas.microsoft.com/office/drawing/2014/chart" uri="{C3380CC4-5D6E-409C-BE32-E72D297353CC}">
              <c16:uniqueId val="{00000000-D3D7-49F7-A3CA-45F473437FC5}"/>
            </c:ext>
          </c:extLst>
        </c:ser>
        <c:ser>
          <c:idx val="4"/>
          <c:order val="2"/>
          <c:tx>
            <c:strRef>
              <c:f>'souhrnná výkonnost 3'!$E$5</c:f>
              <c:strCache>
                <c:ptCount val="1"/>
                <c:pt idx="0">
                  <c:v>Final consumption expenditure of government institutions</c:v>
                </c:pt>
              </c:strCache>
            </c:strRef>
          </c:tx>
          <c:spPr>
            <a:solidFill>
              <a:srgbClr val="A6CDE8"/>
            </a:solidFill>
            <a:ln>
              <a:noFill/>
            </a:ln>
          </c:spPr>
          <c:invertIfNegative val="0"/>
          <c:val>
            <c:numRef>
              <c:f>'souhrnná výkonnost 3'!$E$10:$E$33</c:f>
              <c:numCache>
                <c:formatCode>#\ ##0.0</c:formatCode>
                <c:ptCount val="24"/>
                <c:pt idx="0">
                  <c:v>0.29182349651824041</c:v>
                </c:pt>
                <c:pt idx="1">
                  <c:v>0.39883827436684793</c:v>
                </c:pt>
                <c:pt idx="2">
                  <c:v>0.61835595894915019</c:v>
                </c:pt>
                <c:pt idx="3">
                  <c:v>0.4999741414388828</c:v>
                </c:pt>
                <c:pt idx="4">
                  <c:v>0.1647650452266268</c:v>
                </c:pt>
                <c:pt idx="5">
                  <c:v>0.35920558983442286</c:v>
                </c:pt>
                <c:pt idx="6">
                  <c:v>3.375533070618371E-3</c:v>
                </c:pt>
                <c:pt idx="7">
                  <c:v>0.43296248055129644</c:v>
                </c:pt>
                <c:pt idx="8">
                  <c:v>0.38860653049012461</c:v>
                </c:pt>
                <c:pt idx="9">
                  <c:v>0.42050971602096776</c:v>
                </c:pt>
                <c:pt idx="10">
                  <c:v>0.6826406447636606</c:v>
                </c:pt>
                <c:pt idx="11">
                  <c:v>0.4517370628889108</c:v>
                </c:pt>
                <c:pt idx="12">
                  <c:v>0.43519225643702975</c:v>
                </c:pt>
                <c:pt idx="13">
                  <c:v>0.57425071934076943</c:v>
                </c:pt>
                <c:pt idx="14">
                  <c:v>0.47033661242885427</c:v>
                </c:pt>
                <c:pt idx="15">
                  <c:v>0.44566852961049669</c:v>
                </c:pt>
                <c:pt idx="16">
                  <c:v>0.39517296657767198</c:v>
                </c:pt>
                <c:pt idx="17">
                  <c:v>0.24462460795774524</c:v>
                </c:pt>
                <c:pt idx="18">
                  <c:v>0.15366770388227927</c:v>
                </c:pt>
                <c:pt idx="19">
                  <c:v>0.18391952152497579</c:v>
                </c:pt>
                <c:pt idx="20">
                  <c:v>0.51547910815386211</c:v>
                </c:pt>
                <c:pt idx="21">
                  <c:v>0.49029690704907958</c:v>
                </c:pt>
                <c:pt idx="22">
                  <c:v>0.9</c:v>
                </c:pt>
                <c:pt idx="23">
                  <c:v>0.7</c:v>
                </c:pt>
              </c:numCache>
            </c:numRef>
          </c:val>
          <c:extLst>
            <c:ext xmlns:c16="http://schemas.microsoft.com/office/drawing/2014/chart" uri="{C3380CC4-5D6E-409C-BE32-E72D297353CC}">
              <c16:uniqueId val="{00000001-D3D7-49F7-A3CA-45F473437FC5}"/>
            </c:ext>
          </c:extLst>
        </c:ser>
        <c:ser>
          <c:idx val="3"/>
          <c:order val="3"/>
          <c:tx>
            <c:strRef>
              <c:f>'souhrnná výkonnost 3'!$G$5</c:f>
              <c:strCache>
                <c:ptCount val="1"/>
                <c:pt idx="0">
                  <c:v>Gross capital formation</c:v>
                </c:pt>
              </c:strCache>
            </c:strRef>
          </c:tx>
          <c:spPr>
            <a:solidFill>
              <a:srgbClr val="BD1B21"/>
            </a:solidFill>
            <a:ln>
              <a:noFill/>
            </a:ln>
          </c:spPr>
          <c:invertIfNegative val="0"/>
          <c:val>
            <c:numRef>
              <c:f>'souhrnná výkonnost 3'!$G$10:$G$33</c:f>
              <c:numCache>
                <c:formatCode>#\ ##0.0</c:formatCode>
                <c:ptCount val="24"/>
                <c:pt idx="0">
                  <c:v>-1.539756128807021</c:v>
                </c:pt>
                <c:pt idx="1">
                  <c:v>-2.8196114680342084</c:v>
                </c:pt>
                <c:pt idx="2">
                  <c:v>0.14424204081739037</c:v>
                </c:pt>
                <c:pt idx="3">
                  <c:v>0.30085195313780394</c:v>
                </c:pt>
                <c:pt idx="4">
                  <c:v>3.1093775840910038E-3</c:v>
                </c:pt>
                <c:pt idx="5">
                  <c:v>1.7228402322588214</c:v>
                </c:pt>
                <c:pt idx="6">
                  <c:v>1.2740748429655091</c:v>
                </c:pt>
                <c:pt idx="7">
                  <c:v>0.34209608794035873</c:v>
                </c:pt>
                <c:pt idx="8">
                  <c:v>3.0940088082174997</c:v>
                </c:pt>
                <c:pt idx="9">
                  <c:v>3.9603163536228339</c:v>
                </c:pt>
                <c:pt idx="10">
                  <c:v>2.423010190583867</c:v>
                </c:pt>
                <c:pt idx="11">
                  <c:v>1.1383788063935298</c:v>
                </c:pt>
                <c:pt idx="12">
                  <c:v>0.69863508777302097</c:v>
                </c:pt>
                <c:pt idx="13">
                  <c:v>-1.3723494139423089</c:v>
                </c:pt>
                <c:pt idx="14">
                  <c:v>-0.97881672565525502</c:v>
                </c:pt>
                <c:pt idx="15">
                  <c:v>-0.61772712880565761</c:v>
                </c:pt>
                <c:pt idx="16">
                  <c:v>-0.91202695306872372</c:v>
                </c:pt>
                <c:pt idx="17">
                  <c:v>0.39448109649743185</c:v>
                </c:pt>
                <c:pt idx="18">
                  <c:v>1.7505503340288129</c:v>
                </c:pt>
                <c:pt idx="19">
                  <c:v>2.1128152209543964</c:v>
                </c:pt>
                <c:pt idx="20">
                  <c:v>1.7</c:v>
                </c:pt>
                <c:pt idx="21">
                  <c:v>0.53438288039647419</c:v>
                </c:pt>
                <c:pt idx="22">
                  <c:v>0.6</c:v>
                </c:pt>
                <c:pt idx="23">
                  <c:v>0.5</c:v>
                </c:pt>
              </c:numCache>
            </c:numRef>
          </c:val>
          <c:extLst>
            <c:ext xmlns:c16="http://schemas.microsoft.com/office/drawing/2014/chart" uri="{C3380CC4-5D6E-409C-BE32-E72D297353CC}">
              <c16:uniqueId val="{00000002-D3D7-49F7-A3CA-45F473437FC5}"/>
            </c:ext>
          </c:extLst>
        </c:ser>
        <c:ser>
          <c:idx val="1"/>
          <c:order val="4"/>
          <c:tx>
            <c:strRef>
              <c:f>'souhrnná výkonnost 3'!$F$5</c:f>
              <c:strCache>
                <c:ptCount val="1"/>
                <c:pt idx="0">
                  <c:v>Foreign trade balance</c:v>
                </c:pt>
              </c:strCache>
            </c:strRef>
          </c:tx>
          <c:spPr>
            <a:solidFill>
              <a:srgbClr val="7DBB2D"/>
            </a:solidFill>
            <a:ln>
              <a:noFill/>
            </a:ln>
          </c:spPr>
          <c:invertIfNegative val="0"/>
          <c:val>
            <c:numRef>
              <c:f>'souhrnná výkonnost 3'!$F$10:$F$33</c:f>
              <c:numCache>
                <c:formatCode>#\ ##0.0</c:formatCode>
                <c:ptCount val="24"/>
                <c:pt idx="0">
                  <c:v>-1.1212539863066788</c:v>
                </c:pt>
                <c:pt idx="1">
                  <c:v>0.92540979141000812</c:v>
                </c:pt>
                <c:pt idx="2">
                  <c:v>-1.0354498395259251</c:v>
                </c:pt>
                <c:pt idx="3">
                  <c:v>0.55721289260917883</c:v>
                </c:pt>
                <c:pt idx="4">
                  <c:v>1.7889130945120968</c:v>
                </c:pt>
                <c:pt idx="5">
                  <c:v>0.28187217433750344</c:v>
                </c:pt>
                <c:pt idx="6">
                  <c:v>1.4439285779814037</c:v>
                </c:pt>
                <c:pt idx="7">
                  <c:v>1.4927511797532684</c:v>
                </c:pt>
                <c:pt idx="8">
                  <c:v>0.84168612845165525</c:v>
                </c:pt>
                <c:pt idx="9">
                  <c:v>0.57781958996686633</c:v>
                </c:pt>
                <c:pt idx="10">
                  <c:v>1.5186993594783789</c:v>
                </c:pt>
                <c:pt idx="11">
                  <c:v>2.1434487917698908</c:v>
                </c:pt>
                <c:pt idx="12">
                  <c:v>1.4573635285701187</c:v>
                </c:pt>
                <c:pt idx="13">
                  <c:v>2.1300532057503894</c:v>
                </c:pt>
                <c:pt idx="14">
                  <c:v>0.94178716932770379</c:v>
                </c:pt>
                <c:pt idx="15">
                  <c:v>0.8164685092271653</c:v>
                </c:pt>
                <c:pt idx="16">
                  <c:v>1.4723667997214176</c:v>
                </c:pt>
                <c:pt idx="17">
                  <c:v>2.0147147493291326</c:v>
                </c:pt>
                <c:pt idx="18">
                  <c:v>1.1771214609805769</c:v>
                </c:pt>
                <c:pt idx="19">
                  <c:v>0.82510354577362399</c:v>
                </c:pt>
                <c:pt idx="20">
                  <c:v>0.41800471804078176</c:v>
                </c:pt>
                <c:pt idx="21">
                  <c:v>0.27612011495077349</c:v>
                </c:pt>
                <c:pt idx="22">
                  <c:v>2.0278219585428303E-2</c:v>
                </c:pt>
                <c:pt idx="23">
                  <c:v>0.92533076303029871</c:v>
                </c:pt>
              </c:numCache>
            </c:numRef>
          </c:val>
          <c:extLst>
            <c:ext xmlns:c16="http://schemas.microsoft.com/office/drawing/2014/chart" uri="{C3380CC4-5D6E-409C-BE32-E72D297353CC}">
              <c16:uniqueId val="{00000003-D3D7-49F7-A3CA-45F473437FC5}"/>
            </c:ext>
          </c:extLst>
        </c:ser>
        <c:dLbls>
          <c:showLegendKey val="0"/>
          <c:showVal val="0"/>
          <c:showCatName val="0"/>
          <c:showSerName val="0"/>
          <c:showPercent val="0"/>
          <c:showBubbleSize val="0"/>
        </c:dLbls>
        <c:gapWidth val="40"/>
        <c:overlap val="100"/>
        <c:axId val="115206784"/>
        <c:axId val="115286400"/>
      </c:barChart>
      <c:lineChart>
        <c:grouping val="standard"/>
        <c:varyColors val="0"/>
        <c:ser>
          <c:idx val="0"/>
          <c:order val="0"/>
          <c:tx>
            <c:strRef>
              <c:f>'souhrnná výkonnost 3'!$C$5</c:f>
              <c:strCache>
                <c:ptCount val="1"/>
                <c:pt idx="0">
                  <c:v>GDP</c:v>
                </c:pt>
              </c:strCache>
            </c:strRef>
          </c:tx>
          <c:spPr>
            <a:ln>
              <a:solidFill>
                <a:prstClr val="black"/>
              </a:solidFill>
            </a:ln>
          </c:spPr>
          <c:marker>
            <c:symbol val="none"/>
          </c:marker>
          <c:cat>
            <c:multiLvlStrRef>
              <c:f>'souhrnná výkonnost 3'!$A$10:$B$33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3'!$C$10:$C$33</c:f>
              <c:numCache>
                <c:formatCode>#\ ##0.0</c:formatCode>
                <c:ptCount val="24"/>
                <c:pt idx="0">
                  <c:v>-1.7511683134985221</c:v>
                </c:pt>
                <c:pt idx="1">
                  <c:v>-1.1225511599608557</c:v>
                </c:pt>
                <c:pt idx="2">
                  <c:v>-0.35187335671896869</c:v>
                </c:pt>
                <c:pt idx="3">
                  <c:v>1.3064560933108733</c:v>
                </c:pt>
                <c:pt idx="4">
                  <c:v>1.5996926444217838</c:v>
                </c:pt>
                <c:pt idx="5">
                  <c:v>2.4019552100365242</c:v>
                </c:pt>
                <c:pt idx="6">
                  <c:v>3.4030564515715609</c:v>
                </c:pt>
                <c:pt idx="7">
                  <c:v>3.4380052076485548</c:v>
                </c:pt>
                <c:pt idx="8">
                  <c:v>5.2550726107844561</c:v>
                </c:pt>
                <c:pt idx="9">
                  <c:v>5.7987847820088794</c:v>
                </c:pt>
                <c:pt idx="10">
                  <c:v>5.570766922533239</c:v>
                </c:pt>
                <c:pt idx="11">
                  <c:v>4.9148252973920021</c:v>
                </c:pt>
                <c:pt idx="12">
                  <c:v>3.5623906099722102</c:v>
                </c:pt>
                <c:pt idx="13">
                  <c:v>2.4146777549828156</c:v>
                </c:pt>
                <c:pt idx="14">
                  <c:v>1.6940486553423915</c:v>
                </c:pt>
                <c:pt idx="15">
                  <c:v>1.8037525372218224</c:v>
                </c:pt>
                <c:pt idx="16">
                  <c:v>2.951494542529185</c:v>
                </c:pt>
                <c:pt idx="17">
                  <c:v>4.9632301254937214</c:v>
                </c:pt>
                <c:pt idx="18">
                  <c:v>5.1967259795663656</c:v>
                </c:pt>
                <c:pt idx="19">
                  <c:v>5.0477771937091704</c:v>
                </c:pt>
                <c:pt idx="20">
                  <c:v>4.2055290436672985</c:v>
                </c:pt>
                <c:pt idx="21">
                  <c:v>2.2999999999999998</c:v>
                </c:pt>
                <c:pt idx="22">
                  <c:v>2.4</c:v>
                </c:pt>
                <c:pt idx="23">
                  <c:v>2.6</c:v>
                </c:pt>
              </c:numCache>
            </c:numRef>
          </c:val>
          <c:smooth val="0"/>
          <c:extLst>
            <c:ext xmlns:c16="http://schemas.microsoft.com/office/drawing/2014/chart" uri="{C3380CC4-5D6E-409C-BE32-E72D297353CC}">
              <c16:uniqueId val="{00000004-D3D7-49F7-A3CA-45F473437FC5}"/>
            </c:ext>
          </c:extLst>
        </c:ser>
        <c:dLbls>
          <c:showLegendKey val="0"/>
          <c:showVal val="0"/>
          <c:showCatName val="0"/>
          <c:showSerName val="0"/>
          <c:showPercent val="0"/>
          <c:showBubbleSize val="0"/>
        </c:dLbls>
        <c:marker val="1"/>
        <c:smooth val="0"/>
        <c:axId val="115206784"/>
        <c:axId val="115286400"/>
      </c:lineChart>
      <c:catAx>
        <c:axId val="11520678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286400"/>
        <c:crosses val="autoZero"/>
        <c:auto val="1"/>
        <c:lblAlgn val="ctr"/>
        <c:lblOffset val="100"/>
        <c:noMultiLvlLbl val="0"/>
      </c:catAx>
      <c:valAx>
        <c:axId val="115286400"/>
        <c:scaling>
          <c:orientation val="minMax"/>
          <c:max val="6"/>
          <c:min val="-4"/>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206784"/>
        <c:crosses val="autoZero"/>
        <c:crossBetween val="between"/>
        <c:majorUnit val="1"/>
      </c:valAx>
      <c:spPr>
        <a:ln>
          <a:solidFill>
            <a:schemeClr val="tx1"/>
          </a:solidFill>
        </a:ln>
      </c:spPr>
    </c:plotArea>
    <c:legend>
      <c:legendPos val="b"/>
      <c:layout>
        <c:manualLayout>
          <c:xMode val="edge"/>
          <c:yMode val="edge"/>
          <c:x val="4.4891184424094004E-2"/>
          <c:y val="0.79301446583361457"/>
          <c:w val="0.94049666651103803"/>
          <c:h val="0.19014325115388939"/>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4404035346808687E-2"/>
          <c:y val="3.7154479717354444E-2"/>
          <c:w val="0.93674937195830332"/>
          <c:h val="0.63445260610154264"/>
        </c:manualLayout>
      </c:layout>
      <c:barChart>
        <c:barDir val="col"/>
        <c:grouping val="stacked"/>
        <c:varyColors val="0"/>
        <c:ser>
          <c:idx val="4"/>
          <c:order val="0"/>
          <c:tx>
            <c:strRef>
              <c:f>'souhrnná výkonnost 4'!$C$5</c:f>
              <c:strCache>
                <c:ptCount val="1"/>
                <c:pt idx="0">
                  <c:v>Agriculture, forestry and fishing</c:v>
                </c:pt>
              </c:strCache>
            </c:strRef>
          </c:tx>
          <c:spPr>
            <a:solidFill>
              <a:srgbClr val="0071BC"/>
            </a:solidFill>
            <a:ln>
              <a:noFill/>
            </a:ln>
          </c:spPr>
          <c:invertIfNegative val="0"/>
          <c:val>
            <c:numRef>
              <c:f>'souhrnná výkonnost 4'!$C$10:$C$33</c:f>
              <c:numCache>
                <c:formatCode>#\ ##0.0</c:formatCode>
                <c:ptCount val="24"/>
                <c:pt idx="0">
                  <c:v>-4.7206269934129422E-2</c:v>
                </c:pt>
                <c:pt idx="1">
                  <c:v>-0.11971862255114971</c:v>
                </c:pt>
                <c:pt idx="2">
                  <c:v>-8.9582831798117546E-2</c:v>
                </c:pt>
                <c:pt idx="3">
                  <c:v>1.1154895629322209E-3</c:v>
                </c:pt>
                <c:pt idx="4">
                  <c:v>0.10484022899366492</c:v>
                </c:pt>
                <c:pt idx="5">
                  <c:v>0.23303189360207813</c:v>
                </c:pt>
                <c:pt idx="6">
                  <c:v>0.28109723711472029</c:v>
                </c:pt>
                <c:pt idx="7">
                  <c:v>0.24717682951386641</c:v>
                </c:pt>
                <c:pt idx="8">
                  <c:v>0.26823173927838584</c:v>
                </c:pt>
                <c:pt idx="9">
                  <c:v>0.14948544343377107</c:v>
                </c:pt>
                <c:pt idx="10">
                  <c:v>9.4306850455799285E-2</c:v>
                </c:pt>
                <c:pt idx="11">
                  <c:v>9.406314403563476E-2</c:v>
                </c:pt>
                <c:pt idx="12">
                  <c:v>1.5298427987703245E-2</c:v>
                </c:pt>
                <c:pt idx="13">
                  <c:v>0.12019796922604381</c:v>
                </c:pt>
                <c:pt idx="14">
                  <c:v>0.11238136571352417</c:v>
                </c:pt>
                <c:pt idx="15">
                  <c:v>8.4281943656207142E-2</c:v>
                </c:pt>
                <c:pt idx="16">
                  <c:v>1.5223476963877533E-2</c:v>
                </c:pt>
                <c:pt idx="17">
                  <c:v>-7.4308208257119993E-2</c:v>
                </c:pt>
                <c:pt idx="18">
                  <c:v>-0.1100961441944634</c:v>
                </c:pt>
                <c:pt idx="19">
                  <c:v>-0.10583189318283943</c:v>
                </c:pt>
                <c:pt idx="20">
                  <c:v>-9.6355561876134116E-2</c:v>
                </c:pt>
                <c:pt idx="21">
                  <c:v>-8.2873829708365362E-2</c:v>
                </c:pt>
                <c:pt idx="22">
                  <c:v>-5.2133372629545101E-2</c:v>
                </c:pt>
                <c:pt idx="23">
                  <c:v>-3.2058598089916103E-2</c:v>
                </c:pt>
              </c:numCache>
            </c:numRef>
          </c:val>
          <c:extLst>
            <c:ext xmlns:c16="http://schemas.microsoft.com/office/drawing/2014/chart" uri="{C3380CC4-5D6E-409C-BE32-E72D297353CC}">
              <c16:uniqueId val="{00000000-4A91-4A02-9044-D6AC3B285219}"/>
            </c:ext>
          </c:extLst>
        </c:ser>
        <c:ser>
          <c:idx val="3"/>
          <c:order val="1"/>
          <c:tx>
            <c:strRef>
              <c:f>'souhrnná výkonnost 4'!$D$5</c:f>
              <c:strCache>
                <c:ptCount val="1"/>
                <c:pt idx="0">
                  <c:v>Manufacturing (CZ-NACE C)</c:v>
                </c:pt>
              </c:strCache>
            </c:strRef>
          </c:tx>
          <c:spPr>
            <a:solidFill>
              <a:srgbClr val="A6CDE8"/>
            </a:solidFill>
            <a:ln>
              <a:noFill/>
            </a:ln>
          </c:spPr>
          <c:invertIfNegative val="0"/>
          <c:val>
            <c:numRef>
              <c:f>'souhrnná výkonnost 4'!$D$10:$D$33</c:f>
              <c:numCache>
                <c:formatCode>#\ ##0.0</c:formatCode>
                <c:ptCount val="24"/>
                <c:pt idx="0">
                  <c:v>-0.82108999780391001</c:v>
                </c:pt>
                <c:pt idx="1">
                  <c:v>-0.62795053182774518</c:v>
                </c:pt>
                <c:pt idx="2">
                  <c:v>-0.63177475521928539</c:v>
                </c:pt>
                <c:pt idx="3">
                  <c:v>-0.60159903153105143</c:v>
                </c:pt>
                <c:pt idx="4">
                  <c:v>0.42074322312377188</c:v>
                </c:pt>
                <c:pt idx="5">
                  <c:v>1.1868852285094129</c:v>
                </c:pt>
                <c:pt idx="6">
                  <c:v>1.9567554935777904</c:v>
                </c:pt>
                <c:pt idx="7">
                  <c:v>2.5583690194642501</c:v>
                </c:pt>
                <c:pt idx="8">
                  <c:v>2.0456114828451173</c:v>
                </c:pt>
                <c:pt idx="9">
                  <c:v>1.6702996907805565</c:v>
                </c:pt>
                <c:pt idx="10">
                  <c:v>1.3766545744913377</c:v>
                </c:pt>
                <c:pt idx="11">
                  <c:v>0.74581262523505754</c:v>
                </c:pt>
                <c:pt idx="12">
                  <c:v>1.0172208499984978</c:v>
                </c:pt>
                <c:pt idx="13">
                  <c:v>0.54073292742156021</c:v>
                </c:pt>
                <c:pt idx="14">
                  <c:v>0.74515782437277844</c:v>
                </c:pt>
                <c:pt idx="15">
                  <c:v>1.1608262664011106</c:v>
                </c:pt>
                <c:pt idx="16">
                  <c:v>1.9829195456844466</c:v>
                </c:pt>
                <c:pt idx="17">
                  <c:v>3.383770141372497</c:v>
                </c:pt>
                <c:pt idx="18">
                  <c:v>3.5515728725029971</c:v>
                </c:pt>
                <c:pt idx="19">
                  <c:v>3.0210161964588012</c:v>
                </c:pt>
                <c:pt idx="20">
                  <c:v>2.0156583927773184</c:v>
                </c:pt>
                <c:pt idx="21">
                  <c:v>0.66648902265502485</c:v>
                </c:pt>
                <c:pt idx="22">
                  <c:v>0.32803863027081887</c:v>
                </c:pt>
                <c:pt idx="23">
                  <c:v>0.69907970655174434</c:v>
                </c:pt>
              </c:numCache>
            </c:numRef>
          </c:val>
          <c:extLst>
            <c:ext xmlns:c16="http://schemas.microsoft.com/office/drawing/2014/chart" uri="{C3380CC4-5D6E-409C-BE32-E72D297353CC}">
              <c16:uniqueId val="{00000001-4A91-4A02-9044-D6AC3B285219}"/>
            </c:ext>
          </c:extLst>
        </c:ser>
        <c:ser>
          <c:idx val="2"/>
          <c:order val="2"/>
          <c:tx>
            <c:strRef>
              <c:f>'souhrnná výkonnost 4'!$E$5</c:f>
              <c:strCache>
                <c:ptCount val="1"/>
                <c:pt idx="0">
                  <c:v>Other industrial branches (CZ-NACE B,D,E)</c:v>
                </c:pt>
              </c:strCache>
            </c:strRef>
          </c:tx>
          <c:spPr>
            <a:solidFill>
              <a:srgbClr val="BD1B21"/>
            </a:solidFill>
            <a:ln>
              <a:noFill/>
            </a:ln>
          </c:spPr>
          <c:invertIfNegative val="0"/>
          <c:val>
            <c:numRef>
              <c:f>'souhrnná výkonnost 4'!$E$10:$E$33</c:f>
              <c:numCache>
                <c:formatCode>#\ ##0.0</c:formatCode>
                <c:ptCount val="24"/>
                <c:pt idx="0">
                  <c:v>-0.98505210312746827</c:v>
                </c:pt>
                <c:pt idx="1">
                  <c:v>-1.0097047828852694</c:v>
                </c:pt>
                <c:pt idx="2">
                  <c:v>-0.65192200514203069</c:v>
                </c:pt>
                <c:pt idx="3">
                  <c:v>-0.22723397016880276</c:v>
                </c:pt>
                <c:pt idx="4">
                  <c:v>0.37424666108654747</c:v>
                </c:pt>
                <c:pt idx="5">
                  <c:v>0.10237488857645771</c:v>
                </c:pt>
                <c:pt idx="6">
                  <c:v>-0.10556119406722497</c:v>
                </c:pt>
                <c:pt idx="7">
                  <c:v>-0.159619194225185</c:v>
                </c:pt>
                <c:pt idx="8">
                  <c:v>-0.12486694839002821</c:v>
                </c:pt>
                <c:pt idx="9">
                  <c:v>9.7685740381325825E-3</c:v>
                </c:pt>
                <c:pt idx="10">
                  <c:v>1.8886282982711888E-2</c:v>
                </c:pt>
                <c:pt idx="11">
                  <c:v>-0.11860623658777791</c:v>
                </c:pt>
                <c:pt idx="12">
                  <c:v>-0.46095331826814501</c:v>
                </c:pt>
                <c:pt idx="13">
                  <c:v>-0.29612577965425507</c:v>
                </c:pt>
                <c:pt idx="14">
                  <c:v>-0.38011145584839146</c:v>
                </c:pt>
                <c:pt idx="15">
                  <c:v>-0.15646644139843158</c:v>
                </c:pt>
                <c:pt idx="16">
                  <c:v>7.4826037810895807E-2</c:v>
                </c:pt>
                <c:pt idx="17">
                  <c:v>-4.1125865248032412E-2</c:v>
                </c:pt>
                <c:pt idx="18">
                  <c:v>0.12800220372520066</c:v>
                </c:pt>
                <c:pt idx="19">
                  <c:v>-2.0745047871292055E-2</c:v>
                </c:pt>
                <c:pt idx="20">
                  <c:v>-0.1530317502417462</c:v>
                </c:pt>
                <c:pt idx="21">
                  <c:v>-6.0934899112849328E-2</c:v>
                </c:pt>
                <c:pt idx="22" formatCode="General">
                  <c:v>0.19935125060450237</c:v>
                </c:pt>
                <c:pt idx="23" formatCode="General">
                  <c:v>4.7198815832797614E-2</c:v>
                </c:pt>
              </c:numCache>
            </c:numRef>
          </c:val>
          <c:extLst>
            <c:ext xmlns:c16="http://schemas.microsoft.com/office/drawing/2014/chart" uri="{C3380CC4-5D6E-409C-BE32-E72D297353CC}">
              <c16:uniqueId val="{00000002-4A91-4A02-9044-D6AC3B285219}"/>
            </c:ext>
          </c:extLst>
        </c:ser>
        <c:ser>
          <c:idx val="1"/>
          <c:order val="3"/>
          <c:tx>
            <c:strRef>
              <c:f>'souhrnná výkonnost 4'!$F$5</c:f>
              <c:strCache>
                <c:ptCount val="1"/>
                <c:pt idx="0">
                  <c:v>Construction</c:v>
                </c:pt>
              </c:strCache>
            </c:strRef>
          </c:tx>
          <c:spPr>
            <a:solidFill>
              <a:srgbClr val="E8AFB2"/>
            </a:solidFill>
            <a:ln>
              <a:noFill/>
            </a:ln>
          </c:spPr>
          <c:invertIfNegative val="0"/>
          <c:val>
            <c:numRef>
              <c:f>'souhrnná výkonnost 4'!$F$10:$F$33</c:f>
              <c:numCache>
                <c:formatCode>#\ ##0.0</c:formatCode>
                <c:ptCount val="24"/>
                <c:pt idx="0">
                  <c:v>-9.3325688188071534E-2</c:v>
                </c:pt>
                <c:pt idx="1">
                  <c:v>6.9142616979526436E-2</c:v>
                </c:pt>
                <c:pt idx="2">
                  <c:v>0.13786913343723728</c:v>
                </c:pt>
                <c:pt idx="3">
                  <c:v>0.16383091405829647</c:v>
                </c:pt>
                <c:pt idx="4">
                  <c:v>0.20523242964120858</c:v>
                </c:pt>
                <c:pt idx="5">
                  <c:v>8.0476659503907658E-2</c:v>
                </c:pt>
                <c:pt idx="6">
                  <c:v>3.4966330205502577E-2</c:v>
                </c:pt>
                <c:pt idx="7">
                  <c:v>0.13500830058584118</c:v>
                </c:pt>
                <c:pt idx="8">
                  <c:v>0.12988031583912305</c:v>
                </c:pt>
                <c:pt idx="9">
                  <c:v>0.27364277251097802</c:v>
                </c:pt>
                <c:pt idx="10">
                  <c:v>0.34260174976950719</c:v>
                </c:pt>
                <c:pt idx="11">
                  <c:v>0.14326265942419522</c:v>
                </c:pt>
                <c:pt idx="12">
                  <c:v>-2.8321751396452415E-2</c:v>
                </c:pt>
                <c:pt idx="13">
                  <c:v>-0.2266549076208873</c:v>
                </c:pt>
                <c:pt idx="14">
                  <c:v>-0.33919566041548832</c:v>
                </c:pt>
                <c:pt idx="15">
                  <c:v>-0.26185884641425</c:v>
                </c:pt>
                <c:pt idx="16">
                  <c:v>-0.2919792752497829</c:v>
                </c:pt>
                <c:pt idx="17">
                  <c:v>-0.12429976252850211</c:v>
                </c:pt>
                <c:pt idx="18">
                  <c:v>-5.2539251264632304E-2</c:v>
                </c:pt>
                <c:pt idx="19">
                  <c:v>-4.7966155185397485E-2</c:v>
                </c:pt>
                <c:pt idx="20">
                  <c:v>0.3116803113499747</c:v>
                </c:pt>
                <c:pt idx="21">
                  <c:v>0.32122271333089875</c:v>
                </c:pt>
                <c:pt idx="22">
                  <c:v>0.37091271338336862</c:v>
                </c:pt>
                <c:pt idx="23">
                  <c:v>0.41610819905952123</c:v>
                </c:pt>
              </c:numCache>
            </c:numRef>
          </c:val>
          <c:extLst>
            <c:ext xmlns:c16="http://schemas.microsoft.com/office/drawing/2014/chart" uri="{C3380CC4-5D6E-409C-BE32-E72D297353CC}">
              <c16:uniqueId val="{00000003-4A91-4A02-9044-D6AC3B285219}"/>
            </c:ext>
          </c:extLst>
        </c:ser>
        <c:ser>
          <c:idx val="0"/>
          <c:order val="4"/>
          <c:tx>
            <c:strRef>
              <c:f>'souhrnná výkonnost 4'!$G$5</c:f>
              <c:strCache>
                <c:ptCount val="1"/>
                <c:pt idx="0">
                  <c:v>Services (CZ-NACE G to U)</c:v>
                </c:pt>
              </c:strCache>
            </c:strRef>
          </c:tx>
          <c:spPr>
            <a:solidFill>
              <a:srgbClr val="7DBB2D"/>
            </a:solidFill>
            <a:ln>
              <a:noFill/>
            </a:ln>
          </c:spPr>
          <c:invertIfNegative val="0"/>
          <c:val>
            <c:numRef>
              <c:f>'souhrnná výkonnost 4'!$G$10:$G$33</c:f>
              <c:numCache>
                <c:formatCode>#\ ##0.0</c:formatCode>
                <c:ptCount val="24"/>
                <c:pt idx="0">
                  <c:v>0.33531387573904448</c:v>
                </c:pt>
                <c:pt idx="1">
                  <c:v>0.82602965393402783</c:v>
                </c:pt>
                <c:pt idx="2">
                  <c:v>1.0647317258626734</c:v>
                </c:pt>
                <c:pt idx="3">
                  <c:v>1.3526094152015899</c:v>
                </c:pt>
                <c:pt idx="4">
                  <c:v>1.2015462411733087</c:v>
                </c:pt>
                <c:pt idx="5">
                  <c:v>1.3618962066899474</c:v>
                </c:pt>
                <c:pt idx="6">
                  <c:v>1.6305753628128847</c:v>
                </c:pt>
                <c:pt idx="7">
                  <c:v>1.7371534802280579</c:v>
                </c:pt>
                <c:pt idx="8">
                  <c:v>2.3293944432592837</c:v>
                </c:pt>
                <c:pt idx="9">
                  <c:v>2.9607261994462402</c:v>
                </c:pt>
                <c:pt idx="10">
                  <c:v>3.3104809685977723</c:v>
                </c:pt>
                <c:pt idx="11">
                  <c:v>3.5102997095503525</c:v>
                </c:pt>
                <c:pt idx="12">
                  <c:v>2.8263627195651684</c:v>
                </c:pt>
                <c:pt idx="13">
                  <c:v>2.1630843086592866</c:v>
                </c:pt>
                <c:pt idx="14">
                  <c:v>1.4107617066750833</c:v>
                </c:pt>
                <c:pt idx="15">
                  <c:v>1.1370846005544948</c:v>
                </c:pt>
                <c:pt idx="16">
                  <c:v>1.1261629003567881</c:v>
                </c:pt>
                <c:pt idx="17">
                  <c:v>1.7690458157205164</c:v>
                </c:pt>
                <c:pt idx="18">
                  <c:v>1.6362557113068485</c:v>
                </c:pt>
                <c:pt idx="19">
                  <c:v>1.9697866170629317</c:v>
                </c:pt>
                <c:pt idx="20">
                  <c:v>2.1</c:v>
                </c:pt>
                <c:pt idx="21">
                  <c:v>1.5</c:v>
                </c:pt>
                <c:pt idx="22" formatCode="General">
                  <c:v>1.7</c:v>
                </c:pt>
                <c:pt idx="23" formatCode="General">
                  <c:v>1.8</c:v>
                </c:pt>
              </c:numCache>
            </c:numRef>
          </c:val>
          <c:extLst>
            <c:ext xmlns:c16="http://schemas.microsoft.com/office/drawing/2014/chart" uri="{C3380CC4-5D6E-409C-BE32-E72D297353CC}">
              <c16:uniqueId val="{00000004-4A91-4A02-9044-D6AC3B285219}"/>
            </c:ext>
          </c:extLst>
        </c:ser>
        <c:dLbls>
          <c:showLegendKey val="0"/>
          <c:showVal val="0"/>
          <c:showCatName val="0"/>
          <c:showSerName val="0"/>
          <c:showPercent val="0"/>
          <c:showBubbleSize val="0"/>
        </c:dLbls>
        <c:gapWidth val="70"/>
        <c:overlap val="100"/>
        <c:axId val="115446144"/>
        <c:axId val="115447680"/>
      </c:barChart>
      <c:lineChart>
        <c:grouping val="standard"/>
        <c:varyColors val="0"/>
        <c:ser>
          <c:idx val="5"/>
          <c:order val="5"/>
          <c:tx>
            <c:strRef>
              <c:f>'souhrnná výkonnost 4'!$H$5</c:f>
              <c:strCache>
                <c:ptCount val="1"/>
                <c:pt idx="0">
                  <c:v>Total gross value added</c:v>
                </c:pt>
              </c:strCache>
            </c:strRef>
          </c:tx>
          <c:spPr>
            <a:ln w="19050">
              <a:solidFill>
                <a:prstClr val="black"/>
              </a:solidFill>
            </a:ln>
          </c:spPr>
          <c:marker>
            <c:symbol val="none"/>
          </c:marker>
          <c:cat>
            <c:multiLvlStrRef>
              <c:f>'souhrnná výkonnost 4'!$A$10:$B$33</c:f>
              <c:multiLvlStrCache>
                <c:ptCount val="2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lvl>
                <c:lvl>
                  <c:pt idx="0">
                    <c:v>2013</c:v>
                  </c:pt>
                  <c:pt idx="4">
                    <c:v>2014</c:v>
                  </c:pt>
                  <c:pt idx="8">
                    <c:v>2015</c:v>
                  </c:pt>
                  <c:pt idx="12">
                    <c:v>2016</c:v>
                  </c:pt>
                  <c:pt idx="16">
                    <c:v>2017</c:v>
                  </c:pt>
                  <c:pt idx="20">
                    <c:v>2018</c:v>
                  </c:pt>
                </c:lvl>
              </c:multiLvlStrCache>
            </c:multiLvlStrRef>
          </c:cat>
          <c:val>
            <c:numRef>
              <c:f>'souhrnná výkonnost 4'!$H$10:$H$33</c:f>
              <c:numCache>
                <c:formatCode>#\ ##0.0</c:formatCode>
                <c:ptCount val="24"/>
                <c:pt idx="0">
                  <c:v>-1.6029638849506325</c:v>
                </c:pt>
                <c:pt idx="1">
                  <c:v>-0.85391471561866972</c:v>
                </c:pt>
                <c:pt idx="2">
                  <c:v>-0.17856994731182421</c:v>
                </c:pt>
                <c:pt idx="3">
                  <c:v>0.67978995359543581</c:v>
                </c:pt>
                <c:pt idx="4">
                  <c:v>2.3247275605985616</c:v>
                </c:pt>
                <c:pt idx="5">
                  <c:v>2.9677793446742413</c:v>
                </c:pt>
                <c:pt idx="6">
                  <c:v>3.7862627849497223</c:v>
                </c:pt>
                <c:pt idx="7">
                  <c:v>4.5085738953991772</c:v>
                </c:pt>
                <c:pt idx="8">
                  <c:v>4.6449632769544067</c:v>
                </c:pt>
                <c:pt idx="9">
                  <c:v>5.0617095222013688</c:v>
                </c:pt>
                <c:pt idx="10">
                  <c:v>5.1392793226927225</c:v>
                </c:pt>
                <c:pt idx="11">
                  <c:v>4.3837812230315532</c:v>
                </c:pt>
                <c:pt idx="12">
                  <c:v>3.3693001484089824</c:v>
                </c:pt>
                <c:pt idx="13">
                  <c:v>2.3056178950667725</c:v>
                </c:pt>
                <c:pt idx="14">
                  <c:v>1.5499257674343776</c:v>
                </c:pt>
                <c:pt idx="15">
                  <c:v>1.9589295741354551</c:v>
                </c:pt>
                <c:pt idx="16">
                  <c:v>2.9235011230373464</c:v>
                </c:pt>
                <c:pt idx="17">
                  <c:v>4.9159154362708826</c:v>
                </c:pt>
                <c:pt idx="18">
                  <c:v>5.1480576847178785</c:v>
                </c:pt>
                <c:pt idx="19">
                  <c:v>4.8024567059751302</c:v>
                </c:pt>
                <c:pt idx="20">
                  <c:v>4.3062539535985307</c:v>
                </c:pt>
                <c:pt idx="21">
                  <c:v>2.409560175355995</c:v>
                </c:pt>
                <c:pt idx="22">
                  <c:v>2.5</c:v>
                </c:pt>
                <c:pt idx="23">
                  <c:v>2.9</c:v>
                </c:pt>
              </c:numCache>
            </c:numRef>
          </c:val>
          <c:smooth val="0"/>
          <c:extLst>
            <c:ext xmlns:c16="http://schemas.microsoft.com/office/drawing/2014/chart" uri="{C3380CC4-5D6E-409C-BE32-E72D297353CC}">
              <c16:uniqueId val="{00000005-4A91-4A02-9044-D6AC3B285219}"/>
            </c:ext>
          </c:extLst>
        </c:ser>
        <c:dLbls>
          <c:showLegendKey val="0"/>
          <c:showVal val="0"/>
          <c:showCatName val="0"/>
          <c:showSerName val="0"/>
          <c:showPercent val="0"/>
          <c:showBubbleSize val="0"/>
        </c:dLbls>
        <c:marker val="1"/>
        <c:smooth val="0"/>
        <c:axId val="115446144"/>
        <c:axId val="115447680"/>
      </c:lineChart>
      <c:catAx>
        <c:axId val="115446144"/>
        <c:scaling>
          <c:orientation val="minMax"/>
        </c:scaling>
        <c:delete val="0"/>
        <c:axPos val="b"/>
        <c:majorTickMark val="out"/>
        <c:minorTickMark val="none"/>
        <c:tickLblPos val="low"/>
        <c:spPr>
          <a:ln>
            <a:solidFill>
              <a:schemeClr val="tx1"/>
            </a:solidFill>
          </a:ln>
        </c:spPr>
        <c:txPr>
          <a:bodyPr rot="0" vert="horz"/>
          <a:lstStyle/>
          <a:p>
            <a:pPr>
              <a:defRPr/>
            </a:pPr>
            <a:endParaRPr lang="cs-CZ"/>
          </a:p>
        </c:txPr>
        <c:crossAx val="115447680"/>
        <c:crosses val="autoZero"/>
        <c:auto val="1"/>
        <c:lblAlgn val="ctr"/>
        <c:lblOffset val="100"/>
        <c:noMultiLvlLbl val="0"/>
      </c:catAx>
      <c:valAx>
        <c:axId val="115447680"/>
        <c:scaling>
          <c:orientation val="minMax"/>
          <c:max val="6"/>
          <c:min val="-3"/>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115446144"/>
        <c:crosses val="autoZero"/>
        <c:crossBetween val="between"/>
        <c:majorUnit val="1"/>
      </c:valAx>
      <c:spPr>
        <a:ln>
          <a:solidFill>
            <a:schemeClr val="tx1"/>
          </a:solidFill>
        </a:ln>
      </c:spPr>
    </c:plotArea>
    <c:legend>
      <c:legendPos val="b"/>
      <c:layout>
        <c:manualLayout>
          <c:xMode val="edge"/>
          <c:yMode val="edge"/>
          <c:x val="4.8782884397989404E-2"/>
          <c:y val="0.79016604750647301"/>
          <c:w val="0.92922619274506457"/>
          <c:h val="0.19462484520995055"/>
        </c:manualLayout>
      </c:layout>
      <c:overlay val="0"/>
      <c:spPr>
        <a:ln w="6350">
          <a:solidFill>
            <a:schemeClr val="tx1"/>
          </a:solidFill>
        </a:ln>
      </c:spPr>
    </c:legend>
    <c:plotVisOnly val="1"/>
    <c:dispBlanksAs val="gap"/>
    <c:showDLblsOverMax val="0"/>
  </c:chart>
  <c:spPr>
    <a:ln>
      <a:noFill/>
    </a:ln>
  </c:spPr>
  <c:txPr>
    <a:bodyPr/>
    <a:lstStyle/>
    <a:p>
      <a:pPr>
        <a:defRPr sz="800" baseline="0">
          <a:latin typeface="Arial" pitchFamily="34" charset="0"/>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2768470688525411E-2"/>
          <c:y val="1.6203558522131581E-2"/>
          <c:w val="0.93666788782242216"/>
          <c:h val="0.71950593410789765"/>
        </c:manualLayout>
      </c:layout>
      <c:barChart>
        <c:barDir val="col"/>
        <c:grouping val="stacked"/>
        <c:varyColors val="0"/>
        <c:ser>
          <c:idx val="0"/>
          <c:order val="0"/>
          <c:tx>
            <c:strRef>
              <c:f>'GRAF příspěvky IPP'!$A$32</c:f>
              <c:strCache>
                <c:ptCount val="1"/>
                <c:pt idx="0">
                  <c:v>Manufacture of motor vehicles (29+30)</c:v>
                </c:pt>
              </c:strCache>
            </c:strRef>
          </c:tx>
          <c:spPr>
            <a:solidFill>
              <a:srgbClr val="E8AFB2"/>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IPP'!$B$32:$AG$32</c:f>
              <c:numCache>
                <c:formatCode>0.0</c:formatCode>
                <c:ptCount val="32"/>
                <c:pt idx="0">
                  <c:v>5.1583390189821374</c:v>
                </c:pt>
                <c:pt idx="1">
                  <c:v>4.1940805843592495</c:v>
                </c:pt>
                <c:pt idx="2">
                  <c:v>3.6254585881455803</c:v>
                </c:pt>
                <c:pt idx="3">
                  <c:v>3.2258487674246217</c:v>
                </c:pt>
                <c:pt idx="4">
                  <c:v>1.9477463114435285</c:v>
                </c:pt>
                <c:pt idx="5">
                  <c:v>1.0058302469588425</c:v>
                </c:pt>
                <c:pt idx="6">
                  <c:v>-0.47327260667125248</c:v>
                </c:pt>
                <c:pt idx="7">
                  <c:v>-1.6589798300201712</c:v>
                </c:pt>
                <c:pt idx="8">
                  <c:v>-2.5458879361074449</c:v>
                </c:pt>
                <c:pt idx="9">
                  <c:v>-1.3259090973424894</c:v>
                </c:pt>
                <c:pt idx="10">
                  <c:v>0.76388270851172324</c:v>
                </c:pt>
                <c:pt idx="11">
                  <c:v>1.8584636345874883</c:v>
                </c:pt>
                <c:pt idx="12">
                  <c:v>3.3381841003075512</c:v>
                </c:pt>
                <c:pt idx="13">
                  <c:v>2.4352412796453371</c:v>
                </c:pt>
                <c:pt idx="14">
                  <c:v>1.8587530098339999</c:v>
                </c:pt>
                <c:pt idx="15">
                  <c:v>1.4829445473338632</c:v>
                </c:pt>
                <c:pt idx="16">
                  <c:v>1.5560406088862593</c:v>
                </c:pt>
                <c:pt idx="17">
                  <c:v>2.1747965848469368</c:v>
                </c:pt>
                <c:pt idx="18">
                  <c:v>2.225670583560051</c:v>
                </c:pt>
                <c:pt idx="19">
                  <c:v>2.93269599621593</c:v>
                </c:pt>
                <c:pt idx="20">
                  <c:v>3.4317610615849299</c:v>
                </c:pt>
                <c:pt idx="21">
                  <c:v>2.7916779937104894</c:v>
                </c:pt>
                <c:pt idx="22">
                  <c:v>1.415945957423314</c:v>
                </c:pt>
                <c:pt idx="23">
                  <c:v>1.0292819674961451</c:v>
                </c:pt>
                <c:pt idx="24">
                  <c:v>1.8337769181325851</c:v>
                </c:pt>
                <c:pt idx="25">
                  <c:v>2.0232440682518571</c:v>
                </c:pt>
                <c:pt idx="26">
                  <c:v>1.4618132853996961</c:v>
                </c:pt>
                <c:pt idx="27">
                  <c:v>1.6967505374178662</c:v>
                </c:pt>
                <c:pt idx="28">
                  <c:v>0.66604299269129419</c:v>
                </c:pt>
                <c:pt idx="29">
                  <c:v>0.34607728880888078</c:v>
                </c:pt>
                <c:pt idx="30">
                  <c:v>0.1437276683183506</c:v>
                </c:pt>
                <c:pt idx="31">
                  <c:v>1.1294855117310001</c:v>
                </c:pt>
              </c:numCache>
            </c:numRef>
          </c:val>
          <c:extLst>
            <c:ext xmlns:c16="http://schemas.microsoft.com/office/drawing/2014/chart" uri="{C3380CC4-5D6E-409C-BE32-E72D297353CC}">
              <c16:uniqueId val="{00000000-4F8E-4A45-8C80-61F12B3BB258}"/>
            </c:ext>
          </c:extLst>
        </c:ser>
        <c:ser>
          <c:idx val="1"/>
          <c:order val="1"/>
          <c:tx>
            <c:strRef>
              <c:f>'GRAF příspěvky IPP'!$A$33</c:f>
              <c:strCache>
                <c:ptCount val="1"/>
                <c:pt idx="0">
                  <c:v>Rubber, electro technical ind. (22+27)</c:v>
                </c:pt>
              </c:strCache>
            </c:strRef>
          </c:tx>
          <c:spPr>
            <a:solidFill>
              <a:srgbClr val="BD1B21"/>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IPP'!$B$33:$AG$33</c:f>
              <c:numCache>
                <c:formatCode>0.0</c:formatCode>
                <c:ptCount val="32"/>
                <c:pt idx="0">
                  <c:v>1.7983691275864537</c:v>
                </c:pt>
                <c:pt idx="1">
                  <c:v>1.4558566523785301</c:v>
                </c:pt>
                <c:pt idx="2">
                  <c:v>0.48746198826577214</c:v>
                </c:pt>
                <c:pt idx="3">
                  <c:v>0.58308022139278493</c:v>
                </c:pt>
                <c:pt idx="4">
                  <c:v>0.84426562825254459</c:v>
                </c:pt>
                <c:pt idx="5">
                  <c:v>0.66654661442767527</c:v>
                </c:pt>
                <c:pt idx="6">
                  <c:v>1.0653762335641006</c:v>
                </c:pt>
                <c:pt idx="7">
                  <c:v>-0.46502811090535007</c:v>
                </c:pt>
                <c:pt idx="8">
                  <c:v>-0.28211107583639117</c:v>
                </c:pt>
                <c:pt idx="9">
                  <c:v>-0.34471853265078234</c:v>
                </c:pt>
                <c:pt idx="10">
                  <c:v>0.38728197932092312</c:v>
                </c:pt>
                <c:pt idx="11">
                  <c:v>0.67444684530708243</c:v>
                </c:pt>
                <c:pt idx="12">
                  <c:v>1.1900587156554803</c:v>
                </c:pt>
                <c:pt idx="13">
                  <c:v>1.317960607975565</c:v>
                </c:pt>
                <c:pt idx="14">
                  <c:v>0.15682402057671566</c:v>
                </c:pt>
                <c:pt idx="15">
                  <c:v>0.79246998238680644</c:v>
                </c:pt>
                <c:pt idx="16">
                  <c:v>1.0327158178902081</c:v>
                </c:pt>
                <c:pt idx="17">
                  <c:v>1.2401487730750369</c:v>
                </c:pt>
                <c:pt idx="18">
                  <c:v>1.4263615358978561</c:v>
                </c:pt>
                <c:pt idx="19">
                  <c:v>0.62907027961344431</c:v>
                </c:pt>
                <c:pt idx="20">
                  <c:v>0.73623049391962603</c:v>
                </c:pt>
                <c:pt idx="21">
                  <c:v>0.13255877827094131</c:v>
                </c:pt>
                <c:pt idx="22">
                  <c:v>0.28439313569749469</c:v>
                </c:pt>
                <c:pt idx="23">
                  <c:v>0.43251342156214512</c:v>
                </c:pt>
                <c:pt idx="24">
                  <c:v>0.87901309547155848</c:v>
                </c:pt>
                <c:pt idx="25">
                  <c:v>1.463692249462462</c:v>
                </c:pt>
                <c:pt idx="26">
                  <c:v>0.86660777787350374</c:v>
                </c:pt>
                <c:pt idx="27">
                  <c:v>1.6549188645784936</c:v>
                </c:pt>
                <c:pt idx="28">
                  <c:v>0.88263591522283313</c:v>
                </c:pt>
                <c:pt idx="29">
                  <c:v>0.30216313943135581</c:v>
                </c:pt>
                <c:pt idx="30">
                  <c:v>0.41509127498569298</c:v>
                </c:pt>
                <c:pt idx="31">
                  <c:v>-0.10904636154472143</c:v>
                </c:pt>
              </c:numCache>
            </c:numRef>
          </c:val>
          <c:extLst>
            <c:ext xmlns:c16="http://schemas.microsoft.com/office/drawing/2014/chart" uri="{C3380CC4-5D6E-409C-BE32-E72D297353CC}">
              <c16:uniqueId val="{00000001-4F8E-4A45-8C80-61F12B3BB258}"/>
            </c:ext>
          </c:extLst>
        </c:ser>
        <c:ser>
          <c:idx val="2"/>
          <c:order val="2"/>
          <c:tx>
            <c:strRef>
              <c:f>'GRAF příspěvky IPP'!$A$34</c:f>
              <c:strCache>
                <c:ptCount val="1"/>
                <c:pt idx="0">
                  <c:v>Machinery (28)</c:v>
                </c:pt>
              </c:strCache>
            </c:strRef>
          </c:tx>
          <c:spPr>
            <a:solidFill>
              <a:srgbClr val="BFE3F7"/>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IPP'!$B$34:$AG$34</c:f>
              <c:numCache>
                <c:formatCode>0.0</c:formatCode>
                <c:ptCount val="32"/>
                <c:pt idx="0">
                  <c:v>1.2706011457621917</c:v>
                </c:pt>
                <c:pt idx="1">
                  <c:v>1.2888664807252919</c:v>
                </c:pt>
                <c:pt idx="2">
                  <c:v>0.32307846092656811</c:v>
                </c:pt>
                <c:pt idx="3">
                  <c:v>0.70071844497242763</c:v>
                </c:pt>
                <c:pt idx="4">
                  <c:v>0.51659781480962275</c:v>
                </c:pt>
                <c:pt idx="5">
                  <c:v>0.2631231278845213</c:v>
                </c:pt>
                <c:pt idx="6">
                  <c:v>0.23301984566307926</c:v>
                </c:pt>
                <c:pt idx="7">
                  <c:v>-0.13339713383761653</c:v>
                </c:pt>
                <c:pt idx="8">
                  <c:v>7.1737084628029066E-2</c:v>
                </c:pt>
                <c:pt idx="9">
                  <c:v>0.20406264489060252</c:v>
                </c:pt>
                <c:pt idx="10">
                  <c:v>-1.7001944235035402E-2</c:v>
                </c:pt>
                <c:pt idx="11">
                  <c:v>0.64362374734259087</c:v>
                </c:pt>
                <c:pt idx="12">
                  <c:v>0.21470457876175333</c:v>
                </c:pt>
                <c:pt idx="13">
                  <c:v>0.40293012989484661</c:v>
                </c:pt>
                <c:pt idx="14">
                  <c:v>0.21152856009329646</c:v>
                </c:pt>
                <c:pt idx="15">
                  <c:v>0.3301204419286361</c:v>
                </c:pt>
                <c:pt idx="16">
                  <c:v>0.27832699102768171</c:v>
                </c:pt>
                <c:pt idx="17">
                  <c:v>0.29159295435772503</c:v>
                </c:pt>
                <c:pt idx="18">
                  <c:v>0.37916922656306401</c:v>
                </c:pt>
                <c:pt idx="19">
                  <c:v>1.781989990773131E-2</c:v>
                </c:pt>
                <c:pt idx="20">
                  <c:v>0.36450086052988051</c:v>
                </c:pt>
                <c:pt idx="21">
                  <c:v>-6.9051390149412681E-2</c:v>
                </c:pt>
                <c:pt idx="22">
                  <c:v>0.19850927828339104</c:v>
                </c:pt>
                <c:pt idx="23">
                  <c:v>0.32150601856840716</c:v>
                </c:pt>
                <c:pt idx="24">
                  <c:v>0.36417963216621208</c:v>
                </c:pt>
                <c:pt idx="25">
                  <c:v>1.0647927179276142</c:v>
                </c:pt>
                <c:pt idx="26">
                  <c:v>0.84846050084183755</c:v>
                </c:pt>
                <c:pt idx="27">
                  <c:v>0.80860359811504845</c:v>
                </c:pt>
                <c:pt idx="28">
                  <c:v>0.60464772961500779</c:v>
                </c:pt>
                <c:pt idx="29">
                  <c:v>0.33032635655465886</c:v>
                </c:pt>
                <c:pt idx="30">
                  <c:v>0.37001053761659758</c:v>
                </c:pt>
                <c:pt idx="31">
                  <c:v>8.8257532565655401E-3</c:v>
                </c:pt>
              </c:numCache>
            </c:numRef>
          </c:val>
          <c:extLst>
            <c:ext xmlns:c16="http://schemas.microsoft.com/office/drawing/2014/chart" uri="{C3380CC4-5D6E-409C-BE32-E72D297353CC}">
              <c16:uniqueId val="{00000002-4F8E-4A45-8C80-61F12B3BB258}"/>
            </c:ext>
          </c:extLst>
        </c:ser>
        <c:ser>
          <c:idx val="3"/>
          <c:order val="3"/>
          <c:tx>
            <c:strRef>
              <c:f>'GRAF příspěvky IPP'!$A$35</c:f>
              <c:strCache>
                <c:ptCount val="1"/>
                <c:pt idx="0">
                  <c:v>Metal industry (25)</c:v>
                </c:pt>
              </c:strCache>
            </c:strRef>
          </c:tx>
          <c:spPr>
            <a:solidFill>
              <a:srgbClr val="48AEE7"/>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IPP'!$B$35:$AG$35</c:f>
              <c:numCache>
                <c:formatCode>0.0</c:formatCode>
                <c:ptCount val="32"/>
                <c:pt idx="0">
                  <c:v>1.3529708847357145</c:v>
                </c:pt>
                <c:pt idx="1">
                  <c:v>0.6122314163161513</c:v>
                </c:pt>
                <c:pt idx="2">
                  <c:v>6.1889465402554439E-2</c:v>
                </c:pt>
                <c:pt idx="3">
                  <c:v>-5.0371368079756326E-2</c:v>
                </c:pt>
                <c:pt idx="4">
                  <c:v>-0.10808602428987595</c:v>
                </c:pt>
                <c:pt idx="5">
                  <c:v>-5.7044312227523195E-2</c:v>
                </c:pt>
                <c:pt idx="6">
                  <c:v>0.11227086111396467</c:v>
                </c:pt>
                <c:pt idx="7">
                  <c:v>-0.17759790176716012</c:v>
                </c:pt>
                <c:pt idx="8">
                  <c:v>-4.9295714575087642E-2</c:v>
                </c:pt>
                <c:pt idx="9">
                  <c:v>9.286896218709495E-2</c:v>
                </c:pt>
                <c:pt idx="10">
                  <c:v>0.37420551106540684</c:v>
                </c:pt>
                <c:pt idx="11">
                  <c:v>0.57817330515122467</c:v>
                </c:pt>
                <c:pt idx="12">
                  <c:v>0.75653656295046612</c:v>
                </c:pt>
                <c:pt idx="13">
                  <c:v>0.62179163182191932</c:v>
                </c:pt>
                <c:pt idx="14">
                  <c:v>0.13796392398444496</c:v>
                </c:pt>
                <c:pt idx="15">
                  <c:v>0.35044871686260598</c:v>
                </c:pt>
                <c:pt idx="16">
                  <c:v>0.69752018574312757</c:v>
                </c:pt>
                <c:pt idx="17">
                  <c:v>0.78069864008168055</c:v>
                </c:pt>
                <c:pt idx="18">
                  <c:v>0.92145489387273505</c:v>
                </c:pt>
                <c:pt idx="19">
                  <c:v>0.62569777143327532</c:v>
                </c:pt>
                <c:pt idx="20">
                  <c:v>0.74976781674783344</c:v>
                </c:pt>
                <c:pt idx="21">
                  <c:v>0.40323787298061475</c:v>
                </c:pt>
                <c:pt idx="22">
                  <c:v>0.20786247012396855</c:v>
                </c:pt>
                <c:pt idx="23">
                  <c:v>0.25885378383640428</c:v>
                </c:pt>
                <c:pt idx="24">
                  <c:v>0.51937603959814027</c:v>
                </c:pt>
                <c:pt idx="25">
                  <c:v>0.90938443427805682</c:v>
                </c:pt>
                <c:pt idx="26">
                  <c:v>0.81941846333328994</c:v>
                </c:pt>
                <c:pt idx="27">
                  <c:v>0.96985539906457718</c:v>
                </c:pt>
                <c:pt idx="28">
                  <c:v>0.6579137504716065</c:v>
                </c:pt>
                <c:pt idx="29">
                  <c:v>0.39486272937743427</c:v>
                </c:pt>
                <c:pt idx="30">
                  <c:v>0.46898240305703265</c:v>
                </c:pt>
                <c:pt idx="31">
                  <c:v>0.20155570733844042</c:v>
                </c:pt>
              </c:numCache>
            </c:numRef>
          </c:val>
          <c:extLst>
            <c:ext xmlns:c16="http://schemas.microsoft.com/office/drawing/2014/chart" uri="{C3380CC4-5D6E-409C-BE32-E72D297353CC}">
              <c16:uniqueId val="{00000003-4F8E-4A45-8C80-61F12B3BB258}"/>
            </c:ext>
          </c:extLst>
        </c:ser>
        <c:ser>
          <c:idx val="4"/>
          <c:order val="4"/>
          <c:tx>
            <c:strRef>
              <c:f>'GRAF příspěvky IPP'!$A$36</c:f>
              <c:strCache>
                <c:ptCount val="1"/>
                <c:pt idx="0">
                  <c:v>Manuf. of PC, electron.,optic. products (26)</c:v>
                </c:pt>
              </c:strCache>
            </c:strRef>
          </c:tx>
          <c:spPr>
            <a:solidFill>
              <a:srgbClr val="FDDEB3"/>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IPP'!$B$36:$AG$36</c:f>
              <c:numCache>
                <c:formatCode>0.0</c:formatCode>
                <c:ptCount val="32"/>
                <c:pt idx="0">
                  <c:v>0.46607738102630258</c:v>
                </c:pt>
                <c:pt idx="1">
                  <c:v>0.2289737073350934</c:v>
                </c:pt>
                <c:pt idx="2">
                  <c:v>-0.24362549730013716</c:v>
                </c:pt>
                <c:pt idx="3">
                  <c:v>-0.78232564519731673</c:v>
                </c:pt>
                <c:pt idx="4">
                  <c:v>-0.62912903530941255</c:v>
                </c:pt>
                <c:pt idx="5">
                  <c:v>-0.77404145043570627</c:v>
                </c:pt>
                <c:pt idx="6">
                  <c:v>-0.66225050698900134</c:v>
                </c:pt>
                <c:pt idx="7">
                  <c:v>-0.4416747399469686</c:v>
                </c:pt>
                <c:pt idx="8">
                  <c:v>0.17307138431247746</c:v>
                </c:pt>
                <c:pt idx="9">
                  <c:v>0.20710305378343785</c:v>
                </c:pt>
                <c:pt idx="10">
                  <c:v>0.28808704980807831</c:v>
                </c:pt>
                <c:pt idx="11">
                  <c:v>0.37118882448330998</c:v>
                </c:pt>
                <c:pt idx="12">
                  <c:v>0.25436485129926611</c:v>
                </c:pt>
                <c:pt idx="13">
                  <c:v>0.35992422249609862</c:v>
                </c:pt>
                <c:pt idx="14">
                  <c:v>0.25073709132947553</c:v>
                </c:pt>
                <c:pt idx="15">
                  <c:v>0.43084138344861261</c:v>
                </c:pt>
                <c:pt idx="16">
                  <c:v>0.1016909527808563</c:v>
                </c:pt>
                <c:pt idx="17">
                  <c:v>1.4154514873228306E-2</c:v>
                </c:pt>
                <c:pt idx="18">
                  <c:v>4.4552452116603601E-2</c:v>
                </c:pt>
                <c:pt idx="19">
                  <c:v>-7.4237264718247015E-2</c:v>
                </c:pt>
                <c:pt idx="20">
                  <c:v>-2.1481481669667428E-3</c:v>
                </c:pt>
                <c:pt idx="21">
                  <c:v>5.1480619698657547E-2</c:v>
                </c:pt>
                <c:pt idx="22">
                  <c:v>5.3821883781074741E-2</c:v>
                </c:pt>
                <c:pt idx="23">
                  <c:v>0.15961607959276627</c:v>
                </c:pt>
                <c:pt idx="24">
                  <c:v>0.12925577438246422</c:v>
                </c:pt>
                <c:pt idx="25">
                  <c:v>0.3752618499929839</c:v>
                </c:pt>
                <c:pt idx="26">
                  <c:v>0.23800553969768362</c:v>
                </c:pt>
                <c:pt idx="27">
                  <c:v>0.23859541569534062</c:v>
                </c:pt>
                <c:pt idx="28">
                  <c:v>0.47222552264673712</c:v>
                </c:pt>
                <c:pt idx="29">
                  <c:v>0.19431603051500895</c:v>
                </c:pt>
                <c:pt idx="30">
                  <c:v>0.68200057755939292</c:v>
                </c:pt>
                <c:pt idx="31">
                  <c:v>0.45490366712547647</c:v>
                </c:pt>
              </c:numCache>
            </c:numRef>
          </c:val>
          <c:extLst>
            <c:ext xmlns:c16="http://schemas.microsoft.com/office/drawing/2014/chart" uri="{C3380CC4-5D6E-409C-BE32-E72D297353CC}">
              <c16:uniqueId val="{00000004-4F8E-4A45-8C80-61F12B3BB258}"/>
            </c:ext>
          </c:extLst>
        </c:ser>
        <c:ser>
          <c:idx val="5"/>
          <c:order val="5"/>
          <c:tx>
            <c:strRef>
              <c:f>'GRAF příspěvky IPP'!$A$37</c:f>
              <c:strCache>
                <c:ptCount val="1"/>
                <c:pt idx="0">
                  <c:v>Chemical and pharmaceutical ind. (20+21)</c:v>
                </c:pt>
              </c:strCache>
            </c:strRef>
          </c:tx>
          <c:spPr>
            <a:solidFill>
              <a:srgbClr val="F8A124"/>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IPP'!$B$37:$AG$37</c:f>
              <c:numCache>
                <c:formatCode>0.0</c:formatCode>
                <c:ptCount val="32"/>
                <c:pt idx="0">
                  <c:v>0.10124729624413728</c:v>
                </c:pt>
                <c:pt idx="1">
                  <c:v>-0.1098730777783769</c:v>
                </c:pt>
                <c:pt idx="2">
                  <c:v>-0.35448780665780977</c:v>
                </c:pt>
                <c:pt idx="3">
                  <c:v>-0.25365533251952249</c:v>
                </c:pt>
                <c:pt idx="4">
                  <c:v>8.2098114440466885E-2</c:v>
                </c:pt>
                <c:pt idx="5">
                  <c:v>-8.0110027441629539E-2</c:v>
                </c:pt>
                <c:pt idx="6">
                  <c:v>0.30586896879335868</c:v>
                </c:pt>
                <c:pt idx="7">
                  <c:v>6.8409485771207784E-2</c:v>
                </c:pt>
                <c:pt idx="8">
                  <c:v>-0.15361204125200859</c:v>
                </c:pt>
                <c:pt idx="9">
                  <c:v>1.8223165599514441E-2</c:v>
                </c:pt>
                <c:pt idx="10">
                  <c:v>-0.21418759865827675</c:v>
                </c:pt>
                <c:pt idx="11">
                  <c:v>0.23085083648135049</c:v>
                </c:pt>
                <c:pt idx="12">
                  <c:v>0.41401687752487226</c:v>
                </c:pt>
                <c:pt idx="13">
                  <c:v>0.30065933491628788</c:v>
                </c:pt>
                <c:pt idx="14">
                  <c:v>0.38510686850209891</c:v>
                </c:pt>
                <c:pt idx="15">
                  <c:v>0.1190013545916163</c:v>
                </c:pt>
                <c:pt idx="16">
                  <c:v>7.8782994403983342E-2</c:v>
                </c:pt>
                <c:pt idx="17">
                  <c:v>0.23469012479248258</c:v>
                </c:pt>
                <c:pt idx="18">
                  <c:v>-0.17180717870315554</c:v>
                </c:pt>
                <c:pt idx="19">
                  <c:v>-0.33632275678133555</c:v>
                </c:pt>
                <c:pt idx="20">
                  <c:v>-0.42054564658408849</c:v>
                </c:pt>
                <c:pt idx="21">
                  <c:v>-0.41604329837232795</c:v>
                </c:pt>
                <c:pt idx="22">
                  <c:v>-0.1143602924751059</c:v>
                </c:pt>
                <c:pt idx="23">
                  <c:v>0.2421266841430553</c:v>
                </c:pt>
                <c:pt idx="24">
                  <c:v>0.54456420388154547</c:v>
                </c:pt>
                <c:pt idx="25">
                  <c:v>0.80978464113735682</c:v>
                </c:pt>
                <c:pt idx="26">
                  <c:v>0.64029129256523443</c:v>
                </c:pt>
                <c:pt idx="27">
                  <c:v>0.51006133838638013</c:v>
                </c:pt>
                <c:pt idx="28">
                  <c:v>0.38842364209740188</c:v>
                </c:pt>
                <c:pt idx="29">
                  <c:v>4.6275575122148818E-2</c:v>
                </c:pt>
                <c:pt idx="30">
                  <c:v>-8.81915002105811E-2</c:v>
                </c:pt>
                <c:pt idx="31">
                  <c:v>7.9647483688729537E-3</c:v>
                </c:pt>
              </c:numCache>
            </c:numRef>
          </c:val>
          <c:extLst>
            <c:ext xmlns:c16="http://schemas.microsoft.com/office/drawing/2014/chart" uri="{C3380CC4-5D6E-409C-BE32-E72D297353CC}">
              <c16:uniqueId val="{00000005-4F8E-4A45-8C80-61F12B3BB258}"/>
            </c:ext>
          </c:extLst>
        </c:ser>
        <c:ser>
          <c:idx val="6"/>
          <c:order val="6"/>
          <c:tx>
            <c:strRef>
              <c:f>'GRAF příspěvky IPP'!$A$38</c:f>
              <c:strCache>
                <c:ptCount val="1"/>
                <c:pt idx="0">
                  <c:v>Remaining manufacturing ind.</c:v>
                </c:pt>
              </c:strCache>
            </c:strRef>
          </c:tx>
          <c:spPr>
            <a:solidFill>
              <a:schemeClr val="bg1">
                <a:lumMod val="85000"/>
              </a:schemeClr>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IPP'!$B$38:$AG$38</c:f>
              <c:numCache>
                <c:formatCode>0.0</c:formatCode>
                <c:ptCount val="32"/>
                <c:pt idx="0">
                  <c:v>0.31552663311962892</c:v>
                </c:pt>
                <c:pt idx="1">
                  <c:v>8.0724819058620001E-2</c:v>
                </c:pt>
                <c:pt idx="2">
                  <c:v>-1.3196696952264622</c:v>
                </c:pt>
                <c:pt idx="3">
                  <c:v>0.11842987325758268</c:v>
                </c:pt>
                <c:pt idx="4">
                  <c:v>-1.2660773466306146</c:v>
                </c:pt>
                <c:pt idx="5">
                  <c:v>-0.47802730548721728</c:v>
                </c:pt>
                <c:pt idx="6">
                  <c:v>-0.34646761815323956</c:v>
                </c:pt>
                <c:pt idx="7">
                  <c:v>-1.3200846686145966</c:v>
                </c:pt>
                <c:pt idx="8">
                  <c:v>-2.5962486433354415E-2</c:v>
                </c:pt>
                <c:pt idx="9">
                  <c:v>-0.14296973602391649</c:v>
                </c:pt>
                <c:pt idx="10">
                  <c:v>0.16463257251793845</c:v>
                </c:pt>
                <c:pt idx="11">
                  <c:v>1.1277581264641281</c:v>
                </c:pt>
                <c:pt idx="12">
                  <c:v>1.3601037593510723</c:v>
                </c:pt>
                <c:pt idx="13">
                  <c:v>0.98430790289276704</c:v>
                </c:pt>
                <c:pt idx="14">
                  <c:v>0.25133426220692345</c:v>
                </c:pt>
                <c:pt idx="15">
                  <c:v>1.2962625167285458</c:v>
                </c:pt>
                <c:pt idx="16">
                  <c:v>1.0074721701935658</c:v>
                </c:pt>
                <c:pt idx="17">
                  <c:v>0.8049565289222429</c:v>
                </c:pt>
                <c:pt idx="18">
                  <c:v>1.5513791726730484</c:v>
                </c:pt>
                <c:pt idx="19">
                  <c:v>-0.36725300514759718</c:v>
                </c:pt>
                <c:pt idx="20">
                  <c:v>-0.13589925939302222</c:v>
                </c:pt>
                <c:pt idx="21">
                  <c:v>-0.7764218608049871</c:v>
                </c:pt>
                <c:pt idx="22">
                  <c:v>0.22786640880518444</c:v>
                </c:pt>
                <c:pt idx="23">
                  <c:v>0.45056967876598808</c:v>
                </c:pt>
                <c:pt idx="24">
                  <c:v>-9.1699578760707168E-2</c:v>
                </c:pt>
                <c:pt idx="25">
                  <c:v>2.0096638805791773</c:v>
                </c:pt>
                <c:pt idx="26">
                  <c:v>1.0746662700314875</c:v>
                </c:pt>
                <c:pt idx="27">
                  <c:v>0.97335153528473817</c:v>
                </c:pt>
                <c:pt idx="28">
                  <c:v>0.90119773325770569</c:v>
                </c:pt>
                <c:pt idx="29">
                  <c:v>0.75708395070212897</c:v>
                </c:pt>
                <c:pt idx="30">
                  <c:v>0.84309033048151716</c:v>
                </c:pt>
                <c:pt idx="31">
                  <c:v>0.33845627297480296</c:v>
                </c:pt>
              </c:numCache>
            </c:numRef>
          </c:val>
          <c:extLst>
            <c:ext xmlns:c16="http://schemas.microsoft.com/office/drawing/2014/chart" uri="{C3380CC4-5D6E-409C-BE32-E72D297353CC}">
              <c16:uniqueId val="{00000006-4F8E-4A45-8C80-61F12B3BB258}"/>
            </c:ext>
          </c:extLst>
        </c:ser>
        <c:ser>
          <c:idx val="7"/>
          <c:order val="7"/>
          <c:tx>
            <c:strRef>
              <c:f>'GRAF příspěvky IPP'!$A$39</c:f>
              <c:strCache>
                <c:ptCount val="1"/>
                <c:pt idx="0">
                  <c:v>Mining and energetics (B)</c:v>
                </c:pt>
              </c:strCache>
            </c:strRef>
          </c:tx>
          <c:spPr>
            <a:solidFill>
              <a:srgbClr val="808080"/>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IPP'!$B$39:$AG$39</c:f>
              <c:numCache>
                <c:formatCode>0.0</c:formatCode>
                <c:ptCount val="32"/>
                <c:pt idx="0">
                  <c:v>-0.46313148745656402</c:v>
                </c:pt>
                <c:pt idx="1">
                  <c:v>0.44913941760544684</c:v>
                </c:pt>
                <c:pt idx="2">
                  <c:v>-0.28010550355605701</c:v>
                </c:pt>
                <c:pt idx="3">
                  <c:v>-0.14172496125080891</c:v>
                </c:pt>
                <c:pt idx="4">
                  <c:v>1.2584537283747171E-2</c:v>
                </c:pt>
                <c:pt idx="5">
                  <c:v>0.35372310632103937</c:v>
                </c:pt>
                <c:pt idx="6">
                  <c:v>-0.13454517732100951</c:v>
                </c:pt>
                <c:pt idx="7">
                  <c:v>-1.0716369042476055</c:v>
                </c:pt>
                <c:pt idx="8">
                  <c:v>-0.88656305110647016</c:v>
                </c:pt>
                <c:pt idx="9">
                  <c:v>-1.5086604604434219</c:v>
                </c:pt>
                <c:pt idx="10">
                  <c:v>-0.94690027833075718</c:v>
                </c:pt>
                <c:pt idx="11">
                  <c:v>0.51549468018282096</c:v>
                </c:pt>
                <c:pt idx="12">
                  <c:v>-0.62796944585044656</c:v>
                </c:pt>
                <c:pt idx="13">
                  <c:v>-0.32281510964282573</c:v>
                </c:pt>
                <c:pt idx="14">
                  <c:v>-0.45224773652695444</c:v>
                </c:pt>
                <c:pt idx="15">
                  <c:v>-0.70208894328074911</c:v>
                </c:pt>
                <c:pt idx="16">
                  <c:v>0.14745027907431846</c:v>
                </c:pt>
                <c:pt idx="17">
                  <c:v>-0.34103812094933217</c:v>
                </c:pt>
                <c:pt idx="18">
                  <c:v>-0.3767806859801579</c:v>
                </c:pt>
                <c:pt idx="19">
                  <c:v>-1.1274709205232167</c:v>
                </c:pt>
                <c:pt idx="20">
                  <c:v>-0.62366717863822696</c:v>
                </c:pt>
                <c:pt idx="21">
                  <c:v>8.2561284666029466E-2</c:v>
                </c:pt>
                <c:pt idx="22">
                  <c:v>-0.4740388416393202</c:v>
                </c:pt>
                <c:pt idx="23">
                  <c:v>0.50553236603507523</c:v>
                </c:pt>
                <c:pt idx="24">
                  <c:v>0.62153391512819556</c:v>
                </c:pt>
                <c:pt idx="25">
                  <c:v>-0.15582384162950719</c:v>
                </c:pt>
                <c:pt idx="26">
                  <c:v>0.75073687025727098</c:v>
                </c:pt>
                <c:pt idx="27">
                  <c:v>0.74786331145755525</c:v>
                </c:pt>
                <c:pt idx="28">
                  <c:v>-0.57308728600258974</c:v>
                </c:pt>
                <c:pt idx="29">
                  <c:v>-7.1105070511618573E-2</c:v>
                </c:pt>
                <c:pt idx="30">
                  <c:v>0.76528870819200578</c:v>
                </c:pt>
                <c:pt idx="31">
                  <c:v>0.26785470074955997</c:v>
                </c:pt>
              </c:numCache>
            </c:numRef>
          </c:val>
          <c:extLst>
            <c:ext xmlns:c16="http://schemas.microsoft.com/office/drawing/2014/chart" uri="{C3380CC4-5D6E-409C-BE32-E72D297353CC}">
              <c16:uniqueId val="{00000007-4F8E-4A45-8C80-61F12B3BB258}"/>
            </c:ext>
          </c:extLst>
        </c:ser>
        <c:dLbls>
          <c:showLegendKey val="0"/>
          <c:showVal val="0"/>
          <c:showCatName val="0"/>
          <c:showSerName val="0"/>
          <c:showPercent val="0"/>
          <c:showBubbleSize val="0"/>
        </c:dLbls>
        <c:gapWidth val="32"/>
        <c:overlap val="100"/>
        <c:axId val="115689344"/>
        <c:axId val="115690880"/>
      </c:barChart>
      <c:lineChart>
        <c:grouping val="standard"/>
        <c:varyColors val="0"/>
        <c:ser>
          <c:idx val="8"/>
          <c:order val="8"/>
          <c:tx>
            <c:strRef>
              <c:f>'GRAF příspěvky IPP'!$A$40</c:f>
              <c:strCache>
                <c:ptCount val="1"/>
                <c:pt idx="0">
                  <c:v>Total industry (NACE B to D)</c:v>
                </c:pt>
              </c:strCache>
            </c:strRef>
          </c:tx>
          <c:spPr>
            <a:ln w="19050">
              <a:solidFill>
                <a:schemeClr val="tx1">
                  <a:lumMod val="95000"/>
                  <a:lumOff val="5000"/>
                </a:schemeClr>
              </a:solidFill>
            </a:ln>
          </c:spPr>
          <c:marker>
            <c:symbol val="none"/>
          </c:marker>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IPP'!$B$40:$AG$40</c:f>
              <c:numCache>
                <c:formatCode>#\ ##0.0</c:formatCode>
                <c:ptCount val="32"/>
                <c:pt idx="0">
                  <c:v>10.000000000000002</c:v>
                </c:pt>
                <c:pt idx="1">
                  <c:v>8.2000000000000064</c:v>
                </c:pt>
                <c:pt idx="2">
                  <c:v>2.3000000000000091</c:v>
                </c:pt>
                <c:pt idx="3">
                  <c:v>3.4000000000000128</c:v>
                </c:pt>
                <c:pt idx="4">
                  <c:v>1.4000000000000064</c:v>
                </c:pt>
                <c:pt idx="5">
                  <c:v>0.9000000000000018</c:v>
                </c:pt>
                <c:pt idx="6">
                  <c:v>0.10000000000000012</c:v>
                </c:pt>
                <c:pt idx="7">
                  <c:v>-5.1999898035682612</c:v>
                </c:pt>
                <c:pt idx="8">
                  <c:v>-3.6986238363702508</c:v>
                </c:pt>
                <c:pt idx="9">
                  <c:v>-2.7999999999999607</c:v>
                </c:pt>
                <c:pt idx="10">
                  <c:v>0.8000000000000006</c:v>
                </c:pt>
                <c:pt idx="11">
                  <c:v>5.9999999999999947</c:v>
                </c:pt>
                <c:pt idx="12">
                  <c:v>6.9000000000000155</c:v>
                </c:pt>
                <c:pt idx="13">
                  <c:v>6.0999999999999943</c:v>
                </c:pt>
                <c:pt idx="14">
                  <c:v>2.8000000000000003</c:v>
                </c:pt>
                <c:pt idx="15">
                  <c:v>4.0999999999999366</c:v>
                </c:pt>
                <c:pt idx="16">
                  <c:v>4.9000000000000012</c:v>
                </c:pt>
                <c:pt idx="17">
                  <c:v>5.2000000000000011</c:v>
                </c:pt>
                <c:pt idx="18">
                  <c:v>6.0000000000000444</c:v>
                </c:pt>
                <c:pt idx="19">
                  <c:v>2.2999999999999847</c:v>
                </c:pt>
                <c:pt idx="20">
                  <c:v>4.0999999999999659</c:v>
                </c:pt>
                <c:pt idx="21">
                  <c:v>2.2000000000000046</c:v>
                </c:pt>
                <c:pt idx="22">
                  <c:v>1.8000000000000012</c:v>
                </c:pt>
                <c:pt idx="23">
                  <c:v>3.3999999999999866</c:v>
                </c:pt>
                <c:pt idx="24">
                  <c:v>4.7999999999999927</c:v>
                </c:pt>
                <c:pt idx="25">
                  <c:v>8.5</c:v>
                </c:pt>
                <c:pt idx="26">
                  <c:v>6.7000000000000028</c:v>
                </c:pt>
                <c:pt idx="27">
                  <c:v>7.6</c:v>
                </c:pt>
                <c:pt idx="28">
                  <c:v>3.9999999999999969</c:v>
                </c:pt>
                <c:pt idx="29">
                  <c:v>2.299999999999998</c:v>
                </c:pt>
                <c:pt idx="30">
                  <c:v>3.600000000000009</c:v>
                </c:pt>
                <c:pt idx="31">
                  <c:v>2.2999999999999972</c:v>
                </c:pt>
              </c:numCache>
            </c:numRef>
          </c:val>
          <c:smooth val="0"/>
          <c:extLst>
            <c:ext xmlns:c16="http://schemas.microsoft.com/office/drawing/2014/chart" uri="{C3380CC4-5D6E-409C-BE32-E72D297353CC}">
              <c16:uniqueId val="{00000008-4F8E-4A45-8C80-61F12B3BB258}"/>
            </c:ext>
          </c:extLst>
        </c:ser>
        <c:dLbls>
          <c:showLegendKey val="0"/>
          <c:showVal val="0"/>
          <c:showCatName val="0"/>
          <c:showSerName val="0"/>
          <c:showPercent val="0"/>
          <c:showBubbleSize val="0"/>
        </c:dLbls>
        <c:marker val="1"/>
        <c:smooth val="0"/>
        <c:axId val="115689344"/>
        <c:axId val="115690880"/>
      </c:lineChart>
      <c:catAx>
        <c:axId val="115689344"/>
        <c:scaling>
          <c:orientation val="minMax"/>
        </c:scaling>
        <c:delete val="0"/>
        <c:axPos val="b"/>
        <c:numFmt formatCode="General" sourceLinked="1"/>
        <c:majorTickMark val="out"/>
        <c:minorTickMark val="none"/>
        <c:tickLblPos val="low"/>
        <c:txPr>
          <a:bodyPr/>
          <a:lstStyle/>
          <a:p>
            <a:pPr>
              <a:defRPr sz="800">
                <a:latin typeface="Arial" pitchFamily="34" charset="0"/>
                <a:cs typeface="Arial" pitchFamily="34" charset="0"/>
              </a:defRPr>
            </a:pPr>
            <a:endParaRPr lang="cs-CZ"/>
          </a:p>
        </c:txPr>
        <c:crossAx val="115690880"/>
        <c:crosses val="autoZero"/>
        <c:auto val="1"/>
        <c:lblAlgn val="ctr"/>
        <c:lblOffset val="0"/>
        <c:noMultiLvlLbl val="0"/>
      </c:catAx>
      <c:valAx>
        <c:axId val="115690880"/>
        <c:scaling>
          <c:orientation val="minMax"/>
          <c:max val="11"/>
          <c:min val="-6"/>
        </c:scaling>
        <c:delete val="0"/>
        <c:axPos val="l"/>
        <c:majorGridlines/>
        <c:numFmt formatCode="0" sourceLinked="0"/>
        <c:majorTickMark val="out"/>
        <c:minorTickMark val="none"/>
        <c:tickLblPos val="nextTo"/>
        <c:txPr>
          <a:bodyPr/>
          <a:lstStyle/>
          <a:p>
            <a:pPr>
              <a:defRPr sz="800">
                <a:latin typeface="Arial" pitchFamily="34" charset="0"/>
                <a:cs typeface="Arial" pitchFamily="34" charset="0"/>
              </a:defRPr>
            </a:pPr>
            <a:endParaRPr lang="cs-CZ"/>
          </a:p>
        </c:txPr>
        <c:crossAx val="115689344"/>
        <c:crosses val="autoZero"/>
        <c:crossBetween val="between"/>
        <c:majorUnit val="1"/>
      </c:valAx>
      <c:spPr>
        <a:noFill/>
        <a:ln w="6350">
          <a:solidFill>
            <a:prstClr val="black">
              <a:lumMod val="95000"/>
              <a:lumOff val="5000"/>
            </a:prstClr>
          </a:solidFill>
        </a:ln>
      </c:spPr>
    </c:plotArea>
    <c:legend>
      <c:legendPos val="r"/>
      <c:layout>
        <c:manualLayout>
          <c:xMode val="edge"/>
          <c:yMode val="edge"/>
          <c:x val="3.05152019296068E-2"/>
          <c:y val="0.82802404283095155"/>
          <c:w val="0.9552127052464312"/>
          <c:h val="0.16188919209533753"/>
        </c:manualLayout>
      </c:layout>
      <c:overlay val="0"/>
      <c:spPr>
        <a:ln w="6350">
          <a:solidFill>
            <a:prstClr val="black">
              <a:lumMod val="95000"/>
              <a:lumOff val="5000"/>
            </a:prstClr>
          </a:solidFill>
        </a:ln>
      </c:spPr>
      <c:txPr>
        <a:bodyPr/>
        <a:lstStyle/>
        <a:p>
          <a:pPr>
            <a:defRPr sz="800">
              <a:latin typeface="Arial" pitchFamily="34" charset="0"/>
              <a:cs typeface="Arial" pitchFamily="34" charset="0"/>
            </a:defRPr>
          </a:pPr>
          <a:endParaRPr lang="cs-CZ"/>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2277854581154255E-2"/>
          <c:y val="1.643251153889452E-2"/>
          <c:w val="0.88814529285961863"/>
          <c:h val="0.77409039738827123"/>
        </c:manualLayout>
      </c:layout>
      <c:barChart>
        <c:barDir val="col"/>
        <c:grouping val="clustered"/>
        <c:varyColors val="0"/>
        <c:ser>
          <c:idx val="0"/>
          <c:order val="0"/>
          <c:tx>
            <c:strRef>
              <c:f>'výkonnost odvětví 2'!$B$31</c:f>
              <c:strCache>
                <c:ptCount val="1"/>
                <c:pt idx="0">
                  <c:v>Total industry orders</c:v>
                </c:pt>
              </c:strCache>
            </c:strRef>
          </c:tx>
          <c:spPr>
            <a:solidFill>
              <a:schemeClr val="bg1">
                <a:lumMod val="65000"/>
              </a:schemeClr>
            </a:solidFill>
            <a:ln w="12700">
              <a:noFill/>
              <a:prstDash val="solid"/>
            </a:ln>
          </c:spPr>
          <c:invertIfNegative val="0"/>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2'!$C$31:$AH$31</c:f>
              <c:numCache>
                <c:formatCode>#\ ##0.0__</c:formatCode>
                <c:ptCount val="32"/>
                <c:pt idx="0">
                  <c:v>12.043107093421796</c:v>
                </c:pt>
                <c:pt idx="1">
                  <c:v>5.329290402096305</c:v>
                </c:pt>
                <c:pt idx="2">
                  <c:v>-1.5038236293274423</c:v>
                </c:pt>
                <c:pt idx="3">
                  <c:v>0.49985199872995167</c:v>
                </c:pt>
                <c:pt idx="4">
                  <c:v>7.8919882289544319</c:v>
                </c:pt>
                <c:pt idx="5">
                  <c:v>0.24363263911027389</c:v>
                </c:pt>
                <c:pt idx="6">
                  <c:v>2.6780600325356119</c:v>
                </c:pt>
                <c:pt idx="7">
                  <c:v>-2.2927798243121345</c:v>
                </c:pt>
                <c:pt idx="8">
                  <c:v>-6.7566875441004868</c:v>
                </c:pt>
                <c:pt idx="9">
                  <c:v>-0.77743908810788298</c:v>
                </c:pt>
                <c:pt idx="10">
                  <c:v>12.110592029586002</c:v>
                </c:pt>
                <c:pt idx="11">
                  <c:v>12.611542535334834</c:v>
                </c:pt>
                <c:pt idx="12">
                  <c:v>18.454576257258609</c:v>
                </c:pt>
                <c:pt idx="13">
                  <c:v>13.812603337719324</c:v>
                </c:pt>
                <c:pt idx="14">
                  <c:v>11.164927309703884</c:v>
                </c:pt>
                <c:pt idx="15">
                  <c:v>7.3250322249586759</c:v>
                </c:pt>
                <c:pt idx="16">
                  <c:v>8.5397251010390391</c:v>
                </c:pt>
                <c:pt idx="17">
                  <c:v>6.4894834031568251</c:v>
                </c:pt>
                <c:pt idx="18">
                  <c:v>4.1045761314248068</c:v>
                </c:pt>
                <c:pt idx="19">
                  <c:v>6.0151063810169205</c:v>
                </c:pt>
                <c:pt idx="20">
                  <c:v>1.3550678522953064</c:v>
                </c:pt>
                <c:pt idx="21">
                  <c:v>10.856046878525433</c:v>
                </c:pt>
                <c:pt idx="22">
                  <c:v>1.6431282237439291</c:v>
                </c:pt>
                <c:pt idx="23">
                  <c:v>6.7220844736941103</c:v>
                </c:pt>
                <c:pt idx="24">
                  <c:v>10.841479121555906</c:v>
                </c:pt>
                <c:pt idx="25">
                  <c:v>4.5315942367003714</c:v>
                </c:pt>
                <c:pt idx="26">
                  <c:v>6.9082617878945598</c:v>
                </c:pt>
                <c:pt idx="27">
                  <c:v>7.5112613571588724</c:v>
                </c:pt>
                <c:pt idx="28">
                  <c:v>1.7066785266926416</c:v>
                </c:pt>
                <c:pt idx="29">
                  <c:v>4.7530235184003402</c:v>
                </c:pt>
                <c:pt idx="30">
                  <c:v>3.8171408228082129</c:v>
                </c:pt>
                <c:pt idx="31">
                  <c:v>4.4902635158811535</c:v>
                </c:pt>
              </c:numCache>
            </c:numRef>
          </c:val>
          <c:extLst>
            <c:ext xmlns:c16="http://schemas.microsoft.com/office/drawing/2014/chart" uri="{C3380CC4-5D6E-409C-BE32-E72D297353CC}">
              <c16:uniqueId val="{00000000-EFF2-47B8-B8CC-B39CD1768B4A}"/>
            </c:ext>
          </c:extLst>
        </c:ser>
        <c:dLbls>
          <c:showLegendKey val="0"/>
          <c:showVal val="0"/>
          <c:showCatName val="0"/>
          <c:showSerName val="0"/>
          <c:showPercent val="0"/>
          <c:showBubbleSize val="0"/>
        </c:dLbls>
        <c:gapWidth val="34"/>
        <c:overlap val="28"/>
        <c:axId val="151575168"/>
        <c:axId val="151577728"/>
      </c:barChart>
      <c:lineChart>
        <c:grouping val="standard"/>
        <c:varyColors val="0"/>
        <c:ser>
          <c:idx val="2"/>
          <c:order val="1"/>
          <c:tx>
            <c:strRef>
              <c:f>'výkonnost odvětví 2'!$B$32</c:f>
              <c:strCache>
                <c:ptCount val="1"/>
                <c:pt idx="0">
                  <c:v>Domestic industry orders</c:v>
                </c:pt>
              </c:strCache>
            </c:strRef>
          </c:tx>
          <c:spPr>
            <a:ln w="15875">
              <a:solidFill>
                <a:srgbClr val="BD1B21"/>
              </a:solidFill>
              <a:prstDash val="solid"/>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2'!$C$32:$AH$32</c:f>
              <c:numCache>
                <c:formatCode>#\ ##0.0__</c:formatCode>
                <c:ptCount val="32"/>
                <c:pt idx="0">
                  <c:v>2.8145814762462464</c:v>
                </c:pt>
                <c:pt idx="1">
                  <c:v>-0.65160361804250044</c:v>
                </c:pt>
                <c:pt idx="2">
                  <c:v>-11.671782921579478</c:v>
                </c:pt>
                <c:pt idx="3">
                  <c:v>-10.696553890943122</c:v>
                </c:pt>
                <c:pt idx="4">
                  <c:v>2.6214056871317126</c:v>
                </c:pt>
                <c:pt idx="5">
                  <c:v>-9.2467743432498821</c:v>
                </c:pt>
                <c:pt idx="6">
                  <c:v>-2.8571545096936291</c:v>
                </c:pt>
                <c:pt idx="7">
                  <c:v>-4.0487324448534139</c:v>
                </c:pt>
                <c:pt idx="8">
                  <c:v>-7.112663177047466</c:v>
                </c:pt>
                <c:pt idx="9">
                  <c:v>-0.59561460542927591</c:v>
                </c:pt>
                <c:pt idx="10">
                  <c:v>9.3847374388735147</c:v>
                </c:pt>
                <c:pt idx="11">
                  <c:v>7.0782158358476011</c:v>
                </c:pt>
                <c:pt idx="12">
                  <c:v>14.18383964594139</c:v>
                </c:pt>
                <c:pt idx="13">
                  <c:v>7.7929541685002164</c:v>
                </c:pt>
                <c:pt idx="14">
                  <c:v>16.845115352064937</c:v>
                </c:pt>
                <c:pt idx="15">
                  <c:v>9.6787104542652713</c:v>
                </c:pt>
                <c:pt idx="16">
                  <c:v>4.341961301010727</c:v>
                </c:pt>
                <c:pt idx="17">
                  <c:v>10.024449168168019</c:v>
                </c:pt>
                <c:pt idx="18">
                  <c:v>-4.7604240586837108</c:v>
                </c:pt>
                <c:pt idx="19">
                  <c:v>0.56107209694786775</c:v>
                </c:pt>
                <c:pt idx="20">
                  <c:v>0.20304376106223287</c:v>
                </c:pt>
                <c:pt idx="21">
                  <c:v>4.9376200007964286</c:v>
                </c:pt>
                <c:pt idx="22">
                  <c:v>-0.65834656713856532</c:v>
                </c:pt>
                <c:pt idx="23">
                  <c:v>2.873089889380708</c:v>
                </c:pt>
                <c:pt idx="24">
                  <c:v>16.722989365311648</c:v>
                </c:pt>
                <c:pt idx="25">
                  <c:v>11.567742610098009</c:v>
                </c:pt>
                <c:pt idx="26">
                  <c:v>14.702871802754672</c:v>
                </c:pt>
                <c:pt idx="27">
                  <c:v>15.641374658030259</c:v>
                </c:pt>
                <c:pt idx="28">
                  <c:v>0.21056711209710954</c:v>
                </c:pt>
                <c:pt idx="29">
                  <c:v>4.1525483912914893</c:v>
                </c:pt>
                <c:pt idx="30">
                  <c:v>5.2559452571511827</c:v>
                </c:pt>
                <c:pt idx="31">
                  <c:v>6.060282151009261</c:v>
                </c:pt>
              </c:numCache>
            </c:numRef>
          </c:val>
          <c:smooth val="0"/>
          <c:extLst>
            <c:ext xmlns:c16="http://schemas.microsoft.com/office/drawing/2014/chart" uri="{C3380CC4-5D6E-409C-BE32-E72D297353CC}">
              <c16:uniqueId val="{00000001-EFF2-47B8-B8CC-B39CD1768B4A}"/>
            </c:ext>
          </c:extLst>
        </c:ser>
        <c:ser>
          <c:idx val="5"/>
          <c:order val="2"/>
          <c:tx>
            <c:strRef>
              <c:f>'výkonnost odvětví 2'!$B$33</c:f>
              <c:strCache>
                <c:ptCount val="1"/>
                <c:pt idx="0">
                  <c:v>Foreign industry orders</c:v>
                </c:pt>
              </c:strCache>
            </c:strRef>
          </c:tx>
          <c:spPr>
            <a:ln w="15875">
              <a:solidFill>
                <a:srgbClr val="0071BC"/>
              </a:solidFill>
              <a:prstDash val="solid"/>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2'!$C$33:$AH$33</c:f>
              <c:numCache>
                <c:formatCode>#\ ##0.0__</c:formatCode>
                <c:ptCount val="32"/>
                <c:pt idx="0">
                  <c:v>18.348366232182059</c:v>
                </c:pt>
                <c:pt idx="1">
                  <c:v>9.5205491734487566</c:v>
                </c:pt>
                <c:pt idx="2">
                  <c:v>5.6720014781022314</c:v>
                </c:pt>
                <c:pt idx="3">
                  <c:v>8.6383031975398836</c:v>
                </c:pt>
                <c:pt idx="4">
                  <c:v>11.020383939537368</c:v>
                </c:pt>
                <c:pt idx="5">
                  <c:v>6.2765650038583374</c:v>
                </c:pt>
                <c:pt idx="6">
                  <c:v>5.9432769293397172</c:v>
                </c:pt>
                <c:pt idx="7">
                  <c:v>-1.2435728368122057</c:v>
                </c:pt>
                <c:pt idx="8">
                  <c:v>-6.5613801859878293</c:v>
                </c:pt>
                <c:pt idx="9">
                  <c:v>-0.87613985904688718</c:v>
                </c:pt>
                <c:pt idx="10">
                  <c:v>13.585000036266109</c:v>
                </c:pt>
                <c:pt idx="11">
                  <c:v>15.823871636824705</c:v>
                </c:pt>
                <c:pt idx="12">
                  <c:v>20.558652721652493</c:v>
                </c:pt>
                <c:pt idx="13">
                  <c:v>16.687921882537509</c:v>
                </c:pt>
                <c:pt idx="14">
                  <c:v>8.5531225813094949</c:v>
                </c:pt>
                <c:pt idx="15">
                  <c:v>6.3161284689543749</c:v>
                </c:pt>
                <c:pt idx="16">
                  <c:v>10.348522192193442</c:v>
                </c:pt>
                <c:pt idx="17">
                  <c:v>5.0066840085656992</c:v>
                </c:pt>
                <c:pt idx="18">
                  <c:v>8.2506299270615528</c:v>
                </c:pt>
                <c:pt idx="19">
                  <c:v>8.5340301032502452</c:v>
                </c:pt>
                <c:pt idx="20">
                  <c:v>1.8244492596639788</c:v>
                </c:pt>
                <c:pt idx="21">
                  <c:v>13.457258781079091</c:v>
                </c:pt>
                <c:pt idx="22">
                  <c:v>2.5901270212493444</c:v>
                </c:pt>
                <c:pt idx="23">
                  <c:v>8.369140668119158</c:v>
                </c:pt>
                <c:pt idx="24">
                  <c:v>8.483271558879153</c:v>
                </c:pt>
                <c:pt idx="25">
                  <c:v>1.6713484154001037</c:v>
                </c:pt>
                <c:pt idx="26">
                  <c:v>3.8025338260982693</c:v>
                </c:pt>
                <c:pt idx="27">
                  <c:v>4.208677381006126</c:v>
                </c:pt>
                <c:pt idx="28">
                  <c:v>2.3521108836753797</c:v>
                </c:pt>
                <c:pt idx="29">
                  <c:v>5.0208808042731192</c:v>
                </c:pt>
                <c:pt idx="30">
                  <c:v>3.183654671776452</c:v>
                </c:pt>
                <c:pt idx="31">
                  <c:v>3.7825272586043326</c:v>
                </c:pt>
              </c:numCache>
            </c:numRef>
          </c:val>
          <c:smooth val="0"/>
          <c:extLst>
            <c:ext xmlns:c16="http://schemas.microsoft.com/office/drawing/2014/chart" uri="{C3380CC4-5D6E-409C-BE32-E72D297353CC}">
              <c16:uniqueId val="{00000002-EFF2-47B8-B8CC-B39CD1768B4A}"/>
            </c:ext>
          </c:extLst>
        </c:ser>
        <c:ser>
          <c:idx val="3"/>
          <c:order val="3"/>
          <c:tx>
            <c:strRef>
              <c:f>'výkonnost odvětví 2'!$B$34</c:f>
              <c:strCache>
                <c:ptCount val="1"/>
                <c:pt idx="0">
                  <c:v>Total orders (motor vehicles)</c:v>
                </c:pt>
              </c:strCache>
            </c:strRef>
          </c:tx>
          <c:spPr>
            <a:ln w="19050">
              <a:noFill/>
              <a:prstDash val="sysDash"/>
            </a:ln>
          </c:spPr>
          <c:marker>
            <c:symbol val="diamond"/>
            <c:size val="5"/>
            <c:spPr>
              <a:solidFill>
                <a:srgbClr val="FFFF00"/>
              </a:solidFill>
              <a:ln>
                <a:solidFill>
                  <a:prstClr val="black">
                    <a:lumMod val="95000"/>
                    <a:lumOff val="5000"/>
                  </a:prstClr>
                </a:solidFill>
              </a:ln>
            </c:spPr>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2'!$C$34:$AH$34</c:f>
              <c:numCache>
                <c:formatCode>#\ ##0.0__</c:formatCode>
                <c:ptCount val="32"/>
                <c:pt idx="0">
                  <c:v>11.429400379513879</c:v>
                </c:pt>
                <c:pt idx="1">
                  <c:v>9.2048286805521258</c:v>
                </c:pt>
                <c:pt idx="2">
                  <c:v>4.4139955552265207</c:v>
                </c:pt>
                <c:pt idx="3">
                  <c:v>5.3718735076924133</c:v>
                </c:pt>
                <c:pt idx="4">
                  <c:v>19.54636851917148</c:v>
                </c:pt>
                <c:pt idx="5">
                  <c:v>4.6887564118292033</c:v>
                </c:pt>
                <c:pt idx="6">
                  <c:v>1.3322326875189248</c:v>
                </c:pt>
                <c:pt idx="7">
                  <c:v>-2.0219087809167178</c:v>
                </c:pt>
                <c:pt idx="8">
                  <c:v>-15.423726227988496</c:v>
                </c:pt>
                <c:pt idx="9">
                  <c:v>-3.0233686336023169</c:v>
                </c:pt>
                <c:pt idx="10">
                  <c:v>24.654149056071944</c:v>
                </c:pt>
                <c:pt idx="11">
                  <c:v>18.470996489023392</c:v>
                </c:pt>
                <c:pt idx="12">
                  <c:v>33.791068906341536</c:v>
                </c:pt>
                <c:pt idx="13">
                  <c:v>22.39294364855138</c:v>
                </c:pt>
                <c:pt idx="14">
                  <c:v>16.969041222835131</c:v>
                </c:pt>
                <c:pt idx="15">
                  <c:v>12.211301534151133</c:v>
                </c:pt>
                <c:pt idx="16">
                  <c:v>15.316352438277931</c:v>
                </c:pt>
                <c:pt idx="17">
                  <c:v>5.584343456517459</c:v>
                </c:pt>
                <c:pt idx="18">
                  <c:v>13.898535777390734</c:v>
                </c:pt>
                <c:pt idx="19">
                  <c:v>18.975191723154538</c:v>
                </c:pt>
                <c:pt idx="20">
                  <c:v>11.460497347422447</c:v>
                </c:pt>
                <c:pt idx="21">
                  <c:v>33.085131031292235</c:v>
                </c:pt>
                <c:pt idx="22">
                  <c:v>5.912380139380474</c:v>
                </c:pt>
                <c:pt idx="23">
                  <c:v>12.001000805244416</c:v>
                </c:pt>
                <c:pt idx="24">
                  <c:v>7.9804719471503205</c:v>
                </c:pt>
                <c:pt idx="25">
                  <c:v>-1.7592612473364966</c:v>
                </c:pt>
                <c:pt idx="26">
                  <c:v>3.8626497182263222</c:v>
                </c:pt>
                <c:pt idx="27">
                  <c:v>0.37376710568412364</c:v>
                </c:pt>
                <c:pt idx="28">
                  <c:v>0.48725402785541405</c:v>
                </c:pt>
                <c:pt idx="29">
                  <c:v>3.5821512582472508</c:v>
                </c:pt>
                <c:pt idx="30">
                  <c:v>0.58071772308518632</c:v>
                </c:pt>
                <c:pt idx="31">
                  <c:v>0.79345758972340263</c:v>
                </c:pt>
              </c:numCache>
            </c:numRef>
          </c:val>
          <c:smooth val="0"/>
          <c:extLst>
            <c:ext xmlns:c16="http://schemas.microsoft.com/office/drawing/2014/chart" uri="{C3380CC4-5D6E-409C-BE32-E72D297353CC}">
              <c16:uniqueId val="{00000003-EFF2-47B8-B8CC-B39CD1768B4A}"/>
            </c:ext>
          </c:extLst>
        </c:ser>
        <c:ser>
          <c:idx val="1"/>
          <c:order val="4"/>
          <c:tx>
            <c:strRef>
              <c:f>'výkonnost odvětví 2'!$B$35</c:f>
              <c:strCache>
                <c:ptCount val="1"/>
                <c:pt idx="0">
                  <c:v>Balance of confidence indicator in industry</c:v>
                </c:pt>
              </c:strCache>
            </c:strRef>
          </c:tx>
          <c:spPr>
            <a:ln>
              <a:noFill/>
            </a:ln>
          </c:spPr>
          <c:marker>
            <c:symbol val="dash"/>
            <c:size val="9"/>
            <c:spPr>
              <a:solidFill>
                <a:srgbClr val="984807"/>
              </a:solidFill>
              <a:ln>
                <a:noFill/>
              </a:ln>
            </c:spPr>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2'!$C$35:$AH$35</c:f>
              <c:numCache>
                <c:formatCode>0.0</c:formatCode>
                <c:ptCount val="32"/>
                <c:pt idx="0">
                  <c:v>12.200000000000001</c:v>
                </c:pt>
                <c:pt idx="1">
                  <c:v>5.8999999999999995</c:v>
                </c:pt>
                <c:pt idx="2">
                  <c:v>2.4333333333333331</c:v>
                </c:pt>
                <c:pt idx="3">
                  <c:v>1.8</c:v>
                </c:pt>
                <c:pt idx="4">
                  <c:v>1.5666666666666667</c:v>
                </c:pt>
                <c:pt idx="5">
                  <c:v>-2.5666666666666669</c:v>
                </c:pt>
                <c:pt idx="6">
                  <c:v>-8.9</c:v>
                </c:pt>
                <c:pt idx="7">
                  <c:v>-10.200000000000001</c:v>
                </c:pt>
                <c:pt idx="8">
                  <c:v>-8.9</c:v>
                </c:pt>
                <c:pt idx="9">
                  <c:v>-10</c:v>
                </c:pt>
                <c:pt idx="10">
                  <c:v>-6.2333333333333334</c:v>
                </c:pt>
                <c:pt idx="11">
                  <c:v>1.7000000000000002</c:v>
                </c:pt>
                <c:pt idx="12">
                  <c:v>2.3333333333333335</c:v>
                </c:pt>
                <c:pt idx="13">
                  <c:v>3.6333333333333329</c:v>
                </c:pt>
                <c:pt idx="14">
                  <c:v>2.5333333333333332</c:v>
                </c:pt>
                <c:pt idx="15">
                  <c:v>2.6666666666666665</c:v>
                </c:pt>
                <c:pt idx="16">
                  <c:v>3</c:v>
                </c:pt>
                <c:pt idx="17">
                  <c:v>3.7666666666666671</c:v>
                </c:pt>
                <c:pt idx="18">
                  <c:v>3.7666666666666671</c:v>
                </c:pt>
                <c:pt idx="19">
                  <c:v>0.76666666666666661</c:v>
                </c:pt>
                <c:pt idx="20">
                  <c:v>3.5666666666666664</c:v>
                </c:pt>
                <c:pt idx="21">
                  <c:v>1.9000000000000001</c:v>
                </c:pt>
                <c:pt idx="22">
                  <c:v>3.7666666666666671</c:v>
                </c:pt>
                <c:pt idx="23">
                  <c:v>5.333333333333333</c:v>
                </c:pt>
                <c:pt idx="24">
                  <c:v>3.3333333333333335</c:v>
                </c:pt>
                <c:pt idx="25">
                  <c:v>0.83333333333333337</c:v>
                </c:pt>
                <c:pt idx="26">
                  <c:v>3.8666666666666667</c:v>
                </c:pt>
                <c:pt idx="27">
                  <c:v>5.8</c:v>
                </c:pt>
                <c:pt idx="28">
                  <c:v>3.9</c:v>
                </c:pt>
                <c:pt idx="29">
                  <c:v>3.4333333333333336</c:v>
                </c:pt>
                <c:pt idx="30">
                  <c:v>1.9666666666666666</c:v>
                </c:pt>
                <c:pt idx="31">
                  <c:v>1.8666666666666665</c:v>
                </c:pt>
              </c:numCache>
            </c:numRef>
          </c:val>
          <c:smooth val="0"/>
          <c:extLst>
            <c:ext xmlns:c16="http://schemas.microsoft.com/office/drawing/2014/chart" uri="{C3380CC4-5D6E-409C-BE32-E72D297353CC}">
              <c16:uniqueId val="{00000004-EFF2-47B8-B8CC-B39CD1768B4A}"/>
            </c:ext>
          </c:extLst>
        </c:ser>
        <c:dLbls>
          <c:showLegendKey val="0"/>
          <c:showVal val="0"/>
          <c:showCatName val="0"/>
          <c:showSerName val="0"/>
          <c:showPercent val="0"/>
          <c:showBubbleSize val="0"/>
        </c:dLbls>
        <c:marker val="1"/>
        <c:smooth val="0"/>
        <c:axId val="151575168"/>
        <c:axId val="151577728"/>
      </c:lineChart>
      <c:lineChart>
        <c:grouping val="standard"/>
        <c:varyColors val="0"/>
        <c:ser>
          <c:idx val="4"/>
          <c:order val="5"/>
          <c:tx>
            <c:strRef>
              <c:f>'výkonnost odvětví 2'!$B$36</c:f>
              <c:strCache>
                <c:ptCount val="1"/>
                <c:pt idx="0">
                  <c:v>Utilisat.of industr.prod.capacity (right axis)</c:v>
                </c:pt>
              </c:strCache>
            </c:strRef>
          </c:tx>
          <c:spPr>
            <a:ln w="19050">
              <a:solidFill>
                <a:srgbClr val="7DBB2D"/>
              </a:solidFill>
              <a:prstDash val="sysDash"/>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2'!$C$36:$AH$36</c:f>
              <c:numCache>
                <c:formatCode>0.0</c:formatCode>
                <c:ptCount val="32"/>
                <c:pt idx="0">
                  <c:v>83.7</c:v>
                </c:pt>
                <c:pt idx="1">
                  <c:v>85.5</c:v>
                </c:pt>
                <c:pt idx="2">
                  <c:v>84.7</c:v>
                </c:pt>
                <c:pt idx="3">
                  <c:v>82.8</c:v>
                </c:pt>
                <c:pt idx="4">
                  <c:v>84.6</c:v>
                </c:pt>
                <c:pt idx="5">
                  <c:v>83.6</c:v>
                </c:pt>
                <c:pt idx="6">
                  <c:v>81.2</c:v>
                </c:pt>
                <c:pt idx="7">
                  <c:v>81.2</c:v>
                </c:pt>
                <c:pt idx="8">
                  <c:v>80.900000000000006</c:v>
                </c:pt>
                <c:pt idx="9">
                  <c:v>82.2</c:v>
                </c:pt>
                <c:pt idx="10">
                  <c:v>80.7</c:v>
                </c:pt>
                <c:pt idx="11">
                  <c:v>82.2</c:v>
                </c:pt>
                <c:pt idx="12">
                  <c:v>81.2</c:v>
                </c:pt>
                <c:pt idx="13">
                  <c:v>83.5</c:v>
                </c:pt>
                <c:pt idx="14">
                  <c:v>82.8</c:v>
                </c:pt>
                <c:pt idx="15">
                  <c:v>84.4</c:v>
                </c:pt>
                <c:pt idx="16">
                  <c:v>86.2</c:v>
                </c:pt>
                <c:pt idx="17">
                  <c:v>85</c:v>
                </c:pt>
                <c:pt idx="18">
                  <c:v>85.6</c:v>
                </c:pt>
                <c:pt idx="19">
                  <c:v>83.9</c:v>
                </c:pt>
                <c:pt idx="20">
                  <c:v>84.5</c:v>
                </c:pt>
                <c:pt idx="21">
                  <c:v>84.7</c:v>
                </c:pt>
                <c:pt idx="22">
                  <c:v>84.7</c:v>
                </c:pt>
                <c:pt idx="23">
                  <c:v>84.1</c:v>
                </c:pt>
                <c:pt idx="24">
                  <c:v>84.9</c:v>
                </c:pt>
                <c:pt idx="25">
                  <c:v>83.1</c:v>
                </c:pt>
                <c:pt idx="26">
                  <c:v>84.4</c:v>
                </c:pt>
                <c:pt idx="27">
                  <c:v>84.3</c:v>
                </c:pt>
                <c:pt idx="28">
                  <c:v>85.8</c:v>
                </c:pt>
                <c:pt idx="29">
                  <c:v>85.4</c:v>
                </c:pt>
                <c:pt idx="30">
                  <c:v>86.2</c:v>
                </c:pt>
                <c:pt idx="31">
                  <c:v>85.7</c:v>
                </c:pt>
              </c:numCache>
            </c:numRef>
          </c:val>
          <c:smooth val="0"/>
          <c:extLst>
            <c:ext xmlns:c16="http://schemas.microsoft.com/office/drawing/2014/chart" uri="{C3380CC4-5D6E-409C-BE32-E72D297353CC}">
              <c16:uniqueId val="{00000005-EFF2-47B8-B8CC-B39CD1768B4A}"/>
            </c:ext>
          </c:extLst>
        </c:ser>
        <c:dLbls>
          <c:showLegendKey val="0"/>
          <c:showVal val="0"/>
          <c:showCatName val="0"/>
          <c:showSerName val="0"/>
          <c:showPercent val="0"/>
          <c:showBubbleSize val="0"/>
        </c:dLbls>
        <c:marker val="1"/>
        <c:smooth val="0"/>
        <c:axId val="151921792"/>
        <c:axId val="151579648"/>
      </c:lineChart>
      <c:catAx>
        <c:axId val="151575168"/>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151577728"/>
        <c:crossesAt val="0"/>
        <c:auto val="0"/>
        <c:lblAlgn val="ctr"/>
        <c:lblOffset val="0"/>
        <c:tickLblSkip val="1"/>
        <c:tickMarkSkip val="4"/>
        <c:noMultiLvlLbl val="0"/>
      </c:catAx>
      <c:valAx>
        <c:axId val="151577728"/>
        <c:scaling>
          <c:orientation val="minMax"/>
          <c:max val="25"/>
          <c:min val="-16"/>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151575168"/>
        <c:crosses val="autoZero"/>
        <c:crossBetween val="between"/>
        <c:majorUnit val="4"/>
      </c:valAx>
      <c:valAx>
        <c:axId val="151579648"/>
        <c:scaling>
          <c:orientation val="minMax"/>
          <c:max val="102.5"/>
          <c:min val="0"/>
        </c:scaling>
        <c:delete val="0"/>
        <c:axPos val="r"/>
        <c:numFmt formatCode="0" sourceLinked="0"/>
        <c:majorTickMark val="out"/>
        <c:minorTickMark val="none"/>
        <c:tickLblPos val="nextTo"/>
        <c:crossAx val="151921792"/>
        <c:crosses val="max"/>
        <c:crossBetween val="between"/>
        <c:majorUnit val="10"/>
      </c:valAx>
      <c:catAx>
        <c:axId val="151921792"/>
        <c:scaling>
          <c:orientation val="minMax"/>
        </c:scaling>
        <c:delete val="1"/>
        <c:axPos val="b"/>
        <c:numFmt formatCode="General" sourceLinked="1"/>
        <c:majorTickMark val="out"/>
        <c:minorTickMark val="none"/>
        <c:tickLblPos val="none"/>
        <c:crossAx val="151579648"/>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2.9854426534126196E-4"/>
          <c:y val="0.88253517955645611"/>
          <c:w val="0.99229844159472713"/>
          <c:h val="0.10687971406056511"/>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5040945877997E-2"/>
          <c:y val="1.656318784295277E-2"/>
          <c:w val="0.92847707700101312"/>
          <c:h val="0.72369081250656031"/>
        </c:manualLayout>
      </c:layout>
      <c:barChart>
        <c:barDir val="col"/>
        <c:grouping val="stacked"/>
        <c:varyColors val="0"/>
        <c:ser>
          <c:idx val="1"/>
          <c:order val="1"/>
          <c:tx>
            <c:strRef>
              <c:f>'výkonnost odvětví 3'!$Y$10</c:f>
              <c:strCache>
                <c:ptCount val="1"/>
                <c:pt idx="0">
                  <c:v>Building construction (contribution to growth (in p.p.))</c:v>
                </c:pt>
              </c:strCache>
            </c:strRef>
          </c:tx>
          <c:spPr>
            <a:solidFill>
              <a:srgbClr val="A6CDE9"/>
            </a:solidFill>
            <a:ln w="19050">
              <a:noFill/>
              <a:prstDash val="solid"/>
            </a:ln>
          </c:spPr>
          <c:invertIfNegative val="0"/>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3'!$Y$11:$Y$46</c:f>
              <c:numCache>
                <c:formatCode>0.0</c:formatCode>
                <c:ptCount val="36"/>
                <c:pt idx="0">
                  <c:v>-20.894220223340991</c:v>
                </c:pt>
                <c:pt idx="1">
                  <c:v>-6.7913208389337871</c:v>
                </c:pt>
                <c:pt idx="2">
                  <c:v>-0.41983169773094586</c:v>
                </c:pt>
                <c:pt idx="3">
                  <c:v>0.19768755279847866</c:v>
                </c:pt>
                <c:pt idx="4">
                  <c:v>6.2295194749584448</c:v>
                </c:pt>
                <c:pt idx="5">
                  <c:v>-1.1590857147399021</c:v>
                </c:pt>
                <c:pt idx="6">
                  <c:v>-4.261625078943843</c:v>
                </c:pt>
                <c:pt idx="7">
                  <c:v>1.4264942803296767</c:v>
                </c:pt>
                <c:pt idx="8">
                  <c:v>-5.3030775022800274</c:v>
                </c:pt>
                <c:pt idx="9">
                  <c:v>-1.6115118262130712</c:v>
                </c:pt>
                <c:pt idx="10">
                  <c:v>-3.5197455924561978</c:v>
                </c:pt>
                <c:pt idx="11">
                  <c:v>-6.7500744020923946</c:v>
                </c:pt>
                <c:pt idx="12">
                  <c:v>-7.4572775581293573</c:v>
                </c:pt>
                <c:pt idx="13">
                  <c:v>-7.6456647272268397</c:v>
                </c:pt>
                <c:pt idx="14">
                  <c:v>-1.051125363253204</c:v>
                </c:pt>
                <c:pt idx="15">
                  <c:v>-1.9552721633519001</c:v>
                </c:pt>
                <c:pt idx="16">
                  <c:v>12.566026750004124</c:v>
                </c:pt>
                <c:pt idx="17">
                  <c:v>3.6356644100366786</c:v>
                </c:pt>
                <c:pt idx="18">
                  <c:v>-0.44785360234183619</c:v>
                </c:pt>
                <c:pt idx="19">
                  <c:v>-0.37185938791412759</c:v>
                </c:pt>
                <c:pt idx="20">
                  <c:v>6.1299822350212452</c:v>
                </c:pt>
                <c:pt idx="21">
                  <c:v>5.1647687606964556</c:v>
                </c:pt>
                <c:pt idx="22">
                  <c:v>0.82167474736762192</c:v>
                </c:pt>
                <c:pt idx="23">
                  <c:v>-1.7932289720898549</c:v>
                </c:pt>
                <c:pt idx="24">
                  <c:v>-4.9897748967763196</c:v>
                </c:pt>
                <c:pt idx="25">
                  <c:v>-5.0711987639399219</c:v>
                </c:pt>
                <c:pt idx="26">
                  <c:v>0.79698230668400716</c:v>
                </c:pt>
                <c:pt idx="27">
                  <c:v>4.0256383093120212</c:v>
                </c:pt>
                <c:pt idx="28">
                  <c:v>2.3872362457986163</c:v>
                </c:pt>
                <c:pt idx="29">
                  <c:v>10.106309030294751</c:v>
                </c:pt>
                <c:pt idx="30">
                  <c:v>3.4920577402641526</c:v>
                </c:pt>
                <c:pt idx="31">
                  <c:v>2.6845493126669067</c:v>
                </c:pt>
                <c:pt idx="32">
                  <c:v>13.604388239027051</c:v>
                </c:pt>
                <c:pt idx="33">
                  <c:v>6.291975848415456</c:v>
                </c:pt>
                <c:pt idx="34">
                  <c:v>7.6966739952447627</c:v>
                </c:pt>
                <c:pt idx="35">
                  <c:v>2.4790269434595862</c:v>
                </c:pt>
              </c:numCache>
            </c:numRef>
          </c:val>
          <c:extLst>
            <c:ext xmlns:c16="http://schemas.microsoft.com/office/drawing/2014/chart" uri="{C3380CC4-5D6E-409C-BE32-E72D297353CC}">
              <c16:uniqueId val="{00000000-EEDF-41C9-8DE5-EAE958772561}"/>
            </c:ext>
          </c:extLst>
        </c:ser>
        <c:ser>
          <c:idx val="2"/>
          <c:order val="2"/>
          <c:tx>
            <c:strRef>
              <c:f>'výkonnost odvětví 3'!$Z$10</c:f>
              <c:strCache>
                <c:ptCount val="1"/>
                <c:pt idx="0">
                  <c:v>Civil engineering construction (contribution to growth (in p.p.))</c:v>
                </c:pt>
              </c:strCache>
            </c:strRef>
          </c:tx>
          <c:spPr>
            <a:solidFill>
              <a:srgbClr val="E8AFB2"/>
            </a:solidFill>
            <a:ln w="19050">
              <a:noFill/>
              <a:prstDash val="solid"/>
            </a:ln>
          </c:spPr>
          <c:invertIfNegative val="0"/>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3'!$Z$11:$Z$46</c:f>
              <c:numCache>
                <c:formatCode>0.0</c:formatCode>
                <c:ptCount val="36"/>
                <c:pt idx="0">
                  <c:v>-2.2139360215081139</c:v>
                </c:pt>
                <c:pt idx="1">
                  <c:v>-2.4149218537167467</c:v>
                </c:pt>
                <c:pt idx="2">
                  <c:v>-2.1150860808041627</c:v>
                </c:pt>
                <c:pt idx="3">
                  <c:v>-2.6282922815868854</c:v>
                </c:pt>
                <c:pt idx="4">
                  <c:v>-0.77491850407350693</c:v>
                </c:pt>
                <c:pt idx="5">
                  <c:v>-4.0298867079281333</c:v>
                </c:pt>
                <c:pt idx="6">
                  <c:v>-4.8148605685989461</c:v>
                </c:pt>
                <c:pt idx="7">
                  <c:v>-1.9062311455296412</c:v>
                </c:pt>
                <c:pt idx="8">
                  <c:v>-4.5330023637292118</c:v>
                </c:pt>
                <c:pt idx="9">
                  <c:v>-3.3849374716898861</c:v>
                </c:pt>
                <c:pt idx="10">
                  <c:v>-2.1553374396675635</c:v>
                </c:pt>
                <c:pt idx="11">
                  <c:v>-2.733257322948476</c:v>
                </c:pt>
                <c:pt idx="12">
                  <c:v>-3.1479459259512006</c:v>
                </c:pt>
                <c:pt idx="13">
                  <c:v>-4.0075441393460132</c:v>
                </c:pt>
                <c:pt idx="14">
                  <c:v>-3.8597581685174109</c:v>
                </c:pt>
                <c:pt idx="15">
                  <c:v>-0.67091932789287256</c:v>
                </c:pt>
                <c:pt idx="16">
                  <c:v>0.47824231697325315</c:v>
                </c:pt>
                <c:pt idx="17">
                  <c:v>1.9385027811474496</c:v>
                </c:pt>
                <c:pt idx="18">
                  <c:v>2.9116283564476748</c:v>
                </c:pt>
                <c:pt idx="19">
                  <c:v>1.4841179463282017</c:v>
                </c:pt>
                <c:pt idx="20">
                  <c:v>3.0769551381007689</c:v>
                </c:pt>
                <c:pt idx="21">
                  <c:v>6.8084534905302814</c:v>
                </c:pt>
                <c:pt idx="22">
                  <c:v>6.9997965753668572</c:v>
                </c:pt>
                <c:pt idx="23">
                  <c:v>2.7257548622204326</c:v>
                </c:pt>
                <c:pt idx="24">
                  <c:v>-1.2815747051855657</c:v>
                </c:pt>
                <c:pt idx="25">
                  <c:v>-5.1186972266188597</c:v>
                </c:pt>
                <c:pt idx="26">
                  <c:v>-6.7399234653802402</c:v>
                </c:pt>
                <c:pt idx="27">
                  <c:v>-5.6635930283786973</c:v>
                </c:pt>
                <c:pt idx="28">
                  <c:v>-3.1778994178007323</c:v>
                </c:pt>
                <c:pt idx="29">
                  <c:v>-1.1664704036025297</c:v>
                </c:pt>
                <c:pt idx="30">
                  <c:v>-1.4533950464781584</c:v>
                </c:pt>
                <c:pt idx="31">
                  <c:v>0.24487248687691834</c:v>
                </c:pt>
                <c:pt idx="32">
                  <c:v>1.7435970588610843</c:v>
                </c:pt>
                <c:pt idx="33">
                  <c:v>1.206676407823984</c:v>
                </c:pt>
                <c:pt idx="34">
                  <c:v>4.7139747895851603</c:v>
                </c:pt>
                <c:pt idx="35">
                  <c:v>1.906266122866427</c:v>
                </c:pt>
              </c:numCache>
            </c:numRef>
          </c:val>
          <c:extLst>
            <c:ext xmlns:c16="http://schemas.microsoft.com/office/drawing/2014/chart" uri="{C3380CC4-5D6E-409C-BE32-E72D297353CC}">
              <c16:uniqueId val="{00000001-EEDF-41C9-8DE5-EAE958772561}"/>
            </c:ext>
          </c:extLst>
        </c:ser>
        <c:dLbls>
          <c:showLegendKey val="0"/>
          <c:showVal val="0"/>
          <c:showCatName val="0"/>
          <c:showSerName val="0"/>
          <c:showPercent val="0"/>
          <c:showBubbleSize val="0"/>
        </c:dLbls>
        <c:gapWidth val="15"/>
        <c:overlap val="100"/>
        <c:axId val="50723840"/>
        <c:axId val="50746496"/>
      </c:barChart>
      <c:lineChart>
        <c:grouping val="standard"/>
        <c:varyColors val="0"/>
        <c:ser>
          <c:idx val="0"/>
          <c:order val="0"/>
          <c:tx>
            <c:strRef>
              <c:f>'výkonnost odvětví 3'!$X$10</c:f>
              <c:strCache>
                <c:ptCount val="1"/>
                <c:pt idx="0">
                  <c:v>Total construction production index (y/y, in %)*</c:v>
                </c:pt>
              </c:strCache>
            </c:strRef>
          </c:tx>
          <c:spPr>
            <a:ln>
              <a:noFill/>
            </a:ln>
          </c:spPr>
          <c:marker>
            <c:symbol val="diamond"/>
            <c:size val="5"/>
            <c:spPr>
              <a:solidFill>
                <a:schemeClr val="tx1">
                  <a:lumMod val="85000"/>
                  <a:lumOff val="15000"/>
                </a:schemeClr>
              </a:solidFill>
              <a:ln>
                <a:noFill/>
              </a:ln>
            </c:spPr>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3'!$X$11:$X$46</c:f>
              <c:numCache>
                <c:formatCode>0.0</c:formatCode>
                <c:ptCount val="36"/>
                <c:pt idx="0">
                  <c:v>-23.116391164509039</c:v>
                </c:pt>
                <c:pt idx="1">
                  <c:v>-9.209254900039582</c:v>
                </c:pt>
                <c:pt idx="2">
                  <c:v>-2.5235200520294541</c:v>
                </c:pt>
                <c:pt idx="3">
                  <c:v>-2.4599038992183893</c:v>
                </c:pt>
                <c:pt idx="4">
                  <c:v>5.4668881285219584</c:v>
                </c:pt>
                <c:pt idx="5">
                  <c:v>-5.1713614690661984</c:v>
                </c:pt>
                <c:pt idx="6">
                  <c:v>-9.0547518724218889</c:v>
                </c:pt>
                <c:pt idx="7">
                  <c:v>-0.50029953514706449</c:v>
                </c:pt>
                <c:pt idx="8">
                  <c:v>-9.8189505110702413</c:v>
                </c:pt>
                <c:pt idx="9">
                  <c:v>-4.9678793668112178</c:v>
                </c:pt>
                <c:pt idx="10">
                  <c:v>-5.6667427843248248</c:v>
                </c:pt>
                <c:pt idx="11">
                  <c:v>-9.4801113437505364</c:v>
                </c:pt>
                <c:pt idx="12">
                  <c:v>-10.589364759955075</c:v>
                </c:pt>
                <c:pt idx="13">
                  <c:v>-11.630739877005581</c:v>
                </c:pt>
                <c:pt idx="14">
                  <c:v>-4.9016730346174882</c:v>
                </c:pt>
                <c:pt idx="15">
                  <c:v>-2.6391004196124896</c:v>
                </c:pt>
                <c:pt idx="16">
                  <c:v>13.064876846748419</c:v>
                </c:pt>
                <c:pt idx="17">
                  <c:v>5.5582728283085459</c:v>
                </c:pt>
                <c:pt idx="18">
                  <c:v>2.4596047281739715</c:v>
                </c:pt>
                <c:pt idx="19">
                  <c:v>1.1021365460976966</c:v>
                </c:pt>
                <c:pt idx="20">
                  <c:v>9.2022735339710238</c:v>
                </c:pt>
                <c:pt idx="21">
                  <c:v>11.980072300933543</c:v>
                </c:pt>
                <c:pt idx="22">
                  <c:v>7.8249857405612033</c:v>
                </c:pt>
                <c:pt idx="23">
                  <c:v>0.94700906000770146</c:v>
                </c:pt>
                <c:pt idx="24">
                  <c:v>-6.2818148442800208</c:v>
                </c:pt>
                <c:pt idx="25">
                  <c:v>-10.187575110782362</c:v>
                </c:pt>
                <c:pt idx="26">
                  <c:v>-5.9203276146668031</c:v>
                </c:pt>
                <c:pt idx="27">
                  <c:v>-1.6468794592358051</c:v>
                </c:pt>
                <c:pt idx="28">
                  <c:v>-0.80182192114239115</c:v>
                </c:pt>
                <c:pt idx="29">
                  <c:v>8.9470419721325669</c:v>
                </c:pt>
                <c:pt idx="30">
                  <c:v>2.0441988115753418</c:v>
                </c:pt>
                <c:pt idx="31">
                  <c:v>2.9428463615976028</c:v>
                </c:pt>
                <c:pt idx="32">
                  <c:v>15.345947698323343</c:v>
                </c:pt>
                <c:pt idx="33">
                  <c:v>7.4990854415264607</c:v>
                </c:pt>
                <c:pt idx="34">
                  <c:v>12.405839010685327</c:v>
                </c:pt>
                <c:pt idx="35">
                  <c:v>4.3101164146136739</c:v>
                </c:pt>
              </c:numCache>
            </c:numRef>
          </c:val>
          <c:smooth val="0"/>
          <c:extLst>
            <c:ext xmlns:c16="http://schemas.microsoft.com/office/drawing/2014/chart" uri="{C3380CC4-5D6E-409C-BE32-E72D297353CC}">
              <c16:uniqueId val="{00000002-EEDF-41C9-8DE5-EAE958772561}"/>
            </c:ext>
          </c:extLst>
        </c:ser>
        <c:dLbls>
          <c:showLegendKey val="0"/>
          <c:showVal val="0"/>
          <c:showCatName val="0"/>
          <c:showSerName val="0"/>
          <c:showPercent val="0"/>
          <c:showBubbleSize val="0"/>
        </c:dLbls>
        <c:marker val="1"/>
        <c:smooth val="0"/>
        <c:axId val="50723840"/>
        <c:axId val="50746496"/>
      </c:lineChart>
      <c:lineChart>
        <c:grouping val="standard"/>
        <c:varyColors val="0"/>
        <c:ser>
          <c:idx val="3"/>
          <c:order val="3"/>
          <c:tx>
            <c:strRef>
              <c:f>'výkonnost odvětví 3'!$AA$10</c:f>
              <c:strCache>
                <c:ptCount val="1"/>
                <c:pt idx="0">
                  <c:v>New domestic construction orders (right axis)</c:v>
                </c:pt>
              </c:strCache>
            </c:strRef>
          </c:tx>
          <c:spPr>
            <a:ln w="19050">
              <a:solidFill>
                <a:srgbClr val="7DBB2D"/>
              </a:solidFill>
              <a:prstDash val="sysDash"/>
            </a:ln>
          </c:spPr>
          <c:marker>
            <c:symbol val="none"/>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3'!$AA$11:$AA$46</c:f>
              <c:numCache>
                <c:formatCode>0.0</c:formatCode>
                <c:ptCount val="36"/>
                <c:pt idx="0">
                  <c:v>0.82757088505651666</c:v>
                </c:pt>
                <c:pt idx="1">
                  <c:v>8.7687755178484537</c:v>
                </c:pt>
                <c:pt idx="2">
                  <c:v>30.894711890703775</c:v>
                </c:pt>
                <c:pt idx="3">
                  <c:v>-13.415413805192927</c:v>
                </c:pt>
                <c:pt idx="4">
                  <c:v>37.795405718063137</c:v>
                </c:pt>
                <c:pt idx="5">
                  <c:v>-23.565672566981206</c:v>
                </c:pt>
                <c:pt idx="6">
                  <c:v>-23.360716461156017</c:v>
                </c:pt>
                <c:pt idx="7">
                  <c:v>-9.1653963414634205</c:v>
                </c:pt>
                <c:pt idx="8">
                  <c:v>-46.3220596465979</c:v>
                </c:pt>
                <c:pt idx="9">
                  <c:v>-13.7148006307727</c:v>
                </c:pt>
                <c:pt idx="10">
                  <c:v>-7.6729748888363787</c:v>
                </c:pt>
                <c:pt idx="11">
                  <c:v>7.5624082232011745</c:v>
                </c:pt>
                <c:pt idx="12">
                  <c:v>-17.695687793252404</c:v>
                </c:pt>
                <c:pt idx="13">
                  <c:v>-1.584773641063137</c:v>
                </c:pt>
                <c:pt idx="14">
                  <c:v>-1.3308205951467045</c:v>
                </c:pt>
                <c:pt idx="15">
                  <c:v>16.153096050706978</c:v>
                </c:pt>
                <c:pt idx="16">
                  <c:v>67.509727626459153</c:v>
                </c:pt>
                <c:pt idx="17">
                  <c:v>18.978644382544104</c:v>
                </c:pt>
                <c:pt idx="18">
                  <c:v>34.050931384107542</c:v>
                </c:pt>
                <c:pt idx="19">
                  <c:v>-1</c:v>
                </c:pt>
                <c:pt idx="20">
                  <c:v>-3.1547956675580053</c:v>
                </c:pt>
                <c:pt idx="21">
                  <c:v>9.7504961091663205</c:v>
                </c:pt>
                <c:pt idx="22">
                  <c:v>-1.097606022761255</c:v>
                </c:pt>
                <c:pt idx="23">
                  <c:v>-2.3987783410040464</c:v>
                </c:pt>
                <c:pt idx="24">
                  <c:v>-6.6406358945753823</c:v>
                </c:pt>
                <c:pt idx="25">
                  <c:v>-0.49977652269311079</c:v>
                </c:pt>
                <c:pt idx="26">
                  <c:v>-7.0322087253454839</c:v>
                </c:pt>
                <c:pt idx="27">
                  <c:v>10.122126124559955</c:v>
                </c:pt>
                <c:pt idx="28">
                  <c:v>16.177217458847437</c:v>
                </c:pt>
                <c:pt idx="29">
                  <c:v>9.5350878984013008</c:v>
                </c:pt>
                <c:pt idx="30">
                  <c:v>-1.2817324431350698</c:v>
                </c:pt>
                <c:pt idx="31">
                  <c:v>15.620806693503823</c:v>
                </c:pt>
                <c:pt idx="32">
                  <c:v>30.10697387368856</c:v>
                </c:pt>
                <c:pt idx="33">
                  <c:v>32.836878110611963</c:v>
                </c:pt>
                <c:pt idx="34">
                  <c:v>5.2768249907951201</c:v>
                </c:pt>
                <c:pt idx="35">
                  <c:v>1.8944565811032277</c:v>
                </c:pt>
              </c:numCache>
            </c:numRef>
          </c:val>
          <c:smooth val="0"/>
          <c:extLst>
            <c:ext xmlns:c16="http://schemas.microsoft.com/office/drawing/2014/chart" uri="{C3380CC4-5D6E-409C-BE32-E72D297353CC}">
              <c16:uniqueId val="{00000003-EEDF-41C9-8DE5-EAE958772561}"/>
            </c:ext>
          </c:extLst>
        </c:ser>
        <c:ser>
          <c:idx val="4"/>
          <c:order val="4"/>
          <c:tx>
            <c:strRef>
              <c:f>'výkonnost odvětví 3'!$AB$10</c:f>
              <c:strCache>
                <c:ptCount val="1"/>
                <c:pt idx="0">
                  <c:v>Balance of confidence indicator in construction (right axis)</c:v>
                </c:pt>
              </c:strCache>
            </c:strRef>
          </c:tx>
          <c:spPr>
            <a:ln w="19050">
              <a:noFill/>
            </a:ln>
          </c:spPr>
          <c:marker>
            <c:symbol val="dash"/>
            <c:size val="9"/>
            <c:spPr>
              <a:solidFill>
                <a:srgbClr val="984807"/>
              </a:solidFill>
              <a:ln>
                <a:noFill/>
              </a:ln>
            </c:spPr>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3'!$AB$11:$AB$46</c:f>
              <c:numCache>
                <c:formatCode>0.0</c:formatCode>
                <c:ptCount val="36"/>
                <c:pt idx="0">
                  <c:v>-32.166666666666664</c:v>
                </c:pt>
                <c:pt idx="1">
                  <c:v>-32.5</c:v>
                </c:pt>
                <c:pt idx="2">
                  <c:v>-37</c:v>
                </c:pt>
                <c:pt idx="3">
                  <c:v>-42.5</c:v>
                </c:pt>
                <c:pt idx="4">
                  <c:v>-40</c:v>
                </c:pt>
                <c:pt idx="5">
                  <c:v>-40.333333333333336</c:v>
                </c:pt>
                <c:pt idx="6">
                  <c:v>-39.166666666666664</c:v>
                </c:pt>
                <c:pt idx="7">
                  <c:v>-39.333333333333336</c:v>
                </c:pt>
                <c:pt idx="8">
                  <c:v>-46</c:v>
                </c:pt>
                <c:pt idx="9">
                  <c:v>-45.333333333333336</c:v>
                </c:pt>
                <c:pt idx="10">
                  <c:v>-43.5</c:v>
                </c:pt>
                <c:pt idx="11">
                  <c:v>-44.666666666666664</c:v>
                </c:pt>
                <c:pt idx="12">
                  <c:v>-46</c:v>
                </c:pt>
                <c:pt idx="13">
                  <c:v>-53.333333333333336</c:v>
                </c:pt>
                <c:pt idx="14">
                  <c:v>-49.5</c:v>
                </c:pt>
                <c:pt idx="15">
                  <c:v>-50.833333333333336</c:v>
                </c:pt>
                <c:pt idx="16">
                  <c:v>-45.166666666666664</c:v>
                </c:pt>
                <c:pt idx="17">
                  <c:v>-38.333333333333336</c:v>
                </c:pt>
                <c:pt idx="18">
                  <c:v>-32</c:v>
                </c:pt>
                <c:pt idx="19">
                  <c:v>-25.166666666666668</c:v>
                </c:pt>
                <c:pt idx="20">
                  <c:v>-20.833333333333332</c:v>
                </c:pt>
                <c:pt idx="21">
                  <c:v>-16.333333333333332</c:v>
                </c:pt>
                <c:pt idx="22">
                  <c:v>-18.666666666666668</c:v>
                </c:pt>
                <c:pt idx="23">
                  <c:v>-15.666666666666666</c:v>
                </c:pt>
                <c:pt idx="24">
                  <c:v>-17.166666666666668</c:v>
                </c:pt>
                <c:pt idx="25">
                  <c:v>-24</c:v>
                </c:pt>
                <c:pt idx="26">
                  <c:v>-26.666666666666668</c:v>
                </c:pt>
                <c:pt idx="27">
                  <c:v>-25.833333333333332</c:v>
                </c:pt>
                <c:pt idx="28">
                  <c:v>-24.5</c:v>
                </c:pt>
                <c:pt idx="29">
                  <c:v>-22.666666666666668</c:v>
                </c:pt>
                <c:pt idx="30">
                  <c:v>-19.833333333333332</c:v>
                </c:pt>
                <c:pt idx="31">
                  <c:v>-15.166666666666666</c:v>
                </c:pt>
                <c:pt idx="32">
                  <c:v>-9.6666666666666661</c:v>
                </c:pt>
                <c:pt idx="33">
                  <c:v>-5.666666666666667</c:v>
                </c:pt>
                <c:pt idx="34">
                  <c:v>-3.1666666666666665</c:v>
                </c:pt>
                <c:pt idx="35">
                  <c:v>0.83333333333333337</c:v>
                </c:pt>
              </c:numCache>
            </c:numRef>
          </c:val>
          <c:smooth val="0"/>
          <c:extLst>
            <c:ext xmlns:c16="http://schemas.microsoft.com/office/drawing/2014/chart" uri="{C3380CC4-5D6E-409C-BE32-E72D297353CC}">
              <c16:uniqueId val="{00000004-EEDF-41C9-8DE5-EAE958772561}"/>
            </c:ext>
          </c:extLst>
        </c:ser>
        <c:dLbls>
          <c:showLegendKey val="0"/>
          <c:showVal val="0"/>
          <c:showCatName val="0"/>
          <c:showSerName val="0"/>
          <c:showPercent val="0"/>
          <c:showBubbleSize val="0"/>
        </c:dLbls>
        <c:marker val="1"/>
        <c:smooth val="0"/>
        <c:axId val="50749824"/>
        <c:axId val="50748032"/>
      </c:lineChart>
      <c:catAx>
        <c:axId val="50723840"/>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50746496"/>
        <c:crossesAt val="0"/>
        <c:auto val="0"/>
        <c:lblAlgn val="ctr"/>
        <c:lblOffset val="0"/>
        <c:tickLblSkip val="1"/>
        <c:tickMarkSkip val="4"/>
        <c:noMultiLvlLbl val="0"/>
      </c:catAx>
      <c:valAx>
        <c:axId val="50746496"/>
        <c:scaling>
          <c:orientation val="minMax"/>
          <c:max val="20"/>
          <c:min val="-30"/>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50723840"/>
        <c:crosses val="autoZero"/>
        <c:crossBetween val="between"/>
        <c:majorUnit val="5"/>
      </c:valAx>
      <c:valAx>
        <c:axId val="50748032"/>
        <c:scaling>
          <c:orientation val="minMax"/>
          <c:max val="40"/>
          <c:min val="-60"/>
        </c:scaling>
        <c:delete val="0"/>
        <c:axPos val="r"/>
        <c:numFmt formatCode="0" sourceLinked="0"/>
        <c:majorTickMark val="out"/>
        <c:minorTickMark val="none"/>
        <c:tickLblPos val="nextTo"/>
        <c:crossAx val="50749824"/>
        <c:crosses val="max"/>
        <c:crossBetween val="between"/>
        <c:majorUnit val="10"/>
      </c:valAx>
      <c:catAx>
        <c:axId val="50749824"/>
        <c:scaling>
          <c:orientation val="minMax"/>
        </c:scaling>
        <c:delete val="1"/>
        <c:axPos val="b"/>
        <c:numFmt formatCode="General" sourceLinked="1"/>
        <c:majorTickMark val="out"/>
        <c:minorTickMark val="none"/>
        <c:tickLblPos val="none"/>
        <c:crossAx val="50748032"/>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5.2067783555110631E-2"/>
          <c:y val="0.81999229504842874"/>
          <c:w val="0.89180162554522313"/>
          <c:h val="0.17399092008884615"/>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3337294494629933E-2"/>
          <c:y val="2.1718077717576629E-2"/>
          <c:w val="0.91372590696101663"/>
          <c:h val="0.72599103236105234"/>
        </c:manualLayout>
      </c:layout>
      <c:barChart>
        <c:barDir val="col"/>
        <c:grouping val="clustered"/>
        <c:varyColors val="0"/>
        <c:ser>
          <c:idx val="0"/>
          <c:order val="0"/>
          <c:tx>
            <c:strRef>
              <c:f>'výkonnost odvětví 4'!$B$51</c:f>
              <c:strCache>
                <c:ptCount val="1"/>
                <c:pt idx="0">
                  <c:v>Total services</c:v>
                </c:pt>
              </c:strCache>
            </c:strRef>
          </c:tx>
          <c:spPr>
            <a:solidFill>
              <a:srgbClr val="BEBEBE"/>
            </a:solidFill>
          </c:spPr>
          <c:invertIfNegative val="0"/>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4'!$C$51:$AL$51</c:f>
              <c:numCache>
                <c:formatCode>0.0</c:formatCode>
                <c:ptCount val="36"/>
                <c:pt idx="0">
                  <c:v>97.609368529999998</c:v>
                </c:pt>
                <c:pt idx="1">
                  <c:v>98.727578433299996</c:v>
                </c:pt>
                <c:pt idx="2">
                  <c:v>99.831697563299997</c:v>
                </c:pt>
                <c:pt idx="3">
                  <c:v>98.147770933299995</c:v>
                </c:pt>
                <c:pt idx="4">
                  <c:v>97.524387169999997</c:v>
                </c:pt>
                <c:pt idx="5">
                  <c:v>97.808977760000005</c:v>
                </c:pt>
                <c:pt idx="6">
                  <c:v>95.661178983300005</c:v>
                </c:pt>
                <c:pt idx="7">
                  <c:v>96.444285576699997</c:v>
                </c:pt>
                <c:pt idx="8">
                  <c:v>97.180872210000004</c:v>
                </c:pt>
                <c:pt idx="9">
                  <c:v>96.603815530000006</c:v>
                </c:pt>
                <c:pt idx="10">
                  <c:v>96.808917023299998</c:v>
                </c:pt>
                <c:pt idx="11">
                  <c:v>95.468823243299994</c:v>
                </c:pt>
                <c:pt idx="12">
                  <c:v>96.759004336700002</c:v>
                </c:pt>
                <c:pt idx="13">
                  <c:v>95.813450313299995</c:v>
                </c:pt>
                <c:pt idx="14">
                  <c:v>95.395745099999999</c:v>
                </c:pt>
                <c:pt idx="15">
                  <c:v>97.116506240000007</c:v>
                </c:pt>
                <c:pt idx="16">
                  <c:v>95.911863713299994</c:v>
                </c:pt>
                <c:pt idx="17">
                  <c:v>97.355010683299994</c:v>
                </c:pt>
                <c:pt idx="18">
                  <c:v>97.449551993300005</c:v>
                </c:pt>
                <c:pt idx="19">
                  <c:v>98.010406649999993</c:v>
                </c:pt>
                <c:pt idx="20">
                  <c:v>98.887587676699994</c:v>
                </c:pt>
                <c:pt idx="21">
                  <c:v>100.17384461330001</c:v>
                </c:pt>
                <c:pt idx="22">
                  <c:v>100.4489734033</c:v>
                </c:pt>
                <c:pt idx="23">
                  <c:v>100.48959431670001</c:v>
                </c:pt>
                <c:pt idx="24">
                  <c:v>99.596912619999998</c:v>
                </c:pt>
                <c:pt idx="25">
                  <c:v>99.43109862</c:v>
                </c:pt>
                <c:pt idx="26">
                  <c:v>101.87421341</c:v>
                </c:pt>
                <c:pt idx="27">
                  <c:v>102.63949452670001</c:v>
                </c:pt>
                <c:pt idx="28">
                  <c:v>104.27122674669999</c:v>
                </c:pt>
                <c:pt idx="29">
                  <c:v>105.20118394329999</c:v>
                </c:pt>
                <c:pt idx="30">
                  <c:v>105.57453821</c:v>
                </c:pt>
                <c:pt idx="31">
                  <c:v>106.1325003667</c:v>
                </c:pt>
                <c:pt idx="32">
                  <c:v>108.4265974333</c:v>
                </c:pt>
                <c:pt idx="33">
                  <c:v>108.06898003329999</c:v>
                </c:pt>
                <c:pt idx="34">
                  <c:v>108.5200061633</c:v>
                </c:pt>
                <c:pt idx="35">
                  <c:v>107.3156727067</c:v>
                </c:pt>
              </c:numCache>
            </c:numRef>
          </c:val>
          <c:extLst>
            <c:ext xmlns:c16="http://schemas.microsoft.com/office/drawing/2014/chart" uri="{C3380CC4-5D6E-409C-BE32-E72D297353CC}">
              <c16:uniqueId val="{00000000-7952-4AD1-9BF1-B1CC76727255}"/>
            </c:ext>
          </c:extLst>
        </c:ser>
        <c:dLbls>
          <c:showLegendKey val="0"/>
          <c:showVal val="0"/>
          <c:showCatName val="0"/>
          <c:showSerName val="0"/>
          <c:showPercent val="0"/>
          <c:showBubbleSize val="0"/>
        </c:dLbls>
        <c:gapWidth val="31"/>
        <c:axId val="51081216"/>
        <c:axId val="51083136"/>
      </c:barChart>
      <c:lineChart>
        <c:grouping val="standard"/>
        <c:varyColors val="0"/>
        <c:ser>
          <c:idx val="1"/>
          <c:order val="1"/>
          <c:tx>
            <c:strRef>
              <c:f>'výkonnost odvětví 4'!$B$52</c:f>
              <c:strCache>
                <c:ptCount val="1"/>
                <c:pt idx="0">
                  <c:v>Transportation and warehousing</c:v>
                </c:pt>
              </c:strCache>
            </c:strRef>
          </c:tx>
          <c:spPr>
            <a:ln w="19050">
              <a:solidFill>
                <a:srgbClr val="BD1B21"/>
              </a:solidFill>
              <a:prstDash val="solid"/>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4'!$C$52:$AL$52</c:f>
              <c:numCache>
                <c:formatCode>0.0</c:formatCode>
                <c:ptCount val="36"/>
                <c:pt idx="0">
                  <c:v>88.677181313299997</c:v>
                </c:pt>
                <c:pt idx="1">
                  <c:v>91.514914713300001</c:v>
                </c:pt>
                <c:pt idx="2">
                  <c:v>92.321053643300004</c:v>
                </c:pt>
                <c:pt idx="3">
                  <c:v>91.317541689999999</c:v>
                </c:pt>
                <c:pt idx="4">
                  <c:v>92.199196003300003</c:v>
                </c:pt>
                <c:pt idx="5">
                  <c:v>92.210718586699997</c:v>
                </c:pt>
                <c:pt idx="6">
                  <c:v>91.413468510000001</c:v>
                </c:pt>
                <c:pt idx="7">
                  <c:v>92.902991023300004</c:v>
                </c:pt>
                <c:pt idx="8">
                  <c:v>92.788468656700005</c:v>
                </c:pt>
                <c:pt idx="9">
                  <c:v>93.980037890000006</c:v>
                </c:pt>
                <c:pt idx="10">
                  <c:v>94.611365449999994</c:v>
                </c:pt>
                <c:pt idx="11">
                  <c:v>91.233464889999993</c:v>
                </c:pt>
                <c:pt idx="12">
                  <c:v>95.677913790000005</c:v>
                </c:pt>
                <c:pt idx="13">
                  <c:v>96.7623394867</c:v>
                </c:pt>
                <c:pt idx="14">
                  <c:v>96.728895366700002</c:v>
                </c:pt>
                <c:pt idx="15">
                  <c:v>100.4145521067</c:v>
                </c:pt>
                <c:pt idx="16">
                  <c:v>98.878824203299999</c:v>
                </c:pt>
                <c:pt idx="17">
                  <c:v>99.329041236699993</c:v>
                </c:pt>
                <c:pt idx="18">
                  <c:v>100.20529218999999</c:v>
                </c:pt>
                <c:pt idx="19">
                  <c:v>100.2296388833</c:v>
                </c:pt>
                <c:pt idx="20">
                  <c:v>99.271054590000006</c:v>
                </c:pt>
                <c:pt idx="21">
                  <c:v>99.378200843299993</c:v>
                </c:pt>
                <c:pt idx="22">
                  <c:v>100.87247286</c:v>
                </c:pt>
                <c:pt idx="23">
                  <c:v>100.4782717133</c:v>
                </c:pt>
                <c:pt idx="24">
                  <c:v>99.458882779999996</c:v>
                </c:pt>
                <c:pt idx="25">
                  <c:v>100.3771628933</c:v>
                </c:pt>
                <c:pt idx="26">
                  <c:v>101.4634469467</c:v>
                </c:pt>
                <c:pt idx="27">
                  <c:v>103.5581371967</c:v>
                </c:pt>
                <c:pt idx="28">
                  <c:v>104.89195202329999</c:v>
                </c:pt>
                <c:pt idx="29">
                  <c:v>104.1256339867</c:v>
                </c:pt>
                <c:pt idx="30">
                  <c:v>105.3177948667</c:v>
                </c:pt>
                <c:pt idx="31">
                  <c:v>106.31236599</c:v>
                </c:pt>
                <c:pt idx="32">
                  <c:v>110.6846642</c:v>
                </c:pt>
                <c:pt idx="33">
                  <c:v>110.21064635</c:v>
                </c:pt>
                <c:pt idx="34">
                  <c:v>110.2989529867</c:v>
                </c:pt>
                <c:pt idx="35">
                  <c:v>108.14663297</c:v>
                </c:pt>
              </c:numCache>
            </c:numRef>
          </c:val>
          <c:smooth val="0"/>
          <c:extLst>
            <c:ext xmlns:c16="http://schemas.microsoft.com/office/drawing/2014/chart" uri="{C3380CC4-5D6E-409C-BE32-E72D297353CC}">
              <c16:uniqueId val="{00000001-7952-4AD1-9BF1-B1CC76727255}"/>
            </c:ext>
          </c:extLst>
        </c:ser>
        <c:ser>
          <c:idx val="2"/>
          <c:order val="2"/>
          <c:tx>
            <c:strRef>
              <c:f>'výkonnost odvětví 4'!$B$53</c:f>
              <c:strCache>
                <c:ptCount val="1"/>
                <c:pt idx="0">
                  <c:v>Accommodation, food service, restaurants</c:v>
                </c:pt>
              </c:strCache>
            </c:strRef>
          </c:tx>
          <c:spPr>
            <a:ln w="19050">
              <a:solidFill>
                <a:srgbClr val="F8A124"/>
              </a:solidFill>
              <a:prstDash val="solid"/>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4'!$C$53:$AL$53</c:f>
              <c:numCache>
                <c:formatCode>0.0</c:formatCode>
                <c:ptCount val="36"/>
                <c:pt idx="0">
                  <c:v>96.926275053300003</c:v>
                </c:pt>
                <c:pt idx="1">
                  <c:v>95.458635560000005</c:v>
                </c:pt>
                <c:pt idx="2">
                  <c:v>96.452759486700003</c:v>
                </c:pt>
                <c:pt idx="3">
                  <c:v>94.3367612933</c:v>
                </c:pt>
                <c:pt idx="4">
                  <c:v>96.032953383299997</c:v>
                </c:pt>
                <c:pt idx="5">
                  <c:v>96.364741773299997</c:v>
                </c:pt>
                <c:pt idx="6">
                  <c:v>94.880471886699993</c:v>
                </c:pt>
                <c:pt idx="7">
                  <c:v>94.376022873300002</c:v>
                </c:pt>
                <c:pt idx="8">
                  <c:v>93.549436373299997</c:v>
                </c:pt>
                <c:pt idx="9">
                  <c:v>93.175718459999999</c:v>
                </c:pt>
                <c:pt idx="10">
                  <c:v>92.874961226699995</c:v>
                </c:pt>
                <c:pt idx="11">
                  <c:v>92.564819853299994</c:v>
                </c:pt>
                <c:pt idx="12">
                  <c:v>93.53131028</c:v>
                </c:pt>
                <c:pt idx="13">
                  <c:v>93.169892616699997</c:v>
                </c:pt>
                <c:pt idx="14">
                  <c:v>93.799393366700002</c:v>
                </c:pt>
                <c:pt idx="15">
                  <c:v>92.591428653299999</c:v>
                </c:pt>
                <c:pt idx="16">
                  <c:v>93.386335243299996</c:v>
                </c:pt>
                <c:pt idx="17">
                  <c:v>93.561050173300004</c:v>
                </c:pt>
                <c:pt idx="18">
                  <c:v>94.137600123300004</c:v>
                </c:pt>
                <c:pt idx="19">
                  <c:v>97.003660370000006</c:v>
                </c:pt>
                <c:pt idx="20">
                  <c:v>97.483054123299993</c:v>
                </c:pt>
                <c:pt idx="21">
                  <c:v>100.0607042733</c:v>
                </c:pt>
                <c:pt idx="22">
                  <c:v>100.73991414</c:v>
                </c:pt>
                <c:pt idx="23">
                  <c:v>101.71632746</c:v>
                </c:pt>
                <c:pt idx="24">
                  <c:v>102.84325577</c:v>
                </c:pt>
                <c:pt idx="25">
                  <c:v>103.65975306</c:v>
                </c:pt>
                <c:pt idx="26">
                  <c:v>107.8981423333</c:v>
                </c:pt>
                <c:pt idx="27">
                  <c:v>110.40510438</c:v>
                </c:pt>
                <c:pt idx="28">
                  <c:v>113.8296378467</c:v>
                </c:pt>
                <c:pt idx="29">
                  <c:v>116.6421769567</c:v>
                </c:pt>
                <c:pt idx="30">
                  <c:v>116.46542872000001</c:v>
                </c:pt>
                <c:pt idx="31">
                  <c:v>117.4479578867</c:v>
                </c:pt>
                <c:pt idx="32">
                  <c:v>117.3452287633</c:v>
                </c:pt>
                <c:pt idx="33">
                  <c:v>117.0573789</c:v>
                </c:pt>
                <c:pt idx="34">
                  <c:v>117.15760356</c:v>
                </c:pt>
                <c:pt idx="35">
                  <c:v>116.80168377</c:v>
                </c:pt>
              </c:numCache>
            </c:numRef>
          </c:val>
          <c:smooth val="0"/>
          <c:extLst>
            <c:ext xmlns:c16="http://schemas.microsoft.com/office/drawing/2014/chart" uri="{C3380CC4-5D6E-409C-BE32-E72D297353CC}">
              <c16:uniqueId val="{00000002-7952-4AD1-9BF1-B1CC76727255}"/>
            </c:ext>
          </c:extLst>
        </c:ser>
        <c:ser>
          <c:idx val="3"/>
          <c:order val="3"/>
          <c:tx>
            <c:strRef>
              <c:f>'výkonnost odvětví 4'!$B$54</c:f>
              <c:strCache>
                <c:ptCount val="1"/>
                <c:pt idx="0">
                  <c:v>Information and communication</c:v>
                </c:pt>
              </c:strCache>
            </c:strRef>
          </c:tx>
          <c:spPr>
            <a:ln w="19050">
              <a:solidFill>
                <a:srgbClr val="48AEE7"/>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4'!$C$54:$AL$54</c:f>
              <c:numCache>
                <c:formatCode>0.0</c:formatCode>
                <c:ptCount val="36"/>
                <c:pt idx="0">
                  <c:v>94.384348466700004</c:v>
                </c:pt>
                <c:pt idx="1">
                  <c:v>94.872903066700005</c:v>
                </c:pt>
                <c:pt idx="2">
                  <c:v>95.726573200000004</c:v>
                </c:pt>
                <c:pt idx="3">
                  <c:v>94.314416640000005</c:v>
                </c:pt>
                <c:pt idx="4">
                  <c:v>94.184159910000005</c:v>
                </c:pt>
                <c:pt idx="5">
                  <c:v>93.762291143300004</c:v>
                </c:pt>
                <c:pt idx="6">
                  <c:v>93.1753737433</c:v>
                </c:pt>
                <c:pt idx="7">
                  <c:v>93.571281126700001</c:v>
                </c:pt>
                <c:pt idx="8">
                  <c:v>94.538750530000002</c:v>
                </c:pt>
                <c:pt idx="9">
                  <c:v>93.771314556700005</c:v>
                </c:pt>
                <c:pt idx="10">
                  <c:v>94.702239596699997</c:v>
                </c:pt>
                <c:pt idx="11">
                  <c:v>93.108962956699997</c:v>
                </c:pt>
                <c:pt idx="12">
                  <c:v>92.7406808267</c:v>
                </c:pt>
                <c:pt idx="13">
                  <c:v>94.070243966700005</c:v>
                </c:pt>
                <c:pt idx="14">
                  <c:v>92.961210916699997</c:v>
                </c:pt>
                <c:pt idx="15">
                  <c:v>93.253250726700003</c:v>
                </c:pt>
                <c:pt idx="16">
                  <c:v>92.680975536700004</c:v>
                </c:pt>
                <c:pt idx="17">
                  <c:v>94.825018029999995</c:v>
                </c:pt>
                <c:pt idx="18">
                  <c:v>95.110075199999997</c:v>
                </c:pt>
                <c:pt idx="19">
                  <c:v>96.096147136699997</c:v>
                </c:pt>
                <c:pt idx="20">
                  <c:v>98.836975196699996</c:v>
                </c:pt>
                <c:pt idx="21">
                  <c:v>99.133871040000002</c:v>
                </c:pt>
                <c:pt idx="22">
                  <c:v>99.599211556699998</c:v>
                </c:pt>
                <c:pt idx="23">
                  <c:v>102.42994220999999</c:v>
                </c:pt>
                <c:pt idx="24">
                  <c:v>100.80094099</c:v>
                </c:pt>
                <c:pt idx="25">
                  <c:v>99.619054833299998</c:v>
                </c:pt>
                <c:pt idx="26">
                  <c:v>101.48996259330001</c:v>
                </c:pt>
                <c:pt idx="27">
                  <c:v>103.09628406669999</c:v>
                </c:pt>
                <c:pt idx="28">
                  <c:v>103.6136665467</c:v>
                </c:pt>
                <c:pt idx="29">
                  <c:v>105.7602998667</c:v>
                </c:pt>
                <c:pt idx="30">
                  <c:v>105.67810735330001</c:v>
                </c:pt>
                <c:pt idx="31">
                  <c:v>106.7325754367</c:v>
                </c:pt>
                <c:pt idx="32">
                  <c:v>110.37178381</c:v>
                </c:pt>
                <c:pt idx="33">
                  <c:v>109.5212765367</c:v>
                </c:pt>
                <c:pt idx="34">
                  <c:v>112.76009972</c:v>
                </c:pt>
                <c:pt idx="35">
                  <c:v>111.5965831167</c:v>
                </c:pt>
              </c:numCache>
            </c:numRef>
          </c:val>
          <c:smooth val="0"/>
          <c:extLst>
            <c:ext xmlns:c16="http://schemas.microsoft.com/office/drawing/2014/chart" uri="{C3380CC4-5D6E-409C-BE32-E72D297353CC}">
              <c16:uniqueId val="{00000003-7952-4AD1-9BF1-B1CC76727255}"/>
            </c:ext>
          </c:extLst>
        </c:ser>
        <c:ser>
          <c:idx val="4"/>
          <c:order val="4"/>
          <c:tx>
            <c:strRef>
              <c:f>'výkonnost odvětví 4'!$B$55</c:f>
              <c:strCache>
                <c:ptCount val="1"/>
                <c:pt idx="0">
                  <c:v>Real estate activities</c:v>
                </c:pt>
              </c:strCache>
            </c:strRef>
          </c:tx>
          <c:spPr>
            <a:ln w="19050">
              <a:solidFill>
                <a:srgbClr val="7DBB2D"/>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4'!$C$55:$AL$55</c:f>
              <c:numCache>
                <c:formatCode>0.0</c:formatCode>
                <c:ptCount val="36"/>
                <c:pt idx="0">
                  <c:v>111.3237992767</c:v>
                </c:pt>
                <c:pt idx="1">
                  <c:v>113.0575429533</c:v>
                </c:pt>
                <c:pt idx="2">
                  <c:v>110.93022838669999</c:v>
                </c:pt>
                <c:pt idx="3">
                  <c:v>109.93903466</c:v>
                </c:pt>
                <c:pt idx="4">
                  <c:v>109.78245018</c:v>
                </c:pt>
                <c:pt idx="5">
                  <c:v>108.15350727329999</c:v>
                </c:pt>
                <c:pt idx="6">
                  <c:v>106.95039860670001</c:v>
                </c:pt>
                <c:pt idx="7">
                  <c:v>105.5320158233</c:v>
                </c:pt>
                <c:pt idx="8">
                  <c:v>103.7645429067</c:v>
                </c:pt>
                <c:pt idx="9">
                  <c:v>102.96754826</c:v>
                </c:pt>
                <c:pt idx="10">
                  <c:v>101.1073144567</c:v>
                </c:pt>
                <c:pt idx="11">
                  <c:v>102.1358298433</c:v>
                </c:pt>
                <c:pt idx="12">
                  <c:v>101.8285809967</c:v>
                </c:pt>
                <c:pt idx="13">
                  <c:v>99.760008943299994</c:v>
                </c:pt>
                <c:pt idx="14">
                  <c:v>100.2285010467</c:v>
                </c:pt>
                <c:pt idx="15">
                  <c:v>99.094817919999997</c:v>
                </c:pt>
                <c:pt idx="16">
                  <c:v>98.874820080000006</c:v>
                </c:pt>
                <c:pt idx="17">
                  <c:v>99.987606170000007</c:v>
                </c:pt>
                <c:pt idx="18">
                  <c:v>99.87949639</c:v>
                </c:pt>
                <c:pt idx="19">
                  <c:v>99.159881119999994</c:v>
                </c:pt>
                <c:pt idx="20">
                  <c:v>99.197738453300005</c:v>
                </c:pt>
                <c:pt idx="21">
                  <c:v>99.822349263299998</c:v>
                </c:pt>
                <c:pt idx="22">
                  <c:v>100.3226768067</c:v>
                </c:pt>
                <c:pt idx="23">
                  <c:v>100.65723547330001</c:v>
                </c:pt>
                <c:pt idx="24">
                  <c:v>100.5186256133</c:v>
                </c:pt>
                <c:pt idx="25">
                  <c:v>100.3192356367</c:v>
                </c:pt>
                <c:pt idx="26">
                  <c:v>101.74836116</c:v>
                </c:pt>
                <c:pt idx="27">
                  <c:v>101.0793899067</c:v>
                </c:pt>
                <c:pt idx="28">
                  <c:v>103.02063072</c:v>
                </c:pt>
                <c:pt idx="29">
                  <c:v>103.2673367533</c:v>
                </c:pt>
                <c:pt idx="30">
                  <c:v>102.48806681000001</c:v>
                </c:pt>
                <c:pt idx="31">
                  <c:v>102.8106042367</c:v>
                </c:pt>
                <c:pt idx="32">
                  <c:v>102.08382403669999</c:v>
                </c:pt>
                <c:pt idx="33">
                  <c:v>101.7522889967</c:v>
                </c:pt>
                <c:pt idx="34">
                  <c:v>100.9524689033</c:v>
                </c:pt>
                <c:pt idx="35">
                  <c:v>100.11809828</c:v>
                </c:pt>
              </c:numCache>
            </c:numRef>
          </c:val>
          <c:smooth val="0"/>
          <c:extLst>
            <c:ext xmlns:c16="http://schemas.microsoft.com/office/drawing/2014/chart" uri="{C3380CC4-5D6E-409C-BE32-E72D297353CC}">
              <c16:uniqueId val="{00000004-7952-4AD1-9BF1-B1CC76727255}"/>
            </c:ext>
          </c:extLst>
        </c:ser>
        <c:ser>
          <c:idx val="5"/>
          <c:order val="5"/>
          <c:tx>
            <c:strRef>
              <c:f>'výkonnost odvětví 4'!$B$56</c:f>
              <c:strCache>
                <c:ptCount val="1"/>
                <c:pt idx="0">
                  <c:v>Professional, scientific, technical. activities</c:v>
                </c:pt>
              </c:strCache>
            </c:strRef>
          </c:tx>
          <c:spPr>
            <a:ln w="19050">
              <a:solidFill>
                <a:srgbClr val="0071BC"/>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4'!$C$56:$AL$56</c:f>
              <c:numCache>
                <c:formatCode>0.0</c:formatCode>
                <c:ptCount val="36"/>
                <c:pt idx="0">
                  <c:v>118.14863346999999</c:v>
                </c:pt>
                <c:pt idx="1">
                  <c:v>118.29435723669999</c:v>
                </c:pt>
                <c:pt idx="2">
                  <c:v>118.30898799329999</c:v>
                </c:pt>
                <c:pt idx="3">
                  <c:v>113.9568507267</c:v>
                </c:pt>
                <c:pt idx="4">
                  <c:v>111.10653365669999</c:v>
                </c:pt>
                <c:pt idx="5">
                  <c:v>112.22643161000001</c:v>
                </c:pt>
                <c:pt idx="6">
                  <c:v>101.5102417433</c:v>
                </c:pt>
                <c:pt idx="7">
                  <c:v>104.6154880767</c:v>
                </c:pt>
                <c:pt idx="8">
                  <c:v>108.44130821</c:v>
                </c:pt>
                <c:pt idx="9">
                  <c:v>106.0940935933</c:v>
                </c:pt>
                <c:pt idx="10">
                  <c:v>104.37589122999999</c:v>
                </c:pt>
                <c:pt idx="11">
                  <c:v>103.8089125167</c:v>
                </c:pt>
                <c:pt idx="12">
                  <c:v>102.18948138330001</c:v>
                </c:pt>
                <c:pt idx="13">
                  <c:v>98.359594990000005</c:v>
                </c:pt>
                <c:pt idx="14">
                  <c:v>95.430096759999998</c:v>
                </c:pt>
                <c:pt idx="15">
                  <c:v>98.422146103299994</c:v>
                </c:pt>
                <c:pt idx="16">
                  <c:v>95.353874160000004</c:v>
                </c:pt>
                <c:pt idx="17">
                  <c:v>97.392315776700002</c:v>
                </c:pt>
                <c:pt idx="18">
                  <c:v>97.656247930000006</c:v>
                </c:pt>
                <c:pt idx="19">
                  <c:v>97.377308760000005</c:v>
                </c:pt>
                <c:pt idx="20">
                  <c:v>99.736654799999997</c:v>
                </c:pt>
                <c:pt idx="21">
                  <c:v>101.2929579633</c:v>
                </c:pt>
                <c:pt idx="22">
                  <c:v>100.2633669067</c:v>
                </c:pt>
                <c:pt idx="23">
                  <c:v>98.707020333299994</c:v>
                </c:pt>
                <c:pt idx="24">
                  <c:v>97.575635489999996</c:v>
                </c:pt>
                <c:pt idx="25">
                  <c:v>96.204544993300004</c:v>
                </c:pt>
                <c:pt idx="26">
                  <c:v>98.789855130000007</c:v>
                </c:pt>
                <c:pt idx="27">
                  <c:v>98.388707690000004</c:v>
                </c:pt>
                <c:pt idx="28">
                  <c:v>99.417916833299998</c:v>
                </c:pt>
                <c:pt idx="29">
                  <c:v>100.0629603133</c:v>
                </c:pt>
                <c:pt idx="30">
                  <c:v>100.6424771833</c:v>
                </c:pt>
                <c:pt idx="31">
                  <c:v>101.03992135999999</c:v>
                </c:pt>
                <c:pt idx="32">
                  <c:v>101.8796183267</c:v>
                </c:pt>
                <c:pt idx="33">
                  <c:v>101.09658357000001</c:v>
                </c:pt>
                <c:pt idx="34">
                  <c:v>100.9110627367</c:v>
                </c:pt>
                <c:pt idx="35">
                  <c:v>100.38966953000001</c:v>
                </c:pt>
              </c:numCache>
            </c:numRef>
          </c:val>
          <c:smooth val="0"/>
          <c:extLst>
            <c:ext xmlns:c16="http://schemas.microsoft.com/office/drawing/2014/chart" uri="{C3380CC4-5D6E-409C-BE32-E72D297353CC}">
              <c16:uniqueId val="{00000005-7952-4AD1-9BF1-B1CC76727255}"/>
            </c:ext>
          </c:extLst>
        </c:ser>
        <c:ser>
          <c:idx val="6"/>
          <c:order val="6"/>
          <c:tx>
            <c:strRef>
              <c:f>'výkonnost odvětví 4'!$B$57</c:f>
              <c:strCache>
                <c:ptCount val="1"/>
                <c:pt idx="0">
                  <c:v>Administrative and support service activities</c:v>
                </c:pt>
              </c:strCache>
            </c:strRef>
          </c:tx>
          <c:spPr>
            <a:ln w="19050">
              <a:solidFill>
                <a:srgbClr val="E6E100"/>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4'!$C$57:$AL$57</c:f>
              <c:numCache>
                <c:formatCode>0.0</c:formatCode>
                <c:ptCount val="36"/>
                <c:pt idx="0">
                  <c:v>85.514355336700007</c:v>
                </c:pt>
                <c:pt idx="1">
                  <c:v>84.988540753300001</c:v>
                </c:pt>
                <c:pt idx="2">
                  <c:v>86.297821409999997</c:v>
                </c:pt>
                <c:pt idx="3">
                  <c:v>87.610818563300001</c:v>
                </c:pt>
                <c:pt idx="4">
                  <c:v>88.52385194</c:v>
                </c:pt>
                <c:pt idx="5">
                  <c:v>89.819339693299995</c:v>
                </c:pt>
                <c:pt idx="6">
                  <c:v>90.138377376700006</c:v>
                </c:pt>
                <c:pt idx="7">
                  <c:v>91.544595619999996</c:v>
                </c:pt>
                <c:pt idx="8">
                  <c:v>92.469594343300002</c:v>
                </c:pt>
                <c:pt idx="9">
                  <c:v>91.787595690000003</c:v>
                </c:pt>
                <c:pt idx="10">
                  <c:v>92.766859423300005</c:v>
                </c:pt>
                <c:pt idx="11">
                  <c:v>90.957217203300004</c:v>
                </c:pt>
                <c:pt idx="12">
                  <c:v>92.966546293299999</c:v>
                </c:pt>
                <c:pt idx="13">
                  <c:v>92.150237790000006</c:v>
                </c:pt>
                <c:pt idx="14">
                  <c:v>92.992247840000005</c:v>
                </c:pt>
                <c:pt idx="15">
                  <c:v>93.657696493299994</c:v>
                </c:pt>
                <c:pt idx="16">
                  <c:v>93.328295316699993</c:v>
                </c:pt>
                <c:pt idx="17">
                  <c:v>95.605061893300004</c:v>
                </c:pt>
                <c:pt idx="18">
                  <c:v>96.372225433300002</c:v>
                </c:pt>
                <c:pt idx="19">
                  <c:v>97.500607406699999</c:v>
                </c:pt>
                <c:pt idx="20">
                  <c:v>98.023334823300004</c:v>
                </c:pt>
                <c:pt idx="21">
                  <c:v>100.0150064533</c:v>
                </c:pt>
                <c:pt idx="22">
                  <c:v>100.5178990133</c:v>
                </c:pt>
                <c:pt idx="23">
                  <c:v>101.44375970670001</c:v>
                </c:pt>
                <c:pt idx="24">
                  <c:v>101.16501263329999</c:v>
                </c:pt>
                <c:pt idx="25">
                  <c:v>101.90611103000001</c:v>
                </c:pt>
                <c:pt idx="26">
                  <c:v>104.25402626330001</c:v>
                </c:pt>
                <c:pt idx="27">
                  <c:v>106.88254410330001</c:v>
                </c:pt>
                <c:pt idx="28">
                  <c:v>109.3619851167</c:v>
                </c:pt>
                <c:pt idx="29">
                  <c:v>110.50166766</c:v>
                </c:pt>
                <c:pt idx="30">
                  <c:v>110.50149761669999</c:v>
                </c:pt>
                <c:pt idx="31">
                  <c:v>111.6890474433</c:v>
                </c:pt>
                <c:pt idx="32">
                  <c:v>112.58488642</c:v>
                </c:pt>
                <c:pt idx="33">
                  <c:v>113.1319863433</c:v>
                </c:pt>
                <c:pt idx="34">
                  <c:v>113.31736107330001</c:v>
                </c:pt>
                <c:pt idx="35">
                  <c:v>111.7188037833</c:v>
                </c:pt>
              </c:numCache>
            </c:numRef>
          </c:val>
          <c:smooth val="0"/>
          <c:extLst>
            <c:ext xmlns:c16="http://schemas.microsoft.com/office/drawing/2014/chart" uri="{C3380CC4-5D6E-409C-BE32-E72D297353CC}">
              <c16:uniqueId val="{00000006-7952-4AD1-9BF1-B1CC76727255}"/>
            </c:ext>
          </c:extLst>
        </c:ser>
        <c:dLbls>
          <c:showLegendKey val="0"/>
          <c:showVal val="0"/>
          <c:showCatName val="0"/>
          <c:showSerName val="0"/>
          <c:showPercent val="0"/>
          <c:showBubbleSize val="0"/>
        </c:dLbls>
        <c:marker val="1"/>
        <c:smooth val="0"/>
        <c:axId val="51081216"/>
        <c:axId val="51083136"/>
      </c:lineChart>
      <c:lineChart>
        <c:grouping val="standard"/>
        <c:varyColors val="0"/>
        <c:ser>
          <c:idx val="7"/>
          <c:order val="7"/>
          <c:tx>
            <c:strRef>
              <c:f>'výkonnost odvětví 4'!$B$58</c:f>
              <c:strCache>
                <c:ptCount val="1"/>
                <c:pt idx="0">
                  <c:v>Balance of confidence indicator in services</c:v>
                </c:pt>
              </c:strCache>
            </c:strRef>
          </c:tx>
          <c:spPr>
            <a:ln>
              <a:noFill/>
            </a:ln>
          </c:spPr>
          <c:marker>
            <c:symbol val="diamond"/>
            <c:size val="5"/>
            <c:spPr>
              <a:solidFill>
                <a:srgbClr val="FFFF00"/>
              </a:solidFill>
              <a:ln>
                <a:solidFill>
                  <a:schemeClr val="tx1">
                    <a:lumMod val="95000"/>
                    <a:lumOff val="5000"/>
                  </a:schemeClr>
                </a:solidFill>
              </a:ln>
            </c:spPr>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4'!$C$58:$AL$58</c:f>
              <c:numCache>
                <c:formatCode>0.0</c:formatCode>
                <c:ptCount val="36"/>
                <c:pt idx="0">
                  <c:v>19.333333333333332</c:v>
                </c:pt>
                <c:pt idx="1">
                  <c:v>22.544444444444441</c:v>
                </c:pt>
                <c:pt idx="2">
                  <c:v>27.133333333333336</c:v>
                </c:pt>
                <c:pt idx="3">
                  <c:v>26.233333333333334</c:v>
                </c:pt>
                <c:pt idx="4">
                  <c:v>26.766666666666666</c:v>
                </c:pt>
                <c:pt idx="5">
                  <c:v>28.566666666666666</c:v>
                </c:pt>
                <c:pt idx="6">
                  <c:v>26.766666666666666</c:v>
                </c:pt>
                <c:pt idx="7">
                  <c:v>23.2</c:v>
                </c:pt>
                <c:pt idx="8">
                  <c:v>26.333333333333332</c:v>
                </c:pt>
                <c:pt idx="9">
                  <c:v>25.666666666666668</c:v>
                </c:pt>
                <c:pt idx="10">
                  <c:v>23.866666666666664</c:v>
                </c:pt>
                <c:pt idx="11">
                  <c:v>23.3</c:v>
                </c:pt>
                <c:pt idx="12">
                  <c:v>23.666666666666668</c:v>
                </c:pt>
                <c:pt idx="13">
                  <c:v>22.233333333333334</c:v>
                </c:pt>
                <c:pt idx="14">
                  <c:v>22.366666666666664</c:v>
                </c:pt>
                <c:pt idx="15">
                  <c:v>26.333333333333332</c:v>
                </c:pt>
                <c:pt idx="16">
                  <c:v>26.900000000000002</c:v>
                </c:pt>
                <c:pt idx="17">
                  <c:v>26.666666666666668</c:v>
                </c:pt>
                <c:pt idx="18">
                  <c:v>29.233333333333334</c:v>
                </c:pt>
                <c:pt idx="19">
                  <c:v>31.666666666666668</c:v>
                </c:pt>
                <c:pt idx="20">
                  <c:v>29.466666666666669</c:v>
                </c:pt>
                <c:pt idx="21">
                  <c:v>29.133333333333336</c:v>
                </c:pt>
                <c:pt idx="22">
                  <c:v>30.633333333333336</c:v>
                </c:pt>
                <c:pt idx="23">
                  <c:v>32.466666666666669</c:v>
                </c:pt>
                <c:pt idx="24">
                  <c:v>33.56666666666667</c:v>
                </c:pt>
                <c:pt idx="25">
                  <c:v>32.43333333333333</c:v>
                </c:pt>
                <c:pt idx="26">
                  <c:v>33.666666666666664</c:v>
                </c:pt>
                <c:pt idx="27">
                  <c:v>36.700000000000003</c:v>
                </c:pt>
                <c:pt idx="28">
                  <c:v>35.299999999999997</c:v>
                </c:pt>
                <c:pt idx="29">
                  <c:v>37.366666666666667</c:v>
                </c:pt>
                <c:pt idx="30">
                  <c:v>37.533333333333331</c:v>
                </c:pt>
                <c:pt idx="31">
                  <c:v>35.9</c:v>
                </c:pt>
                <c:pt idx="32">
                  <c:v>37.199999999999996</c:v>
                </c:pt>
                <c:pt idx="33">
                  <c:v>37.56666666666667</c:v>
                </c:pt>
                <c:pt idx="34">
                  <c:v>38.1</c:v>
                </c:pt>
                <c:pt idx="35">
                  <c:v>39</c:v>
                </c:pt>
              </c:numCache>
            </c:numRef>
          </c:val>
          <c:smooth val="0"/>
          <c:extLst>
            <c:ext xmlns:c16="http://schemas.microsoft.com/office/drawing/2014/chart" uri="{C3380CC4-5D6E-409C-BE32-E72D297353CC}">
              <c16:uniqueId val="{00000007-7952-4AD1-9BF1-B1CC76727255}"/>
            </c:ext>
          </c:extLst>
        </c:ser>
        <c:dLbls>
          <c:showLegendKey val="0"/>
          <c:showVal val="0"/>
          <c:showCatName val="0"/>
          <c:showSerName val="0"/>
          <c:showPercent val="0"/>
          <c:showBubbleSize val="0"/>
        </c:dLbls>
        <c:marker val="1"/>
        <c:smooth val="0"/>
        <c:axId val="51094656"/>
        <c:axId val="51084672"/>
      </c:lineChart>
      <c:catAx>
        <c:axId val="51081216"/>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51083136"/>
        <c:crossesAt val="100"/>
        <c:auto val="0"/>
        <c:lblAlgn val="ctr"/>
        <c:lblOffset val="0"/>
        <c:tickLblSkip val="1"/>
        <c:tickMarkSkip val="4"/>
        <c:noMultiLvlLbl val="0"/>
      </c:catAx>
      <c:valAx>
        <c:axId val="51083136"/>
        <c:scaling>
          <c:orientation val="minMax"/>
          <c:max val="120"/>
          <c:min val="80"/>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51081216"/>
        <c:crosses val="autoZero"/>
        <c:crossBetween val="between"/>
        <c:majorUnit val="5"/>
      </c:valAx>
      <c:valAx>
        <c:axId val="51084672"/>
        <c:scaling>
          <c:orientation val="minMax"/>
          <c:max val="40"/>
          <c:min val="0"/>
        </c:scaling>
        <c:delete val="0"/>
        <c:axPos val="r"/>
        <c:numFmt formatCode="0" sourceLinked="0"/>
        <c:majorTickMark val="out"/>
        <c:minorTickMark val="none"/>
        <c:tickLblPos val="nextTo"/>
        <c:crossAx val="51094656"/>
        <c:crosses val="max"/>
        <c:crossBetween val="between"/>
      </c:valAx>
      <c:catAx>
        <c:axId val="51094656"/>
        <c:scaling>
          <c:orientation val="minMax"/>
        </c:scaling>
        <c:delete val="1"/>
        <c:axPos val="b"/>
        <c:numFmt formatCode="General" sourceLinked="1"/>
        <c:majorTickMark val="out"/>
        <c:minorTickMark val="none"/>
        <c:tickLblPos val="none"/>
        <c:crossAx val="51084672"/>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2.7046421989420635E-3"/>
          <c:y val="0.86232190601657654"/>
          <c:w val="0.98609519085971031"/>
          <c:h val="0.13393680940894773"/>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8656266097578916E-2"/>
          <c:y val="2.3304908251716772E-2"/>
          <c:w val="0.92389825103638334"/>
          <c:h val="0.63153439153439161"/>
        </c:manualLayout>
      </c:layout>
      <c:barChart>
        <c:barDir val="col"/>
        <c:grouping val="clustered"/>
        <c:varyColors val="0"/>
        <c:ser>
          <c:idx val="0"/>
          <c:order val="0"/>
          <c:tx>
            <c:strRef>
              <c:f>'Vnější vztahy 2'!$A$6</c:f>
              <c:strCache>
                <c:ptCount val="1"/>
                <c:pt idx="0">
                  <c:v>2017</c:v>
                </c:pt>
              </c:strCache>
            </c:strRef>
          </c:tx>
          <c:spPr>
            <a:solidFill>
              <a:schemeClr val="tx1">
                <a:lumMod val="50000"/>
                <a:lumOff val="50000"/>
              </a:schemeClr>
            </a:solidFill>
            <a:ln>
              <a:noFill/>
            </a:ln>
          </c:spPr>
          <c:invertIfNegative val="0"/>
          <c:cat>
            <c:strRef>
              <c:f>'Vnější vztahy 2'!$B$5:$N$5</c:f>
              <c:strCache>
                <c:ptCount val="13"/>
                <c:pt idx="0">
                  <c:v>Oil and natural gas</c:v>
                </c:pt>
                <c:pt idx="1">
                  <c:v>Food products</c:v>
                </c:pt>
                <c:pt idx="2">
                  <c:v>Clothing</c:v>
                </c:pt>
                <c:pt idx="3">
                  <c:v>Coke, refined                                                               oil products</c:v>
                </c:pt>
                <c:pt idx="4">
                  <c:v>Chemical subst.                                           and prod.</c:v>
                </c:pt>
                <c:pt idx="5">
                  <c:v>Pharmaceutical                                       products</c:v>
                </c:pt>
                <c:pt idx="6">
                  <c:v>Other non-metal                                        prod.</c:v>
                </c:pt>
                <c:pt idx="7">
                  <c:v>Basic metals</c:v>
                </c:pt>
                <c:pt idx="8">
                  <c:v>Metal products</c:v>
                </c:pt>
                <c:pt idx="9">
                  <c:v>Computers,                                           el. appliances</c:v>
                </c:pt>
                <c:pt idx="10">
                  <c:v>Electrical                                       equipment</c:v>
                </c:pt>
                <c:pt idx="11">
                  <c:v>Machines                                        and appl. n.e.c.</c:v>
                </c:pt>
                <c:pt idx="12">
                  <c:v>Motor vehicles</c:v>
                </c:pt>
              </c:strCache>
            </c:strRef>
          </c:cat>
          <c:val>
            <c:numRef>
              <c:f>'Vnější vztahy 2'!$B$6:$N$6</c:f>
              <c:numCache>
                <c:formatCode>General</c:formatCode>
                <c:ptCount val="13"/>
                <c:pt idx="0">
                  <c:v>-117.348</c:v>
                </c:pt>
                <c:pt idx="1">
                  <c:v>-41.408000000000001</c:v>
                </c:pt>
                <c:pt idx="2">
                  <c:v>-29.896000000000001</c:v>
                </c:pt>
                <c:pt idx="3">
                  <c:v>-16.818999999999999</c:v>
                </c:pt>
                <c:pt idx="4">
                  <c:v>-109.456</c:v>
                </c:pt>
                <c:pt idx="5">
                  <c:v>-50.613999999999997</c:v>
                </c:pt>
                <c:pt idx="6">
                  <c:v>23.701000000000001</c:v>
                </c:pt>
                <c:pt idx="7">
                  <c:v>-125.86499999999999</c:v>
                </c:pt>
                <c:pt idx="8">
                  <c:v>58.152000000000001</c:v>
                </c:pt>
                <c:pt idx="9">
                  <c:v>-32.697000000000003</c:v>
                </c:pt>
                <c:pt idx="10">
                  <c:v>42.073999999999998</c:v>
                </c:pt>
                <c:pt idx="11">
                  <c:v>74.388999999999996</c:v>
                </c:pt>
                <c:pt idx="12">
                  <c:v>444.84399999999999</c:v>
                </c:pt>
              </c:numCache>
            </c:numRef>
          </c:val>
          <c:extLst>
            <c:ext xmlns:c16="http://schemas.microsoft.com/office/drawing/2014/chart" uri="{C3380CC4-5D6E-409C-BE32-E72D297353CC}">
              <c16:uniqueId val="{00000000-CF74-43AA-A0D7-B218E27A92A6}"/>
            </c:ext>
          </c:extLst>
        </c:ser>
        <c:ser>
          <c:idx val="1"/>
          <c:order val="1"/>
          <c:tx>
            <c:strRef>
              <c:f>'Vnější vztahy 2'!$A$7</c:f>
              <c:strCache>
                <c:ptCount val="1"/>
                <c:pt idx="0">
                  <c:v>2018</c:v>
                </c:pt>
              </c:strCache>
            </c:strRef>
          </c:tx>
          <c:spPr>
            <a:solidFill>
              <a:schemeClr val="bg1">
                <a:lumMod val="65000"/>
              </a:schemeClr>
            </a:solidFill>
          </c:spPr>
          <c:invertIfNegative val="0"/>
          <c:val>
            <c:numRef>
              <c:f>'Vnější vztahy 2'!$B$7:$N$7</c:f>
              <c:numCache>
                <c:formatCode>General</c:formatCode>
                <c:ptCount val="13"/>
                <c:pt idx="0">
                  <c:v>-130.65799999999999</c:v>
                </c:pt>
                <c:pt idx="1">
                  <c:v>-39.216000000000001</c:v>
                </c:pt>
                <c:pt idx="2">
                  <c:v>-30.016999999999999</c:v>
                </c:pt>
                <c:pt idx="3">
                  <c:v>-28.861999999999998</c:v>
                </c:pt>
                <c:pt idx="4">
                  <c:v>-118.492</c:v>
                </c:pt>
                <c:pt idx="5">
                  <c:v>-50.323999999999998</c:v>
                </c:pt>
                <c:pt idx="6">
                  <c:v>22.768999999999998</c:v>
                </c:pt>
                <c:pt idx="7">
                  <c:v>-128.429</c:v>
                </c:pt>
                <c:pt idx="8">
                  <c:v>58.332999999999998</c:v>
                </c:pt>
                <c:pt idx="9">
                  <c:v>-13.757</c:v>
                </c:pt>
                <c:pt idx="10">
                  <c:v>45.863999999999997</c:v>
                </c:pt>
                <c:pt idx="11">
                  <c:v>67.198999999999998</c:v>
                </c:pt>
                <c:pt idx="12">
                  <c:v>441.73700000000002</c:v>
                </c:pt>
              </c:numCache>
            </c:numRef>
          </c:val>
          <c:extLst>
            <c:ext xmlns:c16="http://schemas.microsoft.com/office/drawing/2014/chart" uri="{C3380CC4-5D6E-409C-BE32-E72D297353CC}">
              <c16:uniqueId val="{00000001-CF74-43AA-A0D7-B218E27A92A6}"/>
            </c:ext>
          </c:extLst>
        </c:ser>
        <c:dLbls>
          <c:showLegendKey val="0"/>
          <c:showVal val="0"/>
          <c:showCatName val="0"/>
          <c:showSerName val="0"/>
          <c:showPercent val="0"/>
          <c:showBubbleSize val="0"/>
        </c:dLbls>
        <c:gapWidth val="97"/>
        <c:axId val="130226048"/>
        <c:axId val="130227584"/>
      </c:barChart>
      <c:catAx>
        <c:axId val="130226048"/>
        <c:scaling>
          <c:orientation val="minMax"/>
        </c:scaling>
        <c:delete val="0"/>
        <c:axPos val="b"/>
        <c:numFmt formatCode="General" sourceLinked="0"/>
        <c:majorTickMark val="out"/>
        <c:minorTickMark val="none"/>
        <c:tickLblPos val="low"/>
        <c:spPr>
          <a:ln>
            <a:solidFill>
              <a:schemeClr val="tx1"/>
            </a:solidFill>
          </a:ln>
        </c:spPr>
        <c:txPr>
          <a:bodyPr rot="-5400000" vert="horz"/>
          <a:lstStyle/>
          <a:p>
            <a:pPr>
              <a:defRPr/>
            </a:pPr>
            <a:endParaRPr lang="cs-CZ"/>
          </a:p>
        </c:txPr>
        <c:crossAx val="130227584"/>
        <c:crosses val="autoZero"/>
        <c:auto val="1"/>
        <c:lblAlgn val="ctr"/>
        <c:lblOffset val="100"/>
        <c:noMultiLvlLbl val="0"/>
      </c:catAx>
      <c:valAx>
        <c:axId val="130227584"/>
        <c:scaling>
          <c:orientation val="minMax"/>
          <c:max val="450"/>
          <c:min val="-150"/>
        </c:scaling>
        <c:delete val="0"/>
        <c:axPos val="l"/>
        <c:majorGridlines>
          <c:spPr>
            <a:ln w="6350">
              <a:solidFill>
                <a:schemeClr val="bg1">
                  <a:lumMod val="75000"/>
                </a:schemeClr>
              </a:solidFill>
            </a:ln>
          </c:spPr>
        </c:majorGridlines>
        <c:numFmt formatCode="General" sourceLinked="1"/>
        <c:majorTickMark val="out"/>
        <c:minorTickMark val="none"/>
        <c:tickLblPos val="nextTo"/>
        <c:crossAx val="130226048"/>
        <c:crosses val="autoZero"/>
        <c:crossBetween val="between"/>
        <c:majorUnit val="50"/>
      </c:valAx>
      <c:spPr>
        <a:ln>
          <a:solidFill>
            <a:schemeClr val="tx1"/>
          </a:solidFill>
        </a:ln>
      </c:spPr>
    </c:plotArea>
    <c:legend>
      <c:legendPos val="b"/>
      <c:layout>
        <c:manualLayout>
          <c:xMode val="edge"/>
          <c:yMode val="edge"/>
          <c:x val="5.5873075264417107E-2"/>
          <c:y val="0.93271781816746591"/>
          <c:w val="0.92593890471149387"/>
          <c:h val="5.4750853511732103E-2"/>
        </c:manualLayout>
      </c:layout>
      <c:overlay val="1"/>
      <c:spPr>
        <a:ln w="6350">
          <a:solidFill>
            <a:sysClr val="windowText" lastClr="000000"/>
          </a:solidFill>
        </a:ln>
      </c:spPr>
    </c:legend>
    <c:plotVisOnly val="1"/>
    <c:dispBlanksAs val="gap"/>
    <c:showDLblsOverMax val="0"/>
  </c:chart>
  <c:spPr>
    <a:ln>
      <a:noFill/>
    </a:ln>
  </c:spPr>
  <c:txPr>
    <a:bodyPr/>
    <a:lstStyle/>
    <a:p>
      <a:pPr>
        <a:defRPr sz="800" baseline="0">
          <a:latin typeface="Arial" panose="020B0604020202020204" pitchFamily="34" charset="0"/>
          <a:cs typeface="Arial" panose="020B0604020202020204" pitchFamily="34" charset="0"/>
        </a:defRPr>
      </a:pPr>
      <a:endParaRPr lang="cs-CZ"/>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0.47777</cdr:x>
      <cdr:y>0.02108</cdr:y>
    </cdr:from>
    <cdr:to>
      <cdr:x>0.5259</cdr:x>
      <cdr:y>0.05866</cdr:y>
    </cdr:to>
    <cdr:sp macro="" textlink="">
      <cdr:nvSpPr>
        <cdr:cNvPr id="2" name="Přímá spojovací šipka 1"/>
        <cdr:cNvSpPr/>
      </cdr:nvSpPr>
      <cdr:spPr>
        <a:xfrm xmlns:a="http://schemas.openxmlformats.org/drawingml/2006/main" flipH="1" flipV="1">
          <a:off x="2269023" y="88924"/>
          <a:ext cx="228579" cy="158555"/>
        </a:xfrm>
        <a:prstGeom xmlns:a="http://schemas.openxmlformats.org/drawingml/2006/main" prst="straightConnector1">
          <a:avLst/>
        </a:prstGeom>
        <a:noFill xmlns:a="http://schemas.openxmlformats.org/drawingml/2006/main"/>
        <a:ln xmlns:a="http://schemas.openxmlformats.org/drawingml/2006/main" w="6350" cap="flat" cmpd="sng" algn="ctr">
          <a:solidFill>
            <a:srgbClr val="7DBB2D"/>
          </a:solidFill>
          <a:prstDash val="solid"/>
          <a:tailEnd type="arrow"/>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cs-CZ"/>
        </a:p>
      </cdr:txBody>
    </cdr:sp>
  </cdr:relSizeAnchor>
  <cdr:relSizeAnchor xmlns:cdr="http://schemas.openxmlformats.org/drawingml/2006/chartDrawing">
    <cdr:from>
      <cdr:x>0.53366</cdr:x>
      <cdr:y>0.05072</cdr:y>
    </cdr:from>
    <cdr:to>
      <cdr:x>0.58424</cdr:x>
      <cdr:y>0.07852</cdr:y>
    </cdr:to>
    <cdr:sp macro="" textlink="">
      <cdr:nvSpPr>
        <cdr:cNvPr id="3" name="TextovéPole 2"/>
        <cdr:cNvSpPr txBox="1"/>
      </cdr:nvSpPr>
      <cdr:spPr>
        <a:xfrm xmlns:a="http://schemas.openxmlformats.org/drawingml/2006/main" flipH="1">
          <a:off x="2534478" y="214002"/>
          <a:ext cx="240196" cy="117302"/>
        </a:xfrm>
        <a:prstGeom xmlns:a="http://schemas.openxmlformats.org/drawingml/2006/main" prst="rect">
          <a:avLst/>
        </a:prstGeom>
      </cdr:spPr>
      <cdr:txBody>
        <a:bodyPr xmlns:a="http://schemas.openxmlformats.org/drawingml/2006/main" wrap="square" lIns="0" tIns="0" rIns="0" bIns="0"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cs-CZ" sz="800">
              <a:solidFill>
                <a:srgbClr val="7DBB2D"/>
              </a:solidFill>
              <a:latin typeface="Arial" pitchFamily="34" charset="0"/>
              <a:cs typeface="Arial" pitchFamily="34" charset="0"/>
            </a:rPr>
            <a:t>67,5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40353-BA93-4E80-8EE3-D73FD8514FF7}">
  <ds:schemaRefs>
    <ds:schemaRef ds:uri="http://schemas.openxmlformats.org/officeDocument/2006/bibliography"/>
  </ds:schemaRefs>
</ds:datastoreItem>
</file>

<file path=customXml/itemProps2.xml><?xml version="1.0" encoding="utf-8"?>
<ds:datastoreItem xmlns:ds="http://schemas.openxmlformats.org/officeDocument/2006/customXml" ds:itemID="{D1FB80D1-3D0F-4EFF-AF85-02F121FA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334</TotalTime>
  <Pages>40</Pages>
  <Words>15272</Words>
  <Characters>90110</Characters>
  <Application>Microsoft Office Word</Application>
  <DocSecurity>0</DocSecurity>
  <Lines>750</Lines>
  <Paragraphs>210</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105172</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Karolína Súkupová</dc:creator>
  <cp:lastModifiedBy>kamenicky3604</cp:lastModifiedBy>
  <cp:revision>47</cp:revision>
  <cp:lastPrinted>2019-05-10T12:21:00Z</cp:lastPrinted>
  <dcterms:created xsi:type="dcterms:W3CDTF">2019-05-07T14:21:00Z</dcterms:created>
  <dcterms:modified xsi:type="dcterms:W3CDTF">2019-05-10T12:24:00Z</dcterms:modified>
</cp:coreProperties>
</file>