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5A39" w14:textId="77777777" w:rsidR="00AD1119" w:rsidRDefault="00AD1119" w:rsidP="00AD1119">
      <w:pPr>
        <w:pStyle w:val="Nadpis1"/>
        <w:spacing w:after="120"/>
      </w:pPr>
      <w:bookmarkStart w:id="0" w:name="_Toc224903150"/>
      <w:bookmarkStart w:id="1" w:name="_Toc240366903"/>
      <w:bookmarkStart w:id="2" w:name="_Toc239947454"/>
      <w:r>
        <w:t>6. Trh práce</w:t>
      </w:r>
      <w:bookmarkEnd w:id="0"/>
      <w:bookmarkEnd w:id="1"/>
    </w:p>
    <w:tbl>
      <w:tblPr>
        <w:tblW w:w="9674" w:type="dxa"/>
        <w:tblInd w:w="-3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97"/>
        <w:gridCol w:w="173"/>
        <w:gridCol w:w="7704"/>
      </w:tblGrid>
      <w:tr w:rsidR="00AD1119" w:rsidRPr="009F0D7F" w14:paraId="703B6726" w14:textId="77777777" w:rsidTr="00E962EE">
        <w:trPr>
          <w:trHeight w:val="155"/>
        </w:trPr>
        <w:tc>
          <w:tcPr>
            <w:tcW w:w="9674" w:type="dxa"/>
            <w:gridSpan w:val="3"/>
            <w:tcMar>
              <w:left w:w="0" w:type="dxa"/>
            </w:tcMar>
          </w:tcPr>
          <w:p w14:paraId="54843D95" w14:textId="77777777" w:rsidR="00AD1119" w:rsidRDefault="00AD1119" w:rsidP="0036073B">
            <w:pPr>
              <w:pStyle w:val="Nadpis3"/>
            </w:pPr>
            <w:bookmarkStart w:id="3" w:name="_Toc240366904"/>
            <w:r>
              <w:rPr>
                <w:lang w:eastAsia="en-US"/>
              </w:rPr>
              <w:t>6</w:t>
            </w:r>
            <w:r w:rsidRPr="006B2C72">
              <w:rPr>
                <w:lang w:eastAsia="en-US"/>
              </w:rPr>
              <w:t xml:space="preserve">.1 </w:t>
            </w:r>
            <w:r>
              <w:rPr>
                <w:lang w:eastAsia="en-US"/>
              </w:rPr>
              <w:t>Zaměstnanost a nezaměstnanost</w:t>
            </w:r>
            <w:bookmarkEnd w:id="3"/>
          </w:p>
        </w:tc>
      </w:tr>
      <w:tr w:rsidR="00AD1119" w:rsidRPr="009F0D7F" w14:paraId="3006A2A7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31F11DD5" w14:textId="77777777" w:rsidR="00AD1119" w:rsidRPr="00B57D4E" w:rsidRDefault="00AD1119" w:rsidP="00E962EE">
            <w:pPr>
              <w:pStyle w:val="Marginlie"/>
              <w:spacing w:after="120"/>
              <w:rPr>
                <w:color w:val="EE0000"/>
                <w:spacing w:val="-4"/>
              </w:rPr>
            </w:pPr>
            <w:r>
              <w:rPr>
                <w:color w:val="0D0D0D" w:themeColor="text1" w:themeTint="F2"/>
                <w:spacing w:val="0"/>
              </w:rPr>
              <w:t>Z</w:t>
            </w:r>
            <w:r w:rsidRPr="00E56147">
              <w:rPr>
                <w:color w:val="0D0D0D" w:themeColor="text1" w:themeTint="F2"/>
                <w:spacing w:val="0"/>
              </w:rPr>
              <w:t>aměstnanost i</w:t>
            </w:r>
            <w:r>
              <w:rPr>
                <w:color w:val="0D0D0D" w:themeColor="text1" w:themeTint="F2"/>
                <w:spacing w:val="-4"/>
              </w:rPr>
              <w:t> </w:t>
            </w:r>
            <w:r w:rsidRPr="00E56147">
              <w:rPr>
                <w:color w:val="0D0D0D" w:themeColor="text1" w:themeTint="F2"/>
                <w:spacing w:val="0"/>
              </w:rPr>
              <w:t>nezaměstnanost</w:t>
            </w:r>
            <w:r>
              <w:rPr>
                <w:color w:val="0D0D0D" w:themeColor="text1" w:themeTint="F2"/>
                <w:spacing w:val="0"/>
              </w:rPr>
              <w:t xml:space="preserve"> se mírně zvyšovala. </w:t>
            </w:r>
            <w:r w:rsidRPr="00E56147">
              <w:rPr>
                <w:color w:val="0D0D0D" w:themeColor="text1" w:themeTint="F2"/>
                <w:spacing w:val="0"/>
              </w:rPr>
              <w:t xml:space="preserve">Mzdový růst si </w:t>
            </w:r>
            <w:r>
              <w:rPr>
                <w:color w:val="0D0D0D" w:themeColor="text1" w:themeTint="F2"/>
                <w:spacing w:val="0"/>
              </w:rPr>
              <w:t xml:space="preserve">vlivem výraznějších nerovnováh na trhu práce </w:t>
            </w:r>
            <w:r w:rsidRPr="00E56147">
              <w:rPr>
                <w:color w:val="0D0D0D" w:themeColor="text1" w:themeTint="F2"/>
                <w:spacing w:val="0"/>
              </w:rPr>
              <w:t>udržoval svižné tempo</w:t>
            </w:r>
            <w:r>
              <w:rPr>
                <w:color w:val="0D0D0D" w:themeColor="text1" w:themeTint="F2"/>
                <w:spacing w:val="0"/>
              </w:rPr>
              <w:t>. Kupní síla mezd se postupně blížila úrovni z roku 2021.</w:t>
            </w:r>
          </w:p>
        </w:tc>
        <w:tc>
          <w:tcPr>
            <w:tcW w:w="173" w:type="dxa"/>
            <w:tcMar>
              <w:left w:w="0" w:type="dxa"/>
            </w:tcMar>
          </w:tcPr>
          <w:p w14:paraId="0A124621" w14:textId="77777777" w:rsidR="00AD1119" w:rsidRPr="00B57D4E" w:rsidRDefault="00AD1119" w:rsidP="00E962EE">
            <w:pPr>
              <w:pStyle w:val="Textpoznpodarou"/>
              <w:spacing w:after="120"/>
              <w:jc w:val="both"/>
              <w:rPr>
                <w:color w:val="EE0000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7A1919FB" w14:textId="77777777" w:rsidR="00AD1119" w:rsidRPr="00874D1A" w:rsidRDefault="00AD1119" w:rsidP="00E962EE">
            <w:pPr>
              <w:rPr>
                <w:color w:val="0D0D0D" w:themeColor="text1" w:themeTint="F2"/>
                <w:spacing w:val="-2"/>
                <w:szCs w:val="20"/>
              </w:rPr>
            </w:pPr>
            <w:r>
              <w:rPr>
                <w:color w:val="0D0D0D" w:themeColor="text1" w:themeTint="F2"/>
                <w:spacing w:val="-2"/>
                <w:szCs w:val="20"/>
              </w:rPr>
              <w:t>Na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> trhu práce se postupně promítal</w:t>
            </w:r>
            <w:r>
              <w:rPr>
                <w:color w:val="0D0D0D" w:themeColor="text1" w:themeTint="F2"/>
                <w:spacing w:val="-2"/>
                <w:szCs w:val="20"/>
              </w:rPr>
              <w:t>y dopady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 xml:space="preserve"> loňské</w:t>
            </w:r>
            <w:r>
              <w:rPr>
                <w:color w:val="0D0D0D" w:themeColor="text1" w:themeTint="F2"/>
                <w:spacing w:val="-2"/>
                <w:szCs w:val="20"/>
              </w:rPr>
              <w:t>ho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 xml:space="preserve"> zrychlení růstu ekonomiky. Přetrvával mírný růst počtu zaměstnanců i </w:t>
            </w:r>
            <w:proofErr w:type="spellStart"/>
            <w:r w:rsidRPr="0061107F">
              <w:rPr>
                <w:color w:val="0D0D0D" w:themeColor="text1" w:themeTint="F2"/>
                <w:spacing w:val="-2"/>
                <w:szCs w:val="20"/>
              </w:rPr>
              <w:t>sebezaměstnaných</w:t>
            </w:r>
            <w:proofErr w:type="spellEnd"/>
            <w:r w:rsidRPr="0061107F">
              <w:rPr>
                <w:color w:val="0D0D0D" w:themeColor="text1" w:themeTint="F2"/>
                <w:spacing w:val="-2"/>
                <w:szCs w:val="20"/>
              </w:rPr>
              <w:t>, jehož těžiště nadále spočívalo ve službách, k</w:t>
            </w:r>
            <w:r>
              <w:rPr>
                <w:color w:val="0D0D0D" w:themeColor="text1" w:themeTint="F2"/>
                <w:spacing w:val="-2"/>
                <w:szCs w:val="20"/>
              </w:rPr>
              <w:t>de se také více rozšiřovala nabídka zkrácených pracovních úvazků.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 xml:space="preserve"> </w:t>
            </w:r>
            <w:r>
              <w:rPr>
                <w:color w:val="0D0D0D" w:themeColor="text1" w:themeTint="F2"/>
                <w:spacing w:val="-2"/>
                <w:szCs w:val="20"/>
              </w:rPr>
              <w:t>Vyšší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 xml:space="preserve"> investiční aktivit</w:t>
            </w:r>
            <w:r>
              <w:rPr>
                <w:color w:val="0D0D0D" w:themeColor="text1" w:themeTint="F2"/>
                <w:spacing w:val="-2"/>
                <w:szCs w:val="20"/>
              </w:rPr>
              <w:t>a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 xml:space="preserve"> v ekonomice se promítl</w:t>
            </w:r>
            <w:r>
              <w:rPr>
                <w:color w:val="0D0D0D" w:themeColor="text1" w:themeTint="F2"/>
                <w:spacing w:val="-2"/>
                <w:szCs w:val="20"/>
              </w:rPr>
              <w:t>a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 xml:space="preserve"> do zaměstnanosti 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ve 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 xml:space="preserve">stavebnictví. </w:t>
            </w:r>
            <w:r>
              <w:rPr>
                <w:color w:val="0D0D0D" w:themeColor="text1" w:themeTint="F2"/>
                <w:spacing w:val="-2"/>
                <w:szCs w:val="20"/>
              </w:rPr>
              <w:t>V průmyslu i primárním sektoru ekonomiky naopak pracovní místa ubývala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>. Ve zvýšené intenzitě pokračoval příliv pracovníků ze zahraničí, vedle Ukrajiny i ze vzdálených asijských států. Očekávání firem v oblasti zaměstnanosti se během léta zlepšovala, dopad vnějších geopolitických turbulencí nebyl dosud v t</w:t>
            </w:r>
            <w:r>
              <w:rPr>
                <w:color w:val="0D0D0D" w:themeColor="text1" w:themeTint="F2"/>
                <w:spacing w:val="-2"/>
                <w:szCs w:val="20"/>
              </w:rPr>
              <w:t>é</w:t>
            </w:r>
            <w:r w:rsidRPr="0061107F">
              <w:rPr>
                <w:color w:val="0D0D0D" w:themeColor="text1" w:themeTint="F2"/>
                <w:spacing w:val="-2"/>
                <w:szCs w:val="20"/>
              </w:rPr>
              <w:t>to oblasti příliš patrný.</w:t>
            </w:r>
            <w:r w:rsidRPr="005C7AC5">
              <w:rPr>
                <w:color w:val="EE0000"/>
                <w:spacing w:val="-2"/>
                <w:szCs w:val="20"/>
              </w:rPr>
              <w:t xml:space="preserve"> </w:t>
            </w:r>
            <w:r w:rsidRPr="005A28BD">
              <w:rPr>
                <w:color w:val="0D0D0D" w:themeColor="text1" w:themeTint="F2"/>
                <w:spacing w:val="-2"/>
                <w:szCs w:val="20"/>
              </w:rPr>
              <w:t>Nezaměstnanost, vč. její dlouhodobé složky</w:t>
            </w:r>
            <w:r>
              <w:rPr>
                <w:color w:val="0D0D0D" w:themeColor="text1" w:themeTint="F2"/>
                <w:spacing w:val="-2"/>
                <w:szCs w:val="20"/>
              </w:rPr>
              <w:t>,</w:t>
            </w:r>
            <w:r w:rsidRPr="005A28BD">
              <w:rPr>
                <w:color w:val="0D0D0D" w:themeColor="text1" w:themeTint="F2"/>
                <w:spacing w:val="-2"/>
                <w:szCs w:val="20"/>
              </w:rPr>
              <w:t xml:space="preserve"> se </w:t>
            </w:r>
            <w:r>
              <w:rPr>
                <w:color w:val="0D0D0D" w:themeColor="text1" w:themeTint="F2"/>
                <w:spacing w:val="-2"/>
                <w:szCs w:val="20"/>
              </w:rPr>
              <w:t>dále lehce</w:t>
            </w:r>
            <w:r w:rsidRPr="005A28BD">
              <w:rPr>
                <w:color w:val="0D0D0D" w:themeColor="text1" w:themeTint="F2"/>
                <w:spacing w:val="-2"/>
                <w:szCs w:val="20"/>
              </w:rPr>
              <w:t xml:space="preserve"> zv</w:t>
            </w:r>
            <w:r>
              <w:rPr>
                <w:color w:val="0D0D0D" w:themeColor="text1" w:themeTint="F2"/>
                <w:spacing w:val="-2"/>
                <w:szCs w:val="20"/>
              </w:rPr>
              <w:t>y</w:t>
            </w:r>
            <w:r w:rsidRPr="005A28BD">
              <w:rPr>
                <w:color w:val="0D0D0D" w:themeColor="text1" w:themeTint="F2"/>
                <w:spacing w:val="-2"/>
                <w:szCs w:val="20"/>
              </w:rPr>
              <w:t>š</w:t>
            </w:r>
            <w:r>
              <w:rPr>
                <w:color w:val="0D0D0D" w:themeColor="text1" w:themeTint="F2"/>
                <w:spacing w:val="-2"/>
                <w:szCs w:val="20"/>
              </w:rPr>
              <w:t>ovala</w:t>
            </w:r>
            <w:r w:rsidRPr="005A28BD">
              <w:rPr>
                <w:color w:val="0D0D0D" w:themeColor="text1" w:themeTint="F2"/>
                <w:spacing w:val="-2"/>
                <w:szCs w:val="20"/>
              </w:rPr>
              <w:t xml:space="preserve">. Nabídka volných pracovních míst spíše stagnovala a přetrvával dlouhodobý 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citelný </w:t>
            </w:r>
            <w:r w:rsidRPr="005A28BD">
              <w:rPr>
                <w:color w:val="0D0D0D" w:themeColor="text1" w:themeTint="F2"/>
                <w:spacing w:val="-2"/>
                <w:szCs w:val="20"/>
              </w:rPr>
              <w:t xml:space="preserve">strukturální nesoulad nabídky a poptávky. </w:t>
            </w:r>
            <w:r>
              <w:rPr>
                <w:color w:val="0D0D0D" w:themeColor="text1" w:themeTint="F2"/>
                <w:spacing w:val="-2"/>
                <w:szCs w:val="20"/>
              </w:rPr>
              <w:t>N</w:t>
            </w:r>
            <w:r w:rsidRPr="00874D1A">
              <w:rPr>
                <w:color w:val="0D0D0D" w:themeColor="text1" w:themeTint="F2"/>
                <w:spacing w:val="-2"/>
                <w:szCs w:val="20"/>
              </w:rPr>
              <w:t>ominální m</w:t>
            </w:r>
            <w:r>
              <w:rPr>
                <w:color w:val="0D0D0D" w:themeColor="text1" w:themeTint="F2"/>
                <w:spacing w:val="-2"/>
                <w:szCs w:val="20"/>
              </w:rPr>
              <w:t>zdy stabilně</w:t>
            </w:r>
            <w:r w:rsidRPr="00874D1A">
              <w:rPr>
                <w:color w:val="0D0D0D" w:themeColor="text1" w:themeTint="F2"/>
                <w:spacing w:val="-2"/>
                <w:szCs w:val="20"/>
              </w:rPr>
              <w:t xml:space="preserve"> </w:t>
            </w:r>
            <w:r>
              <w:rPr>
                <w:color w:val="0D0D0D" w:themeColor="text1" w:themeTint="F2"/>
                <w:spacing w:val="-2"/>
                <w:szCs w:val="20"/>
              </w:rPr>
              <w:t>rostly</w:t>
            </w:r>
            <w:r w:rsidRPr="00874D1A">
              <w:rPr>
                <w:color w:val="0D0D0D" w:themeColor="text1" w:themeTint="F2"/>
                <w:spacing w:val="-2"/>
                <w:szCs w:val="20"/>
              </w:rPr>
              <w:t xml:space="preserve">, svižněji 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často </w:t>
            </w:r>
            <w:r w:rsidRPr="00874D1A">
              <w:rPr>
                <w:color w:val="0D0D0D" w:themeColor="text1" w:themeTint="F2"/>
                <w:spacing w:val="-2"/>
                <w:szCs w:val="20"/>
              </w:rPr>
              <w:t xml:space="preserve">i v mnoha </w:t>
            </w:r>
            <w:proofErr w:type="spellStart"/>
            <w:r w:rsidRPr="00874D1A">
              <w:rPr>
                <w:color w:val="0D0D0D" w:themeColor="text1" w:themeTint="F2"/>
                <w:spacing w:val="-2"/>
                <w:szCs w:val="20"/>
              </w:rPr>
              <w:t>nízkovýdělkových</w:t>
            </w:r>
            <w:proofErr w:type="spellEnd"/>
            <w:r w:rsidRPr="00874D1A">
              <w:rPr>
                <w:color w:val="0D0D0D" w:themeColor="text1" w:themeTint="F2"/>
                <w:spacing w:val="-2"/>
                <w:szCs w:val="20"/>
              </w:rPr>
              <w:t xml:space="preserve"> odvětvích. Stabilizace cenové hladiny v ekonomice vedla k rychlému růstu reálných mezd, jenž byl v 1. pololetí patrný ve všech hlavních odvětvích. Kupní síla hrubých zaměstnaneckých výdělků stále mírně zaostávala za úrovní z roku 2021.</w:t>
            </w:r>
          </w:p>
        </w:tc>
      </w:tr>
      <w:tr w:rsidR="00AD1119" w:rsidRPr="009F0D7F" w14:paraId="60CD6B3C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099AACE0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4"/>
              </w:rPr>
              <w:t xml:space="preserve">Mírný </w:t>
            </w:r>
            <w:proofErr w:type="spellStart"/>
            <w:r>
              <w:rPr>
                <w:color w:val="0D0D0D" w:themeColor="text1" w:themeTint="F2"/>
                <w:spacing w:val="-4"/>
              </w:rPr>
              <w:t>mezikvartální</w:t>
            </w:r>
            <w:proofErr w:type="spellEnd"/>
            <w:r>
              <w:rPr>
                <w:color w:val="0D0D0D" w:themeColor="text1" w:themeTint="F2"/>
                <w:spacing w:val="-4"/>
              </w:rPr>
              <w:t xml:space="preserve"> růst zaměstnanosti letos zrychlil. Počet pracujících v Česku se opět posunul na historické maximum.</w:t>
            </w:r>
          </w:p>
        </w:tc>
        <w:tc>
          <w:tcPr>
            <w:tcW w:w="173" w:type="dxa"/>
            <w:tcMar>
              <w:left w:w="0" w:type="dxa"/>
            </w:tcMar>
          </w:tcPr>
          <w:p w14:paraId="0DE6B670" w14:textId="77777777" w:rsidR="00AD1119" w:rsidRPr="009F0D7F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66F1AED7" w14:textId="77777777" w:rsidR="00AD1119" w:rsidRPr="00F15523" w:rsidRDefault="00AD1119" w:rsidP="00E962EE">
            <w:pPr>
              <w:rPr>
                <w:spacing w:val="-2"/>
              </w:rPr>
            </w:pPr>
            <w:r w:rsidRPr="00F15523">
              <w:rPr>
                <w:spacing w:val="-2"/>
              </w:rPr>
              <w:t>Mírný růst zaměstnanosti pokračoval rovněž na počátku letošního roku. Celkový počet pracovníků</w:t>
            </w:r>
            <w:r w:rsidRPr="00F15523">
              <w:rPr>
                <w:color w:val="0D0D0D" w:themeColor="text1" w:themeTint="F2"/>
                <w:spacing w:val="-2"/>
                <w:vertAlign w:val="superscript"/>
              </w:rPr>
              <w:footnoteReference w:id="1"/>
            </w:r>
            <w:r w:rsidRPr="00F15523">
              <w:rPr>
                <w:spacing w:val="-2"/>
              </w:rPr>
              <w:t xml:space="preserve"> se v 1. čtvrtletí 2026 mezikvartálně navýšil o 0,1 % a navázal na slabou dynamiku z loňského roku. Nicméně ve 2. čtvrtletí tempo zřetelně zrychlilo na 0,9 %, především vlivem zlepšené situace v průmyslu i rostoucí poptávky po vyspělých podnikových službách (soustředěných zejména v profesních, vědeckých, technických </w:t>
            </w:r>
            <w:r>
              <w:rPr>
                <w:spacing w:val="-2"/>
              </w:rPr>
              <w:br/>
            </w:r>
            <w:r w:rsidRPr="00F15523">
              <w:rPr>
                <w:spacing w:val="-2"/>
              </w:rPr>
              <w:t xml:space="preserve">a administrativních činnostech). Pracovníků však přibývalo téměř ve všech hlavních odvětvích. Zaměstnanost v celé ekonomice aktuálně dosahovala rekordních </w:t>
            </w:r>
            <w:r>
              <w:rPr>
                <w:spacing w:val="-2"/>
              </w:rPr>
              <w:br/>
            </w:r>
            <w:r w:rsidRPr="00F15523">
              <w:rPr>
                <w:spacing w:val="-2"/>
              </w:rPr>
              <w:t>5,60 mil. osob a proti maximální hodnotě z období poslední konjunktury (4. čtvrtletí 2018) byla vyšší již o 4,2 % (+224 tis.), což bylo spojeno mj. s rozvojem veřejných služeb</w:t>
            </w:r>
            <w:r w:rsidRPr="00F15523">
              <w:rPr>
                <w:rStyle w:val="Znakapoznpodarou"/>
                <w:spacing w:val="-2"/>
              </w:rPr>
              <w:footnoteReference w:id="2"/>
            </w:r>
            <w:r w:rsidRPr="00F15523">
              <w:rPr>
                <w:spacing w:val="-2"/>
              </w:rPr>
              <w:t>.</w:t>
            </w:r>
          </w:p>
        </w:tc>
      </w:tr>
      <w:tr w:rsidR="00AD1119" w:rsidRPr="009F0D7F" w14:paraId="31395A92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4397C3AC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4"/>
              </w:rPr>
              <w:t>Na mírném meziročním růstu počtu pracovníků se podíleli zaměstnanci, ale</w:t>
            </w:r>
            <w:r>
              <w:rPr>
                <w:color w:val="0D0D0D" w:themeColor="text1" w:themeTint="F2"/>
                <w:spacing w:val="-4"/>
              </w:rPr>
              <w:br/>
              <w:t>i drobní podnikatelé, jejichž role se zvyšovala v řadě odvětví tržních služeb.</w:t>
            </w:r>
          </w:p>
          <w:p w14:paraId="303A8663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504242D4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190AA811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48DE60FA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163B37A1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0"/>
              </w:rPr>
              <w:t>R</w:t>
            </w:r>
            <w:r w:rsidRPr="00630288">
              <w:rPr>
                <w:color w:val="0D0D0D" w:themeColor="text1" w:themeTint="F2"/>
                <w:spacing w:val="0"/>
              </w:rPr>
              <w:t>ůst zaměstnanosti ve</w:t>
            </w:r>
            <w:r>
              <w:rPr>
                <w:color w:val="0D0D0D" w:themeColor="text1" w:themeTint="F2"/>
                <w:spacing w:val="0"/>
              </w:rPr>
              <w:t xml:space="preserve"> ve</w:t>
            </w:r>
            <w:r w:rsidRPr="00630288">
              <w:rPr>
                <w:color w:val="0D0D0D" w:themeColor="text1" w:themeTint="F2"/>
                <w:spacing w:val="0"/>
              </w:rPr>
              <w:t>řejn</w:t>
            </w:r>
            <w:r>
              <w:rPr>
                <w:color w:val="0D0D0D" w:themeColor="text1" w:themeTint="F2"/>
                <w:spacing w:val="0"/>
              </w:rPr>
              <w:t>ých</w:t>
            </w:r>
            <w:r w:rsidRPr="00630288">
              <w:rPr>
                <w:color w:val="0D0D0D" w:themeColor="text1" w:themeTint="F2"/>
                <w:spacing w:val="0"/>
              </w:rPr>
              <w:t xml:space="preserve"> služb</w:t>
            </w:r>
            <w:r>
              <w:rPr>
                <w:color w:val="0D0D0D" w:themeColor="text1" w:themeTint="F2"/>
                <w:spacing w:val="0"/>
              </w:rPr>
              <w:t>ách byl nejvyšší za posledních 4,5 roku</w:t>
            </w:r>
            <w:r w:rsidRPr="00630288">
              <w:rPr>
                <w:color w:val="0D0D0D" w:themeColor="text1" w:themeTint="F2"/>
                <w:spacing w:val="0"/>
              </w:rPr>
              <w:t xml:space="preserve">. </w:t>
            </w:r>
            <w:r w:rsidRPr="008B66AB">
              <w:rPr>
                <w:color w:val="0D0D0D" w:themeColor="text1" w:themeTint="F2"/>
                <w:spacing w:val="0"/>
              </w:rPr>
              <w:t xml:space="preserve">Dařilo se </w:t>
            </w:r>
            <w:r>
              <w:rPr>
                <w:color w:val="0D0D0D" w:themeColor="text1" w:themeTint="F2"/>
                <w:spacing w:val="0"/>
              </w:rPr>
              <w:br/>
            </w:r>
            <w:r w:rsidRPr="008B66AB">
              <w:rPr>
                <w:color w:val="0D0D0D" w:themeColor="text1" w:themeTint="F2"/>
                <w:spacing w:val="0"/>
              </w:rPr>
              <w:t xml:space="preserve">i vyspělejším podnikovým službám, </w:t>
            </w:r>
            <w:r w:rsidRPr="008B66AB">
              <w:rPr>
                <w:color w:val="0D0D0D" w:themeColor="text1" w:themeTint="F2"/>
                <w:spacing w:val="0"/>
              </w:rPr>
              <w:lastRenderedPageBreak/>
              <w:t>nemovitostem</w:t>
            </w:r>
            <w:r>
              <w:rPr>
                <w:color w:val="0D0D0D" w:themeColor="text1" w:themeTint="F2"/>
                <w:spacing w:val="0"/>
              </w:rPr>
              <w:t xml:space="preserve"> či oborům s vazbou na </w:t>
            </w:r>
            <w:r w:rsidRPr="008B66AB">
              <w:rPr>
                <w:color w:val="0D0D0D" w:themeColor="text1" w:themeTint="F2"/>
                <w:spacing w:val="0"/>
              </w:rPr>
              <w:t>cestovní ruch.</w:t>
            </w:r>
            <w:r>
              <w:rPr>
                <w:color w:val="0D0D0D" w:themeColor="text1" w:themeTint="F2"/>
                <w:spacing w:val="-4"/>
              </w:rPr>
              <w:t xml:space="preserve"> </w:t>
            </w:r>
          </w:p>
          <w:p w14:paraId="78D1E909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27E5FE66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3D5D59E9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414F04BB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0F753F8C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20138786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2842D2DC" w14:textId="77777777" w:rsidR="00AD1119" w:rsidRPr="001133B5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t xml:space="preserve"> </w:t>
            </w:r>
          </w:p>
        </w:tc>
        <w:tc>
          <w:tcPr>
            <w:tcW w:w="173" w:type="dxa"/>
            <w:tcMar>
              <w:left w:w="0" w:type="dxa"/>
            </w:tcMar>
          </w:tcPr>
          <w:p w14:paraId="269FF7B9" w14:textId="77777777" w:rsidR="00AD1119" w:rsidRPr="009F0D7F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61EF37B7" w14:textId="34BFF8CB" w:rsidR="00AD1119" w:rsidRPr="00F15523" w:rsidRDefault="00AD1119" w:rsidP="00E962EE">
            <w:pPr>
              <w:rPr>
                <w:spacing w:val="-2"/>
              </w:rPr>
            </w:pPr>
            <w:r w:rsidRPr="00F15523">
              <w:rPr>
                <w:spacing w:val="-2"/>
              </w:rPr>
              <w:t>Za 1. pololetí 2026 celková zaměstnanost meziročně vzrostla o 1,3 %</w:t>
            </w:r>
            <w:r w:rsidRPr="00F15523">
              <w:rPr>
                <w:rStyle w:val="Znakapoznpodarou"/>
                <w:spacing w:val="-2"/>
              </w:rPr>
              <w:footnoteReference w:id="3"/>
            </w:r>
            <w:r w:rsidRPr="00F15523">
              <w:rPr>
                <w:spacing w:val="-2"/>
              </w:rPr>
              <w:t xml:space="preserve">, téměř identicky posilovala i po celý loňský rok. K nynějšímu růstu přispěli ze dvou třetin zaměstnanci (+49 tis., +1,0 %), relativně silnějším tempem se ale navyšovaly stavy </w:t>
            </w:r>
            <w:proofErr w:type="spellStart"/>
            <w:r w:rsidRPr="00F15523">
              <w:rPr>
                <w:spacing w:val="-2"/>
              </w:rPr>
              <w:t>sebezaměstnaných</w:t>
            </w:r>
            <w:proofErr w:type="spellEnd"/>
            <w:r w:rsidRPr="00F15523">
              <w:rPr>
                <w:spacing w:val="-2"/>
              </w:rPr>
              <w:t xml:space="preserve"> (+2,7 %), což platilo po většinu období po ústupu pandemie. Z pohledu odvětví měly pro celkovou dynamiku zaměstnanosti v ekonomice nadále zcela zásadní vliv veřejné služby</w:t>
            </w:r>
            <w:r w:rsidRPr="00F15523">
              <w:rPr>
                <w:rStyle w:val="Znakapoznpodarou"/>
                <w:spacing w:val="-2"/>
              </w:rPr>
              <w:footnoteReference w:id="4"/>
            </w:r>
            <w:r w:rsidRPr="00F15523">
              <w:rPr>
                <w:spacing w:val="-2"/>
              </w:rPr>
              <w:t>. V nich totiž pracovalo meziročně o 2,3 % osob více a na tomto nárůstu, nejvyšším za poslední čtyři a půl roku, se podílela všechna odvětví (nejvíce zdravotní a sociální péče spolu se vzděláváním). Shodným tempem se zvyšovala zaměstnanost i v dlouhodobě se rozvíjejících profesních, vědeckých, technických a administrativních činnostech, letos z drtivé části díky nebýval</w:t>
            </w:r>
            <w:r>
              <w:rPr>
                <w:spacing w:val="-2"/>
              </w:rPr>
              <w:t>e</w:t>
            </w:r>
            <w:r w:rsidRPr="00F15523">
              <w:rPr>
                <w:spacing w:val="-2"/>
              </w:rPr>
              <w:t xml:space="preserve"> silnému růstu </w:t>
            </w:r>
            <w:proofErr w:type="spellStart"/>
            <w:r w:rsidRPr="00F15523">
              <w:rPr>
                <w:spacing w:val="-2"/>
              </w:rPr>
              <w:t>sebezaměstnaných</w:t>
            </w:r>
            <w:proofErr w:type="spellEnd"/>
            <w:r w:rsidRPr="00F15523">
              <w:rPr>
                <w:rStyle w:val="Znakapoznpodarou"/>
                <w:spacing w:val="-2"/>
              </w:rPr>
              <w:footnoteReference w:id="5"/>
            </w:r>
            <w:r w:rsidRPr="00F15523">
              <w:rPr>
                <w:spacing w:val="-2"/>
              </w:rPr>
              <w:t>. Tento segment významně podpořil růst také v různorodém odvětví ostatních činností</w:t>
            </w:r>
            <w:r w:rsidRPr="00F15523">
              <w:rPr>
                <w:rStyle w:val="Znakapoznpodarou"/>
                <w:spacing w:val="-2"/>
              </w:rPr>
              <w:footnoteReference w:id="6"/>
            </w:r>
            <w:r w:rsidRPr="00F15523">
              <w:rPr>
                <w:spacing w:val="-2"/>
              </w:rPr>
              <w:t xml:space="preserve"> (+3,7 %) a přispěl rovněž</w:t>
            </w:r>
            <w:r w:rsidR="00966405">
              <w:rPr>
                <w:spacing w:val="-2"/>
              </w:rPr>
              <w:t xml:space="preserve"> </w:t>
            </w:r>
            <w:r w:rsidRPr="00F15523">
              <w:rPr>
                <w:spacing w:val="-2"/>
              </w:rPr>
              <w:t xml:space="preserve">i k mírnému oživení celkové zaměstnanosti v peněžnictví a pojišťovnictví (+2,6 %). Naopak fakticky pouze zaměstnanci se postarali o navýšení počtu pracovníků v relativně malém a </w:t>
            </w:r>
            <w:r w:rsidRPr="00F15523">
              <w:rPr>
                <w:spacing w:val="-2"/>
              </w:rPr>
              <w:lastRenderedPageBreak/>
              <w:t>specifickém odvětví činností v oblasti nemovitostí (+5,8 %)</w:t>
            </w:r>
            <w:r w:rsidRPr="00F15523">
              <w:rPr>
                <w:rStyle w:val="Znakapoznpodarou"/>
                <w:spacing w:val="-2"/>
              </w:rPr>
              <w:footnoteReference w:id="7"/>
            </w:r>
            <w:r w:rsidRPr="00F15523">
              <w:rPr>
                <w:spacing w:val="-2"/>
              </w:rPr>
              <w:t>. Ve zbývajících oblastech služeb přibývalo pracovníků velmi pozvolně. V uskupení obchod, doprava, ubytování a pohostinství letos růst zvolnil na 0,8 %, tedy nejnižší tempo za poslední tři</w:t>
            </w:r>
            <w:r w:rsidR="00966405">
              <w:rPr>
                <w:spacing w:val="-2"/>
              </w:rPr>
              <w:t xml:space="preserve"> </w:t>
            </w:r>
            <w:r w:rsidRPr="00F15523">
              <w:rPr>
                <w:spacing w:val="-2"/>
              </w:rPr>
              <w:t xml:space="preserve">a půl roku. Na jedné straně se zde dále rozvíjely aktivity navázané na cestovní ruch, současně však pracovních míst nepřibývalo ve váhově významnějších segmentech (obchod, doprava a skladování). Navíc růst byl v tomto uskupení nadále tažen jen zaměstnanci (počet </w:t>
            </w:r>
            <w:proofErr w:type="spellStart"/>
            <w:r w:rsidRPr="00F15523">
              <w:rPr>
                <w:spacing w:val="-2"/>
              </w:rPr>
              <w:t>sebezaměstnaných</w:t>
            </w:r>
            <w:proofErr w:type="spellEnd"/>
            <w:r w:rsidRPr="00F15523">
              <w:rPr>
                <w:spacing w:val="-2"/>
              </w:rPr>
              <w:t xml:space="preserve"> totiž stagnoval a stále zaostával za úrovní z roku 2019). V informačních a komunikačních činnostech se celková zaměstnanost zvýšila </w:t>
            </w:r>
            <w:r>
              <w:rPr>
                <w:spacing w:val="-2"/>
              </w:rPr>
              <w:br/>
            </w:r>
            <w:r w:rsidRPr="00F15523">
              <w:rPr>
                <w:spacing w:val="-2"/>
              </w:rPr>
              <w:t xml:space="preserve">o 1,3 %, avšak v rámci 1. pololetí šlo o nejnižší tempo </w:t>
            </w:r>
            <w:r>
              <w:rPr>
                <w:spacing w:val="-2"/>
              </w:rPr>
              <w:t>z</w:t>
            </w:r>
            <w:r w:rsidRPr="00F15523">
              <w:rPr>
                <w:spacing w:val="-2"/>
              </w:rPr>
              <w:t>a posledních jedenáct let</w:t>
            </w:r>
            <w:r w:rsidRPr="00F15523">
              <w:rPr>
                <w:rStyle w:val="Znakapoznpodarou"/>
                <w:spacing w:val="-2"/>
              </w:rPr>
              <w:footnoteReference w:id="8"/>
            </w:r>
            <w:r w:rsidRPr="00F15523">
              <w:rPr>
                <w:spacing w:val="-2"/>
              </w:rPr>
              <w:t>.</w:t>
            </w:r>
          </w:p>
        </w:tc>
      </w:tr>
      <w:tr w:rsidR="00AD1119" w:rsidRPr="009F0D7F" w14:paraId="16563262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00546CE2" w14:textId="77777777" w:rsidR="00AD1119" w:rsidRPr="00D202F4" w:rsidRDefault="00AD1119" w:rsidP="00E962EE">
            <w:pPr>
              <w:pStyle w:val="Marginlie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lastRenderedPageBreak/>
              <w:t xml:space="preserve">Ke svižnému růstu ve </w:t>
            </w:r>
            <w:r w:rsidRPr="007928AC">
              <w:rPr>
                <w:color w:val="0D0D0D" w:themeColor="text1" w:themeTint="F2"/>
              </w:rPr>
              <w:t xml:space="preserve">stavebnictví </w:t>
            </w:r>
            <w:r>
              <w:rPr>
                <w:color w:val="0D0D0D" w:themeColor="text1" w:themeTint="F2"/>
              </w:rPr>
              <w:t>letos přispívali zejména</w:t>
            </w:r>
            <w:r w:rsidRPr="007928AC">
              <w:rPr>
                <w:color w:val="0D0D0D" w:themeColor="text1" w:themeTint="F2"/>
              </w:rPr>
              <w:t xml:space="preserve"> zaměstnan</w:t>
            </w:r>
            <w:r>
              <w:rPr>
                <w:color w:val="0D0D0D" w:themeColor="text1" w:themeTint="F2"/>
              </w:rPr>
              <w:t xml:space="preserve">ci. </w:t>
            </w:r>
            <w:r>
              <w:rPr>
                <w:color w:val="0D0D0D" w:themeColor="text1" w:themeTint="F2"/>
                <w:spacing w:val="-4"/>
              </w:rPr>
              <w:t xml:space="preserve">Zaměstnanost ve zpracovatelském průmyslu i zemědělství nadále mírně klesala. </w:t>
            </w:r>
          </w:p>
        </w:tc>
        <w:tc>
          <w:tcPr>
            <w:tcW w:w="173" w:type="dxa"/>
            <w:tcMar>
              <w:left w:w="0" w:type="dxa"/>
            </w:tcMar>
          </w:tcPr>
          <w:p w14:paraId="41E1C569" w14:textId="77777777" w:rsidR="00AD1119" w:rsidRPr="009F0D7F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0D5F268A" w14:textId="77777777" w:rsidR="00AD1119" w:rsidRPr="00B85732" w:rsidRDefault="00AD1119" w:rsidP="00E962EE">
            <w:pPr>
              <w:rPr>
                <w:color w:val="0D0D0D" w:themeColor="text1" w:themeTint="F2"/>
              </w:rPr>
            </w:pPr>
            <w:r w:rsidRPr="00D862D9">
              <w:rPr>
                <w:color w:val="0D0D0D" w:themeColor="text1" w:themeTint="F2"/>
              </w:rPr>
              <w:t xml:space="preserve">Mimo sektor služeb přibylo </w:t>
            </w:r>
            <w:r>
              <w:rPr>
                <w:color w:val="0D0D0D" w:themeColor="text1" w:themeTint="F2"/>
              </w:rPr>
              <w:t>letos (obdobně jako v úhrnu za celý loňský rok)</w:t>
            </w:r>
            <w:r w:rsidRPr="00903591">
              <w:t xml:space="preserve"> pracovníků </w:t>
            </w:r>
            <w:r>
              <w:t>hlavně</w:t>
            </w:r>
            <w:r w:rsidRPr="00903591">
              <w:t xml:space="preserve"> ve stavebnictví (+2,</w:t>
            </w:r>
            <w:r>
              <w:t>4</w:t>
            </w:r>
            <w:r w:rsidRPr="00903591">
              <w:t xml:space="preserve"> %)</w:t>
            </w:r>
            <w:r w:rsidRPr="00903591">
              <w:rPr>
                <w:color w:val="0D0D0D" w:themeColor="text1" w:themeTint="F2"/>
              </w:rPr>
              <w:t xml:space="preserve">. </w:t>
            </w:r>
            <w:r>
              <w:rPr>
                <w:color w:val="0D0D0D" w:themeColor="text1" w:themeTint="F2"/>
              </w:rPr>
              <w:t xml:space="preserve">Zatímco k růstu v roce 2025 zde výrazně pomohli drobní podnikatelé, letos byl z drtivé části v režii samotných zaměstnanců, jejichž tempo růstu patřilo k nejvyšším v „post-pandemickém období“. Ve zpracovatelském průmyslu pokračoval mírný, avšak dlouhodobější pokles zaměstnanosti (v 1. pololetí meziročně </w:t>
            </w:r>
            <w:r>
              <w:rPr>
                <w:color w:val="0D0D0D" w:themeColor="text1" w:themeTint="F2"/>
              </w:rPr>
              <w:br/>
              <w:t>o 0,5 %). Ten se nevyhýbal ani většině tradičních exportních oborů. Náznak stabilizace či drobného oživení lze pozorovat v segmentu drobných podnikatelů</w:t>
            </w:r>
            <w:r>
              <w:rPr>
                <w:rStyle w:val="Znakapoznpodarou"/>
                <w:color w:val="0D0D0D" w:themeColor="text1" w:themeTint="F2"/>
              </w:rPr>
              <w:footnoteReference w:id="9"/>
            </w:r>
            <w:r>
              <w:rPr>
                <w:color w:val="0D0D0D" w:themeColor="text1" w:themeTint="F2"/>
              </w:rPr>
              <w:t xml:space="preserve">. </w:t>
            </w:r>
            <w:r w:rsidRPr="00903591">
              <w:t xml:space="preserve">V ostatním průmyslu se zaměstnanost </w:t>
            </w:r>
            <w:r>
              <w:t>mírně zvýšila (+2,5 %), neboť</w:t>
            </w:r>
            <w:r w:rsidRPr="00903591">
              <w:t xml:space="preserve"> </w:t>
            </w:r>
            <w:r>
              <w:t>d</w:t>
            </w:r>
            <w:r w:rsidRPr="00903591">
              <w:t>opad</w:t>
            </w:r>
            <w:r>
              <w:t>y</w:t>
            </w:r>
            <w:r w:rsidRPr="00903591">
              <w:t xml:space="preserve"> </w:t>
            </w:r>
            <w:r>
              <w:t xml:space="preserve">hlubokého </w:t>
            </w:r>
            <w:r w:rsidRPr="00903591">
              <w:t>útlumu v těžbě a dobývání</w:t>
            </w:r>
            <w:r>
              <w:t xml:space="preserve"> dokázala </w:t>
            </w:r>
            <w:r w:rsidRPr="00903591">
              <w:t>kompenzov</w:t>
            </w:r>
            <w:r>
              <w:t>at rostoucí</w:t>
            </w:r>
            <w:r w:rsidRPr="00903591">
              <w:t xml:space="preserve"> zaměstnanost</w:t>
            </w:r>
            <w:r>
              <w:t xml:space="preserve"> v energetice či</w:t>
            </w:r>
            <w:r w:rsidRPr="00903591">
              <w:t xml:space="preserve"> ve vodním a odpadovém hospodářství. V primárním sektoru zemědělství, lesnictví </w:t>
            </w:r>
            <w:r>
              <w:br/>
            </w:r>
            <w:r w:rsidRPr="00903591">
              <w:t xml:space="preserve">a </w:t>
            </w:r>
            <w:r w:rsidRPr="00947D72">
              <w:rPr>
                <w:spacing w:val="-2"/>
              </w:rPr>
              <w:t>rybářství se počet pracovníků snížil</w:t>
            </w:r>
            <w:r>
              <w:rPr>
                <w:spacing w:val="-2"/>
              </w:rPr>
              <w:t xml:space="preserve"> o rovná 2 %, podobně jako loni zejména vlivem citelnějšího úbytku významné kategorie </w:t>
            </w:r>
            <w:proofErr w:type="spellStart"/>
            <w:r>
              <w:rPr>
                <w:spacing w:val="-2"/>
              </w:rPr>
              <w:t>sebezaměstnaných</w:t>
            </w:r>
            <w:proofErr w:type="spellEnd"/>
            <w:r>
              <w:rPr>
                <w:spacing w:val="-2"/>
              </w:rPr>
              <w:t>.</w:t>
            </w:r>
            <w:r>
              <w:t xml:space="preserve"> Celé odvětví se nadále potýkalo se zvýšenými nákladovými tlaky i sílící dovozní konkurencí, což se negativně promítalo do rentability řady druhů zemědělských i rostlinných výrob. </w:t>
            </w:r>
          </w:p>
        </w:tc>
      </w:tr>
      <w:tr w:rsidR="00AD1119" w:rsidRPr="009F0D7F" w14:paraId="609811B6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03D7A090" w14:textId="77777777" w:rsidR="00AD1119" w:rsidRPr="00947D72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4"/>
              </w:rPr>
              <w:t xml:space="preserve">Počet odpracovaných hodin rostl nadále ve většině odvětví svižněji než fyzický počet zaměstnanců. </w:t>
            </w:r>
          </w:p>
        </w:tc>
        <w:tc>
          <w:tcPr>
            <w:tcW w:w="173" w:type="dxa"/>
            <w:tcMar>
              <w:left w:w="0" w:type="dxa"/>
            </w:tcMar>
          </w:tcPr>
          <w:p w14:paraId="02376851" w14:textId="77777777" w:rsidR="00AD1119" w:rsidRPr="00947D72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22A9A127" w14:textId="77777777" w:rsidR="00AD1119" w:rsidRPr="00EF1E17" w:rsidRDefault="00AD1119" w:rsidP="00E962EE">
            <w:pPr>
              <w:rPr>
                <w:color w:val="0D0D0D" w:themeColor="text1" w:themeTint="F2"/>
                <w:spacing w:val="-4"/>
              </w:rPr>
            </w:pPr>
            <w:r w:rsidRPr="00985988">
              <w:rPr>
                <w:color w:val="0D0D0D" w:themeColor="text1" w:themeTint="F2"/>
              </w:rPr>
              <w:t>Meziroční růst celkového počtu odpracovaných hodin</w:t>
            </w:r>
            <w:r w:rsidRPr="00985988">
              <w:rPr>
                <w:rStyle w:val="Znakapoznpodarou"/>
                <w:color w:val="0D0D0D" w:themeColor="text1" w:themeTint="F2"/>
              </w:rPr>
              <w:footnoteReference w:id="10"/>
            </w:r>
            <w:r w:rsidRPr="00985988">
              <w:rPr>
                <w:color w:val="0D0D0D" w:themeColor="text1" w:themeTint="F2"/>
              </w:rPr>
              <w:t xml:space="preserve"> v ekonomice vystoupal letos v 1.pololetí nejvýše od konce roku 2022 (+2,7 %</w:t>
            </w:r>
            <w:r w:rsidRPr="00985988">
              <w:rPr>
                <w:rStyle w:val="Znakapoznpodarou"/>
                <w:color w:val="0D0D0D" w:themeColor="text1" w:themeTint="F2"/>
              </w:rPr>
              <w:footnoteReference w:id="11"/>
            </w:r>
            <w:r w:rsidRPr="00985988">
              <w:rPr>
                <w:color w:val="0D0D0D" w:themeColor="text1" w:themeTint="F2"/>
              </w:rPr>
              <w:t>). Obdobně jako v předchozích letech (od ústupu pandemie covid</w:t>
            </w:r>
            <w:r>
              <w:rPr>
                <w:color w:val="0D0D0D" w:themeColor="text1" w:themeTint="F2"/>
              </w:rPr>
              <w:t>u</w:t>
            </w:r>
            <w:r w:rsidRPr="00985988">
              <w:rPr>
                <w:color w:val="0D0D0D" w:themeColor="text1" w:themeTint="F2"/>
              </w:rPr>
              <w:t>-19) narůstal počet hodin rychleji než počet zaměstnaných (ve fyzických osobách). Z pohledu hlavních odvětví je letos tato disproporce zvlášť patrná ve stavebnictví (kde rostla odpracovaná doba oproti zaměstnanosti více než dvojnásobným tempem</w:t>
            </w:r>
            <w:r w:rsidRPr="00985988">
              <w:rPr>
                <w:rStyle w:val="Znakapoznpodarou"/>
                <w:color w:val="0D0D0D" w:themeColor="text1" w:themeTint="F2"/>
              </w:rPr>
              <w:footnoteReference w:id="12"/>
            </w:r>
            <w:r w:rsidRPr="00985988">
              <w:rPr>
                <w:color w:val="0D0D0D" w:themeColor="text1" w:themeTint="F2"/>
              </w:rPr>
              <w:t>), v menší míře platí i ve většině dalších oblastí ekonomiky, vyjma některých menších odvětví služeb (např. činnosti v oblasti</w:t>
            </w:r>
            <w:r w:rsidRPr="00985988">
              <w:rPr>
                <w:color w:val="0D0D0D" w:themeColor="text1" w:themeTint="F2"/>
                <w:sz w:val="16"/>
                <w:szCs w:val="16"/>
              </w:rPr>
              <w:t xml:space="preserve"> </w:t>
            </w:r>
            <w:r w:rsidRPr="00985988">
              <w:rPr>
                <w:color w:val="0D0D0D" w:themeColor="text1" w:themeTint="F2"/>
              </w:rPr>
              <w:t>nemovitostí). To může souviset s nedostatkem manuálních</w:t>
            </w:r>
            <w:r>
              <w:rPr>
                <w:color w:val="0D0D0D" w:themeColor="text1" w:themeTint="F2"/>
              </w:rPr>
              <w:t xml:space="preserve"> pracovníků</w:t>
            </w:r>
            <w:r w:rsidRPr="00985988">
              <w:rPr>
                <w:color w:val="0D0D0D" w:themeColor="text1" w:themeTint="F2"/>
              </w:rPr>
              <w:t xml:space="preserve"> (bez ohledu na kvalifikaci)</w:t>
            </w:r>
            <w:r>
              <w:rPr>
                <w:color w:val="0D0D0D" w:themeColor="text1" w:themeTint="F2"/>
              </w:rPr>
              <w:t xml:space="preserve">, </w:t>
            </w:r>
            <w:r w:rsidRPr="00985988">
              <w:rPr>
                <w:color w:val="0D0D0D" w:themeColor="text1" w:themeTint="F2"/>
              </w:rPr>
              <w:t xml:space="preserve">ale </w:t>
            </w:r>
            <w:r>
              <w:rPr>
                <w:color w:val="0D0D0D" w:themeColor="text1" w:themeTint="F2"/>
              </w:rPr>
              <w:t>také</w:t>
            </w:r>
            <w:r w:rsidRPr="00985988">
              <w:rPr>
                <w:color w:val="0D0D0D" w:themeColor="text1" w:themeTint="F2"/>
              </w:rPr>
              <w:t xml:space="preserve"> specialistů na trhu</w:t>
            </w:r>
            <w:r w:rsidRPr="00EF1E17">
              <w:rPr>
                <w:color w:val="0D0D0D" w:themeColor="text1" w:themeTint="F2"/>
                <w:spacing w:val="-4"/>
              </w:rPr>
              <w:t>.</w:t>
            </w:r>
          </w:p>
        </w:tc>
      </w:tr>
      <w:tr w:rsidR="00AD1119" w:rsidRPr="009F0D7F" w14:paraId="04DEF90F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44EC5AF8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Meziroční posilování hodinové produktivity práce se letos zastavilo. Příznivý vývoj ale pokračoval ve zpracovatelském</w:t>
            </w:r>
            <w:r>
              <w:rPr>
                <w:color w:val="0D0D0D" w:themeColor="text1" w:themeTint="F2"/>
              </w:rPr>
              <w:br/>
              <w:t>průmyslu.</w:t>
            </w:r>
          </w:p>
          <w:p w14:paraId="3A6AAC7E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</w:rPr>
            </w:pPr>
          </w:p>
          <w:p w14:paraId="296833CB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</w:rPr>
            </w:pPr>
          </w:p>
          <w:p w14:paraId="1D97BA4E" w14:textId="77777777" w:rsidR="00AD1119" w:rsidRPr="007928AC" w:rsidRDefault="00AD1119" w:rsidP="00E962EE">
            <w:pPr>
              <w:pStyle w:val="Marginlie"/>
              <w:spacing w:after="12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lastRenderedPageBreak/>
              <w:t xml:space="preserve">Produktivita práce vztažená na pracovníka nadále velmi mírně rostla. </w:t>
            </w:r>
          </w:p>
        </w:tc>
        <w:tc>
          <w:tcPr>
            <w:tcW w:w="173" w:type="dxa"/>
            <w:tcMar>
              <w:left w:w="0" w:type="dxa"/>
            </w:tcMar>
          </w:tcPr>
          <w:p w14:paraId="60D307B8" w14:textId="77777777" w:rsidR="00AD1119" w:rsidRPr="009F0D7F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1ADBFF54" w14:textId="77777777" w:rsidR="00AD1119" w:rsidRPr="00EF1E17" w:rsidRDefault="00AD1119" w:rsidP="00E962EE">
            <w:pPr>
              <w:rPr>
                <w:color w:val="0D0D0D" w:themeColor="text1" w:themeTint="F2"/>
                <w:spacing w:val="-4"/>
              </w:rPr>
            </w:pPr>
            <w:r w:rsidRPr="00EF1E17">
              <w:rPr>
                <w:color w:val="0D0D0D" w:themeColor="text1" w:themeTint="F2"/>
                <w:spacing w:val="-4"/>
              </w:rPr>
              <w:t>Mírný meziroční růst hodinové produktivity práce</w:t>
            </w:r>
            <w:r w:rsidRPr="00EF1E17">
              <w:rPr>
                <w:rStyle w:val="Znakapoznpodarou"/>
                <w:color w:val="0D0D0D" w:themeColor="text1" w:themeTint="F2"/>
                <w:spacing w:val="-4"/>
              </w:rPr>
              <w:footnoteReference w:id="13"/>
            </w:r>
            <w:r w:rsidRPr="00EF1E17">
              <w:rPr>
                <w:color w:val="0D0D0D" w:themeColor="text1" w:themeTint="F2"/>
                <w:spacing w:val="-4"/>
              </w:rPr>
              <w:t xml:space="preserve"> v tuzemské ekonomice, jenž se loni po tříleté odmlce obnovil, v 1. pololetí 2026 nepokračoval (</w:t>
            </w:r>
            <w:r w:rsidRPr="00EF1E17">
              <w:rPr>
                <w:color w:val="0D0D0D" w:themeColor="text1" w:themeTint="F2"/>
                <w:spacing w:val="-4"/>
                <w:szCs w:val="20"/>
              </w:rPr>
              <w:t>–</w:t>
            </w:r>
            <w:r w:rsidRPr="00EF1E17">
              <w:rPr>
                <w:color w:val="0D0D0D" w:themeColor="text1" w:themeTint="F2"/>
                <w:spacing w:val="-4"/>
              </w:rPr>
              <w:t>0,8 %). Proti posilování produktivity působily z tržních odvětví nej</w:t>
            </w:r>
            <w:r>
              <w:rPr>
                <w:color w:val="0D0D0D" w:themeColor="text1" w:themeTint="F2"/>
                <w:spacing w:val="-4"/>
              </w:rPr>
              <w:t>významněji</w:t>
            </w:r>
            <w:r w:rsidRPr="00EF1E17">
              <w:rPr>
                <w:color w:val="0D0D0D" w:themeColor="text1" w:themeTint="F2"/>
                <w:spacing w:val="-4"/>
              </w:rPr>
              <w:t xml:space="preserve"> vyspělé podnikové služby a stavebnictví. Opačný vliv měly zejména informační komunikační činnosti. V růstu produktivity pokračoval také zpracovatelský průmysl (+0,5 %), obchod, doprava, ubytování a pohostinství (+0,4 %) </w:t>
            </w:r>
            <w:r>
              <w:rPr>
                <w:color w:val="0D0D0D" w:themeColor="text1" w:themeTint="F2"/>
                <w:spacing w:val="-4"/>
              </w:rPr>
              <w:br/>
            </w:r>
            <w:r w:rsidRPr="00EF1E17">
              <w:rPr>
                <w:color w:val="0D0D0D" w:themeColor="text1" w:themeTint="F2"/>
                <w:spacing w:val="-4"/>
              </w:rPr>
              <w:t xml:space="preserve">a primární sektor ekonomiky (+1,8 %). Ve srovnání s předkrizovým rokem 2019 se aktuální úroveň produktivity práce v celé ekonomice nacházela o 2,4 % výše. Přispěly k tomu zejména zpracovatelský průmysl (s nárůstem o 11 %) a informační a komunikační činnosti </w:t>
            </w:r>
            <w:r w:rsidRPr="00EF1E17">
              <w:rPr>
                <w:color w:val="0D0D0D" w:themeColor="text1" w:themeTint="F2"/>
                <w:spacing w:val="-4"/>
              </w:rPr>
              <w:lastRenderedPageBreak/>
              <w:t xml:space="preserve">(+26 %), s odstupem dále peněžnictví a pojišťovnictví či primární sektor ekonomiky. </w:t>
            </w:r>
            <w:r>
              <w:rPr>
                <w:color w:val="0D0D0D" w:themeColor="text1" w:themeTint="F2"/>
                <w:spacing w:val="-4"/>
              </w:rPr>
              <w:t xml:space="preserve">Produktivita práce vztažená na pracovníka (ve fyzických osobách) se v 1. pololetí v celé </w:t>
            </w:r>
            <w:r w:rsidRPr="00340C8C">
              <w:rPr>
                <w:color w:val="0D0D0D" w:themeColor="text1" w:themeTint="F2"/>
                <w:spacing w:val="-5"/>
              </w:rPr>
              <w:t xml:space="preserve">ekonomice meziročně zvýšila o 0,6 %. Pokračoval tak její růst, byť mírnějšími tempy než </w:t>
            </w:r>
            <w:r>
              <w:rPr>
                <w:color w:val="0D0D0D" w:themeColor="text1" w:themeTint="F2"/>
                <w:spacing w:val="-5"/>
              </w:rPr>
              <w:t>po celý loňský rok</w:t>
            </w:r>
            <w:r w:rsidRPr="00340C8C">
              <w:rPr>
                <w:color w:val="0D0D0D" w:themeColor="text1" w:themeTint="F2"/>
                <w:spacing w:val="-5"/>
              </w:rPr>
              <w:t>.</w:t>
            </w:r>
          </w:p>
        </w:tc>
      </w:tr>
      <w:tr w:rsidR="00AD1119" w:rsidRPr="009F0D7F" w14:paraId="5A6DEE1C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7905691F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4"/>
              </w:rPr>
              <w:lastRenderedPageBreak/>
              <w:t>Svižný růst počtu pracujících cizinců v Česku pokračoval</w:t>
            </w:r>
            <w:r w:rsidRPr="005609A1">
              <w:rPr>
                <w:color w:val="0D0D0D" w:themeColor="text1" w:themeTint="F2"/>
                <w:spacing w:val="-4"/>
              </w:rPr>
              <w:t xml:space="preserve">. Jejich přírůstek </w:t>
            </w:r>
            <w:r>
              <w:rPr>
                <w:color w:val="0D0D0D" w:themeColor="text1" w:themeTint="F2"/>
                <w:spacing w:val="-4"/>
              </w:rPr>
              <w:t xml:space="preserve">byl stále tažen hlavně občany Ukrajiny, přibylo i Slováků </w:t>
            </w:r>
            <w:r>
              <w:rPr>
                <w:color w:val="0D0D0D" w:themeColor="text1" w:themeTint="F2"/>
                <w:spacing w:val="-4"/>
              </w:rPr>
              <w:br/>
              <w:t>a Filipínců.</w:t>
            </w:r>
          </w:p>
          <w:p w14:paraId="5F9EBEB3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</w:p>
          <w:p w14:paraId="6806BD5B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  <w:r w:rsidRPr="005609A1">
              <w:rPr>
                <w:color w:val="0D0D0D" w:themeColor="text1" w:themeTint="F2"/>
                <w:spacing w:val="-4"/>
              </w:rPr>
              <w:t>Zrychlil příliv osob z některých asijských států</w:t>
            </w:r>
            <w:r>
              <w:rPr>
                <w:color w:val="0D0D0D" w:themeColor="text1" w:themeTint="F2"/>
                <w:spacing w:val="-4"/>
              </w:rPr>
              <w:t>. Počty p</w:t>
            </w:r>
            <w:r w:rsidRPr="005609A1">
              <w:rPr>
                <w:color w:val="0D0D0D" w:themeColor="text1" w:themeTint="F2"/>
                <w:spacing w:val="-4"/>
              </w:rPr>
              <w:t xml:space="preserve">racovníků ze střední </w:t>
            </w:r>
            <w:r>
              <w:rPr>
                <w:color w:val="0D0D0D" w:themeColor="text1" w:themeTint="F2"/>
                <w:spacing w:val="-4"/>
              </w:rPr>
              <w:t xml:space="preserve">a východní </w:t>
            </w:r>
            <w:r w:rsidRPr="005609A1">
              <w:rPr>
                <w:color w:val="0D0D0D" w:themeColor="text1" w:themeTint="F2"/>
                <w:spacing w:val="-4"/>
              </w:rPr>
              <w:t>Evropy</w:t>
            </w:r>
            <w:r>
              <w:rPr>
                <w:color w:val="0D0D0D" w:themeColor="text1" w:themeTint="F2"/>
                <w:spacing w:val="-4"/>
              </w:rPr>
              <w:t xml:space="preserve"> se zvyšovaly spíše jen mírně, či dokonce klesaly.</w:t>
            </w:r>
          </w:p>
          <w:p w14:paraId="659B2E36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0D48CBE0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3CC20653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7A796F99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1FBB2B6F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  <w:r w:rsidRPr="00F42283">
              <w:rPr>
                <w:color w:val="0D0D0D" w:themeColor="text1" w:themeTint="F2"/>
                <w:spacing w:val="-8"/>
              </w:rPr>
              <w:t>Cizinců v zaměstnaneckém</w:t>
            </w:r>
            <w:r>
              <w:rPr>
                <w:color w:val="0D0D0D" w:themeColor="text1" w:themeTint="F2"/>
                <w:spacing w:val="-4"/>
              </w:rPr>
              <w:t xml:space="preserve"> postavení zřetelně přibylo ve všech krajích.</w:t>
            </w:r>
          </w:p>
          <w:p w14:paraId="6A7DF5B2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7D47AC97" w14:textId="77777777" w:rsidR="00AD1119" w:rsidRPr="009F0D7F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41B51185" w14:textId="77777777" w:rsidR="00AD1119" w:rsidRPr="00B57D4E" w:rsidRDefault="00AD1119" w:rsidP="00E962EE">
            <w:pPr>
              <w:spacing w:after="200"/>
              <w:rPr>
                <w:color w:val="0D0D0D" w:themeColor="text1" w:themeTint="F2"/>
                <w:spacing w:val="-5"/>
              </w:rPr>
            </w:pPr>
            <w:r w:rsidRPr="00B57D4E">
              <w:rPr>
                <w:color w:val="0D0D0D" w:themeColor="text1" w:themeTint="F2"/>
                <w:spacing w:val="-5"/>
              </w:rPr>
              <w:t>Vlivem demografického stárnutí i dlouhodobě přetrvávající nízké porodnosti se tuzemský trh práce potýká s nízkou zásobou volných pracovních sil</w:t>
            </w:r>
            <w:r w:rsidRPr="00B57D4E">
              <w:rPr>
                <w:rStyle w:val="Znakapoznpodarou"/>
                <w:color w:val="0D0D0D" w:themeColor="text1" w:themeTint="F2"/>
                <w:spacing w:val="-5"/>
              </w:rPr>
              <w:footnoteReference w:id="14"/>
            </w:r>
            <w:r w:rsidRPr="00B57D4E">
              <w:rPr>
                <w:color w:val="0D0D0D" w:themeColor="text1" w:themeTint="F2"/>
                <w:spacing w:val="-5"/>
              </w:rPr>
              <w:t>. To spolu se sílícím tlakem firem na optimalizaci výrobních nákladů podněcuje poptávku tuzemských zaměstnavatelů po pracovnících ze zahraničí. V posledním období napomáhají snadnějšímu zaměstnávání cizinců legislativní změny snižující administrativní náročnost v této oblasti. Dlouhodobý příliv zahraničních pracovníků do Česka proto pokračoval. V dominantní skupině zaměstnanců jich dle aktuálních kvalifikovaných odhadů MPSV bylo letos v březnu na úřadech práce registrováno rekordních 957 tis. To bylo meziročně o 11,5 % více</w:t>
            </w:r>
            <w:r w:rsidRPr="00B57D4E">
              <w:rPr>
                <w:rStyle w:val="Znakapoznpodarou"/>
                <w:color w:val="0D0D0D" w:themeColor="text1" w:themeTint="F2"/>
                <w:spacing w:val="-5"/>
              </w:rPr>
              <w:footnoteReference w:id="15"/>
            </w:r>
            <w:r w:rsidRPr="00B57D4E">
              <w:rPr>
                <w:color w:val="0D0D0D" w:themeColor="text1" w:themeTint="F2"/>
                <w:spacing w:val="-5"/>
              </w:rPr>
              <w:t xml:space="preserve"> a tempo růstu mírně zrychlilo. Nejvíce meziročně přibylo již tradičně občanů Ukrajiny (+62 tis. na 374 tis., z toho ženy +30 tis., na 199 tis.), dále Slovenska (+14 tis., na 230 tis.), Filipín (+4,4 tis., na 14,9 tis.) a Vietnamu (+2,3 tis., na 23,5 tis.). Z významnějších skupin cizinců rostl svižně počet občanů Indie, Číny a Kazachstánu, Uzbekistánu a Ázerbájdžánu (mezi 11 a 17 %). Naopak u řady početných skupin pracovníků z relativně chudších států střední a východní Evropy – především z Polska, Bulharska, Rumunska – jejich počet rostl minimálně (do 3 %), nebo se dokonce lehce snižoval</w:t>
            </w:r>
            <w:r w:rsidRPr="00B57D4E">
              <w:rPr>
                <w:rStyle w:val="Znakapoznpodarou"/>
                <w:color w:val="0D0D0D" w:themeColor="text1" w:themeTint="F2"/>
                <w:spacing w:val="-5"/>
              </w:rPr>
              <w:footnoteReference w:id="16"/>
            </w:r>
            <w:r w:rsidRPr="00B57D4E">
              <w:rPr>
                <w:color w:val="0D0D0D" w:themeColor="text1" w:themeTint="F2"/>
                <w:spacing w:val="-5"/>
              </w:rPr>
              <w:t xml:space="preserve">. To souvisí s postupným vyrovnáváním mzdové úrovně v tomto regionu. Třetina všech cizinců v zaměstnaneckém postavení v Česku byla letos v březnu registrována v Praze (spolu se Středočeským krajem polovina). Meziročně přibylo cizinců ve všech krajích – nejvíce v Olomouckém (+18 %), </w:t>
            </w:r>
            <w:r>
              <w:rPr>
                <w:color w:val="0D0D0D" w:themeColor="text1" w:themeTint="F2"/>
                <w:spacing w:val="-5"/>
              </w:rPr>
              <w:t xml:space="preserve">v </w:t>
            </w:r>
            <w:r w:rsidRPr="00B57D4E">
              <w:rPr>
                <w:color w:val="0D0D0D" w:themeColor="text1" w:themeTint="F2"/>
                <w:spacing w:val="-5"/>
              </w:rPr>
              <w:t>Praze (+14 %), nejméně v Libereckém (+8 %), Plzeňském a Středočeském (shodně + 9 %). Pouze v Karlovarském kraji nepřevažovali mezi zaměstnanci s cizím státním občanstvím muži.</w:t>
            </w:r>
          </w:p>
        </w:tc>
      </w:tr>
      <w:tr w:rsidR="00AD1119" w:rsidRPr="009F0D7F" w14:paraId="08D4B9D6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46549D5C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4"/>
              </w:rPr>
              <w:t xml:space="preserve">Míra zaměstnanosti se lehce zvýšila. Projevil se dopad zlepšeného výkonu ekonomiky i rychlejšího rozšiřování zkrácených úvazků. </w:t>
            </w:r>
          </w:p>
          <w:p w14:paraId="3725AF8F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3BCCD252" w14:textId="77777777" w:rsidR="00AD1119" w:rsidRPr="009F0D7F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3BAD77AB" w14:textId="77777777" w:rsidR="00AD1119" w:rsidRPr="00B57D4E" w:rsidRDefault="00AD1119" w:rsidP="00E962EE">
            <w:pPr>
              <w:spacing w:after="200"/>
              <w:rPr>
                <w:color w:val="0D0D0D" w:themeColor="text1" w:themeTint="F2"/>
                <w:spacing w:val="-5"/>
              </w:rPr>
            </w:pPr>
            <w:r w:rsidRPr="00FF570F">
              <w:rPr>
                <w:color w:val="0D0D0D" w:themeColor="text1" w:themeTint="F2"/>
                <w:spacing w:val="-2"/>
              </w:rPr>
              <w:t xml:space="preserve">Míra zaměstnanosti 15 až </w:t>
            </w:r>
            <w:r w:rsidRPr="00FF570F">
              <w:rPr>
                <w:spacing w:val="-2"/>
              </w:rPr>
              <w:t xml:space="preserve">64letých vystoupala letos dle údajů v VŠPS ve 2. čtvrtletí na 76,1 %. Meziročně se mírně zvýšila o 0,4 p. b. </w:t>
            </w:r>
            <w:r w:rsidRPr="00FF570F">
              <w:rPr>
                <w:rStyle w:val="normaltextrun"/>
                <w:rFonts w:eastAsiaTheme="majorEastAsia" w:cs="Arial"/>
                <w:spacing w:val="-2"/>
                <w:szCs w:val="20"/>
              </w:rPr>
              <w:t>(srovnatelně rostla v průměru za oba předchozí roky), a</w:t>
            </w:r>
            <w:r w:rsidRPr="00FF570F">
              <w:rPr>
                <w:rStyle w:val="normaltextrun"/>
                <w:rFonts w:eastAsiaTheme="majorEastAsia" w:cs="Arial"/>
                <w:spacing w:val="-2"/>
              </w:rPr>
              <w:t xml:space="preserve"> to </w:t>
            </w:r>
            <w:r w:rsidRPr="00FF570F">
              <w:rPr>
                <w:rStyle w:val="normaltextrun"/>
                <w:rFonts w:eastAsiaTheme="majorEastAsia" w:cs="Arial"/>
                <w:spacing w:val="-2"/>
                <w:szCs w:val="20"/>
              </w:rPr>
              <w:t>bez významnějšího rozdílu v dynamice mezi muži a ženami, jejichž zaměstnanost dosáhla 80,4 %, resp. 71,7 %</w:t>
            </w:r>
            <w:r>
              <w:rPr>
                <w:rStyle w:val="Znakapoznpodarou"/>
                <w:rFonts w:eastAsiaTheme="majorEastAsia"/>
                <w:spacing w:val="-2"/>
                <w:szCs w:val="20"/>
              </w:rPr>
              <w:footnoteReference w:id="17"/>
            </w:r>
            <w:r w:rsidRPr="00FF570F">
              <w:rPr>
                <w:rStyle w:val="normaltextrun"/>
                <w:rFonts w:eastAsiaTheme="majorEastAsia" w:cs="Arial"/>
                <w:spacing w:val="-2"/>
                <w:szCs w:val="20"/>
              </w:rPr>
              <w:t>. Míra zaměstnanosti vzrostla v drtivé většině regionů soudržnosti</w:t>
            </w:r>
            <w:r w:rsidRPr="00FF570F">
              <w:rPr>
                <w:rStyle w:val="Znakapoznpodarou"/>
                <w:rFonts w:eastAsiaTheme="majorEastAsia"/>
                <w:spacing w:val="-2"/>
                <w:szCs w:val="20"/>
              </w:rPr>
              <w:footnoteReference w:id="18"/>
            </w:r>
            <w:r w:rsidRPr="00FF570F">
              <w:rPr>
                <w:rStyle w:val="normaltextrun"/>
                <w:rFonts w:eastAsiaTheme="majorEastAsia" w:cs="Arial"/>
                <w:spacing w:val="-2"/>
                <w:szCs w:val="20"/>
              </w:rPr>
              <w:t xml:space="preserve">, vyjma oblasti Severozápad, kde současně dosahuje nejnižší úrovně (72,7 %, nejvyšší hladinu má naopak dlouhodobě Praha: 79,9 %). Do jejího aktuálního vývoje na národní úrovni promlouvá mírně zrychlující růst ekonomiky, plynule se prodlužující věk odchodů do důchodu a také rozšiřující se nabídka zkrácených pracovních úvazků, </w:t>
            </w:r>
            <w:r w:rsidRPr="00FF570F">
              <w:rPr>
                <w:rStyle w:val="normaltextrun"/>
                <w:rFonts w:eastAsiaTheme="majorEastAsia" w:cs="Arial"/>
                <w:spacing w:val="-2"/>
              </w:rPr>
              <w:t>jichž v Česku téměř ze tří čtvrtin využívají ženy. Ve 2. čtvrtletí využívalo tuto formu práce již 16,0 % zaměstnaných žen (a 5,4 % mužů) a meziroční růst počtu osob s těmito úvazky zrychlil na 9,9 % (dvakrát více než v průměru za loňský rok)</w:t>
            </w:r>
            <w:r w:rsidRPr="00FF570F">
              <w:rPr>
                <w:rStyle w:val="Znakapoznpodarou"/>
                <w:rFonts w:eastAsiaTheme="majorEastAsia"/>
                <w:spacing w:val="-2"/>
              </w:rPr>
              <w:footnoteReference w:id="19"/>
            </w:r>
            <w:r w:rsidRPr="00FF570F">
              <w:rPr>
                <w:rStyle w:val="normaltextrun"/>
                <w:rFonts w:eastAsiaTheme="majorEastAsia" w:cs="Arial"/>
                <w:spacing w:val="-2"/>
              </w:rPr>
              <w:t xml:space="preserve">. </w:t>
            </w:r>
          </w:p>
        </w:tc>
      </w:tr>
      <w:tr w:rsidR="00AD1119" w:rsidRPr="009F0D7F" w14:paraId="23C09F23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63E9EAA2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4"/>
              </w:rPr>
              <w:lastRenderedPageBreak/>
              <w:t>K</w:t>
            </w:r>
            <w:r w:rsidRPr="00294CC7">
              <w:rPr>
                <w:color w:val="0D0D0D" w:themeColor="text1" w:themeTint="F2"/>
                <w:spacing w:val="-4"/>
              </w:rPr>
              <w:t>rátkodobá očekávání podniků v oblasti zaměstnanosti</w:t>
            </w:r>
            <w:r>
              <w:rPr>
                <w:color w:val="0D0D0D" w:themeColor="text1" w:themeTint="F2"/>
                <w:spacing w:val="-4"/>
              </w:rPr>
              <w:t xml:space="preserve"> se během letošního léta zvýšila. Nejpříznivější byla stále ve stavebnictví a obchodu. </w:t>
            </w:r>
          </w:p>
          <w:p w14:paraId="1FDB22EB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</w:p>
          <w:p w14:paraId="34D75196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</w:p>
          <w:p w14:paraId="4361B485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</w:p>
          <w:p w14:paraId="165721AB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</w:p>
          <w:p w14:paraId="27B35E4F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</w:p>
          <w:p w14:paraId="2735D797" w14:textId="77777777" w:rsidR="00AD1119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5"/>
              </w:rPr>
              <w:t xml:space="preserve">Nedostatek volné pracovní síly významně limituje rozvoj stavebnictví, </w:t>
            </w:r>
            <w:r w:rsidRPr="002B292A">
              <w:rPr>
                <w:color w:val="0D0D0D" w:themeColor="text1" w:themeTint="F2"/>
                <w:spacing w:val="-4"/>
              </w:rPr>
              <w:t xml:space="preserve">projevuje se </w:t>
            </w:r>
            <w:r>
              <w:rPr>
                <w:color w:val="0D0D0D" w:themeColor="text1" w:themeTint="F2"/>
                <w:spacing w:val="-4"/>
              </w:rPr>
              <w:t>ovšem</w:t>
            </w:r>
            <w:r w:rsidRPr="002B292A">
              <w:rPr>
                <w:color w:val="0D0D0D" w:themeColor="text1" w:themeTint="F2"/>
                <w:spacing w:val="-4"/>
              </w:rPr>
              <w:t xml:space="preserve"> </w:t>
            </w:r>
            <w:r>
              <w:rPr>
                <w:color w:val="0D0D0D" w:themeColor="text1" w:themeTint="F2"/>
                <w:spacing w:val="-4"/>
              </w:rPr>
              <w:t>též</w:t>
            </w:r>
            <w:r w:rsidRPr="002B292A">
              <w:rPr>
                <w:color w:val="0D0D0D" w:themeColor="text1" w:themeTint="F2"/>
                <w:spacing w:val="-4"/>
              </w:rPr>
              <w:t xml:space="preserve"> v některých</w:t>
            </w:r>
            <w:r>
              <w:rPr>
                <w:color w:val="0D0D0D" w:themeColor="text1" w:themeTint="F2"/>
                <w:spacing w:val="-5"/>
              </w:rPr>
              <w:t xml:space="preserve"> oblastech služeb.</w:t>
            </w:r>
          </w:p>
        </w:tc>
        <w:tc>
          <w:tcPr>
            <w:tcW w:w="173" w:type="dxa"/>
            <w:tcMar>
              <w:left w:w="0" w:type="dxa"/>
            </w:tcMar>
          </w:tcPr>
          <w:p w14:paraId="579C7BFE" w14:textId="77777777" w:rsidR="00AD1119" w:rsidRPr="009F0D7F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294DABB2" w14:textId="77777777" w:rsidR="00AD1119" w:rsidRPr="00B57D4E" w:rsidRDefault="00AD1119" w:rsidP="00E962EE">
            <w:pPr>
              <w:spacing w:after="200"/>
              <w:rPr>
                <w:color w:val="0D0D0D" w:themeColor="text1" w:themeTint="F2"/>
                <w:spacing w:val="-5"/>
              </w:rPr>
            </w:pPr>
            <w:r w:rsidRPr="008E7721">
              <w:rPr>
                <w:color w:val="0D0D0D" w:themeColor="text1" w:themeTint="F2"/>
              </w:rPr>
              <w:t xml:space="preserve">Krátkodobá </w:t>
            </w:r>
            <w:r w:rsidRPr="001963C9">
              <w:rPr>
                <w:color w:val="0D0D0D" w:themeColor="text1" w:themeTint="F2"/>
              </w:rPr>
              <w:t>očekávání tuzemských podniků v oblasti vlastní zaměstnanosti</w:t>
            </w:r>
            <w:r w:rsidRPr="001963C9">
              <w:rPr>
                <w:rStyle w:val="Znakapoznpodarou"/>
                <w:color w:val="0D0D0D" w:themeColor="text1" w:themeTint="F2"/>
              </w:rPr>
              <w:footnoteReference w:id="20"/>
            </w:r>
            <w:r w:rsidRPr="001963C9">
              <w:rPr>
                <w:color w:val="0D0D0D" w:themeColor="text1" w:themeTint="F2"/>
              </w:rPr>
              <w:t xml:space="preserve"> se na samém počátku letošního roku zlepšovala a v březnu dosáhla nejvýše </w:t>
            </w:r>
            <w:r>
              <w:rPr>
                <w:color w:val="0D0D0D" w:themeColor="text1" w:themeTint="F2"/>
              </w:rPr>
              <w:t xml:space="preserve">za poslední tři </w:t>
            </w:r>
            <w:r>
              <w:rPr>
                <w:color w:val="0D0D0D" w:themeColor="text1" w:themeTint="F2"/>
              </w:rPr>
              <w:br/>
              <w:t xml:space="preserve">a půl roku </w:t>
            </w:r>
            <w:r w:rsidRPr="00903591">
              <w:rPr>
                <w:color w:val="0D0D0D" w:themeColor="text1" w:themeTint="F2"/>
              </w:rPr>
              <w:t>(a je</w:t>
            </w:r>
            <w:r>
              <w:rPr>
                <w:color w:val="0D0D0D" w:themeColor="text1" w:themeTint="F2"/>
              </w:rPr>
              <w:t>jich</w:t>
            </w:r>
            <w:r w:rsidRPr="00903591">
              <w:rPr>
                <w:color w:val="0D0D0D" w:themeColor="text1" w:themeTint="F2"/>
              </w:rPr>
              <w:t xml:space="preserve"> úroveň odpovídala dlouhodobému průměru).</w:t>
            </w:r>
            <w:r>
              <w:rPr>
                <w:color w:val="0D0D0D" w:themeColor="text1" w:themeTint="F2"/>
              </w:rPr>
              <w:t xml:space="preserve"> Vlivem vnějších šoků souvisejících se zhoršenou geopolitickou situací se následně očekávání mírně zhoršila (k většímu pohybu došlo u podniků ve službách), avšak během letních prázdnin došlo k návratu na úroveň z počátku letošního roku. Ve 3. čtvrtletí se největší optimismus v oblasti zaměstnanosti udržel ve stavebnictví, což kontrastovalo s podstatně opatrnějšími výhledy v řadě oborů služeb</w:t>
            </w:r>
            <w:r w:rsidRPr="00903591">
              <w:rPr>
                <w:rStyle w:val="Znakapoznpodarou"/>
                <w:color w:val="0D0D0D" w:themeColor="text1" w:themeTint="F2"/>
              </w:rPr>
              <w:footnoteReference w:id="21"/>
            </w:r>
            <w:r>
              <w:rPr>
                <w:color w:val="0D0D0D" w:themeColor="text1" w:themeTint="F2"/>
              </w:rPr>
              <w:t xml:space="preserve">. V průmyslu se očekávání od počátku roku plynule zlepšovala. </w:t>
            </w:r>
            <w:r w:rsidRPr="00903591">
              <w:rPr>
                <w:color w:val="0D0D0D" w:themeColor="text1" w:themeTint="F2"/>
              </w:rPr>
              <w:t>V rámci dílčích odvětví přetrvávaly přirozeně významné rozdíly</w:t>
            </w:r>
            <w:r w:rsidRPr="00903591">
              <w:rPr>
                <w:rStyle w:val="Znakapoznpodarou"/>
                <w:color w:val="0D0D0D" w:themeColor="text1" w:themeTint="F2"/>
              </w:rPr>
              <w:footnoteReference w:id="22"/>
            </w:r>
            <w:r w:rsidRPr="00903591">
              <w:rPr>
                <w:color w:val="0D0D0D" w:themeColor="text1" w:themeTint="F2"/>
              </w:rPr>
              <w:t xml:space="preserve">. </w:t>
            </w:r>
            <w:r w:rsidRPr="00057DE4">
              <w:rPr>
                <w:rStyle w:val="eop"/>
                <w:rFonts w:eastAsia="MS Gothic" w:cs="Arial"/>
                <w:color w:val="0D0D0D" w:themeColor="text1" w:themeTint="F2"/>
                <w:szCs w:val="20"/>
              </w:rPr>
              <w:t xml:space="preserve">Podíl podniků, pro </w:t>
            </w:r>
            <w:r w:rsidRPr="00903591">
              <w:rPr>
                <w:rStyle w:val="eop"/>
                <w:rFonts w:eastAsia="MS Gothic" w:cs="Arial"/>
                <w:color w:val="0D0D0D" w:themeColor="text1" w:themeTint="F2"/>
                <w:szCs w:val="20"/>
              </w:rPr>
              <w:t xml:space="preserve">něž </w:t>
            </w:r>
            <w:r w:rsidRPr="00903591">
              <w:rPr>
                <w:color w:val="0D0D0D" w:themeColor="text1" w:themeTint="F2"/>
              </w:rPr>
              <w:t>představuje nedostatek pracovní síly jednu z významných růstových bariér</w:t>
            </w:r>
            <w:r w:rsidRPr="00903591">
              <w:rPr>
                <w:rStyle w:val="Znakapoznpodarou"/>
                <w:color w:val="0D0D0D" w:themeColor="text1" w:themeTint="F2"/>
              </w:rPr>
              <w:footnoteReference w:id="23"/>
            </w:r>
            <w:r w:rsidRPr="00903591">
              <w:rPr>
                <w:color w:val="0D0D0D" w:themeColor="text1" w:themeTint="F2"/>
              </w:rPr>
              <w:t xml:space="preserve">, </w:t>
            </w:r>
            <w:r>
              <w:rPr>
                <w:color w:val="0D0D0D" w:themeColor="text1" w:themeTint="F2"/>
              </w:rPr>
              <w:t xml:space="preserve">byl i </w:t>
            </w:r>
            <w:r w:rsidRPr="00903591">
              <w:rPr>
                <w:color w:val="0D0D0D" w:themeColor="text1" w:themeTint="F2"/>
              </w:rPr>
              <w:t xml:space="preserve">na počátku </w:t>
            </w:r>
            <w:r>
              <w:rPr>
                <w:color w:val="0D0D0D" w:themeColor="text1" w:themeTint="F2"/>
              </w:rPr>
              <w:t>3</w:t>
            </w:r>
            <w:r w:rsidRPr="00903591">
              <w:rPr>
                <w:color w:val="0D0D0D" w:themeColor="text1" w:themeTint="F2"/>
              </w:rPr>
              <w:t>.</w:t>
            </w:r>
            <w:r>
              <w:rPr>
                <w:color w:val="0D0D0D" w:themeColor="text1" w:themeTint="F2"/>
              </w:rPr>
              <w:t> </w:t>
            </w:r>
            <w:r w:rsidRPr="00903591">
              <w:rPr>
                <w:color w:val="0D0D0D" w:themeColor="text1" w:themeTint="F2"/>
              </w:rPr>
              <w:t>čtvrtletí 2026 nejvyšší ve stavebnictví (</w:t>
            </w:r>
            <w:r>
              <w:rPr>
                <w:color w:val="0D0D0D" w:themeColor="text1" w:themeTint="F2"/>
              </w:rPr>
              <w:t>41</w:t>
            </w:r>
            <w:r w:rsidRPr="00903591">
              <w:rPr>
                <w:color w:val="0D0D0D" w:themeColor="text1" w:themeTint="F2"/>
              </w:rPr>
              <w:t> %). Opačn</w:t>
            </w:r>
            <w:r>
              <w:rPr>
                <w:color w:val="0D0D0D" w:themeColor="text1" w:themeTint="F2"/>
              </w:rPr>
              <w:t>ě</w:t>
            </w:r>
            <w:r w:rsidRPr="00903591">
              <w:rPr>
                <w:color w:val="0D0D0D" w:themeColor="text1" w:themeTint="F2"/>
              </w:rPr>
              <w:t xml:space="preserve"> tomu bylo ve službách (1</w:t>
            </w:r>
            <w:r>
              <w:rPr>
                <w:color w:val="0D0D0D" w:themeColor="text1" w:themeTint="F2"/>
              </w:rPr>
              <w:t>2</w:t>
            </w:r>
            <w:r w:rsidRPr="00903591">
              <w:rPr>
                <w:color w:val="0D0D0D" w:themeColor="text1" w:themeTint="F2"/>
              </w:rPr>
              <w:t xml:space="preserve"> %) a </w:t>
            </w:r>
            <w:r>
              <w:rPr>
                <w:color w:val="0D0D0D" w:themeColor="text1" w:themeTint="F2"/>
              </w:rPr>
              <w:t xml:space="preserve">v </w:t>
            </w:r>
            <w:r w:rsidRPr="00903591">
              <w:rPr>
                <w:color w:val="0D0D0D" w:themeColor="text1" w:themeTint="F2"/>
              </w:rPr>
              <w:t>průmyslu (1</w:t>
            </w:r>
            <w:r>
              <w:rPr>
                <w:color w:val="0D0D0D" w:themeColor="text1" w:themeTint="F2"/>
              </w:rPr>
              <w:t>3</w:t>
            </w:r>
            <w:r w:rsidRPr="00903591">
              <w:rPr>
                <w:color w:val="0D0D0D" w:themeColor="text1" w:themeTint="F2"/>
              </w:rPr>
              <w:t xml:space="preserve"> %), </w:t>
            </w:r>
            <w:r>
              <w:rPr>
                <w:color w:val="0D0D0D" w:themeColor="text1" w:themeTint="F2"/>
              </w:rPr>
              <w:t>v nichž</w:t>
            </w:r>
            <w:r w:rsidRPr="00903591">
              <w:rPr>
                <w:color w:val="0D0D0D" w:themeColor="text1" w:themeTint="F2"/>
              </w:rPr>
              <w:t xml:space="preserve"> se role této bariéry meziročně </w:t>
            </w:r>
            <w:r>
              <w:rPr>
                <w:color w:val="0D0D0D" w:themeColor="text1" w:themeTint="F2"/>
              </w:rPr>
              <w:t xml:space="preserve">velmi </w:t>
            </w:r>
            <w:r w:rsidRPr="00903591">
              <w:rPr>
                <w:color w:val="0D0D0D" w:themeColor="text1" w:themeTint="F2"/>
              </w:rPr>
              <w:t xml:space="preserve">mírně </w:t>
            </w:r>
            <w:r>
              <w:rPr>
                <w:color w:val="0D0D0D" w:themeColor="text1" w:themeTint="F2"/>
              </w:rPr>
              <w:t>zvýšila</w:t>
            </w:r>
            <w:r w:rsidRPr="00903591">
              <w:rPr>
                <w:color w:val="0D0D0D" w:themeColor="text1" w:themeTint="F2"/>
              </w:rPr>
              <w:t xml:space="preserve">, ve stavebnictví </w:t>
            </w:r>
            <w:r>
              <w:rPr>
                <w:color w:val="0D0D0D" w:themeColor="text1" w:themeTint="F2"/>
              </w:rPr>
              <w:t>tomu bylo naopak. Přesto existovalo několik vesměs menších oborů průmyslu a služeb, v nichž nedostatek pracovní síly představoval hlavní růstovou bariéru</w:t>
            </w:r>
            <w:r>
              <w:rPr>
                <w:rStyle w:val="Znakapoznpodarou"/>
                <w:color w:val="0D0D0D" w:themeColor="text1" w:themeTint="F2"/>
              </w:rPr>
              <w:footnoteReference w:id="24"/>
            </w:r>
            <w:r>
              <w:rPr>
                <w:color w:val="0D0D0D" w:themeColor="text1" w:themeTint="F2"/>
              </w:rPr>
              <w:t>.</w:t>
            </w:r>
          </w:p>
        </w:tc>
      </w:tr>
      <w:tr w:rsidR="00AD1119" w:rsidRPr="009F0D7F" w14:paraId="286AD1A7" w14:textId="77777777" w:rsidTr="00E962EE">
        <w:trPr>
          <w:trHeight w:val="155"/>
        </w:trPr>
        <w:tc>
          <w:tcPr>
            <w:tcW w:w="1797" w:type="dxa"/>
            <w:tcMar>
              <w:left w:w="0" w:type="dxa"/>
            </w:tcMar>
          </w:tcPr>
          <w:p w14:paraId="2FA5C287" w14:textId="77777777" w:rsidR="00AD1119" w:rsidRPr="007C71EB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05249375" w14:textId="77777777" w:rsidR="00AD1119" w:rsidRPr="007C71EB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67399DE2" w14:textId="77777777" w:rsidR="00AD1119" w:rsidRPr="00B85F94" w:rsidRDefault="00AD1119" w:rsidP="00E962EE">
            <w:pPr>
              <w:spacing w:after="40"/>
              <w:rPr>
                <w:color w:val="0D0D0D" w:themeColor="text1" w:themeTint="F2"/>
              </w:rPr>
            </w:pPr>
            <w:r w:rsidRPr="00B85F94">
              <w:rPr>
                <w:rFonts w:cs="Arial"/>
                <w:b/>
                <w:bCs/>
                <w:color w:val="0D0D0D" w:themeColor="text1" w:themeTint="F2"/>
                <w:szCs w:val="20"/>
              </w:rPr>
              <w:t>Graf č. 14</w:t>
            </w:r>
            <w:r w:rsidRPr="00B85F94">
              <w:rPr>
                <w:rFonts w:cs="Arial"/>
                <w:b/>
                <w:bCs/>
                <w:color w:val="0D0D0D" w:themeColor="text1" w:themeTint="F2"/>
                <w:sz w:val="18"/>
                <w:szCs w:val="18"/>
              </w:rPr>
              <w:t xml:space="preserve"> </w:t>
            </w:r>
            <w:r w:rsidRPr="00B85F94">
              <w:rPr>
                <w:b/>
                <w:bCs/>
                <w:color w:val="0D0D0D" w:themeColor="text1" w:themeTint="F2"/>
                <w:lang w:eastAsia="en-US"/>
              </w:rPr>
              <w:t xml:space="preserve">Celková zaměstnanost </w:t>
            </w:r>
            <w:r w:rsidRPr="00B85F94">
              <w:rPr>
                <w:color w:val="0D0D0D" w:themeColor="text1" w:themeTint="F2"/>
                <w:lang w:eastAsia="en-US"/>
              </w:rPr>
              <w:t>(</w:t>
            </w:r>
            <w:r w:rsidRPr="00B85F94">
              <w:rPr>
                <w:color w:val="0D0D0D" w:themeColor="text1" w:themeTint="F2"/>
              </w:rPr>
              <w:t>meziročně v %)</w:t>
            </w:r>
            <w:r w:rsidRPr="00B85F94">
              <w:rPr>
                <w:b/>
                <w:bCs/>
                <w:color w:val="0D0D0D" w:themeColor="text1" w:themeTint="F2"/>
              </w:rPr>
              <w:t xml:space="preserve">, příspěvky odvětví k meziroční změně zaměstnanosti </w:t>
            </w:r>
            <w:r w:rsidRPr="00B85F94">
              <w:rPr>
                <w:color w:val="0D0D0D" w:themeColor="text1" w:themeTint="F2"/>
              </w:rPr>
              <w:t>(v p. b.)</w:t>
            </w:r>
            <w:r w:rsidRPr="00B85F94">
              <w:rPr>
                <w:b/>
                <w:bCs/>
                <w:color w:val="0D0D0D" w:themeColor="text1" w:themeTint="F2"/>
              </w:rPr>
              <w:t xml:space="preserve"> a očekávání vývoje zaměstnanosti </w:t>
            </w:r>
            <w:r w:rsidRPr="00B85F94">
              <w:rPr>
                <w:color w:val="0D0D0D" w:themeColor="text1" w:themeTint="F2"/>
              </w:rPr>
              <w:t>(saldo v p. b.)</w:t>
            </w:r>
          </w:p>
        </w:tc>
      </w:tr>
      <w:tr w:rsidR="00AD1119" w:rsidRPr="009F0D7F" w14:paraId="5B4C1239" w14:textId="77777777" w:rsidTr="00E962EE">
        <w:tblPrEx>
          <w:tblCellMar>
            <w:left w:w="70" w:type="dxa"/>
            <w:right w:w="70" w:type="dxa"/>
          </w:tblCellMar>
        </w:tblPrEx>
        <w:trPr>
          <w:trHeight w:val="155"/>
        </w:trPr>
        <w:tc>
          <w:tcPr>
            <w:tcW w:w="1797" w:type="dxa"/>
          </w:tcPr>
          <w:p w14:paraId="24F9B263" w14:textId="77777777" w:rsidR="00AD1119" w:rsidRPr="007C71EB" w:rsidRDefault="00AD1119" w:rsidP="00E962EE">
            <w:pPr>
              <w:pStyle w:val="Marginlie"/>
              <w:spacing w:after="120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173" w:type="dxa"/>
          </w:tcPr>
          <w:p w14:paraId="1A3D34B8" w14:textId="77777777" w:rsidR="00AD1119" w:rsidRPr="007C71EB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</w:tcPr>
          <w:p w14:paraId="391C2586" w14:textId="77777777" w:rsidR="00AD1119" w:rsidRPr="00B57D4E" w:rsidRDefault="00AD1119" w:rsidP="00E962EE">
            <w:pPr>
              <w:spacing w:before="20" w:after="0" w:line="240" w:lineRule="auto"/>
              <w:rPr>
                <w:rFonts w:cs="Arial"/>
                <w:spacing w:val="-2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63657A85" wp14:editId="5CB9620A">
                  <wp:extent cx="4681855" cy="3564000"/>
                  <wp:effectExtent l="0" t="0" r="4445" b="0"/>
                  <wp:docPr id="1744189741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1A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r w:rsidRPr="00903591">
              <w:rPr>
                <w:rFonts w:cs="Arial"/>
                <w:color w:val="0D0D0D" w:themeColor="text1" w:themeTint="F2"/>
                <w:sz w:val="14"/>
                <w:szCs w:val="14"/>
              </w:rPr>
              <w:t xml:space="preserve"> *</w:t>
            </w:r>
            <w:r w:rsidRPr="00903591"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*</w:t>
            </w:r>
            <w:r w:rsidRPr="00B57D4E">
              <w:rPr>
                <w:rFonts w:cs="Arial"/>
                <w:spacing w:val="-2"/>
                <w:sz w:val="14"/>
                <w:szCs w:val="14"/>
              </w:rPr>
              <w:t>Těžba a energetika; Peněžnictví a pojišťovnictví; Činnosti v oblasti nemovitostí; Kulturní, zábavní a</w:t>
            </w:r>
            <w:r w:rsidRPr="00B57D4E">
              <w:rPr>
                <w:spacing w:val="-2"/>
                <w:sz w:val="14"/>
                <w:szCs w:val="14"/>
              </w:rPr>
              <w:t> </w:t>
            </w:r>
            <w:r w:rsidRPr="00B57D4E">
              <w:rPr>
                <w:rFonts w:cs="Arial"/>
                <w:spacing w:val="-2"/>
                <w:sz w:val="14"/>
                <w:szCs w:val="14"/>
              </w:rPr>
              <w:t>rekreační činnosti.</w:t>
            </w:r>
          </w:p>
          <w:p w14:paraId="07D865BE" w14:textId="77777777" w:rsidR="00AD1119" w:rsidRPr="00A866D1" w:rsidRDefault="00AD1119" w:rsidP="00E962EE">
            <w:pPr>
              <w:spacing w:after="0" w:line="240" w:lineRule="auto"/>
              <w:rPr>
                <w:rFonts w:cs="Arial"/>
                <w:color w:val="0D0D0D" w:themeColor="text1" w:themeTint="F2"/>
                <w:spacing w:val="-6"/>
                <w:sz w:val="14"/>
                <w:szCs w:val="14"/>
              </w:rPr>
            </w:pPr>
            <w:r w:rsidRPr="00A866D1">
              <w:rPr>
                <w:rFonts w:cs="Arial"/>
                <w:spacing w:val="-6"/>
                <w:sz w:val="14"/>
                <w:szCs w:val="14"/>
              </w:rPr>
              <w:t xml:space="preserve">Poznámka: Saldo </w:t>
            </w:r>
            <w:r w:rsidRPr="00A866D1">
              <w:rPr>
                <w:rFonts w:cs="Arial"/>
                <w:color w:val="0D0D0D" w:themeColor="text1" w:themeTint="F2"/>
                <w:spacing w:val="-6"/>
                <w:sz w:val="14"/>
                <w:szCs w:val="14"/>
              </w:rPr>
              <w:t>očekávání u podnikatelů vyjadřuje rozdíl v p. b. mezi kategoriemi růst vs. pokles vlastní zaměstnanosti v nejbližších třech měsících. Údaje jsou sezónně očištěny a vyjadřují průměr za celý kvartál, u posledního období průměr za první dva měsíce.</w:t>
            </w:r>
          </w:p>
          <w:p w14:paraId="13C3D842" w14:textId="77777777" w:rsidR="00AD1119" w:rsidRPr="00A866D1" w:rsidRDefault="00AD1119" w:rsidP="00E962EE">
            <w:pPr>
              <w:spacing w:after="0" w:line="240" w:lineRule="auto"/>
              <w:rPr>
                <w:rFonts w:cs="Arial"/>
                <w:sz w:val="14"/>
                <w:szCs w:val="14"/>
              </w:rPr>
            </w:pPr>
            <w:r w:rsidRPr="00903591">
              <w:rPr>
                <w:rFonts w:cs="Arial"/>
                <w:sz w:val="14"/>
                <w:szCs w:val="14"/>
              </w:rPr>
              <w:t>Zdroj: ČSÚ (národní účty), Eurostat (konjunkturální průzkumy).</w:t>
            </w:r>
          </w:p>
        </w:tc>
      </w:tr>
      <w:tr w:rsidR="00AD1119" w:rsidRPr="00D82DBD" w14:paraId="4163B90E" w14:textId="77777777" w:rsidTr="00E962EE">
        <w:trPr>
          <w:trHeight w:val="145"/>
        </w:trPr>
        <w:tc>
          <w:tcPr>
            <w:tcW w:w="1797" w:type="dxa"/>
            <w:tcMar>
              <w:left w:w="0" w:type="dxa"/>
            </w:tcMar>
          </w:tcPr>
          <w:p w14:paraId="10640208" w14:textId="77777777" w:rsidR="00AD1119" w:rsidRPr="00640FE3" w:rsidRDefault="00AD1119" w:rsidP="00E962EE">
            <w:pPr>
              <w:pStyle w:val="Marginlie"/>
              <w:rPr>
                <w:color w:val="0D0D0D" w:themeColor="text1" w:themeTint="F2"/>
                <w:spacing w:val="-7"/>
              </w:rPr>
            </w:pPr>
            <w:r w:rsidRPr="00AE5540">
              <w:rPr>
                <w:color w:val="0D0D0D" w:themeColor="text1" w:themeTint="F2"/>
                <w:spacing w:val="-5"/>
              </w:rPr>
              <w:lastRenderedPageBreak/>
              <w:t xml:space="preserve">Obecná míra nezaměstnanosti </w:t>
            </w:r>
            <w:r>
              <w:rPr>
                <w:color w:val="0D0D0D" w:themeColor="text1" w:themeTint="F2"/>
                <w:spacing w:val="-5"/>
              </w:rPr>
              <w:t>pokračovala v mírném růstu.</w:t>
            </w:r>
            <w:r w:rsidRPr="00AE5540">
              <w:rPr>
                <w:color w:val="0D0D0D" w:themeColor="text1" w:themeTint="F2"/>
                <w:spacing w:val="-5"/>
              </w:rPr>
              <w:t xml:space="preserve"> </w:t>
            </w:r>
            <w:r>
              <w:rPr>
                <w:color w:val="0D0D0D" w:themeColor="text1" w:themeTint="F2"/>
                <w:spacing w:val="-5"/>
              </w:rPr>
              <w:t>Přibylo i dlouhodobě nezaměstnaných.</w:t>
            </w:r>
            <w:r w:rsidRPr="00F00B16">
              <w:rPr>
                <w:color w:val="0D0D0D" w:themeColor="text1" w:themeTint="F2"/>
                <w:spacing w:val="-7"/>
              </w:rPr>
              <w:t xml:space="preserve"> </w:t>
            </w:r>
          </w:p>
        </w:tc>
        <w:tc>
          <w:tcPr>
            <w:tcW w:w="173" w:type="dxa"/>
            <w:tcMar>
              <w:left w:w="0" w:type="dxa"/>
            </w:tcMar>
          </w:tcPr>
          <w:p w14:paraId="67AEA0E8" w14:textId="77777777" w:rsidR="00AD1119" w:rsidRPr="008659E6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315FC05F" w14:textId="77777777" w:rsidR="00AD1119" w:rsidRPr="00903591" w:rsidRDefault="00AD1119" w:rsidP="00E962EE">
            <w:pPr>
              <w:spacing w:after="220"/>
              <w:rPr>
                <w:color w:val="0D0D0D" w:themeColor="text1" w:themeTint="F2"/>
              </w:rPr>
            </w:pPr>
            <w:r w:rsidRPr="00E42614">
              <w:rPr>
                <w:rFonts w:cs="Arial"/>
                <w:color w:val="0D0D0D" w:themeColor="text1" w:themeTint="F2"/>
                <w:szCs w:val="20"/>
              </w:rPr>
              <w:t>Obecná míra nezaměstnanosti</w:t>
            </w:r>
            <w:r w:rsidRPr="00E42614">
              <w:rPr>
                <w:rFonts w:cs="Arial"/>
                <w:color w:val="0D0D0D" w:themeColor="text1" w:themeTint="F2"/>
                <w:szCs w:val="20"/>
                <w:vertAlign w:val="superscript"/>
              </w:rPr>
              <w:footnoteReference w:id="25"/>
            </w:r>
            <w:r w:rsidRPr="00E42614">
              <w:rPr>
                <w:rFonts w:cs="Arial"/>
                <w:color w:val="0D0D0D" w:themeColor="text1" w:themeTint="F2"/>
                <w:szCs w:val="20"/>
              </w:rPr>
              <w:t xml:space="preserve"> se po stagnaci </w:t>
            </w:r>
            <w:r w:rsidRPr="00903591">
              <w:rPr>
                <w:rFonts w:cs="Arial"/>
                <w:szCs w:val="20"/>
              </w:rPr>
              <w:t>v roce 2024 začala od loňského jara mírně zvyšovat. Nezaměstnanost 15–64letých tak letos v</w:t>
            </w:r>
            <w:r>
              <w:rPr>
                <w:rFonts w:cs="Arial"/>
                <w:szCs w:val="20"/>
              </w:rPr>
              <w:t xml:space="preserve"> červenci</w:t>
            </w:r>
            <w:r w:rsidRPr="00903591">
              <w:rPr>
                <w:rFonts w:cs="Arial"/>
                <w:szCs w:val="20"/>
              </w:rPr>
              <w:t xml:space="preserve"> činila 3,</w:t>
            </w:r>
            <w:r>
              <w:rPr>
                <w:rFonts w:cs="Arial"/>
                <w:szCs w:val="20"/>
              </w:rPr>
              <w:t>4</w:t>
            </w:r>
            <w:r w:rsidRPr="00903591">
              <w:rPr>
                <w:rFonts w:cs="Arial"/>
                <w:szCs w:val="20"/>
              </w:rPr>
              <w:t xml:space="preserve"> % (muži: 2,8</w:t>
            </w:r>
            <w:r>
              <w:rPr>
                <w:rFonts w:cs="Arial"/>
                <w:szCs w:val="20"/>
              </w:rPr>
              <w:t> </w:t>
            </w:r>
            <w:r w:rsidRPr="00903591">
              <w:rPr>
                <w:rFonts w:cs="Arial"/>
                <w:szCs w:val="20"/>
              </w:rPr>
              <w:t xml:space="preserve">%, ženy: </w:t>
            </w:r>
            <w:r>
              <w:rPr>
                <w:rFonts w:cs="Arial"/>
                <w:szCs w:val="20"/>
              </w:rPr>
              <w:t>4,0</w:t>
            </w:r>
            <w:r w:rsidRPr="00903591">
              <w:rPr>
                <w:rFonts w:cs="Arial"/>
                <w:szCs w:val="20"/>
              </w:rPr>
              <w:t xml:space="preserve"> %). Celková nezaměstnanost tak je srovnatelná jako za vrcholu pandemie (březen 2021) a vyšší byla předtím naposledy na počátku roku 2017. Nezaměstnanost se meziročně zvýšila o 0,</w:t>
            </w:r>
            <w:r>
              <w:rPr>
                <w:rFonts w:cs="Arial"/>
                <w:szCs w:val="20"/>
              </w:rPr>
              <w:t>3</w:t>
            </w:r>
            <w:r w:rsidRPr="00903591">
              <w:rPr>
                <w:rFonts w:cs="Arial"/>
                <w:szCs w:val="20"/>
              </w:rPr>
              <w:t xml:space="preserve"> p. b., </w:t>
            </w:r>
            <w:r>
              <w:rPr>
                <w:rFonts w:cs="Arial"/>
                <w:szCs w:val="20"/>
              </w:rPr>
              <w:t xml:space="preserve">mírně vyšším tempem rostla u </w:t>
            </w:r>
            <w:r w:rsidRPr="00903591">
              <w:rPr>
                <w:rFonts w:cs="Arial"/>
                <w:szCs w:val="20"/>
              </w:rPr>
              <w:t xml:space="preserve">žen. </w:t>
            </w:r>
            <w:r>
              <w:rPr>
                <w:rFonts w:cs="Arial"/>
                <w:szCs w:val="20"/>
              </w:rPr>
              <w:t>Rychleji narůstal počet dlouhodobě nezaměstnaných (meziročně v 1. pololetí o 14 tis., na 53 tis.), ti však stále tvořili pouze necelou třetinu všech nezaměstnaných (což se nevymyká dlouhodobému i mezinárodnímu kontextu). Pozitivní je, že v</w:t>
            </w:r>
            <w:r w:rsidRPr="00903591">
              <w:rPr>
                <w:rFonts w:cs="Arial"/>
                <w:szCs w:val="20"/>
              </w:rPr>
              <w:t>ýznamně nenarůstá skrytá nezaměstnanost (ve formě dočasného „úniku“ do ekonomické neaktivity)</w:t>
            </w:r>
            <w:r>
              <w:rPr>
                <w:rStyle w:val="Znakapoznpodarou"/>
                <w:szCs w:val="20"/>
              </w:rPr>
              <w:footnoteReference w:id="26"/>
            </w:r>
            <w:r w:rsidRPr="00903591">
              <w:rPr>
                <w:rFonts w:cs="Arial"/>
                <w:szCs w:val="20"/>
              </w:rPr>
              <w:t xml:space="preserve">. </w:t>
            </w:r>
          </w:p>
        </w:tc>
      </w:tr>
      <w:tr w:rsidR="00AD1119" w:rsidRPr="00D82DBD" w14:paraId="76AB92E5" w14:textId="77777777" w:rsidTr="00E962EE">
        <w:trPr>
          <w:trHeight w:val="145"/>
        </w:trPr>
        <w:tc>
          <w:tcPr>
            <w:tcW w:w="1797" w:type="dxa"/>
            <w:tcMar>
              <w:left w:w="0" w:type="dxa"/>
            </w:tcMar>
          </w:tcPr>
          <w:p w14:paraId="29BF1EEF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  <w:r>
              <w:rPr>
                <w:color w:val="0D0D0D" w:themeColor="text1" w:themeTint="F2"/>
                <w:spacing w:val="-5"/>
              </w:rPr>
              <w:t>Nezaměstnanost v EU meziročně stagnovala. Mezi členskými státy dosahovala minima v Česku a maxima ve Finsku.</w:t>
            </w:r>
          </w:p>
        </w:tc>
        <w:tc>
          <w:tcPr>
            <w:tcW w:w="173" w:type="dxa"/>
            <w:tcMar>
              <w:left w:w="0" w:type="dxa"/>
            </w:tcMar>
          </w:tcPr>
          <w:p w14:paraId="2412904A" w14:textId="77777777" w:rsidR="00AD1119" w:rsidRPr="008659E6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77363C13" w14:textId="77777777" w:rsidR="00AD1119" w:rsidRPr="005F6035" w:rsidRDefault="00AD1119" w:rsidP="00E962EE">
            <w:pPr>
              <w:spacing w:after="220"/>
              <w:rPr>
                <w:rFonts w:cs="Arial"/>
                <w:color w:val="0D0D0D" w:themeColor="text1" w:themeTint="F2"/>
                <w:spacing w:val="-4"/>
                <w:szCs w:val="20"/>
              </w:rPr>
            </w:pPr>
            <w:r>
              <w:rPr>
                <w:rFonts w:cs="Arial"/>
                <w:color w:val="0D0D0D" w:themeColor="text1" w:themeTint="F2"/>
                <w:spacing w:val="-4"/>
                <w:szCs w:val="20"/>
              </w:rPr>
              <w:t>Ne</w:t>
            </w:r>
            <w:r w:rsidRPr="005F6035">
              <w:rPr>
                <w:rFonts w:cs="Arial"/>
                <w:color w:val="0D0D0D" w:themeColor="text1" w:themeTint="F2"/>
                <w:spacing w:val="-4"/>
                <w:szCs w:val="20"/>
              </w:rPr>
              <w:t xml:space="preserve">zaměstnanost v Česku zůstává přes svůj mírný růst </w:t>
            </w:r>
            <w:r w:rsidRPr="005F6035">
              <w:rPr>
                <w:color w:val="0D0D0D" w:themeColor="text1" w:themeTint="F2"/>
                <w:spacing w:val="-4"/>
              </w:rPr>
              <w:t xml:space="preserve">z historického i mezinárodního hlediska nízká. Míra nezaměstnanosti 15 až 74letých dosáhla v červenci EU </w:t>
            </w:r>
            <w:r w:rsidRPr="005F6035">
              <w:rPr>
                <w:spacing w:val="-4"/>
              </w:rPr>
              <w:t>6,1 % (muži 5,9 %, ženy 6,3 %) a meziročně dále stagnovala. Celková nezaměstnanost v Česku (3,3 %) dosahovala mezi členskými státy minima, u žen ovšem mělo lepší postavení hned sedm zemí (v čele s Bulharskem a Polskem, kde byla nezaměstnanost oproti tuzemsku nižší o</w:t>
            </w:r>
            <w:r w:rsidRPr="005F6035">
              <w:rPr>
                <w:rFonts w:cs="Arial"/>
                <w:color w:val="0D0D0D" w:themeColor="text1" w:themeTint="F2"/>
                <w:spacing w:val="-4"/>
                <w:szCs w:val="20"/>
              </w:rPr>
              <w:t> </w:t>
            </w:r>
            <w:r w:rsidRPr="005F6035">
              <w:rPr>
                <w:spacing w:val="-4"/>
              </w:rPr>
              <w:t>0,7</w:t>
            </w:r>
            <w:r w:rsidRPr="005F6035">
              <w:rPr>
                <w:rFonts w:cs="Arial"/>
                <w:color w:val="0D0D0D" w:themeColor="text1" w:themeTint="F2"/>
                <w:spacing w:val="-4"/>
                <w:szCs w:val="20"/>
              </w:rPr>
              <w:t> </w:t>
            </w:r>
            <w:r w:rsidRPr="005F6035">
              <w:rPr>
                <w:spacing w:val="-4"/>
              </w:rPr>
              <w:t xml:space="preserve">p. b.). </w:t>
            </w:r>
            <w:r w:rsidRPr="005F6035">
              <w:rPr>
                <w:rStyle w:val="eop"/>
                <w:rFonts w:cs="Arial"/>
                <w:spacing w:val="-4"/>
                <w:szCs w:val="20"/>
              </w:rPr>
              <w:t>V Německu dosahovala c</w:t>
            </w:r>
            <w:r w:rsidRPr="005F6035">
              <w:rPr>
                <w:rStyle w:val="eop"/>
                <w:rFonts w:cs="Arial"/>
                <w:spacing w:val="-4"/>
              </w:rPr>
              <w:t xml:space="preserve">elkově </w:t>
            </w:r>
            <w:r w:rsidRPr="005F6035">
              <w:rPr>
                <w:rStyle w:val="eop"/>
                <w:rFonts w:cs="Arial"/>
                <w:spacing w:val="-4"/>
                <w:szCs w:val="20"/>
              </w:rPr>
              <w:t>4</w:t>
            </w:r>
            <w:r>
              <w:rPr>
                <w:rStyle w:val="eop"/>
                <w:rFonts w:cs="Arial"/>
                <w:spacing w:val="-4"/>
                <w:szCs w:val="20"/>
              </w:rPr>
              <w:t>,0</w:t>
            </w:r>
            <w:r w:rsidRPr="005F6035">
              <w:rPr>
                <w:rStyle w:val="eop"/>
                <w:rFonts w:cs="Arial"/>
                <w:spacing w:val="-4"/>
                <w:szCs w:val="20"/>
              </w:rPr>
              <w:t xml:space="preserve"> % a na Slovensku 5,7 % a meziročně se v obou případech lehce zvýšila (+0,2 p. b.). Nezaměstnanost dosahovala maxima ve Finsku s 10,5 % (+0,6 p. b.) a silně zasaženo bylo také Španělsko (10,0 %), kde ale </w:t>
            </w:r>
            <w:r>
              <w:rPr>
                <w:rStyle w:val="eop"/>
                <w:rFonts w:cs="Arial"/>
                <w:spacing w:val="-4"/>
                <w:szCs w:val="20"/>
              </w:rPr>
              <w:t>i</w:t>
            </w:r>
            <w:r>
              <w:rPr>
                <w:rStyle w:val="eop"/>
                <w:rFonts w:cs="Arial"/>
                <w:spacing w:val="-4"/>
              </w:rPr>
              <w:t xml:space="preserve"> díky slušnému hospodářskému růstu </w:t>
            </w:r>
            <w:r w:rsidRPr="005F6035">
              <w:rPr>
                <w:rStyle w:val="eop"/>
                <w:rFonts w:cs="Arial"/>
                <w:spacing w:val="-4"/>
                <w:szCs w:val="20"/>
              </w:rPr>
              <w:t>došlo k mírnému zlepšení (</w:t>
            </w:r>
            <w:r w:rsidRPr="005F6035">
              <w:rPr>
                <w:color w:val="0D0D0D" w:themeColor="text1" w:themeTint="F2"/>
                <w:spacing w:val="-4"/>
              </w:rPr>
              <w:t>–</w:t>
            </w:r>
            <w:r w:rsidRPr="005F6035">
              <w:rPr>
                <w:rStyle w:val="eop"/>
                <w:rFonts w:cs="Arial"/>
                <w:spacing w:val="-4"/>
                <w:szCs w:val="20"/>
              </w:rPr>
              <w:t>0,6 p. b.). Relativně obtížná situace nadále přetrvávala ve Švédsku (8,6 %) a Francii (8,3 %).</w:t>
            </w:r>
          </w:p>
        </w:tc>
      </w:tr>
      <w:tr w:rsidR="00AD1119" w:rsidRPr="00D82DBD" w14:paraId="6E5DF1F7" w14:textId="77777777" w:rsidTr="00E962EE">
        <w:trPr>
          <w:trHeight w:val="145"/>
        </w:trPr>
        <w:tc>
          <w:tcPr>
            <w:tcW w:w="1797" w:type="dxa"/>
            <w:tcMar>
              <w:left w:w="0" w:type="dxa"/>
            </w:tcMar>
          </w:tcPr>
          <w:p w14:paraId="2F2F4DE8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44CC9AB8" w14:textId="77777777" w:rsidR="00AD1119" w:rsidRPr="008659E6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78584BB9" w14:textId="77777777" w:rsidR="00AD1119" w:rsidRPr="00903591" w:rsidRDefault="00AD1119" w:rsidP="00E962EE">
            <w:pPr>
              <w:spacing w:after="40"/>
              <w:rPr>
                <w:rFonts w:cs="Arial"/>
                <w:szCs w:val="20"/>
              </w:rPr>
            </w:pPr>
            <w:r w:rsidRPr="00903591">
              <w:rPr>
                <w:b/>
              </w:rPr>
              <w:t>Graf č. 1</w:t>
            </w:r>
            <w:r>
              <w:rPr>
                <w:b/>
              </w:rPr>
              <w:t>5</w:t>
            </w:r>
            <w:r w:rsidRPr="00903591">
              <w:rPr>
                <w:b/>
              </w:rPr>
              <w:t xml:space="preserve"> </w:t>
            </w:r>
            <w:r w:rsidRPr="00903591">
              <w:rPr>
                <w:rFonts w:cs="Arial"/>
                <w:b/>
              </w:rPr>
              <w:t xml:space="preserve">Obecná míra nezaměstnanosti </w:t>
            </w:r>
            <w:r w:rsidRPr="00903591">
              <w:rPr>
                <w:rFonts w:cs="Arial"/>
                <w:bCs/>
              </w:rPr>
              <w:t>(v %, věk 15 až 64 let)</w:t>
            </w:r>
            <w:r w:rsidRPr="00903591">
              <w:rPr>
                <w:rFonts w:cs="Arial"/>
                <w:b/>
              </w:rPr>
              <w:t>,</w:t>
            </w:r>
            <w:r w:rsidRPr="00903591">
              <w:rPr>
                <w:rFonts w:cs="Arial"/>
                <w:bCs/>
              </w:rPr>
              <w:t xml:space="preserve"> </w:t>
            </w:r>
            <w:r w:rsidRPr="00903591">
              <w:rPr>
                <w:rFonts w:cs="Arial"/>
                <w:b/>
                <w:bCs/>
              </w:rPr>
              <w:t>očekávání vývoje nezaměstnanosti ze strany domácností*</w:t>
            </w:r>
            <w:r w:rsidRPr="00903591">
              <w:rPr>
                <w:rFonts w:cs="Arial"/>
                <w:bCs/>
              </w:rPr>
              <w:t xml:space="preserve"> (v p. b.)</w:t>
            </w:r>
            <w:r>
              <w:rPr>
                <w:rFonts w:cs="Arial"/>
                <w:bCs/>
              </w:rPr>
              <w:t xml:space="preserve"> </w:t>
            </w:r>
            <w:r w:rsidRPr="00040608">
              <w:rPr>
                <w:rFonts w:cs="Arial"/>
                <w:b/>
              </w:rPr>
              <w:t>a</w:t>
            </w:r>
            <w:r w:rsidRPr="00903591">
              <w:rPr>
                <w:rFonts w:cs="Arial"/>
                <w:bCs/>
              </w:rPr>
              <w:t xml:space="preserve"> </w:t>
            </w:r>
            <w:r w:rsidRPr="00903591">
              <w:rPr>
                <w:rFonts w:cs="Arial"/>
                <w:b/>
                <w:bCs/>
              </w:rPr>
              <w:t xml:space="preserve">volná pracovní místa </w:t>
            </w:r>
            <w:r w:rsidRPr="00BB6FA5">
              <w:rPr>
                <w:rFonts w:cs="Arial"/>
              </w:rPr>
              <w:t>(</w:t>
            </w:r>
            <w:r w:rsidRPr="00903591">
              <w:rPr>
                <w:rFonts w:cs="Arial"/>
                <w:bCs/>
              </w:rPr>
              <w:t>v tis.)</w:t>
            </w:r>
          </w:p>
        </w:tc>
      </w:tr>
      <w:tr w:rsidR="00AD1119" w:rsidRPr="00D82DBD" w14:paraId="44B8B7D4" w14:textId="77777777" w:rsidTr="00E962EE">
        <w:tblPrEx>
          <w:tblCellMar>
            <w:left w:w="70" w:type="dxa"/>
            <w:right w:w="70" w:type="dxa"/>
          </w:tblCellMar>
        </w:tblPrEx>
        <w:trPr>
          <w:trHeight w:val="145"/>
        </w:trPr>
        <w:tc>
          <w:tcPr>
            <w:tcW w:w="1797" w:type="dxa"/>
          </w:tcPr>
          <w:p w14:paraId="25187104" w14:textId="77777777" w:rsidR="00AD1119" w:rsidRPr="008659E6" w:rsidRDefault="00AD1119" w:rsidP="00E962EE">
            <w:pPr>
              <w:pStyle w:val="Marginlie"/>
              <w:rPr>
                <w:color w:val="0D0D0D" w:themeColor="text1" w:themeTint="F2"/>
                <w:spacing w:val="-5"/>
              </w:rPr>
            </w:pPr>
          </w:p>
        </w:tc>
        <w:tc>
          <w:tcPr>
            <w:tcW w:w="173" w:type="dxa"/>
          </w:tcPr>
          <w:p w14:paraId="35B469AA" w14:textId="77777777" w:rsidR="00AD1119" w:rsidRPr="00B43216" w:rsidRDefault="00AD1119" w:rsidP="00E962EE">
            <w:pPr>
              <w:pStyle w:val="Textpoznpodarou"/>
              <w:spacing w:after="120"/>
              <w:jc w:val="both"/>
              <w:rPr>
                <w:spacing w:val="-4"/>
              </w:rPr>
            </w:pPr>
          </w:p>
          <w:p w14:paraId="654675F9" w14:textId="77777777" w:rsidR="00AD1119" w:rsidRPr="008659E6" w:rsidRDefault="00AD1119" w:rsidP="00E962EE">
            <w:pPr>
              <w:pStyle w:val="Textpoznpodarou"/>
              <w:spacing w:after="120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</w:tcPr>
          <w:p w14:paraId="5B28BBC7" w14:textId="77777777" w:rsidR="00AD1119" w:rsidRPr="00903591" w:rsidRDefault="00AD1119" w:rsidP="00E962EE">
            <w:pPr>
              <w:spacing w:before="20" w:after="20"/>
              <w:rPr>
                <w:rFonts w:cs="Arial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13ECD1F" wp14:editId="71500A75">
                  <wp:extent cx="4746929" cy="3376930"/>
                  <wp:effectExtent l="0" t="0" r="0" b="0"/>
                  <wp:docPr id="1946752378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39EAA8-F86F-4B53-8CA9-A47A592377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AD1119" w:rsidRPr="00D82DBD" w14:paraId="6F7A889D" w14:textId="77777777" w:rsidTr="00E962EE">
        <w:trPr>
          <w:trHeight w:val="145"/>
        </w:trPr>
        <w:tc>
          <w:tcPr>
            <w:tcW w:w="1797" w:type="dxa"/>
            <w:tcMar>
              <w:left w:w="0" w:type="dxa"/>
            </w:tcMar>
          </w:tcPr>
          <w:p w14:paraId="7D71277D" w14:textId="77777777" w:rsidR="00AD1119" w:rsidRPr="00B43216" w:rsidRDefault="00AD1119" w:rsidP="00E962EE">
            <w:pPr>
              <w:pStyle w:val="Marginlie"/>
              <w:spacing w:after="120"/>
              <w:rPr>
                <w:spacing w:val="-4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7904E0B1" w14:textId="77777777" w:rsidR="00AD1119" w:rsidRPr="00B43216" w:rsidRDefault="00AD1119" w:rsidP="00E962EE">
            <w:pPr>
              <w:pStyle w:val="Textpoznpodarou"/>
              <w:spacing w:after="120"/>
              <w:jc w:val="both"/>
              <w:rPr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4B2CD0EC" w14:textId="77777777" w:rsidR="00AD1119" w:rsidRPr="00903591" w:rsidRDefault="00AD1119" w:rsidP="00E962EE">
            <w:pPr>
              <w:spacing w:before="60" w:after="0" w:line="240" w:lineRule="auto"/>
              <w:rPr>
                <w:rFonts w:cs="Arial"/>
                <w:color w:val="0D0D0D" w:themeColor="text1" w:themeTint="F2"/>
                <w:sz w:val="14"/>
                <w:szCs w:val="14"/>
              </w:rPr>
            </w:pPr>
            <w:r w:rsidRPr="00903591">
              <w:rPr>
                <w:rFonts w:cs="Arial"/>
                <w:color w:val="0D0D0D" w:themeColor="text1" w:themeTint="F2"/>
                <w:sz w:val="14"/>
                <w:szCs w:val="14"/>
              </w:rPr>
              <w:t>Pozn.: Míry nezaměstnanosti jsou očištěny pomocí trendcyklu.</w:t>
            </w:r>
          </w:p>
          <w:p w14:paraId="1157D9DC" w14:textId="77777777" w:rsidR="00AD1119" w:rsidRPr="00903591" w:rsidRDefault="00AD1119" w:rsidP="00E962EE">
            <w:pPr>
              <w:spacing w:after="0" w:line="240" w:lineRule="auto"/>
              <w:rPr>
                <w:rFonts w:cs="Arial"/>
                <w:color w:val="0D0D0D" w:themeColor="text1" w:themeTint="F2"/>
                <w:sz w:val="14"/>
                <w:szCs w:val="14"/>
              </w:rPr>
            </w:pPr>
            <w:r w:rsidRPr="00903591">
              <w:rPr>
                <w:rFonts w:cs="Arial"/>
                <w:color w:val="0D0D0D" w:themeColor="text1" w:themeTint="F2"/>
                <w:sz w:val="14"/>
                <w:szCs w:val="14"/>
              </w:rPr>
              <w:t>VPM = pouze volná pracovní místa s délkou evidence do šesti měsíců. (stav na konci čtvrtletí)</w:t>
            </w:r>
            <w:r>
              <w:rPr>
                <w:rFonts w:cs="Arial"/>
                <w:color w:val="0D0D0D" w:themeColor="text1" w:themeTint="F2"/>
                <w:sz w:val="14"/>
                <w:szCs w:val="14"/>
              </w:rPr>
              <w:t>.</w:t>
            </w:r>
          </w:p>
          <w:p w14:paraId="724D8484" w14:textId="77777777" w:rsidR="00AD1119" w:rsidRPr="00903591" w:rsidRDefault="00AD1119" w:rsidP="00E962EE">
            <w:pPr>
              <w:spacing w:after="0" w:line="240" w:lineRule="auto"/>
              <w:rPr>
                <w:rFonts w:cs="Arial"/>
                <w:color w:val="0D0D0D" w:themeColor="text1" w:themeTint="F2"/>
                <w:sz w:val="14"/>
                <w:szCs w:val="14"/>
              </w:rPr>
            </w:pPr>
            <w:r w:rsidRPr="00903591">
              <w:rPr>
                <w:rFonts w:cs="Arial"/>
                <w:color w:val="0D0D0D" w:themeColor="text1" w:themeTint="F2"/>
                <w:sz w:val="14"/>
                <w:szCs w:val="14"/>
              </w:rPr>
              <w:t xml:space="preserve">*Sezónně očištěné saldo očekávání nezaměstnanosti v nejbližších 12 měsících (rozdíl mezi procentuální četností odpovědí domácností, růst a pokles vyjádřený v procentních bodech). </w:t>
            </w:r>
            <w:r>
              <w:rPr>
                <w:rFonts w:cs="Arial"/>
                <w:color w:val="0D0D0D" w:themeColor="text1" w:themeTint="F2"/>
                <w:sz w:val="14"/>
                <w:szCs w:val="14"/>
              </w:rPr>
              <w:t xml:space="preserve">Vyjadřuje měsíční </w:t>
            </w:r>
            <w:r w:rsidRPr="001C6832">
              <w:rPr>
                <w:rFonts w:cs="Arial"/>
                <w:color w:val="0D0D0D" w:themeColor="text1" w:themeTint="F2"/>
                <w:sz w:val="14"/>
                <w:szCs w:val="14"/>
              </w:rPr>
              <w:t xml:space="preserve">průměr za celý kvartál, u posledního období </w:t>
            </w:r>
            <w:r>
              <w:rPr>
                <w:rFonts w:cs="Arial"/>
                <w:color w:val="0D0D0D" w:themeColor="text1" w:themeTint="F2"/>
                <w:sz w:val="14"/>
                <w:szCs w:val="14"/>
              </w:rPr>
              <w:t xml:space="preserve">potom </w:t>
            </w:r>
            <w:r w:rsidRPr="001C6832">
              <w:rPr>
                <w:rFonts w:cs="Arial"/>
                <w:color w:val="0D0D0D" w:themeColor="text1" w:themeTint="F2"/>
                <w:sz w:val="14"/>
                <w:szCs w:val="14"/>
              </w:rPr>
              <w:t>průměr za první dva měsíce.</w:t>
            </w:r>
          </w:p>
          <w:p w14:paraId="22E1B39E" w14:textId="77777777" w:rsidR="00AD1119" w:rsidRDefault="00AD1119" w:rsidP="00E962EE">
            <w:pPr>
              <w:spacing w:after="0" w:line="240" w:lineRule="auto"/>
              <w:rPr>
                <w:rFonts w:cs="Arial"/>
                <w:color w:val="0D0D0D" w:themeColor="text1" w:themeTint="F2"/>
                <w:sz w:val="14"/>
                <w:szCs w:val="14"/>
              </w:rPr>
            </w:pPr>
            <w:r w:rsidRPr="00903591">
              <w:rPr>
                <w:rFonts w:cs="Arial"/>
                <w:color w:val="0D0D0D" w:themeColor="text1" w:themeTint="F2"/>
                <w:sz w:val="14"/>
                <w:szCs w:val="14"/>
              </w:rPr>
              <w:t>Zdroj: ČSÚ (VŠPS, konjunkturální průzkum), MPSV (VPM registrovaná na úřadech prác</w:t>
            </w:r>
            <w:r>
              <w:rPr>
                <w:rFonts w:cs="Arial"/>
                <w:color w:val="0D0D0D" w:themeColor="text1" w:themeTint="F2"/>
                <w:sz w:val="14"/>
                <w:szCs w:val="14"/>
              </w:rPr>
              <w:t>e</w:t>
            </w:r>
            <w:r w:rsidRPr="00903591">
              <w:rPr>
                <w:rFonts w:cs="Arial"/>
                <w:color w:val="0D0D0D" w:themeColor="text1" w:themeTint="F2"/>
                <w:sz w:val="14"/>
                <w:szCs w:val="14"/>
              </w:rPr>
              <w:t>)</w:t>
            </w:r>
          </w:p>
          <w:p w14:paraId="47B46B05" w14:textId="77777777" w:rsidR="00AD1119" w:rsidRDefault="00AD1119" w:rsidP="00E962EE">
            <w:pPr>
              <w:spacing w:after="0" w:line="240" w:lineRule="auto"/>
              <w:rPr>
                <w:noProof/>
              </w:rPr>
            </w:pPr>
          </w:p>
        </w:tc>
      </w:tr>
      <w:tr w:rsidR="00AD1119" w:rsidRPr="00016778" w14:paraId="0EFE08EC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4AD7DB28" w14:textId="77777777" w:rsidR="00AD1119" w:rsidRPr="00461673" w:rsidRDefault="00AD1119" w:rsidP="00E962EE">
            <w:pPr>
              <w:pStyle w:val="Marginlie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Meziroční růst počtu r</w:t>
            </w:r>
            <w:r w:rsidRPr="002F4E55">
              <w:rPr>
                <w:color w:val="0D0D0D" w:themeColor="text1" w:themeTint="F2"/>
              </w:rPr>
              <w:t xml:space="preserve">egistrovaných </w:t>
            </w:r>
            <w:r>
              <w:rPr>
                <w:color w:val="0D0D0D" w:themeColor="text1" w:themeTint="F2"/>
              </w:rPr>
              <w:t xml:space="preserve">uchazečů </w:t>
            </w:r>
            <w:r>
              <w:rPr>
                <w:color w:val="0D0D0D" w:themeColor="text1" w:themeTint="F2"/>
              </w:rPr>
              <w:lastRenderedPageBreak/>
              <w:t>o práci letos zvolňoval. Nezaměstnanost se zvýšila ve všech okresech.</w:t>
            </w:r>
          </w:p>
          <w:p w14:paraId="55FF6B91" w14:textId="77777777" w:rsidR="00AD1119" w:rsidRDefault="00AD1119" w:rsidP="00E962EE">
            <w:pPr>
              <w:pStyle w:val="Marginlie"/>
              <w:spacing w:after="120"/>
              <w:rPr>
                <w:spacing w:val="0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42CE71F1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04F60358" w14:textId="5BF90AD0" w:rsidR="00AD1119" w:rsidRPr="005A3525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</w:pPr>
            <w:r w:rsidRPr="005A3525">
              <w:rPr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  <w:t>Významnější ochlazení tuzemského pracovního trhu dosud nenaznačují ani údaje z úřadů práce.</w:t>
            </w:r>
            <w:r w:rsidRPr="005A3525">
              <w:rPr>
                <w:spacing w:val="-2"/>
              </w:rPr>
              <w:t xml:space="preserve"> </w:t>
            </w:r>
            <w:r w:rsidRPr="005A3525">
              <w:rPr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  <w:t xml:space="preserve">Sezonně neočištěný podíl registrovaných uchazečů o práci na celkové populaci </w:t>
            </w:r>
            <w:r>
              <w:rPr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  <w:br/>
            </w:r>
            <w:r w:rsidRPr="005A3525">
              <w:rPr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  <w:lastRenderedPageBreak/>
              <w:t xml:space="preserve">15 až 64letých dosáhl na konci letošního července 5,0 % (muži: 4,4 %, ženy: 5,5 %). 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 xml:space="preserve">Tento podíl se meziročně zvyšuje již více než dva a půl </w:t>
            </w:r>
            <w:r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r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oku, letos však růst nezaměstnanosti šestý měsíc v řadě zvolnil (na +0,5 p. b.)</w:t>
            </w:r>
            <w:r w:rsidRPr="005A3525">
              <w:rPr>
                <w:rStyle w:val="Znakapoznpodarou"/>
                <w:rFonts w:ascii="Arial" w:eastAsiaTheme="majorEastAsia" w:hAnsi="Arial" w:cs="Arial"/>
                <w:spacing w:val="-2"/>
                <w:sz w:val="20"/>
                <w:szCs w:val="20"/>
              </w:rPr>
              <w:footnoteReference w:id="27"/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 xml:space="preserve">. </w:t>
            </w:r>
            <w:r w:rsidRPr="005A3525">
              <w:rPr>
                <w:rFonts w:ascii="Arial" w:hAnsi="Arial" w:cs="Arial"/>
                <w:spacing w:val="-2"/>
                <w:sz w:val="20"/>
                <w:szCs w:val="20"/>
              </w:rPr>
              <w:t xml:space="preserve">Nezaměstnanost je tradičně </w:t>
            </w:r>
            <w:r w:rsidRPr="005A3525">
              <w:rPr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  <w:t>výrazně regionálně diferencovaná</w:t>
            </w:r>
            <w:r w:rsidRPr="005A3525">
              <w:rPr>
                <w:rStyle w:val="Znakapoznpodarou"/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  <w:footnoteReference w:id="28"/>
            </w:r>
            <w:r w:rsidRPr="005A3525">
              <w:rPr>
                <w:rFonts w:ascii="Arial" w:hAnsi="Arial" w:cs="Arial"/>
                <w:color w:val="0D0D0D" w:themeColor="text1" w:themeTint="F2"/>
                <w:spacing w:val="-2"/>
                <w:sz w:val="20"/>
                <w:szCs w:val="20"/>
              </w:rPr>
              <w:t xml:space="preserve">. </w:t>
            </w:r>
            <w:r w:rsidRPr="005A3525">
              <w:rPr>
                <w:rStyle w:val="normaltextrun"/>
                <w:rFonts w:ascii="Arial" w:eastAsiaTheme="majorEastAsia" w:hAnsi="Arial" w:cs="Arial"/>
                <w:color w:val="0D0D0D" w:themeColor="text1" w:themeTint="F2"/>
                <w:spacing w:val="-2"/>
                <w:sz w:val="20"/>
                <w:szCs w:val="20"/>
              </w:rPr>
              <w:t>Nynější nárůst registrovaných uchazečů o práci může (kromě běžné sezónnosti) a probíhajících strukturálních změn v ekonomice souviset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 xml:space="preserve"> s</w:t>
            </w:r>
            <w:r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 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 xml:space="preserve">vyšší aktivitou úřadů práce v oblasti poradenství a rekvalifikací a také s flexibilnějšími možnostmi jejich kontaktu (digitálně na dálku). </w:t>
            </w:r>
            <w:r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Nelze vyloučit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, že se již m</w:t>
            </w:r>
            <w:r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ohla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 xml:space="preserve"> projevovat i</w:t>
            </w:r>
            <w:r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 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>větší odvaha lidí měnit nevyhovující pracovní místa (např. s motivací k vyššímu výdělku či zvýšenou podporou v prvních měsících nezaměstnanosti, jež platí od ledna 2026)</w:t>
            </w:r>
            <w:r w:rsidRPr="005A3525">
              <w:rPr>
                <w:rFonts w:eastAsiaTheme="majorEastAsia"/>
                <w:spacing w:val="-2"/>
                <w:sz w:val="20"/>
                <w:szCs w:val="20"/>
              </w:rPr>
              <w:t>.</w:t>
            </w:r>
            <w:r w:rsidRPr="005A3525">
              <w:rPr>
                <w:rStyle w:val="normaltextrun"/>
                <w:rFonts w:ascii="Arial" w:eastAsiaTheme="majorEastAsia" w:hAnsi="Arial" w:cs="Arial"/>
                <w:spacing w:val="-2"/>
                <w:sz w:val="20"/>
                <w:szCs w:val="20"/>
              </w:rPr>
              <w:t xml:space="preserve"> </w:t>
            </w:r>
          </w:p>
          <w:p w14:paraId="6CEB03CF" w14:textId="77777777" w:rsidR="00AD1119" w:rsidRPr="000B2FD2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AD1119" w:rsidRPr="00016778" w14:paraId="4F3EC80E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42A90ECA" w14:textId="77777777" w:rsidR="00AD1119" w:rsidRPr="00994497" w:rsidRDefault="00AD1119" w:rsidP="00E962EE">
            <w:pPr>
              <w:pStyle w:val="Marginlie"/>
              <w:spacing w:after="120"/>
              <w:rPr>
                <w:spacing w:val="-4"/>
              </w:rPr>
            </w:pPr>
            <w:r>
              <w:rPr>
                <w:spacing w:val="0"/>
              </w:rPr>
              <w:lastRenderedPageBreak/>
              <w:t>N</w:t>
            </w:r>
            <w:r w:rsidRPr="00F96464">
              <w:rPr>
                <w:spacing w:val="0"/>
              </w:rPr>
              <w:t>abídk</w:t>
            </w:r>
            <w:r>
              <w:rPr>
                <w:spacing w:val="0"/>
              </w:rPr>
              <w:t>a</w:t>
            </w:r>
            <w:r w:rsidRPr="00F96464">
              <w:rPr>
                <w:spacing w:val="0"/>
              </w:rPr>
              <w:t xml:space="preserve"> volných míst prostřednictvím </w:t>
            </w:r>
            <w:r>
              <w:rPr>
                <w:spacing w:val="0"/>
              </w:rPr>
              <w:t>úřadů práce meziročně m</w:t>
            </w:r>
            <w:r>
              <w:t>írně vzrostla. Tlak uchazečů na místa se však lehce zvýšil.</w:t>
            </w:r>
          </w:p>
        </w:tc>
        <w:tc>
          <w:tcPr>
            <w:tcW w:w="173" w:type="dxa"/>
            <w:tcMar>
              <w:left w:w="0" w:type="dxa"/>
            </w:tcMar>
          </w:tcPr>
          <w:p w14:paraId="6AA9390A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78FE36C8" w14:textId="77777777" w:rsidR="00AD1119" w:rsidRPr="00874D1A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Úřady práce evidovaly letos na konci dubna 100,9 tis. volných míst (</w:t>
            </w:r>
            <w:r w:rsidRPr="00874D1A"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 xml:space="preserve">v </w:t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 xml:space="preserve">zásadě jen místa s dobou evidence kratší než šest měsíců) a jejich počet se druhý měsíc v řadě meziročně zvýšil (naposledy o 5,4 tis.). Na 1 volné místo připadalo aktuálně v Česku </w:t>
            </w:r>
            <w:r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br/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3,6 uchazeče (vč. osob dočasně nedosažitelných). To sice bylo stále lehce více než ve stejném období loni (3,4), avšak zároveň (spolu s letošním červnem</w:t>
            </w:r>
            <w:r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)</w:t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 xml:space="preserve"> nejméně za posledních devět měsíců.</w:t>
            </w:r>
            <w:r w:rsidRPr="00874D1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 xml:space="preserve">Přetrvával významný strukturální nesoulad nabídky </w:t>
            </w:r>
            <w:r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br/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a poptávky z kvalifikačního</w:t>
            </w:r>
            <w:r w:rsidRPr="00874D1A">
              <w:rPr>
                <w:rFonts w:ascii="Arial" w:hAnsi="Arial" w:cs="Arial"/>
                <w:color w:val="0D0D0D" w:themeColor="text1" w:themeTint="F2"/>
                <w:sz w:val="20"/>
                <w:szCs w:val="20"/>
                <w:vertAlign w:val="superscript"/>
              </w:rPr>
              <w:footnoteReference w:id="29"/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 xml:space="preserve"> i regionálního pohledu</w:t>
            </w:r>
            <w:r w:rsidRPr="00874D1A">
              <w:rPr>
                <w:rStyle w:val="Znakapoznpodarou"/>
                <w:rFonts w:ascii="Arial" w:eastAsiaTheme="majorEastAsia" w:hAnsi="Arial" w:cs="Arial"/>
                <w:sz w:val="20"/>
                <w:szCs w:val="20"/>
              </w:rPr>
              <w:footnoteReference w:id="30"/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. Obavy lidí z růstu nezaměstnanosti (vyjádřené v ročním výhledu</w:t>
            </w:r>
            <w:r w:rsidRPr="00874D1A"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 xml:space="preserve">v rámci konjunkturálních průzkumů) letos od března velmi mírně narůstaly, ovšem meziročně byly stále nižší a jejich úroveň ani </w:t>
            </w:r>
            <w:r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br/>
              <w:t>v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 xml:space="preserve"> </w:t>
            </w:r>
            <w:r w:rsidRPr="00874D1A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 xml:space="preserve">srpnu </w:t>
            </w:r>
            <w:r w:rsidRPr="00874D1A">
              <w:rPr>
                <w:rFonts w:ascii="Arial" w:hAnsi="Arial" w:cs="Arial"/>
                <w:sz w:val="20"/>
                <w:szCs w:val="20"/>
              </w:rPr>
              <w:t>nepřekračovala dlouhodobý průměr.</w:t>
            </w:r>
          </w:p>
          <w:p w14:paraId="4B88840D" w14:textId="77777777" w:rsidR="00AD1119" w:rsidRPr="00F80861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</w:pPr>
          </w:p>
        </w:tc>
      </w:tr>
      <w:tr w:rsidR="00AD1119" w:rsidRPr="00016778" w14:paraId="71356B00" w14:textId="77777777" w:rsidTr="00E962EE">
        <w:trPr>
          <w:trHeight w:val="132"/>
        </w:trPr>
        <w:tc>
          <w:tcPr>
            <w:tcW w:w="9674" w:type="dxa"/>
            <w:gridSpan w:val="3"/>
            <w:tcMar>
              <w:left w:w="0" w:type="dxa"/>
            </w:tcMar>
          </w:tcPr>
          <w:p w14:paraId="368D990D" w14:textId="77777777" w:rsidR="00AD1119" w:rsidRPr="00A03CE4" w:rsidRDefault="00AD1119" w:rsidP="0036073B">
            <w:pPr>
              <w:pStyle w:val="Nadpis3"/>
              <w:rPr>
                <w:rStyle w:val="normaltextrun"/>
                <w:rFonts w:eastAsiaTheme="majorEastAsia" w:cs="Arial"/>
                <w:spacing w:val="-4"/>
                <w:szCs w:val="20"/>
              </w:rPr>
            </w:pPr>
            <w:bookmarkStart w:id="4" w:name="_Toc240366905"/>
            <w:r>
              <w:rPr>
                <w:lang w:eastAsia="en-US"/>
              </w:rPr>
              <w:t>6</w:t>
            </w:r>
            <w:r w:rsidRPr="006B2C72">
              <w:rPr>
                <w:lang w:eastAsia="en-US"/>
              </w:rPr>
              <w:t>.</w:t>
            </w:r>
            <w:r w:rsidRPr="004A2AF4">
              <w:rPr>
                <w:lang w:eastAsia="en-US"/>
              </w:rPr>
              <w:t>2</w:t>
            </w:r>
            <w:r w:rsidRPr="006B2C72">
              <w:rPr>
                <w:lang w:eastAsia="en-US"/>
              </w:rPr>
              <w:t xml:space="preserve"> </w:t>
            </w:r>
            <w:r w:rsidRPr="004A2AF4">
              <w:rPr>
                <w:lang w:eastAsia="en-US"/>
              </w:rPr>
              <w:t>Mzdy</w:t>
            </w:r>
            <w:bookmarkEnd w:id="4"/>
          </w:p>
        </w:tc>
      </w:tr>
      <w:tr w:rsidR="00AD1119" w:rsidRPr="00016778" w14:paraId="5B4CA92C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2956D2B1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pacing w:val="0"/>
              </w:rPr>
              <w:t>Přetrvával relativně stabilní a svižný růst nominálních mezd</w:t>
            </w:r>
            <w:r>
              <w:rPr>
                <w:color w:val="0D0D0D" w:themeColor="text1" w:themeTint="F2"/>
              </w:rPr>
              <w:t>.</w:t>
            </w:r>
          </w:p>
          <w:p w14:paraId="02DD952A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09B01CF7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4453E5C2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61A20C85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20C73F0F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</w:rPr>
              <w:t>Příznivý vývoj spotřebitelských cen vedl k dalšímu významnému navýšení kupní síly mezd. Ta i přesto úroveň z roku 2021 ještě nepřekonala.</w:t>
            </w:r>
          </w:p>
        </w:tc>
        <w:tc>
          <w:tcPr>
            <w:tcW w:w="173" w:type="dxa"/>
            <w:tcMar>
              <w:left w:w="0" w:type="dxa"/>
            </w:tcMar>
          </w:tcPr>
          <w:p w14:paraId="16CAD5C7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7E77F706" w14:textId="77777777" w:rsidR="00AD1119" w:rsidRPr="00874D1A" w:rsidRDefault="00AD1119" w:rsidP="00E962EE">
            <w:pPr>
              <w:pStyle w:val="paragraph"/>
              <w:spacing w:before="0" w:beforeAutospacing="0" w:after="24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/>
                <w:spacing w:val="-4"/>
                <w:sz w:val="20"/>
              </w:rPr>
            </w:pP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V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e</w:t>
            </w: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2</w:t>
            </w: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. čtvrtletí 2026 </w:t>
            </w:r>
            <w:r w:rsidRPr="00516818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dosáhla průměrná hrubá měsíční nominální mzda </w:t>
            </w: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zaměstnance 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br/>
            </w: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v národním hospodářství </w:t>
            </w:r>
            <w:r w:rsidRPr="00B509DA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51 966</w:t>
            </w: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korun. Meziročně vzrostla o 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6,4</w:t>
            </w: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%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, což bylo nepatrně více než v 1. </w:t>
            </w:r>
            <w:r w:rsidRPr="00A03CE4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čtvrtlet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í</w:t>
            </w:r>
            <w:r w:rsidRPr="00516818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2026 (kdy 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po zpřesnění tempo </w:t>
            </w:r>
            <w:r w:rsidRPr="00516818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činil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o</w:t>
            </w:r>
            <w:r w:rsidRPr="00516818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6,1 %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a výše mezd 49 328 korun</w:t>
            </w:r>
            <w:r w:rsidRPr="00516818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), ale současně 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méně</w:t>
            </w:r>
            <w:r w:rsidRPr="00516818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než 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v</w:t>
            </w:r>
            <w:r>
              <w:rPr>
                <w:rStyle w:val="normaltextrun"/>
                <w:rFonts w:eastAsiaTheme="majorEastAsia"/>
                <w:spacing w:val="-4"/>
                <w:sz w:val="20"/>
                <w:szCs w:val="20"/>
              </w:rPr>
              <w:t xml:space="preserve"> </w:t>
            </w:r>
            <w:r w:rsidRPr="00516818"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>průměru za roky 2024 i 2025 (shodně +6,6 %).</w:t>
            </w:r>
            <w:r>
              <w:rPr>
                <w:rStyle w:val="normaltextrun"/>
                <w:rFonts w:ascii="Arial" w:eastAsiaTheme="majorEastAsia" w:hAnsi="Arial" w:cs="Arial"/>
                <w:spacing w:val="-4"/>
                <w:sz w:val="20"/>
                <w:szCs w:val="20"/>
              </w:rPr>
              <w:t xml:space="preserve"> </w:t>
            </w:r>
            <w:r w:rsidRPr="00AF38A2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Sezónně očištěná mzda posílila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l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etos </w:t>
            </w:r>
            <w:r w:rsidRPr="00AF38A2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ve 2. čtvrtletí mezikvartálně o 1,6 % a zvyšovala se podobným tempem jako v předchozích obdobích (vč. roku 2025).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</w:t>
            </w:r>
            <w:r w:rsidRPr="00AF38A2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Relativně mírný růst spotřebitelských cen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vytvořil prostor k</w:t>
            </w:r>
            <w:r w:rsidRPr="00AF38A2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další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mu</w:t>
            </w:r>
            <w:r w:rsidRPr="00AF38A2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svižné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mu</w:t>
            </w:r>
            <w:r w:rsidRPr="00AF38A2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posílení kupní síly zaměstnaneckých výdělků.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P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růměrné mzdy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se 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tak reálně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navýšily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meziročně o 4,3 % a rostly desátý kvartál v řadě a současně dosáhly mírně vyššího tempa než v průměru za roky 2024 i 2025.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K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upní síla hrubých mezd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s</w:t>
            </w:r>
            <w:r>
              <w:rPr>
                <w:rStyle w:val="normaltextrun"/>
                <w:rFonts w:eastAsiaTheme="majorEastAsia"/>
                <w:spacing w:val="-4"/>
                <w:sz w:val="20"/>
              </w:rPr>
              <w:t xml:space="preserve">e 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již nacházela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mírně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nad úrovní konjunkturního r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o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ku 2019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, avšak ve srovnání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br/>
              <w:t>s 2. čtvrtletím 2021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(</w:t>
            </w:r>
            <w:r w:rsidRPr="00F06B4E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jež stálo na pokraji silné inflační vlny)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stále lehce zaostávala (o 2,5 %). V případě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 čistých výdělků </w:t>
            </w:r>
            <w:r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 xml:space="preserve">ovšem již i </w:t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tuto úroveň patrně mírně překročila</w:t>
            </w:r>
            <w:r w:rsidRPr="002654D8">
              <w:rPr>
                <w:rStyle w:val="normaltextrun"/>
                <w:rFonts w:ascii="Arial" w:eastAsiaTheme="majorEastAsia" w:hAnsi="Arial"/>
                <w:sz w:val="20"/>
                <w:vertAlign w:val="superscript"/>
              </w:rPr>
              <w:footnoteReference w:id="31"/>
            </w:r>
            <w:r w:rsidRPr="00674526">
              <w:rPr>
                <w:rStyle w:val="normaltextrun"/>
                <w:rFonts w:ascii="Arial" w:eastAsiaTheme="majorEastAsia" w:hAnsi="Arial"/>
                <w:spacing w:val="-4"/>
                <w:sz w:val="20"/>
              </w:rPr>
              <w:t>.</w:t>
            </w:r>
          </w:p>
        </w:tc>
      </w:tr>
      <w:tr w:rsidR="00AD1119" w:rsidRPr="00016778" w14:paraId="2C995A5F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2702F0E6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t>K</w:t>
            </w:r>
            <w:r>
              <w:rPr>
                <w:color w:val="0D0D0D" w:themeColor="text1" w:themeTint="F2"/>
              </w:rPr>
              <w:t>e m</w:t>
            </w:r>
            <w:r>
              <w:rPr>
                <w:color w:val="0D0D0D" w:themeColor="text1" w:themeTint="F2"/>
                <w:spacing w:val="0"/>
              </w:rPr>
              <w:t xml:space="preserve">zdovému růstu nadále přispíval citelný nedostatek volné pracovní síly v řadě </w:t>
            </w:r>
            <w:r>
              <w:rPr>
                <w:color w:val="0D0D0D" w:themeColor="text1" w:themeTint="F2"/>
                <w:spacing w:val="0"/>
              </w:rPr>
              <w:lastRenderedPageBreak/>
              <w:t xml:space="preserve">oborů. Významnou roli měla i opatření státu prostřednictvím institutu minimální mzdy </w:t>
            </w:r>
            <w:r>
              <w:rPr>
                <w:color w:val="0D0D0D" w:themeColor="text1" w:themeTint="F2"/>
                <w:spacing w:val="0"/>
              </w:rPr>
              <w:br/>
              <w:t>i stanovení platových tabulek zaměstnanců placených z veřejných rozpočtů.</w:t>
            </w:r>
          </w:p>
        </w:tc>
        <w:tc>
          <w:tcPr>
            <w:tcW w:w="173" w:type="dxa"/>
            <w:tcMar>
              <w:left w:w="0" w:type="dxa"/>
            </w:tcMar>
          </w:tcPr>
          <w:p w14:paraId="36E08152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5DCDF17E" w14:textId="77777777" w:rsidR="00AD1119" w:rsidRPr="00F650C8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eastAsiaTheme="maj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>Letošní</w:t>
            </w:r>
            <w:r w:rsidRPr="001F7396"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 xml:space="preserve"> svižný mzdový růst probíhal v prostředí mírného růstu tuzemské ekonomiky doprovázeného pouze slabým pos</w:t>
            </w:r>
            <w:r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>i</w:t>
            </w:r>
            <w:r w:rsidRPr="001F7396"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>l</w:t>
            </w:r>
            <w:r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>ováním</w:t>
            </w:r>
            <w:r w:rsidRPr="001F7396"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 xml:space="preserve"> produktivity práce</w:t>
            </w:r>
            <w:r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 xml:space="preserve"> (vztažené na pracovníka)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.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   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Důležitou roli hrály přetrvávající nerovnováhy na trhu práce spočívající zejména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br/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lastRenderedPageBreak/>
              <w:t>v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dlouhodobějším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nedostatk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u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volné pracovní síly,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jenž je 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nejvíce viditeln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ý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ve stavebnictví, ale i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v řadě oblastí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služ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eb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(např. v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dopravě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či pohostinství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)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, což stimuluje další růst nominálních výdělků. Podobně působí i doznívající vliv silného růstu spotřebitelských cen i ziskovosti firem v období l</w:t>
            </w: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 xml:space="preserve">et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2022 až 2023, jenž se promítá do zvýšených mzdových požadavků zaměstnanců. 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Vzhledem k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přetrvávající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relativně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nízké nezaměstnanosti (i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k 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jej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ímu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vcelku 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stabilní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mu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výhled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u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na nejbližší období)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br/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a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absenci výrazněji akcentovaných 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obav domácností z jejího růstu m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ohlo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docházet k větší fluktuaci pracovníků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(vlivem zvýšené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motiv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ace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ke změně pracovního místa s vidinou vyššího výdělku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).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</w:t>
            </w:r>
            <w:r w:rsidRPr="00F650C8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Na mzdový vývoj působila také aktivita státu </w:t>
            </w:r>
            <w:r w:rsidRPr="00F650C8">
              <w:rPr>
                <w:rFonts w:ascii="Arial" w:hAnsi="Arial" w:cs="Arial"/>
                <w:color w:val="0D0D0D" w:themeColor="text1" w:themeTint="F2"/>
                <w:spacing w:val="-4"/>
                <w:sz w:val="20"/>
                <w:szCs w:val="20"/>
              </w:rPr>
              <w:t>–</w:t>
            </w:r>
            <w:r w:rsidRPr="00F650C8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jednak prostřednictvím poměrně svižného plynulého navyšování </w:t>
            </w:r>
            <w:r w:rsidRPr="004B7534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minimální mzdy</w:t>
            </w:r>
            <w:r w:rsidRPr="004B7534">
              <w:rPr>
                <w:rStyle w:val="normaltextrun"/>
                <w:rFonts w:ascii="Arial" w:eastAsiaTheme="majorEastAsia" w:hAnsi="Arial" w:cs="Arial"/>
                <w:sz w:val="20"/>
                <w:szCs w:val="20"/>
                <w:vertAlign w:val="superscript"/>
              </w:rPr>
              <w:footnoteReference w:id="32"/>
            </w:r>
            <w:r w:rsidRPr="004B7534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a</w:t>
            </w:r>
            <w:r w:rsidRPr="00F650C8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dále zejména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r</w:t>
            </w:r>
            <w:r w:rsidRPr="004B7534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ůstem platů ve veřejném sektoru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(ten bývá v posledních letech zpravidla výrazněji diferencovaný z hlediska různých oblastí veřejných služeb a také různého načasování v rámci roku</w:t>
            </w:r>
            <w:r>
              <w:rPr>
                <w:rStyle w:val="Znakapoznpodarou"/>
                <w:rFonts w:ascii="Arial" w:eastAsiaTheme="majorEastAsia" w:hAnsi="Arial"/>
                <w:color w:val="000000"/>
                <w:sz w:val="20"/>
                <w:szCs w:val="20"/>
              </w:rPr>
              <w:footnoteReference w:id="33"/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).</w:t>
            </w:r>
          </w:p>
          <w:p w14:paraId="40B64C49" w14:textId="77777777" w:rsidR="00AD1119" w:rsidRPr="00903591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</w:pPr>
          </w:p>
        </w:tc>
      </w:tr>
      <w:tr w:rsidR="00AD1119" w:rsidRPr="00016778" w14:paraId="2EE6A2DC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122CBDCA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lastRenderedPageBreak/>
              <w:t xml:space="preserve">Vysoký mzdový růst v administrativních </w:t>
            </w:r>
            <w:r>
              <w:rPr>
                <w:color w:val="0D0D0D" w:themeColor="text1" w:themeTint="F2"/>
                <w:spacing w:val="0"/>
              </w:rPr>
              <w:br/>
              <w:t xml:space="preserve">a podpůrných činnostech pokračoval druhým rokem v řadě. Svižný růst byl patrný i v řadě </w:t>
            </w:r>
            <w:r w:rsidRPr="000603B7">
              <w:rPr>
                <w:color w:val="0D0D0D" w:themeColor="text1" w:themeTint="F2"/>
                <w:spacing w:val="-4"/>
              </w:rPr>
              <w:t xml:space="preserve">dalších </w:t>
            </w:r>
            <w:proofErr w:type="spellStart"/>
            <w:r w:rsidRPr="000603B7">
              <w:rPr>
                <w:color w:val="0D0D0D" w:themeColor="text1" w:themeTint="F2"/>
                <w:spacing w:val="-4"/>
              </w:rPr>
              <w:t>nízkovýdělečných</w:t>
            </w:r>
            <w:proofErr w:type="spellEnd"/>
            <w:r>
              <w:rPr>
                <w:color w:val="0D0D0D" w:themeColor="text1" w:themeTint="F2"/>
                <w:spacing w:val="0"/>
              </w:rPr>
              <w:t xml:space="preserve"> odvětví.</w:t>
            </w:r>
          </w:p>
          <w:p w14:paraId="5979A89A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2B45FAF5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36B948C5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7D297725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3ACCAE84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94FE354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68D10480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35A68D6C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t xml:space="preserve">Nejvyšší mzdovou úroveň mezi odvětvími si i přes pokles zaměstnanosti udržely informační </w:t>
            </w:r>
            <w:r>
              <w:rPr>
                <w:color w:val="0D0D0D" w:themeColor="text1" w:themeTint="F2"/>
                <w:spacing w:val="0"/>
              </w:rPr>
              <w:br/>
              <w:t xml:space="preserve">a komunikační činnosti. </w:t>
            </w:r>
          </w:p>
        </w:tc>
        <w:tc>
          <w:tcPr>
            <w:tcW w:w="173" w:type="dxa"/>
            <w:tcMar>
              <w:left w:w="0" w:type="dxa"/>
            </w:tcMar>
          </w:tcPr>
          <w:p w14:paraId="518C49CA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0DF7B742" w14:textId="77777777" w:rsidR="00AD1119" w:rsidRPr="00412B36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</w:pP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Mezi hlavními odvětvími vybočovaly v 1. pololet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í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 2026 (stejně jako po celý loňský rok) silnou mzdovou dynamikou administrativní a podpůrné činnosti, kde se průměrné hrubé výdělky meziročně zvýšily o 14,4 % a přiblížily se hranici 40 tis. korun měsíčně. Růst zde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byl 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koncentrován do segmentu pracovních agentur, relativně významně si polepšili např. i zaměstnanci v úklidových službách.  Mírně nadprůměrně (v pásmu od 6,6 % do 7,4 %) vzrostly výdělky v dalších odvětvích s nižší mzdovou úrovní – zemědělství, lesnictví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br/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a rybářství,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v</w:t>
            </w:r>
            <w:r>
              <w:rPr>
                <w:rStyle w:val="normaltextrun"/>
                <w:rFonts w:eastAsiaTheme="majorEastAsia"/>
                <w:color w:val="000000"/>
                <w:spacing w:val="-2"/>
                <w:sz w:val="20"/>
                <w:szCs w:val="20"/>
              </w:rPr>
              <w:t xml:space="preserve">e 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vodním a odpadovém hospodářství, stavebnictví, činnostech v oblasti nemovitostí a také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v</w:t>
            </w:r>
            <w:r>
              <w:rPr>
                <w:rStyle w:val="normaltextrun"/>
                <w:rFonts w:eastAsiaTheme="majorEastAsia"/>
                <w:color w:val="000000"/>
                <w:spacing w:val="-2"/>
                <w:sz w:val="20"/>
                <w:szCs w:val="20"/>
              </w:rPr>
              <w:t xml:space="preserve"> 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kulturních, zábavních a rekreačních činnostech. Dařilo se ovšem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br/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i vyspělým podnikovým službám soustředěný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m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 zejména v odvětví profesních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,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 vědeckých a technických činnost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í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, kde se mzdy zvyšovaly nadprůměrně i v letech 2024 a 2025 a letos vzrostly o 7,1 % (na 63,8 tis. korun).  Podobn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é</w:t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 navýšení zaznamenalo i peněžnictví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br/>
            </w:r>
            <w:r w:rsidRPr="00412B36"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a pojišťovnictví (v absolutním vyjádření šlo o 5,9 tis. – nejvíce ze všech odvětví). V informačních a komunikačních činnostech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 mzdový růst ve srovnání s loňským tempem zvolnil na 6,4 %, i tak zde zaměstnanci pobírali vůbec nejvíce (94,3 tis. korun). Obě výše uvedená „</w:t>
            </w:r>
            <w:proofErr w:type="spellStart"/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>vysokovýdělková</w:t>
            </w:r>
            <w:proofErr w:type="spellEnd"/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t xml:space="preserve">“ odvětví spojuje i mírný pokles evidenčního počtu pracovníků, jenž zde přetrvával druhým rokem. Z odvětví s významnou rolí veřejných služeb se letos mzdy zvyšovaly nejvíce ve veřejné správě, obraně a sociálním zabezpečení (+7,5 %), nejvyšší úroveň výdělků si ovšem podrželi zaměstnanci ve zdravotní a sociální péči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2"/>
                <w:sz w:val="20"/>
                <w:szCs w:val="20"/>
              </w:rPr>
              <w:br/>
              <w:t xml:space="preserve">(54,1 tis. korun), a to přes pokračující skromnější mzdový růst (+4,6 %). Ve významném odvětví obchodu, soustřeďujícím bezmála pětinu zaměstnanců z celého sektoru služeb, mzdový růst po slabším loňském roce mírně zrychlil na 6,3 %.  </w:t>
            </w:r>
          </w:p>
          <w:p w14:paraId="733E0F87" w14:textId="77777777" w:rsidR="00AD1119" w:rsidRPr="00F80861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119" w:rsidRPr="00016778" w14:paraId="0D074EFB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61028C4A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Mzdové tempo v průmyslu třetím rokem v řadě oslabilo. Řada významných exportních oborů redukovala zaměstnanecká místa.</w:t>
            </w:r>
          </w:p>
          <w:p w14:paraId="39CCDFD4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03B3A5E8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1DF05940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289CA6EC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</w:p>
          <w:p w14:paraId="1CBC67D4" w14:textId="77777777" w:rsidR="00AD1119" w:rsidRDefault="00AD1119" w:rsidP="00E962EE">
            <w:pPr>
              <w:pStyle w:val="Marginlie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Relativně nízký mzdový růst v energetice souvisí s loňskou vysokou výplatou mimořádných odměn.</w:t>
            </w:r>
          </w:p>
        </w:tc>
        <w:tc>
          <w:tcPr>
            <w:tcW w:w="173" w:type="dxa"/>
            <w:tcMar>
              <w:left w:w="0" w:type="dxa"/>
            </w:tcMar>
          </w:tcPr>
          <w:p w14:paraId="02E7FD6C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18F1BDB4" w14:textId="77777777" w:rsidR="00AD1119" w:rsidRPr="00C86893" w:rsidRDefault="00AD1119" w:rsidP="00E962EE">
            <w:pPr>
              <w:pStyle w:val="paragraph"/>
              <w:spacing w:before="0" w:beforeAutospacing="0" w:after="24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</w:pPr>
            <w:r w:rsidRPr="00C86893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>Mzdový růst v průmyslu letos dosáhl 5,6 %, jeho tempo třetí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>m</w:t>
            </w:r>
            <w:r w:rsidRPr="00C86893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 xml:space="preserve"> rok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>e</w:t>
            </w:r>
            <w:r w:rsidRPr="00115193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>m</w:t>
            </w:r>
            <w:r w:rsidRPr="00C86893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 xml:space="preserve"> v řadě kleslo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br/>
            </w:r>
            <w:r w:rsidRPr="00C86893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 xml:space="preserve">a zaměstnanců zde ubývalo fakticky nepřetržitě od roku 2019. Projevuje se zde řízený útlum významné části těžebního průmyslu, který je doprovázen pokračujícím slabý růstem průměrných mezd (aktuálně +3,6 %). V rámci zpracovatelského průmyslu si nejvíce polepšili zaměstnanci v potravinářství (+6,9 %) a výrobě elektrických zařízení (+6,6 %), nejméně ve výrobě stavebních materiálů, strojírenství a kovodělném průmyslu (shodně +5,1 %). To v zásadě odpovídá současným hospodářským výsledkům těchto oborů. Ty se projevují i v energetice, kde letos mzdový růst ovlivněný i vysokou loňskou výplatou odměn razantně zvolnil (na 2,8 %, nejméně mezi všemi odvětvími). V rámci služeb citelně zpomalilo mzdové tempo v dopravě a skladování (na +4,4 %). V ubytování, stravování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br/>
            </w:r>
            <w:r w:rsidRPr="00C86893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>a pohostinství, typickém svou velmi nízkou mzdovou úrovní, se dopad zákonného navýšení minimální mzdy příliš neprojevil. Slabší mzdové tempo (+5,8 %) zde kontrastovalo s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>e</w:t>
            </w:r>
            <w:r w:rsidRPr="00C86893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 xml:space="preserve"> svižným růstem </w:t>
            </w:r>
            <w:r w:rsidRPr="003A4185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>zaměstnanosti. Podobně na tom byly také ostatní činnosti služeb</w:t>
            </w:r>
            <w:r w:rsidRPr="003A4185">
              <w:rPr>
                <w:rStyle w:val="Znakapoznpodarou"/>
                <w:rFonts w:ascii="Arial" w:eastAsiaTheme="majorEastAsia" w:hAnsi="Arial"/>
                <w:color w:val="000000"/>
                <w:spacing w:val="-3"/>
                <w:sz w:val="20"/>
                <w:szCs w:val="20"/>
              </w:rPr>
              <w:footnoteReference w:id="34"/>
            </w:r>
            <w:r w:rsidRPr="003A4185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 xml:space="preserve">, kde </w:t>
            </w:r>
            <w:r w:rsidRPr="003A4185"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lastRenderedPageBreak/>
              <w:t>mzdový růst ve srovnání s loňským tempem citelně oslabil (na 3,0 %)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pacing w:val="-3"/>
                <w:sz w:val="20"/>
                <w:szCs w:val="20"/>
              </w:rPr>
              <w:t xml:space="preserve"> a průměrné výdělky nedosahovaly ani tří čtvrtin úrovně národního hospodářství.</w:t>
            </w:r>
          </w:p>
        </w:tc>
      </w:tr>
      <w:tr w:rsidR="00AD1119" w:rsidRPr="00016778" w14:paraId="4EB2DF09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6C6D9A38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lastRenderedPageBreak/>
              <w:t>Procentní mzdový růst v Praze se významně neodlišoval od ostatních regionů.</w:t>
            </w:r>
          </w:p>
          <w:p w14:paraId="43C24889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0F6582B8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4454833E" w14:textId="77777777" w:rsidR="00AD1119" w:rsidRPr="008C292F" w:rsidRDefault="00AD1119" w:rsidP="00E962EE">
            <w:pPr>
              <w:pStyle w:val="Marginlie"/>
              <w:rPr>
                <w:color w:val="0D0D0D" w:themeColor="text1" w:themeTint="F2"/>
              </w:rPr>
            </w:pPr>
            <w:r w:rsidRPr="008C292F">
              <w:rPr>
                <w:color w:val="0D0D0D" w:themeColor="text1" w:themeTint="F2"/>
              </w:rPr>
              <w:t xml:space="preserve">Problémy těžebního průmyslu se odrazily v poklesu počtu zaměstnanců na úrovni celého Moravskoslezského kraje. </w:t>
            </w:r>
          </w:p>
        </w:tc>
        <w:tc>
          <w:tcPr>
            <w:tcW w:w="173" w:type="dxa"/>
            <w:tcMar>
              <w:left w:w="0" w:type="dxa"/>
            </w:tcMar>
          </w:tcPr>
          <w:p w14:paraId="793BB66A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02D1F8FF" w14:textId="77777777" w:rsidR="00AD1119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</w:pPr>
            <w:r w:rsidRPr="009A2DB7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Mezi </w:t>
            </w:r>
            <w:r w:rsidRPr="008C292F">
              <w:rPr>
                <w:rStyle w:val="normaltextrun"/>
                <w:rFonts w:ascii="Arial" w:eastAsiaTheme="majorEastAsia" w:hAnsi="Arial" w:cs="Arial"/>
                <w:color w:val="0D0D0D" w:themeColor="text1" w:themeTint="F2"/>
                <w:sz w:val="20"/>
                <w:szCs w:val="20"/>
              </w:rPr>
              <w:t xml:space="preserve">regiony rostly letos </w:t>
            </w:r>
            <w:r w:rsidRPr="009A2DB7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v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1</w:t>
            </w:r>
            <w:r w:rsidRPr="009A2DB7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pololetí</w:t>
            </w:r>
            <w:r w:rsidRPr="009A2DB7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průměrné nominální mzdy meziročně nejvíce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v Plzeňském kraji (+7,0 %), nejméně v kraji Ústeckém (+5,3 %). Mzdová dynamika v Praze kopírovala celostátní tempo, ovšem evidenční počet zaměstnanců zde spolu s Pardubickým krajem rostl nejvíce ze všech regionů (+1,5 %). Nepatrné snížení počtu zaměstnanců postihlo pouze Moravskoslezský kraj (</w:t>
            </w:r>
            <w:r w:rsidRPr="00903591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>–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0,2 %), kde se promítl dopad razantního útlumu těžeb uhlí). </w:t>
            </w:r>
            <w:r w:rsidRPr="00D27E97"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Mzdová hladina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v Praze (66,5 tis. korun/měsíc) převyšovala národní úroveň skoro o třetinu, řádově méně pak ve středních Čechách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br/>
              <w:t>(s 51,8 tis.). Nejnižší mzdovou úroveň vykazují dlouhodobě podniky v Karlovarském kraji</w:t>
            </w:r>
            <w:r>
              <w:rPr>
                <w:rStyle w:val="Znakapoznpodarou"/>
                <w:rFonts w:ascii="Arial" w:eastAsiaTheme="majorEastAsia" w:hAnsi="Arial"/>
                <w:color w:val="000000"/>
                <w:sz w:val="20"/>
                <w:szCs w:val="20"/>
              </w:rPr>
              <w:footnoteReference w:id="35"/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0"/>
                <w:szCs w:val="20"/>
              </w:rPr>
              <w:t xml:space="preserve"> (letos na 85 % celorepublikové hladiny) s drobným odstupem následně v kraji Zlínském, Olomouckém a Pardubickém. </w:t>
            </w:r>
          </w:p>
          <w:p w14:paraId="4C4A051C" w14:textId="77777777" w:rsidR="00AD1119" w:rsidRPr="00B82257" w:rsidRDefault="00AD1119" w:rsidP="00E962E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eastAsiaTheme="majorEastAsia" w:hAnsi="Arial"/>
                <w:sz w:val="20"/>
              </w:rPr>
            </w:pPr>
          </w:p>
        </w:tc>
      </w:tr>
      <w:tr w:rsidR="00AD1119" w:rsidRPr="00016778" w14:paraId="68A1D85B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3F234146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468BEE93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014C5692" w14:textId="77777777" w:rsidR="00AD1119" w:rsidRPr="004A2AF4" w:rsidRDefault="00AD1119" w:rsidP="00E962EE">
            <w:pPr>
              <w:spacing w:after="0"/>
              <w:jc w:val="left"/>
              <w:rPr>
                <w:rFonts w:cs="Arial"/>
                <w:b/>
                <w:color w:val="0D0D0D" w:themeColor="text1" w:themeTint="F2"/>
                <w:spacing w:val="-4"/>
                <w:szCs w:val="20"/>
              </w:rPr>
            </w:pPr>
            <w:r w:rsidRPr="00BE517C">
              <w:rPr>
                <w:rFonts w:cs="Arial"/>
                <w:b/>
                <w:color w:val="0D0D0D" w:themeColor="text1" w:themeTint="F2"/>
                <w:spacing w:val="-6"/>
                <w:szCs w:val="20"/>
              </w:rPr>
              <w:t>Graf č. 1</w:t>
            </w:r>
            <w:r>
              <w:rPr>
                <w:rFonts w:cs="Arial"/>
                <w:b/>
                <w:color w:val="0D0D0D" w:themeColor="text1" w:themeTint="F2"/>
                <w:spacing w:val="-6"/>
                <w:szCs w:val="20"/>
              </w:rPr>
              <w:t>6</w:t>
            </w:r>
            <w:r w:rsidRPr="00BE517C">
              <w:rPr>
                <w:rFonts w:cs="Arial"/>
                <w:b/>
                <w:color w:val="0D0D0D" w:themeColor="text1" w:themeTint="F2"/>
                <w:spacing w:val="-6"/>
                <w:szCs w:val="20"/>
              </w:rPr>
              <w:t xml:space="preserve"> </w:t>
            </w:r>
            <w:r w:rsidRPr="00A90A79">
              <w:rPr>
                <w:rFonts w:cs="Arial"/>
                <w:b/>
                <w:color w:val="0D0D0D" w:themeColor="text1" w:themeTint="F2"/>
                <w:spacing w:val="-4"/>
                <w:szCs w:val="20"/>
              </w:rPr>
              <w:t xml:space="preserve">Průměrná nominální </w:t>
            </w:r>
            <w:r>
              <w:rPr>
                <w:rFonts w:cs="Arial"/>
                <w:b/>
                <w:color w:val="0D0D0D" w:themeColor="text1" w:themeTint="F2"/>
                <w:spacing w:val="-4"/>
                <w:szCs w:val="20"/>
              </w:rPr>
              <w:t>a</w:t>
            </w:r>
            <w:r w:rsidRPr="00A90A79">
              <w:rPr>
                <w:rFonts w:cs="Arial"/>
                <w:b/>
                <w:color w:val="0D0D0D" w:themeColor="text1" w:themeTint="F2"/>
                <w:spacing w:val="-4"/>
                <w:szCs w:val="20"/>
              </w:rPr>
              <w:t xml:space="preserve"> reálná mzda </w:t>
            </w:r>
            <w:r>
              <w:rPr>
                <w:rFonts w:cs="Arial"/>
                <w:b/>
                <w:color w:val="0D0D0D" w:themeColor="text1" w:themeTint="F2"/>
                <w:spacing w:val="-4"/>
                <w:szCs w:val="20"/>
              </w:rPr>
              <w:t xml:space="preserve">v národním hospodářství a vybraných odvětvích </w:t>
            </w:r>
            <w:r w:rsidRPr="00BE517C">
              <w:rPr>
                <w:rFonts w:cs="Arial"/>
                <w:color w:val="0D0D0D" w:themeColor="text1" w:themeTint="F2"/>
                <w:spacing w:val="-6"/>
                <w:szCs w:val="20"/>
              </w:rPr>
              <w:t>(meziroční změna, v %</w:t>
            </w:r>
            <w:r>
              <w:rPr>
                <w:rFonts w:cs="Arial"/>
                <w:color w:val="0D0D0D" w:themeColor="text1" w:themeTint="F2"/>
                <w:spacing w:val="-6"/>
                <w:szCs w:val="20"/>
              </w:rPr>
              <w:t>)</w:t>
            </w:r>
          </w:p>
        </w:tc>
      </w:tr>
      <w:tr w:rsidR="00AD1119" w:rsidRPr="00016778" w14:paraId="33411AEF" w14:textId="77777777" w:rsidTr="00E962EE">
        <w:tblPrEx>
          <w:tblCellMar>
            <w:left w:w="70" w:type="dxa"/>
            <w:right w:w="70" w:type="dxa"/>
          </w:tblCellMar>
        </w:tblPrEx>
        <w:trPr>
          <w:trHeight w:val="132"/>
        </w:trPr>
        <w:tc>
          <w:tcPr>
            <w:tcW w:w="1797" w:type="dxa"/>
          </w:tcPr>
          <w:p w14:paraId="23F6198A" w14:textId="77777777" w:rsidR="00AD1119" w:rsidRPr="009C466F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</w:tc>
        <w:tc>
          <w:tcPr>
            <w:tcW w:w="173" w:type="dxa"/>
          </w:tcPr>
          <w:p w14:paraId="333E9974" w14:textId="77777777" w:rsidR="00AD1119" w:rsidRPr="00B43216" w:rsidRDefault="00AD1119" w:rsidP="00E962EE">
            <w:pPr>
              <w:pStyle w:val="Textpoznpodarou"/>
              <w:jc w:val="both"/>
              <w:rPr>
                <w:spacing w:val="-4"/>
              </w:rPr>
            </w:pPr>
          </w:p>
          <w:p w14:paraId="0391B436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</w:tcPr>
          <w:p w14:paraId="07BB3085" w14:textId="77777777" w:rsidR="00AD1119" w:rsidRPr="00903591" w:rsidRDefault="00AD1119" w:rsidP="00E962EE">
            <w:pPr>
              <w:spacing w:before="20" w:after="40"/>
              <w:rPr>
                <w:rFonts w:eastAsiaTheme="majorEastAsia" w:cs="Arial"/>
                <w:color w:val="00000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6AE0F6F" wp14:editId="7E92E292">
                  <wp:extent cx="4746625" cy="3768918"/>
                  <wp:effectExtent l="0" t="0" r="0" b="3175"/>
                  <wp:docPr id="1766517674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3326E5-DA2F-6CAD-023A-6648DAE8FB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AD1119" w:rsidRPr="00016778" w14:paraId="360027DC" w14:textId="77777777" w:rsidTr="00E962EE">
        <w:trPr>
          <w:trHeight w:val="132"/>
        </w:trPr>
        <w:tc>
          <w:tcPr>
            <w:tcW w:w="1797" w:type="dxa"/>
            <w:tcMar>
              <w:left w:w="0" w:type="dxa"/>
            </w:tcMar>
          </w:tcPr>
          <w:p w14:paraId="63B31AA3" w14:textId="77777777" w:rsidR="00AD1119" w:rsidRDefault="00AD1119" w:rsidP="00E962EE">
            <w:pPr>
              <w:pStyle w:val="Marginlie"/>
              <w:rPr>
                <w:color w:val="0D0D0D" w:themeColor="text1" w:themeTint="F2"/>
                <w:spacing w:val="0"/>
              </w:rPr>
            </w:pPr>
          </w:p>
        </w:tc>
        <w:tc>
          <w:tcPr>
            <w:tcW w:w="173" w:type="dxa"/>
            <w:tcMar>
              <w:left w:w="0" w:type="dxa"/>
            </w:tcMar>
          </w:tcPr>
          <w:p w14:paraId="6911DAEB" w14:textId="77777777" w:rsidR="00AD1119" w:rsidRPr="00016778" w:rsidRDefault="00AD1119" w:rsidP="00E962EE">
            <w:pPr>
              <w:pStyle w:val="Textpoznpodarou"/>
              <w:jc w:val="both"/>
              <w:rPr>
                <w:color w:val="0D0D0D" w:themeColor="text1" w:themeTint="F2"/>
                <w:spacing w:val="-4"/>
              </w:rPr>
            </w:pPr>
          </w:p>
        </w:tc>
        <w:tc>
          <w:tcPr>
            <w:tcW w:w="7704" w:type="dxa"/>
            <w:tcMar>
              <w:left w:w="0" w:type="dxa"/>
            </w:tcMar>
          </w:tcPr>
          <w:p w14:paraId="6D08654D" w14:textId="77777777" w:rsidR="00AD1119" w:rsidRDefault="00AD1119" w:rsidP="00E962EE">
            <w:pPr>
              <w:spacing w:after="0" w:line="240" w:lineRule="auto"/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</w:pPr>
            <w:r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  <w:t>*</w:t>
            </w:r>
            <w:r w:rsidRPr="00A90A79"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  <w:t>Zahrnuj</w:t>
            </w:r>
            <w:r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  <w:t>e odvětví s významnou rolí vládního sektoru</w:t>
            </w:r>
            <w:r w:rsidRPr="00A90A79"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  <w:t>: Veřejná správa a obrana, povinné sociální zabezpečení; Vzdělávání; Zdravotní a sociální péče; Kulturn</w:t>
            </w:r>
            <w:r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  <w:t>í, zábavní a rekreační činnosti.</w:t>
            </w:r>
          </w:p>
          <w:p w14:paraId="76232571" w14:textId="77777777" w:rsidR="00AD1119" w:rsidRDefault="00AD1119" w:rsidP="00E962EE">
            <w:pPr>
              <w:spacing w:after="0"/>
              <w:jc w:val="left"/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</w:pPr>
            <w:r w:rsidRPr="00A90A79">
              <w:rPr>
                <w:rFonts w:cs="Arial"/>
                <w:color w:val="0D0D0D" w:themeColor="text1" w:themeTint="F2"/>
                <w:spacing w:val="-4"/>
                <w:sz w:val="14"/>
                <w:szCs w:val="14"/>
              </w:rPr>
              <w:t>Zdroj: ČSÚ</w:t>
            </w:r>
          </w:p>
          <w:p w14:paraId="3D606499" w14:textId="77777777" w:rsidR="00AD1119" w:rsidRPr="00151F13" w:rsidRDefault="00AD1119" w:rsidP="00E962EE">
            <w:pPr>
              <w:spacing w:after="0"/>
              <w:jc w:val="left"/>
              <w:rPr>
                <w:rStyle w:val="normaltextrun"/>
                <w:rFonts w:cs="Arial"/>
                <w:color w:val="0D0D0D" w:themeColor="text1" w:themeTint="F2"/>
                <w:spacing w:val="-4"/>
                <w:sz w:val="14"/>
                <w:szCs w:val="14"/>
              </w:rPr>
            </w:pPr>
          </w:p>
        </w:tc>
      </w:tr>
    </w:tbl>
    <w:p w14:paraId="3F05FA70" w14:textId="77777777" w:rsidR="00AD1119" w:rsidRPr="00A40EDD" w:rsidRDefault="00AD1119" w:rsidP="00AD1119">
      <w:pPr>
        <w:spacing w:after="0" w:line="240" w:lineRule="auto"/>
        <w:jc w:val="left"/>
        <w:rPr>
          <w:rFonts w:eastAsia="MS Gothic"/>
          <w:b/>
          <w:bCs/>
          <w:color w:val="86BF5E"/>
          <w:sz w:val="6"/>
          <w:szCs w:val="6"/>
        </w:rPr>
      </w:pPr>
    </w:p>
    <w:bookmarkEnd w:id="2"/>
    <w:p w14:paraId="58768DE1" w14:textId="09A90880" w:rsidR="00AD1119" w:rsidRDefault="00AD1119">
      <w:pPr>
        <w:spacing w:after="0" w:line="240" w:lineRule="auto"/>
        <w:jc w:val="left"/>
        <w:rPr>
          <w:rFonts w:eastAsia="MS Gothic"/>
          <w:b/>
          <w:bCs/>
          <w:color w:val="86BF5E"/>
          <w:sz w:val="32"/>
          <w:szCs w:val="28"/>
        </w:rPr>
      </w:pPr>
    </w:p>
    <w:sectPr w:rsidR="00AD1119" w:rsidSect="00C247DE">
      <w:headerReference w:type="even" r:id="rId14"/>
      <w:headerReference w:type="default" r:id="rId15"/>
      <w:footerReference w:type="even" r:id="rId16"/>
      <w:footerReference w:type="default" r:id="rId17"/>
      <w:pgSz w:w="11906" w:h="16838" w:code="9"/>
      <w:pgMar w:top="1134" w:right="1134" w:bottom="1418" w:left="1134" w:header="680" w:footer="680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A30D0" w14:textId="77777777" w:rsidR="008E0808" w:rsidRDefault="008E0808" w:rsidP="00E71A58">
      <w:r>
        <w:separator/>
      </w:r>
    </w:p>
  </w:endnote>
  <w:endnote w:type="continuationSeparator" w:id="0">
    <w:p w14:paraId="1A496D24" w14:textId="77777777" w:rsidR="008E0808" w:rsidRDefault="008E0808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6754" w14:textId="006763FA" w:rsidR="00763B85" w:rsidRPr="00932443" w:rsidRDefault="00763B85" w:rsidP="00A418BC">
    <w:pPr>
      <w:pStyle w:val="Zpat"/>
      <w:rPr>
        <w:szCs w:val="16"/>
      </w:rPr>
    </w:pPr>
    <w:r w:rsidRPr="00932443">
      <w:rPr>
        <w:szCs w:val="16"/>
      </w:rPr>
      <w:fldChar w:fldCharType="begin"/>
    </w:r>
    <w:r w:rsidRPr="00932443">
      <w:rPr>
        <w:szCs w:val="16"/>
      </w:rPr>
      <w:instrText>PAGE   \* MERGEFORMAT</w:instrText>
    </w:r>
    <w:r w:rsidRPr="00932443">
      <w:rPr>
        <w:szCs w:val="16"/>
      </w:rPr>
      <w:fldChar w:fldCharType="separate"/>
    </w:r>
    <w:r w:rsidR="00C35666">
      <w:rPr>
        <w:szCs w:val="16"/>
      </w:rPr>
      <w:t>8</w:t>
    </w:r>
    <w:r w:rsidRPr="00932443">
      <w:rPr>
        <w:szCs w:val="16"/>
      </w:rPr>
      <w:fldChar w:fldCharType="end"/>
    </w:r>
    <w:r w:rsidRPr="00932443">
      <w:rPr>
        <w:szCs w:val="16"/>
      </w:rPr>
      <w:tab/>
    </w:r>
    <w:r w:rsidR="009203C8">
      <w:rPr>
        <w:szCs w:val="16"/>
      </w:rPr>
      <w:t>1. pololetí 2026</w:t>
    </w:r>
    <w:r w:rsidR="002B4121">
      <w:rPr>
        <w:szCs w:val="16"/>
      </w:rPr>
      <w:tab/>
      <w:t>ČSÚ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FA4F" w14:textId="6FEC4AAE" w:rsidR="00763B85" w:rsidRPr="00932443" w:rsidRDefault="002B4121" w:rsidP="00A418BC">
    <w:pPr>
      <w:pStyle w:val="Zpat"/>
      <w:rPr>
        <w:szCs w:val="16"/>
      </w:rPr>
    </w:pPr>
    <w:r>
      <w:rPr>
        <w:szCs w:val="16"/>
        <w:lang w:eastAsia="cs-CZ"/>
      </w:rPr>
      <w:t>ČSÚ</w:t>
    </w:r>
    <w:r w:rsidR="00763B85" w:rsidRPr="00932443">
      <w:rPr>
        <w:szCs w:val="16"/>
      </w:rPr>
      <w:tab/>
    </w:r>
    <w:r w:rsidR="009203C8">
      <w:rPr>
        <w:szCs w:val="16"/>
      </w:rPr>
      <w:t>1. pololetí 2026</w:t>
    </w:r>
    <w:r w:rsidR="00763B85" w:rsidRPr="00932443">
      <w:rPr>
        <w:szCs w:val="16"/>
      </w:rPr>
      <w:tab/>
    </w:r>
    <w:r w:rsidR="00763B85" w:rsidRPr="00932443">
      <w:rPr>
        <w:rStyle w:val="ZpatChar"/>
        <w:szCs w:val="16"/>
      </w:rPr>
      <w:fldChar w:fldCharType="begin"/>
    </w:r>
    <w:r w:rsidR="00763B85" w:rsidRPr="00932443">
      <w:rPr>
        <w:rStyle w:val="ZpatChar"/>
        <w:szCs w:val="16"/>
      </w:rPr>
      <w:instrText>PAGE   \* MERGEFORMAT</w:instrText>
    </w:r>
    <w:r w:rsidR="00763B85" w:rsidRPr="00932443">
      <w:rPr>
        <w:rStyle w:val="ZpatChar"/>
        <w:szCs w:val="16"/>
      </w:rPr>
      <w:fldChar w:fldCharType="separate"/>
    </w:r>
    <w:r w:rsidR="00C35666">
      <w:rPr>
        <w:rStyle w:val="ZpatChar"/>
        <w:szCs w:val="16"/>
      </w:rPr>
      <w:t>3</w:t>
    </w:r>
    <w:r w:rsidR="00763B85"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B6E4" w14:textId="77777777" w:rsidR="008E0808" w:rsidRPr="00BB2F43" w:rsidRDefault="008E0808" w:rsidP="00BB2F43">
      <w:pPr>
        <w:pStyle w:val="Zpat"/>
      </w:pPr>
      <w:r>
        <w:separator/>
      </w:r>
    </w:p>
  </w:footnote>
  <w:footnote w:type="continuationSeparator" w:id="0">
    <w:p w14:paraId="01EF430F" w14:textId="77777777" w:rsidR="008E0808" w:rsidRDefault="008E0808" w:rsidP="00E71A58">
      <w:r>
        <w:continuationSeparator/>
      </w:r>
    </w:p>
  </w:footnote>
  <w:footnote w:id="1">
    <w:p w14:paraId="640B05A8" w14:textId="77777777" w:rsidR="00AD1119" w:rsidRPr="00F72E52" w:rsidRDefault="00AD1119" w:rsidP="00AD1119">
      <w:pPr>
        <w:pStyle w:val="Textpoznpodarou"/>
        <w:rPr>
          <w:color w:val="0D0D0D" w:themeColor="text1" w:themeTint="F2"/>
          <w:spacing w:val="-2"/>
          <w:sz w:val="16"/>
          <w:szCs w:val="16"/>
        </w:rPr>
      </w:pPr>
      <w:r w:rsidRPr="00F72E52">
        <w:rPr>
          <w:rStyle w:val="Znakapoznpodarou"/>
          <w:color w:val="0D0D0D" w:themeColor="text1" w:themeTint="F2"/>
          <w:spacing w:val="-2"/>
          <w:sz w:val="16"/>
          <w:szCs w:val="16"/>
        </w:rPr>
        <w:footnoteRef/>
      </w:r>
      <w:r w:rsidRPr="00F72E52">
        <w:rPr>
          <w:color w:val="0D0D0D" w:themeColor="text1" w:themeTint="F2"/>
          <w:spacing w:val="-2"/>
          <w:sz w:val="16"/>
          <w:szCs w:val="16"/>
        </w:rPr>
        <w:t xml:space="preserve"> Údaje </w:t>
      </w:r>
      <w:r>
        <w:rPr>
          <w:color w:val="0D0D0D" w:themeColor="text1" w:themeTint="F2"/>
          <w:spacing w:val="-2"/>
          <w:sz w:val="16"/>
          <w:szCs w:val="16"/>
        </w:rPr>
        <w:t xml:space="preserve">o zaměstnanosti </w:t>
      </w:r>
      <w:r w:rsidRPr="00F72E52">
        <w:rPr>
          <w:color w:val="0D0D0D" w:themeColor="text1" w:themeTint="F2"/>
          <w:spacing w:val="-2"/>
          <w:sz w:val="16"/>
          <w:szCs w:val="16"/>
        </w:rPr>
        <w:t>vycház</w:t>
      </w:r>
      <w:r>
        <w:rPr>
          <w:color w:val="0D0D0D" w:themeColor="text1" w:themeTint="F2"/>
          <w:spacing w:val="-2"/>
          <w:sz w:val="16"/>
          <w:szCs w:val="16"/>
        </w:rPr>
        <w:t>ej</w:t>
      </w:r>
      <w:r w:rsidRPr="00F72E52">
        <w:rPr>
          <w:color w:val="0D0D0D" w:themeColor="text1" w:themeTint="F2"/>
          <w:spacing w:val="-2"/>
          <w:sz w:val="16"/>
          <w:szCs w:val="16"/>
        </w:rPr>
        <w:t>í z</w:t>
      </w:r>
      <w:r>
        <w:rPr>
          <w:color w:val="0D0D0D" w:themeColor="text1" w:themeTint="F2"/>
          <w:spacing w:val="-2"/>
          <w:sz w:val="16"/>
          <w:szCs w:val="16"/>
        </w:rPr>
        <w:t> </w:t>
      </w:r>
      <w:r w:rsidRPr="00F72E52">
        <w:rPr>
          <w:color w:val="0D0D0D" w:themeColor="text1" w:themeTint="F2"/>
          <w:spacing w:val="-2"/>
          <w:sz w:val="16"/>
          <w:szCs w:val="16"/>
        </w:rPr>
        <w:t>pojetí národních účtů. Jsou vyjádřeny ve fyzických osobách a</w:t>
      </w:r>
      <w:r>
        <w:rPr>
          <w:color w:val="0D0D0D" w:themeColor="text1" w:themeTint="F2"/>
          <w:spacing w:val="-2"/>
          <w:sz w:val="16"/>
          <w:szCs w:val="16"/>
        </w:rPr>
        <w:t> </w:t>
      </w:r>
      <w:r w:rsidRPr="00F72E52">
        <w:rPr>
          <w:color w:val="0D0D0D" w:themeColor="text1" w:themeTint="F2"/>
          <w:spacing w:val="-2"/>
          <w:sz w:val="16"/>
          <w:szCs w:val="16"/>
        </w:rPr>
        <w:t>očištěny o sezónní vlivy.</w:t>
      </w:r>
      <w:r>
        <w:rPr>
          <w:color w:val="0D0D0D" w:themeColor="text1" w:themeTint="F2"/>
          <w:spacing w:val="-2"/>
          <w:sz w:val="16"/>
          <w:szCs w:val="16"/>
        </w:rPr>
        <w:t xml:space="preserve"> Na rozdíl od údajů z podnikové statistiky či z </w:t>
      </w:r>
      <w:r w:rsidRPr="00946AFA">
        <w:rPr>
          <w:sz w:val="16"/>
          <w:szCs w:val="16"/>
        </w:rPr>
        <w:t xml:space="preserve">výběrového šetření pracovních sil </w:t>
      </w:r>
      <w:r>
        <w:rPr>
          <w:sz w:val="16"/>
          <w:szCs w:val="16"/>
        </w:rPr>
        <w:t>(VŠPS) zahrnují např. i odhad vlivu šedé ekonomiky.</w:t>
      </w:r>
    </w:p>
  </w:footnote>
  <w:footnote w:id="2">
    <w:p w14:paraId="15E4D95F" w14:textId="77777777" w:rsidR="00AD1119" w:rsidRPr="000412D4" w:rsidRDefault="00AD1119" w:rsidP="00AD1119">
      <w:pPr>
        <w:pStyle w:val="Textpoznpodarou"/>
        <w:rPr>
          <w:sz w:val="16"/>
          <w:szCs w:val="16"/>
        </w:rPr>
      </w:pPr>
      <w:r w:rsidRPr="000412D4">
        <w:rPr>
          <w:rStyle w:val="Znakapoznpodarou"/>
          <w:sz w:val="16"/>
          <w:szCs w:val="16"/>
        </w:rPr>
        <w:footnoteRef/>
      </w:r>
      <w:r w:rsidRPr="000412D4">
        <w:rPr>
          <w:sz w:val="16"/>
          <w:szCs w:val="16"/>
        </w:rPr>
        <w:t xml:space="preserve"> V odvětví veřejná správa a obrana, vzdělávání, zdravotní a sociální péče</w:t>
      </w:r>
      <w:r>
        <w:rPr>
          <w:sz w:val="16"/>
          <w:szCs w:val="16"/>
        </w:rPr>
        <w:t xml:space="preserve"> bylo letos ve 2. čtvrtletí ve srovnání s koncem roku 2018 zaměstnáno o 13 % (+135 tis.) osob více. Významný vliv mělo i navýšení v profesních</w:t>
      </w:r>
      <w:r w:rsidRPr="00591EF5">
        <w:rPr>
          <w:sz w:val="16"/>
          <w:szCs w:val="16"/>
        </w:rPr>
        <w:t>, vě</w:t>
      </w:r>
      <w:r>
        <w:rPr>
          <w:sz w:val="16"/>
          <w:szCs w:val="16"/>
        </w:rPr>
        <w:t>deckých, technických a administrativních činnostech (+10 %), i</w:t>
      </w:r>
      <w:r w:rsidRPr="00591EF5">
        <w:rPr>
          <w:sz w:val="16"/>
          <w:szCs w:val="16"/>
        </w:rPr>
        <w:t>nformační</w:t>
      </w:r>
      <w:r>
        <w:rPr>
          <w:sz w:val="16"/>
          <w:szCs w:val="16"/>
        </w:rPr>
        <w:t>ch</w:t>
      </w:r>
      <w:r w:rsidRPr="00591EF5">
        <w:rPr>
          <w:sz w:val="16"/>
          <w:szCs w:val="16"/>
        </w:rPr>
        <w:t xml:space="preserve"> a komunikační</w:t>
      </w:r>
      <w:r>
        <w:rPr>
          <w:sz w:val="16"/>
          <w:szCs w:val="16"/>
        </w:rPr>
        <w:t>ch činnostech (+23 %) a též v oblasti nemovitostí. Z tradičních odvětví hmotné výroby se zvýšila pouze zaměstnanost ve stavebnictví (+10 %, resp. +39 tis. osob), v průmyslu pracovníků citelně ubylo (</w:t>
      </w:r>
      <w:r w:rsidRPr="00ED60FF">
        <w:rPr>
          <w:color w:val="0D0D0D" w:themeColor="text1" w:themeTint="F2"/>
          <w:spacing w:val="-2"/>
          <w:sz w:val="16"/>
          <w:szCs w:val="16"/>
        </w:rPr>
        <w:t>−</w:t>
      </w:r>
      <w:r>
        <w:rPr>
          <w:sz w:val="16"/>
          <w:szCs w:val="16"/>
        </w:rPr>
        <w:t xml:space="preserve">7 %, </w:t>
      </w:r>
      <w:r w:rsidRPr="00ED60FF">
        <w:rPr>
          <w:color w:val="0D0D0D" w:themeColor="text1" w:themeTint="F2"/>
          <w:spacing w:val="-2"/>
          <w:sz w:val="16"/>
          <w:szCs w:val="16"/>
        </w:rPr>
        <w:t>−</w:t>
      </w:r>
      <w:r>
        <w:rPr>
          <w:color w:val="0D0D0D" w:themeColor="text1" w:themeTint="F2"/>
          <w:spacing w:val="-2"/>
          <w:sz w:val="16"/>
          <w:szCs w:val="16"/>
        </w:rPr>
        <w:t>1</w:t>
      </w:r>
      <w:r>
        <w:rPr>
          <w:sz w:val="16"/>
          <w:szCs w:val="16"/>
        </w:rPr>
        <w:t>02 tis.).</w:t>
      </w:r>
    </w:p>
  </w:footnote>
  <w:footnote w:id="3">
    <w:p w14:paraId="0773D51A" w14:textId="77777777" w:rsidR="00AD1119" w:rsidRPr="0012394D" w:rsidRDefault="00AD1119" w:rsidP="00AD1119">
      <w:pPr>
        <w:pStyle w:val="Textpoznpodarou"/>
        <w:rPr>
          <w:sz w:val="16"/>
          <w:szCs w:val="16"/>
        </w:rPr>
      </w:pPr>
      <w:r w:rsidRPr="0012394D">
        <w:rPr>
          <w:rStyle w:val="Znakapoznpodarou"/>
          <w:sz w:val="16"/>
          <w:szCs w:val="16"/>
        </w:rPr>
        <w:footnoteRef/>
      </w:r>
      <w:r w:rsidRPr="0012394D">
        <w:rPr>
          <w:sz w:val="16"/>
          <w:szCs w:val="16"/>
        </w:rPr>
        <w:t xml:space="preserve"> </w:t>
      </w:r>
      <w:r w:rsidRPr="00340C8C">
        <w:rPr>
          <w:spacing w:val="-2"/>
          <w:sz w:val="16"/>
          <w:szCs w:val="16"/>
        </w:rPr>
        <w:t>Letošní růst zaměstnanosti byl v Česku, stejně jako po celý loňský rok, svižnější než v EU. Ten v Unii v 1. pololetí 2026 činil pouze 0,5 %, mj. i vlivem přetrvávajícího poklesu v Německu (</w:t>
      </w:r>
      <w:r w:rsidRPr="00340C8C">
        <w:rPr>
          <w:color w:val="0D0D0D" w:themeColor="text1" w:themeTint="F2"/>
          <w:spacing w:val="-2"/>
          <w:sz w:val="16"/>
          <w:szCs w:val="16"/>
        </w:rPr>
        <w:t>−</w:t>
      </w:r>
      <w:r w:rsidRPr="00340C8C">
        <w:rPr>
          <w:spacing w:val="-2"/>
          <w:sz w:val="16"/>
          <w:szCs w:val="16"/>
        </w:rPr>
        <w:t>0,5 %) či Rumunsku (</w:t>
      </w:r>
      <w:r w:rsidRPr="00340C8C">
        <w:rPr>
          <w:color w:val="0D0D0D" w:themeColor="text1" w:themeTint="F2"/>
          <w:spacing w:val="-2"/>
          <w:sz w:val="16"/>
          <w:szCs w:val="16"/>
        </w:rPr>
        <w:t>−</w:t>
      </w:r>
      <w:r w:rsidRPr="00340C8C">
        <w:rPr>
          <w:spacing w:val="-2"/>
          <w:sz w:val="16"/>
          <w:szCs w:val="16"/>
        </w:rPr>
        <w:t xml:space="preserve">1,3 %). Ze středoevropských států zaznamenalo dále růst již pouze Polsko (+0,8 %). Vyšším </w:t>
      </w:r>
      <w:proofErr w:type="gramStart"/>
      <w:r w:rsidRPr="00340C8C">
        <w:rPr>
          <w:spacing w:val="-2"/>
          <w:sz w:val="16"/>
          <w:szCs w:val="16"/>
        </w:rPr>
        <w:t>tempem</w:t>
      </w:r>
      <w:proofErr w:type="gramEnd"/>
      <w:r w:rsidRPr="00340C8C">
        <w:rPr>
          <w:spacing w:val="-2"/>
          <w:sz w:val="16"/>
          <w:szCs w:val="16"/>
        </w:rPr>
        <w:t xml:space="preserve"> než v tuzemsku přibývalo pracovníků jen v šesti členských státech – např. v Itálii (+1,3 %) či Španělsku (+2,3 %). Meziroční vývoj zaměstnanosti z pohledu odvětví byl v Unii velmi podobný jako v Česku – celkový růst byl tažen drtivou většinou služeb (vyjma oblasti ICT) a stavebnictvím. Pokles postihl průmysl (</w:t>
      </w:r>
      <w:r w:rsidRPr="00340C8C">
        <w:rPr>
          <w:color w:val="0D0D0D" w:themeColor="text1" w:themeTint="F2"/>
          <w:spacing w:val="-2"/>
          <w:sz w:val="16"/>
          <w:szCs w:val="16"/>
        </w:rPr>
        <w:t>−</w:t>
      </w:r>
      <w:r w:rsidRPr="00340C8C">
        <w:rPr>
          <w:spacing w:val="-2"/>
          <w:sz w:val="16"/>
          <w:szCs w:val="16"/>
        </w:rPr>
        <w:t>0,5 %) a primární sektor ekonomiky (</w:t>
      </w:r>
      <w:r w:rsidRPr="00340C8C">
        <w:rPr>
          <w:color w:val="0D0D0D" w:themeColor="text1" w:themeTint="F2"/>
          <w:spacing w:val="-2"/>
          <w:sz w:val="16"/>
          <w:szCs w:val="16"/>
        </w:rPr>
        <w:t>−</w:t>
      </w:r>
      <w:r w:rsidRPr="00340C8C">
        <w:rPr>
          <w:spacing w:val="-2"/>
          <w:sz w:val="16"/>
          <w:szCs w:val="16"/>
        </w:rPr>
        <w:t>3,0 %).</w:t>
      </w:r>
    </w:p>
  </w:footnote>
  <w:footnote w:id="4">
    <w:p w14:paraId="01C2F3C8" w14:textId="77777777" w:rsidR="00AD1119" w:rsidRPr="00554A6A" w:rsidRDefault="00AD1119" w:rsidP="00AD1119">
      <w:pPr>
        <w:pStyle w:val="Textpoznpodarou"/>
        <w:rPr>
          <w:sz w:val="16"/>
          <w:szCs w:val="16"/>
        </w:rPr>
      </w:pPr>
      <w:r w:rsidRPr="00554A6A">
        <w:rPr>
          <w:rStyle w:val="Znakapoznpodarou"/>
          <w:sz w:val="16"/>
          <w:szCs w:val="16"/>
        </w:rPr>
        <w:footnoteRef/>
      </w:r>
      <w:r w:rsidRPr="00554A6A">
        <w:rPr>
          <w:sz w:val="16"/>
          <w:szCs w:val="16"/>
        </w:rPr>
        <w:t xml:space="preserve"> Pro zjednodušení </w:t>
      </w:r>
      <w:r w:rsidRPr="00554A6A">
        <w:rPr>
          <w:spacing w:val="-2"/>
          <w:sz w:val="16"/>
          <w:szCs w:val="16"/>
        </w:rPr>
        <w:t>zde zahrnují uskupení odvětví Veřejná správa a obrana, Vzdělávání, Zdravotní a sociální péče.</w:t>
      </w:r>
    </w:p>
  </w:footnote>
  <w:footnote w:id="5">
    <w:p w14:paraId="2F0EEF03" w14:textId="77777777" w:rsidR="00AD1119" w:rsidRDefault="00AD1119" w:rsidP="00AD1119">
      <w:pPr>
        <w:pStyle w:val="Textpoznpodarou"/>
      </w:pPr>
      <w:r w:rsidRPr="00554A6A">
        <w:rPr>
          <w:rStyle w:val="Znakapoznpodarou"/>
          <w:sz w:val="16"/>
          <w:szCs w:val="16"/>
        </w:rPr>
        <w:footnoteRef/>
      </w:r>
      <w:r w:rsidRPr="00554A6A">
        <w:rPr>
          <w:sz w:val="16"/>
          <w:szCs w:val="16"/>
        </w:rPr>
        <w:t xml:space="preserve"> </w:t>
      </w:r>
      <w:r w:rsidRPr="00032F35">
        <w:rPr>
          <w:spacing w:val="-4"/>
          <w:sz w:val="16"/>
          <w:szCs w:val="16"/>
        </w:rPr>
        <w:t>Jejich počet v 1. pololet</w:t>
      </w:r>
      <w:r>
        <w:rPr>
          <w:spacing w:val="-4"/>
          <w:sz w:val="16"/>
          <w:szCs w:val="16"/>
        </w:rPr>
        <w:t>í</w:t>
      </w:r>
      <w:r w:rsidRPr="00032F35">
        <w:rPr>
          <w:spacing w:val="-4"/>
          <w:sz w:val="16"/>
          <w:szCs w:val="16"/>
        </w:rPr>
        <w:t xml:space="preserve"> vzrostl o 8,3 % (nejvíce po roce 2003), což </w:t>
      </w:r>
      <w:r>
        <w:rPr>
          <w:spacing w:val="-4"/>
          <w:sz w:val="16"/>
          <w:szCs w:val="16"/>
        </w:rPr>
        <w:t>zde</w:t>
      </w:r>
      <w:r w:rsidRPr="00032F35">
        <w:rPr>
          <w:spacing w:val="-4"/>
          <w:sz w:val="16"/>
          <w:szCs w:val="16"/>
        </w:rPr>
        <w:t xml:space="preserve"> kontrastovalo se slabým zvýšením u zaměstnanců (+0,3 %). Nelze </w:t>
      </w:r>
      <w:r w:rsidRPr="00040608">
        <w:rPr>
          <w:spacing w:val="-5"/>
          <w:sz w:val="16"/>
          <w:szCs w:val="16"/>
        </w:rPr>
        <w:t>vyloučit, že docházelo k přechodu osob mezi těmito formami zaměstnanosti. Obdobný proces v posledních letech patrně probíhá i ve finančnictví.</w:t>
      </w:r>
      <w:r>
        <w:rPr>
          <w:sz w:val="16"/>
          <w:szCs w:val="16"/>
        </w:rPr>
        <w:t xml:space="preserve"> </w:t>
      </w:r>
    </w:p>
  </w:footnote>
  <w:footnote w:id="6">
    <w:p w14:paraId="6AF41823" w14:textId="77777777" w:rsidR="00AD1119" w:rsidRDefault="00AD1119" w:rsidP="00AD1119">
      <w:pPr>
        <w:pStyle w:val="Textpoznpodarou"/>
      </w:pPr>
      <w:r w:rsidRPr="00AF2AB5">
        <w:rPr>
          <w:rStyle w:val="Znakapoznpodarou"/>
          <w:sz w:val="16"/>
          <w:szCs w:val="16"/>
        </w:rPr>
        <w:footnoteRef/>
      </w:r>
      <w:r w:rsidRPr="00AF2AB5">
        <w:rPr>
          <w:sz w:val="16"/>
          <w:szCs w:val="16"/>
        </w:rPr>
        <w:t xml:space="preserve"> </w:t>
      </w:r>
      <w:r w:rsidRPr="00B85732">
        <w:rPr>
          <w:spacing w:val="-2"/>
          <w:sz w:val="16"/>
          <w:szCs w:val="16"/>
        </w:rPr>
        <w:t xml:space="preserve">Ty zahrnují vedle kulturních, zábavních a rekreačních činností např. různé služby pro domácnosti (opravy výrobků, kadeřnické </w:t>
      </w:r>
      <w:r>
        <w:rPr>
          <w:spacing w:val="-2"/>
          <w:sz w:val="16"/>
          <w:szCs w:val="16"/>
        </w:rPr>
        <w:br/>
      </w:r>
      <w:r w:rsidRPr="00B85732">
        <w:rPr>
          <w:spacing w:val="-2"/>
          <w:sz w:val="16"/>
          <w:szCs w:val="16"/>
        </w:rPr>
        <w:t>a kosmetické</w:t>
      </w:r>
      <w:r w:rsidRPr="00180D79">
        <w:rPr>
          <w:sz w:val="16"/>
          <w:szCs w:val="16"/>
        </w:rPr>
        <w:t xml:space="preserve"> činnosti aj.). Zaměstnanost </w:t>
      </w:r>
      <w:r>
        <w:rPr>
          <w:sz w:val="16"/>
          <w:szCs w:val="16"/>
        </w:rPr>
        <w:t xml:space="preserve">je </w:t>
      </w:r>
      <w:r w:rsidRPr="00180D79">
        <w:rPr>
          <w:sz w:val="16"/>
          <w:szCs w:val="16"/>
        </w:rPr>
        <w:t>v</w:t>
      </w:r>
      <w:r>
        <w:rPr>
          <w:sz w:val="16"/>
          <w:szCs w:val="16"/>
        </w:rPr>
        <w:t> </w:t>
      </w:r>
      <w:r w:rsidRPr="00180D79">
        <w:rPr>
          <w:sz w:val="16"/>
          <w:szCs w:val="16"/>
        </w:rPr>
        <w:t>t</w:t>
      </w:r>
      <w:r>
        <w:rPr>
          <w:sz w:val="16"/>
          <w:szCs w:val="16"/>
        </w:rPr>
        <w:t xml:space="preserve">omto odvětví tvořená z více než třetiny </w:t>
      </w:r>
      <w:r w:rsidRPr="00180D79">
        <w:rPr>
          <w:sz w:val="16"/>
          <w:szCs w:val="16"/>
        </w:rPr>
        <w:t>drobnými podnikateli</w:t>
      </w:r>
      <w:r>
        <w:rPr>
          <w:sz w:val="16"/>
          <w:szCs w:val="16"/>
        </w:rPr>
        <w:t xml:space="preserve"> (resp. </w:t>
      </w:r>
      <w:proofErr w:type="spellStart"/>
      <w:r>
        <w:rPr>
          <w:sz w:val="16"/>
          <w:szCs w:val="16"/>
        </w:rPr>
        <w:t>sebezaměstnanými</w:t>
      </w:r>
      <w:proofErr w:type="spellEnd"/>
      <w:r>
        <w:rPr>
          <w:sz w:val="16"/>
          <w:szCs w:val="16"/>
        </w:rPr>
        <w:t>).</w:t>
      </w:r>
    </w:p>
  </w:footnote>
  <w:footnote w:id="7">
    <w:p w14:paraId="314EE396" w14:textId="77777777" w:rsidR="00AD1119" w:rsidRPr="001D433F" w:rsidRDefault="00AD1119" w:rsidP="00AD1119">
      <w:pPr>
        <w:pStyle w:val="Textpoznpodarou"/>
        <w:rPr>
          <w:sz w:val="16"/>
          <w:szCs w:val="16"/>
        </w:rPr>
      </w:pPr>
      <w:r w:rsidRPr="001D433F">
        <w:rPr>
          <w:rStyle w:val="Znakapoznpodarou"/>
          <w:sz w:val="16"/>
          <w:szCs w:val="16"/>
        </w:rPr>
        <w:footnoteRef/>
      </w:r>
      <w:r w:rsidRPr="001D433F">
        <w:rPr>
          <w:sz w:val="16"/>
          <w:szCs w:val="16"/>
        </w:rPr>
        <w:t xml:space="preserve"> Vysoké tempo zaměstnanosti zde může souviset i s</w:t>
      </w:r>
      <w:r>
        <w:rPr>
          <w:sz w:val="16"/>
          <w:szCs w:val="16"/>
        </w:rPr>
        <w:t xml:space="preserve"> častějšími změnami zařazení </w:t>
      </w:r>
      <w:r w:rsidRPr="001D433F">
        <w:rPr>
          <w:sz w:val="16"/>
          <w:szCs w:val="16"/>
        </w:rPr>
        <w:t>podniků (při jejich za</w:t>
      </w:r>
      <w:r>
        <w:rPr>
          <w:sz w:val="16"/>
          <w:szCs w:val="16"/>
        </w:rPr>
        <w:t>třídění</w:t>
      </w:r>
      <w:r w:rsidRPr="001D433F">
        <w:rPr>
          <w:sz w:val="16"/>
          <w:szCs w:val="16"/>
        </w:rPr>
        <w:t xml:space="preserve"> do odvětví je zohledněna převažující činností na základě předběžných údajů o tržbách, ty mohou být následně</w:t>
      </w:r>
      <w:r>
        <w:rPr>
          <w:sz w:val="16"/>
          <w:szCs w:val="16"/>
        </w:rPr>
        <w:t xml:space="preserve"> zpřesněny</w:t>
      </w:r>
      <w:r w:rsidRPr="001D433F">
        <w:rPr>
          <w:sz w:val="16"/>
          <w:szCs w:val="16"/>
        </w:rPr>
        <w:t xml:space="preserve"> při využití podrobnějších údajů).</w:t>
      </w:r>
    </w:p>
  </w:footnote>
  <w:footnote w:id="8">
    <w:p w14:paraId="3A7DC87C" w14:textId="77777777" w:rsidR="00AD1119" w:rsidRPr="00515FFB" w:rsidRDefault="00AD1119" w:rsidP="00AD1119">
      <w:pPr>
        <w:pStyle w:val="Textpoznpodarou"/>
        <w:rPr>
          <w:sz w:val="16"/>
          <w:szCs w:val="16"/>
        </w:rPr>
      </w:pPr>
      <w:r w:rsidRPr="00515FFB">
        <w:rPr>
          <w:rStyle w:val="Znakapoznpodarou"/>
          <w:sz w:val="16"/>
          <w:szCs w:val="16"/>
        </w:rPr>
        <w:footnoteRef/>
      </w:r>
      <w:r w:rsidRPr="00515FFB">
        <w:rPr>
          <w:sz w:val="16"/>
          <w:szCs w:val="16"/>
        </w:rPr>
        <w:t xml:space="preserve"> </w:t>
      </w:r>
      <w:r w:rsidRPr="00487E79">
        <w:rPr>
          <w:spacing w:val="-4"/>
          <w:sz w:val="16"/>
          <w:szCs w:val="16"/>
        </w:rPr>
        <w:t xml:space="preserve">Oblasti ICT, stejně jako </w:t>
      </w:r>
      <w:r>
        <w:rPr>
          <w:spacing w:val="-4"/>
          <w:sz w:val="16"/>
          <w:szCs w:val="16"/>
        </w:rPr>
        <w:t xml:space="preserve">v </w:t>
      </w:r>
      <w:r w:rsidRPr="00487E79">
        <w:rPr>
          <w:spacing w:val="-4"/>
          <w:sz w:val="16"/>
          <w:szCs w:val="16"/>
        </w:rPr>
        <w:t>peněžnictví a pojišťovnictví</w:t>
      </w:r>
      <w:r>
        <w:rPr>
          <w:spacing w:val="-4"/>
          <w:sz w:val="16"/>
          <w:szCs w:val="16"/>
        </w:rPr>
        <w:t>,</w:t>
      </w:r>
      <w:r w:rsidRPr="00487E79">
        <w:rPr>
          <w:spacing w:val="-4"/>
          <w:sz w:val="16"/>
          <w:szCs w:val="16"/>
        </w:rPr>
        <w:t xml:space="preserve"> čelí v dynamicky se měnícím technologickém prostředí výzvám, jak udržet konkurenceschopnost i vysokou produktivitu a současně efektivně využít relativně nákladnou, a ne vždy snadno dostupnou práci specialistů.</w:t>
      </w:r>
    </w:p>
  </w:footnote>
  <w:footnote w:id="9">
    <w:p w14:paraId="06811278" w14:textId="77777777" w:rsidR="00AD1119" w:rsidRPr="00D202F4" w:rsidRDefault="00AD1119" w:rsidP="00AD1119">
      <w:pPr>
        <w:pStyle w:val="Textpoznpodarou"/>
        <w:rPr>
          <w:sz w:val="16"/>
          <w:szCs w:val="16"/>
        </w:rPr>
      </w:pPr>
      <w:r w:rsidRPr="00D202F4">
        <w:rPr>
          <w:rStyle w:val="Znakapoznpodarou"/>
          <w:sz w:val="16"/>
          <w:szCs w:val="16"/>
        </w:rPr>
        <w:footnoteRef/>
      </w:r>
      <w:r w:rsidRPr="00D202F4">
        <w:rPr>
          <w:sz w:val="16"/>
          <w:szCs w:val="16"/>
        </w:rPr>
        <w:t xml:space="preserve"> Počet </w:t>
      </w:r>
      <w:proofErr w:type="spellStart"/>
      <w:r w:rsidRPr="00D202F4">
        <w:rPr>
          <w:sz w:val="16"/>
          <w:szCs w:val="16"/>
        </w:rPr>
        <w:t>sebezaměstnaných</w:t>
      </w:r>
      <w:proofErr w:type="spellEnd"/>
      <w:r w:rsidRPr="00D202F4">
        <w:rPr>
          <w:sz w:val="16"/>
          <w:szCs w:val="16"/>
        </w:rPr>
        <w:t xml:space="preserve"> ve zpracovatelském průmyslu se v 1. pololetí meziročně zvýšil o 1,2 %.</w:t>
      </w:r>
    </w:p>
  </w:footnote>
  <w:footnote w:id="10">
    <w:p w14:paraId="20AE3BC5" w14:textId="77777777" w:rsidR="00AD1119" w:rsidRPr="00443624" w:rsidRDefault="00AD1119" w:rsidP="00AD1119">
      <w:pPr>
        <w:pStyle w:val="Textpoznpodarou"/>
        <w:rPr>
          <w:sz w:val="16"/>
          <w:szCs w:val="16"/>
        </w:rPr>
      </w:pPr>
      <w:r w:rsidRPr="00443624">
        <w:rPr>
          <w:rStyle w:val="Znakapoznpodarou"/>
          <w:sz w:val="16"/>
          <w:szCs w:val="16"/>
        </w:rPr>
        <w:footnoteRef/>
      </w:r>
      <w:r w:rsidRPr="00443624">
        <w:rPr>
          <w:sz w:val="16"/>
          <w:szCs w:val="16"/>
        </w:rPr>
        <w:t xml:space="preserve"> Údaje </w:t>
      </w:r>
      <w:r w:rsidRPr="00443624">
        <w:rPr>
          <w:color w:val="0D0D0D" w:themeColor="text1" w:themeTint="F2"/>
          <w:spacing w:val="-2"/>
          <w:sz w:val="16"/>
          <w:szCs w:val="16"/>
        </w:rPr>
        <w:t>vycházejí z pojetí národních účtů</w:t>
      </w:r>
      <w:r>
        <w:rPr>
          <w:color w:val="0D0D0D" w:themeColor="text1" w:themeTint="F2"/>
          <w:spacing w:val="-2"/>
          <w:sz w:val="16"/>
          <w:szCs w:val="16"/>
        </w:rPr>
        <w:t xml:space="preserve"> a jsou </w:t>
      </w:r>
      <w:r w:rsidRPr="00F72E52">
        <w:rPr>
          <w:color w:val="0D0D0D" w:themeColor="text1" w:themeTint="F2"/>
          <w:spacing w:val="-2"/>
          <w:sz w:val="16"/>
          <w:szCs w:val="16"/>
        </w:rPr>
        <w:t>očištěny o sezónní vlivy</w:t>
      </w:r>
      <w:r>
        <w:rPr>
          <w:color w:val="0D0D0D" w:themeColor="text1" w:themeTint="F2"/>
          <w:spacing w:val="-2"/>
          <w:sz w:val="16"/>
          <w:szCs w:val="16"/>
        </w:rPr>
        <w:t>.</w:t>
      </w:r>
    </w:p>
  </w:footnote>
  <w:footnote w:id="11">
    <w:p w14:paraId="5737B48E" w14:textId="77777777" w:rsidR="00AD1119" w:rsidRPr="00B358BA" w:rsidRDefault="00AD1119" w:rsidP="00AD1119">
      <w:pPr>
        <w:pStyle w:val="Textpoznpodarou"/>
        <w:jc w:val="both"/>
        <w:rPr>
          <w:sz w:val="16"/>
          <w:szCs w:val="16"/>
        </w:rPr>
      </w:pPr>
      <w:r w:rsidRPr="00B358BA">
        <w:rPr>
          <w:rStyle w:val="Znakapoznpodarou"/>
          <w:sz w:val="16"/>
          <w:szCs w:val="16"/>
        </w:rPr>
        <w:footnoteRef/>
      </w:r>
      <w:r w:rsidRPr="00B358BA">
        <w:rPr>
          <w:sz w:val="16"/>
          <w:szCs w:val="16"/>
        </w:rPr>
        <w:t xml:space="preserve"> </w:t>
      </w:r>
      <w:r w:rsidRPr="00B358BA">
        <w:rPr>
          <w:spacing w:val="-4"/>
          <w:sz w:val="16"/>
          <w:szCs w:val="16"/>
        </w:rPr>
        <w:t>Ve srovnání s</w:t>
      </w:r>
      <w:r>
        <w:rPr>
          <w:spacing w:val="-4"/>
          <w:sz w:val="16"/>
          <w:szCs w:val="16"/>
        </w:rPr>
        <w:t xml:space="preserve"> 1. pololetím roku </w:t>
      </w:r>
      <w:r w:rsidRPr="00B358BA">
        <w:rPr>
          <w:spacing w:val="-4"/>
          <w:sz w:val="16"/>
          <w:szCs w:val="16"/>
        </w:rPr>
        <w:t>2019 byl l</w:t>
      </w:r>
      <w:r>
        <w:rPr>
          <w:spacing w:val="-4"/>
          <w:sz w:val="16"/>
          <w:szCs w:val="16"/>
        </w:rPr>
        <w:t>etos</w:t>
      </w:r>
      <w:r w:rsidRPr="00B358BA">
        <w:rPr>
          <w:spacing w:val="-4"/>
          <w:sz w:val="16"/>
          <w:szCs w:val="16"/>
        </w:rPr>
        <w:t xml:space="preserve"> počet odpracovaných hodin v ekonomice vyšší o </w:t>
      </w:r>
      <w:r>
        <w:rPr>
          <w:spacing w:val="-4"/>
          <w:sz w:val="16"/>
          <w:szCs w:val="16"/>
        </w:rPr>
        <w:t>5,1</w:t>
      </w:r>
      <w:r w:rsidRPr="00B358BA">
        <w:rPr>
          <w:spacing w:val="-4"/>
          <w:sz w:val="16"/>
          <w:szCs w:val="16"/>
        </w:rPr>
        <w:t xml:space="preserve"> %, z toho u </w:t>
      </w:r>
      <w:proofErr w:type="spellStart"/>
      <w:r w:rsidRPr="00B358BA">
        <w:rPr>
          <w:spacing w:val="-4"/>
          <w:sz w:val="16"/>
          <w:szCs w:val="16"/>
        </w:rPr>
        <w:t>sebezaměstnaných</w:t>
      </w:r>
      <w:proofErr w:type="spellEnd"/>
      <w:r w:rsidRPr="00B358BA">
        <w:rPr>
          <w:spacing w:val="-4"/>
          <w:sz w:val="16"/>
          <w:szCs w:val="16"/>
        </w:rPr>
        <w:t xml:space="preserve"> o </w:t>
      </w:r>
      <w:r>
        <w:rPr>
          <w:spacing w:val="-4"/>
          <w:sz w:val="16"/>
          <w:szCs w:val="16"/>
        </w:rPr>
        <w:t>7,1</w:t>
      </w:r>
      <w:r w:rsidRPr="00B358BA">
        <w:rPr>
          <w:spacing w:val="-4"/>
          <w:sz w:val="16"/>
          <w:szCs w:val="16"/>
        </w:rPr>
        <w:t xml:space="preserve"> %. </w:t>
      </w:r>
      <w:r w:rsidRPr="00B358BA">
        <w:rPr>
          <w:sz w:val="16"/>
          <w:szCs w:val="16"/>
        </w:rPr>
        <w:t xml:space="preserve">Analogické navýšení u počtu fyzických pracovníků činilo </w:t>
      </w:r>
      <w:r>
        <w:rPr>
          <w:sz w:val="16"/>
          <w:szCs w:val="16"/>
        </w:rPr>
        <w:t>4,1</w:t>
      </w:r>
      <w:r w:rsidRPr="00B358BA">
        <w:rPr>
          <w:sz w:val="16"/>
          <w:szCs w:val="16"/>
        </w:rPr>
        <w:t xml:space="preserve"> %, z toho u </w:t>
      </w:r>
      <w:proofErr w:type="spellStart"/>
      <w:r w:rsidRPr="00B358BA">
        <w:rPr>
          <w:sz w:val="16"/>
          <w:szCs w:val="16"/>
        </w:rPr>
        <w:t>sebezaměstnaných</w:t>
      </w:r>
      <w:proofErr w:type="spellEnd"/>
      <w:r w:rsidRPr="00B358BA">
        <w:rPr>
          <w:sz w:val="16"/>
          <w:szCs w:val="16"/>
        </w:rPr>
        <w:t xml:space="preserve"> </w:t>
      </w:r>
      <w:r>
        <w:rPr>
          <w:sz w:val="16"/>
          <w:szCs w:val="16"/>
        </w:rPr>
        <w:t>6,1</w:t>
      </w:r>
      <w:r w:rsidRPr="00B358BA">
        <w:rPr>
          <w:sz w:val="16"/>
          <w:szCs w:val="16"/>
        </w:rPr>
        <w:t xml:space="preserve"> %.</w:t>
      </w:r>
      <w:r>
        <w:rPr>
          <w:sz w:val="16"/>
          <w:szCs w:val="16"/>
        </w:rPr>
        <w:t xml:space="preserve"> Svižný letošní celkový růst odpracovaných hodin v ekonomice byl podpořen i nárůstem práce na dohody (DPP, DPČ). Dle experimentální statistiky ČSÚ vzrostl letos v 1. pololetí počet takto odpracovaných hodin meziročně o 14 % (mírně vyšší tempem se zvyšoval i po celý loňský rok). </w:t>
      </w:r>
    </w:p>
  </w:footnote>
  <w:footnote w:id="12">
    <w:p w14:paraId="0F168A13" w14:textId="77777777" w:rsidR="00AD1119" w:rsidRPr="00515478" w:rsidRDefault="00AD1119" w:rsidP="00AD1119">
      <w:pPr>
        <w:pStyle w:val="Textpoznpodarou"/>
        <w:rPr>
          <w:sz w:val="16"/>
          <w:szCs w:val="16"/>
        </w:rPr>
      </w:pPr>
      <w:r w:rsidRPr="00515478">
        <w:rPr>
          <w:rStyle w:val="Znakapoznpodarou"/>
          <w:sz w:val="16"/>
          <w:szCs w:val="16"/>
        </w:rPr>
        <w:footnoteRef/>
      </w:r>
      <w:r w:rsidRPr="00515478">
        <w:rPr>
          <w:sz w:val="16"/>
          <w:szCs w:val="16"/>
        </w:rPr>
        <w:t xml:space="preserve"> Z toho u </w:t>
      </w:r>
      <w:proofErr w:type="spellStart"/>
      <w:r w:rsidRPr="00515478">
        <w:rPr>
          <w:sz w:val="16"/>
          <w:szCs w:val="16"/>
        </w:rPr>
        <w:t>sebezaměstna</w:t>
      </w:r>
      <w:r>
        <w:rPr>
          <w:sz w:val="16"/>
          <w:szCs w:val="16"/>
        </w:rPr>
        <w:t>n</w:t>
      </w:r>
      <w:r w:rsidRPr="00515478">
        <w:rPr>
          <w:sz w:val="16"/>
          <w:szCs w:val="16"/>
        </w:rPr>
        <w:t>ých</w:t>
      </w:r>
      <w:proofErr w:type="spellEnd"/>
      <w:r w:rsidRPr="00515478">
        <w:rPr>
          <w:sz w:val="16"/>
          <w:szCs w:val="16"/>
        </w:rPr>
        <w:t xml:space="preserve"> činil meziroční růst odpracované doby 9,1 % (při zvýšení </w:t>
      </w:r>
      <w:r>
        <w:rPr>
          <w:sz w:val="16"/>
          <w:szCs w:val="16"/>
        </w:rPr>
        <w:t xml:space="preserve">fyzického </w:t>
      </w:r>
      <w:r w:rsidRPr="00515478">
        <w:rPr>
          <w:sz w:val="16"/>
          <w:szCs w:val="16"/>
        </w:rPr>
        <w:t>počtu zaměstnanců o 1,2 %).</w:t>
      </w:r>
    </w:p>
  </w:footnote>
  <w:footnote w:id="13">
    <w:p w14:paraId="6EBBB040" w14:textId="77777777" w:rsidR="00AD1119" w:rsidRPr="00164965" w:rsidRDefault="00AD1119" w:rsidP="00AD1119">
      <w:pPr>
        <w:pStyle w:val="Textpoznpodarou"/>
        <w:jc w:val="both"/>
        <w:rPr>
          <w:sz w:val="16"/>
          <w:szCs w:val="16"/>
        </w:rPr>
      </w:pPr>
      <w:r w:rsidRPr="00164965">
        <w:rPr>
          <w:rStyle w:val="Znakapoznpodarou"/>
          <w:sz w:val="16"/>
          <w:szCs w:val="16"/>
        </w:rPr>
        <w:footnoteRef/>
      </w:r>
      <w:r w:rsidRPr="00164965">
        <w:rPr>
          <w:sz w:val="16"/>
          <w:szCs w:val="16"/>
        </w:rPr>
        <w:t xml:space="preserve"> Vyjadřuje sezónně očištěné HDP</w:t>
      </w:r>
      <w:r>
        <w:rPr>
          <w:sz w:val="16"/>
          <w:szCs w:val="16"/>
        </w:rPr>
        <w:t>, resp. hrubou přidanou hodnotu na úrovni jednotlivých odvětví (</w:t>
      </w:r>
      <w:r w:rsidRPr="00164965">
        <w:rPr>
          <w:sz w:val="16"/>
          <w:szCs w:val="16"/>
        </w:rPr>
        <w:t>ve s</w:t>
      </w:r>
      <w:r>
        <w:rPr>
          <w:sz w:val="16"/>
          <w:szCs w:val="16"/>
        </w:rPr>
        <w:t xml:space="preserve">rovnatelných cenách roku 2020) </w:t>
      </w:r>
      <w:r w:rsidRPr="00164965">
        <w:rPr>
          <w:sz w:val="16"/>
          <w:szCs w:val="16"/>
        </w:rPr>
        <w:t>na o</w:t>
      </w:r>
      <w:r>
        <w:rPr>
          <w:sz w:val="16"/>
          <w:szCs w:val="16"/>
        </w:rPr>
        <w:t>d</w:t>
      </w:r>
      <w:r w:rsidRPr="00164965">
        <w:rPr>
          <w:sz w:val="16"/>
          <w:szCs w:val="16"/>
        </w:rPr>
        <w:t>pracovanou hodinu zaměstnanými osobami (po sezónním očištění).</w:t>
      </w:r>
    </w:p>
  </w:footnote>
  <w:footnote w:id="14">
    <w:p w14:paraId="31656DAE" w14:textId="77777777" w:rsidR="00AD1119" w:rsidRDefault="00AD1119" w:rsidP="00AD1119">
      <w:pPr>
        <w:pStyle w:val="Textpoznpodarou"/>
      </w:pPr>
      <w:r w:rsidRPr="00B57963">
        <w:rPr>
          <w:rStyle w:val="Znakapoznpodarou"/>
          <w:sz w:val="16"/>
          <w:szCs w:val="16"/>
        </w:rPr>
        <w:footnoteRef/>
      </w:r>
      <w:r w:rsidRPr="00B57963">
        <w:rPr>
          <w:sz w:val="16"/>
          <w:szCs w:val="16"/>
        </w:rPr>
        <w:t xml:space="preserve"> Z údajů VŠPS plyne, že </w:t>
      </w:r>
      <w:r w:rsidRPr="00B85F94">
        <w:rPr>
          <w:color w:val="0D0D0D" w:themeColor="text1" w:themeTint="F2"/>
          <w:sz w:val="16"/>
          <w:szCs w:val="16"/>
        </w:rPr>
        <w:t>počet ekonomicky neaktivních osob, které si práci nehledají, ale přitom uvádějí, že by chtěl</w:t>
      </w:r>
      <w:r>
        <w:rPr>
          <w:color w:val="0D0D0D" w:themeColor="text1" w:themeTint="F2"/>
          <w:sz w:val="16"/>
          <w:szCs w:val="16"/>
        </w:rPr>
        <w:t>y</w:t>
      </w:r>
      <w:r w:rsidRPr="00B85F94">
        <w:rPr>
          <w:color w:val="0D0D0D" w:themeColor="text1" w:themeTint="F2"/>
          <w:sz w:val="16"/>
          <w:szCs w:val="16"/>
        </w:rPr>
        <w:t xml:space="preserve"> pracovat, dosáhl letos v 1. čtvrtletí 73 tis., meziročně o 8 % méně </w:t>
      </w:r>
      <w:r>
        <w:rPr>
          <w:color w:val="0D0D0D" w:themeColor="text1" w:themeTint="F2"/>
          <w:sz w:val="16"/>
          <w:szCs w:val="16"/>
        </w:rPr>
        <w:t>(</w:t>
      </w:r>
      <w:r w:rsidRPr="00B85F94">
        <w:rPr>
          <w:color w:val="0D0D0D" w:themeColor="text1" w:themeTint="F2"/>
          <w:sz w:val="16"/>
          <w:szCs w:val="16"/>
        </w:rPr>
        <w:t>a za posledních pět let činil pokles dokonce 28 %).</w:t>
      </w:r>
      <w:r w:rsidRPr="00B85F94">
        <w:rPr>
          <w:color w:val="0D0D0D" w:themeColor="text1" w:themeTint="F2"/>
        </w:rPr>
        <w:t xml:space="preserve"> </w:t>
      </w:r>
      <w:r w:rsidRPr="00B85F94">
        <w:rPr>
          <w:color w:val="0D0D0D" w:themeColor="text1" w:themeTint="F2"/>
          <w:sz w:val="16"/>
          <w:szCs w:val="16"/>
        </w:rPr>
        <w:t xml:space="preserve">Navíc pouze </w:t>
      </w:r>
      <w:r>
        <w:rPr>
          <w:sz w:val="16"/>
          <w:szCs w:val="16"/>
        </w:rPr>
        <w:t>necelá pětina z tohoto počtu byla ovšem schop</w:t>
      </w:r>
      <w:r w:rsidRPr="004A5CB3">
        <w:rPr>
          <w:sz w:val="16"/>
          <w:szCs w:val="16"/>
        </w:rPr>
        <w:t>n</w:t>
      </w:r>
      <w:r>
        <w:rPr>
          <w:sz w:val="16"/>
          <w:szCs w:val="16"/>
        </w:rPr>
        <w:t>a</w:t>
      </w:r>
      <w:r w:rsidRPr="004A5CB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nastoupit </w:t>
      </w:r>
      <w:r w:rsidRPr="004A5CB3">
        <w:rPr>
          <w:sz w:val="16"/>
          <w:szCs w:val="16"/>
        </w:rPr>
        <w:t xml:space="preserve">bezprostředně </w:t>
      </w:r>
      <w:r>
        <w:rPr>
          <w:sz w:val="16"/>
          <w:szCs w:val="16"/>
        </w:rPr>
        <w:t xml:space="preserve">(do 14 dnů) </w:t>
      </w:r>
      <w:r w:rsidRPr="004A5CB3">
        <w:rPr>
          <w:sz w:val="16"/>
          <w:szCs w:val="16"/>
        </w:rPr>
        <w:t>do práce</w:t>
      </w:r>
      <w:r>
        <w:rPr>
          <w:sz w:val="16"/>
          <w:szCs w:val="16"/>
        </w:rPr>
        <w:t xml:space="preserve"> (v</w:t>
      </w:r>
      <w:r w:rsidRPr="004A5CB3">
        <w:rPr>
          <w:sz w:val="16"/>
          <w:szCs w:val="16"/>
        </w:rPr>
        <w:t>ýznamnou část p</w:t>
      </w:r>
      <w:r>
        <w:rPr>
          <w:sz w:val="16"/>
          <w:szCs w:val="16"/>
        </w:rPr>
        <w:t>otenciálních p</w:t>
      </w:r>
      <w:r w:rsidRPr="004A5CB3">
        <w:rPr>
          <w:sz w:val="16"/>
          <w:szCs w:val="16"/>
        </w:rPr>
        <w:t>racovních rezerv totiž tvoří studenti a ženy na rodičovské dovolené</w:t>
      </w:r>
      <w:r>
        <w:rPr>
          <w:sz w:val="16"/>
          <w:szCs w:val="16"/>
        </w:rPr>
        <w:t>)</w:t>
      </w:r>
      <w:r w:rsidRPr="004A5CB3">
        <w:rPr>
          <w:sz w:val="16"/>
          <w:szCs w:val="16"/>
        </w:rPr>
        <w:t>.</w:t>
      </w:r>
    </w:p>
  </w:footnote>
  <w:footnote w:id="15">
    <w:p w14:paraId="1B2D6B61" w14:textId="77777777" w:rsidR="00AD1119" w:rsidRDefault="00AD1119" w:rsidP="00AD1119">
      <w:pPr>
        <w:pStyle w:val="Textpoznpodarou"/>
      </w:pPr>
      <w:r w:rsidRPr="00432D0C">
        <w:rPr>
          <w:rStyle w:val="Znakapoznpodarou"/>
          <w:sz w:val="16"/>
          <w:szCs w:val="16"/>
        </w:rPr>
        <w:footnoteRef/>
      </w:r>
      <w:r w:rsidRPr="00432D0C">
        <w:rPr>
          <w:sz w:val="16"/>
          <w:szCs w:val="16"/>
        </w:rPr>
        <w:t xml:space="preserve"> </w:t>
      </w:r>
      <w:r w:rsidRPr="00590A80">
        <w:rPr>
          <w:color w:val="0D0D0D" w:themeColor="text1" w:themeTint="F2"/>
          <w:sz w:val="16"/>
          <w:szCs w:val="16"/>
        </w:rPr>
        <w:t xml:space="preserve">Vedle toho </w:t>
      </w:r>
      <w:r w:rsidRPr="00C47864">
        <w:rPr>
          <w:color w:val="0D0D0D" w:themeColor="text1" w:themeTint="F2"/>
          <w:sz w:val="16"/>
          <w:szCs w:val="16"/>
        </w:rPr>
        <w:t xml:space="preserve">evidovalo MPO ve stejném období 145 tis. cizích státních příslušníků s živnostenským oprávněním v Česku (meziročně </w:t>
      </w:r>
      <w:r w:rsidRPr="00C47864">
        <w:rPr>
          <w:color w:val="0D0D0D" w:themeColor="text1" w:themeTint="F2"/>
          <w:sz w:val="16"/>
          <w:szCs w:val="16"/>
        </w:rPr>
        <w:br/>
        <w:t xml:space="preserve">o desetinu více). Na tomto růstu se ze dvou třetin podíleli </w:t>
      </w:r>
      <w:r w:rsidRPr="00590A80">
        <w:rPr>
          <w:color w:val="0D0D0D" w:themeColor="text1" w:themeTint="F2"/>
          <w:sz w:val="16"/>
          <w:szCs w:val="16"/>
        </w:rPr>
        <w:t xml:space="preserve">Ukrajinci, jichž v Česku podnikalo </w:t>
      </w:r>
      <w:r>
        <w:rPr>
          <w:color w:val="0D0D0D" w:themeColor="text1" w:themeTint="F2"/>
          <w:sz w:val="16"/>
          <w:szCs w:val="16"/>
        </w:rPr>
        <w:t>51</w:t>
      </w:r>
      <w:r w:rsidRPr="00590A80">
        <w:rPr>
          <w:color w:val="0D0D0D" w:themeColor="text1" w:themeTint="F2"/>
          <w:sz w:val="16"/>
          <w:szCs w:val="16"/>
        </w:rPr>
        <w:t xml:space="preserve"> tis., s odstupem následovali Slováci </w:t>
      </w:r>
      <w:r>
        <w:rPr>
          <w:color w:val="0D0D0D" w:themeColor="text1" w:themeTint="F2"/>
          <w:sz w:val="16"/>
          <w:szCs w:val="16"/>
        </w:rPr>
        <w:br/>
      </w:r>
      <w:r w:rsidRPr="00590A80">
        <w:rPr>
          <w:color w:val="0D0D0D" w:themeColor="text1" w:themeTint="F2"/>
          <w:sz w:val="16"/>
          <w:szCs w:val="16"/>
        </w:rPr>
        <w:t>(2</w:t>
      </w:r>
      <w:r>
        <w:rPr>
          <w:color w:val="0D0D0D" w:themeColor="text1" w:themeTint="F2"/>
          <w:sz w:val="16"/>
          <w:szCs w:val="16"/>
        </w:rPr>
        <w:t>8</w:t>
      </w:r>
      <w:r w:rsidRPr="00590A80">
        <w:rPr>
          <w:color w:val="0D0D0D" w:themeColor="text1" w:themeTint="F2"/>
          <w:sz w:val="16"/>
          <w:szCs w:val="16"/>
        </w:rPr>
        <w:t xml:space="preserve"> tis.)</w:t>
      </w:r>
      <w:r>
        <w:rPr>
          <w:color w:val="0D0D0D" w:themeColor="text1" w:themeTint="F2"/>
          <w:sz w:val="16"/>
          <w:szCs w:val="16"/>
        </w:rPr>
        <w:t>,</w:t>
      </w:r>
      <w:r w:rsidRPr="00590A80">
        <w:rPr>
          <w:color w:val="0D0D0D" w:themeColor="text1" w:themeTint="F2"/>
          <w:sz w:val="16"/>
          <w:szCs w:val="16"/>
        </w:rPr>
        <w:t xml:space="preserve"> Vietnamci (2</w:t>
      </w:r>
      <w:r>
        <w:rPr>
          <w:color w:val="0D0D0D" w:themeColor="text1" w:themeTint="F2"/>
          <w:sz w:val="16"/>
          <w:szCs w:val="16"/>
        </w:rPr>
        <w:t>1</w:t>
      </w:r>
      <w:r w:rsidRPr="00590A80">
        <w:rPr>
          <w:color w:val="0D0D0D" w:themeColor="text1" w:themeTint="F2"/>
          <w:sz w:val="16"/>
          <w:szCs w:val="16"/>
        </w:rPr>
        <w:t xml:space="preserve"> tis.)</w:t>
      </w:r>
      <w:r>
        <w:rPr>
          <w:color w:val="0D0D0D" w:themeColor="text1" w:themeTint="F2"/>
          <w:sz w:val="16"/>
          <w:szCs w:val="16"/>
        </w:rPr>
        <w:t xml:space="preserve"> a s výraznějším odstupem Rusové, Rumuni, Němci a Poláci. </w:t>
      </w:r>
    </w:p>
  </w:footnote>
  <w:footnote w:id="16">
    <w:p w14:paraId="387D206F" w14:textId="77777777" w:rsidR="00AD1119" w:rsidRPr="009F19B2" w:rsidRDefault="00AD1119" w:rsidP="00AD1119">
      <w:pPr>
        <w:pStyle w:val="Textpoznpodarou"/>
        <w:rPr>
          <w:sz w:val="16"/>
          <w:szCs w:val="16"/>
        </w:rPr>
      </w:pPr>
      <w:r w:rsidRPr="009F19B2">
        <w:rPr>
          <w:rStyle w:val="Znakapoznpodarou"/>
          <w:sz w:val="16"/>
          <w:szCs w:val="16"/>
        </w:rPr>
        <w:footnoteRef/>
      </w:r>
      <w:r w:rsidRPr="009F19B2">
        <w:rPr>
          <w:sz w:val="16"/>
          <w:szCs w:val="16"/>
        </w:rPr>
        <w:t xml:space="preserve"> To se týkalo </w:t>
      </w:r>
      <w:r>
        <w:rPr>
          <w:sz w:val="16"/>
          <w:szCs w:val="16"/>
        </w:rPr>
        <w:t xml:space="preserve">např. </w:t>
      </w:r>
      <w:r w:rsidRPr="009F19B2">
        <w:rPr>
          <w:sz w:val="16"/>
          <w:szCs w:val="16"/>
        </w:rPr>
        <w:t xml:space="preserve">občanů </w:t>
      </w:r>
      <w:r w:rsidRPr="009F19B2">
        <w:rPr>
          <w:color w:val="0D0D0D" w:themeColor="text1" w:themeTint="F2"/>
          <w:spacing w:val="-4"/>
          <w:sz w:val="16"/>
          <w:szCs w:val="16"/>
        </w:rPr>
        <w:t xml:space="preserve">Makedonie, Srbska a Bosny a Hercegoviny </w:t>
      </w:r>
      <w:r>
        <w:rPr>
          <w:color w:val="0D0D0D" w:themeColor="text1" w:themeTint="F2"/>
          <w:spacing w:val="-4"/>
          <w:sz w:val="16"/>
          <w:szCs w:val="16"/>
        </w:rPr>
        <w:t>či</w:t>
      </w:r>
      <w:r w:rsidRPr="009F19B2">
        <w:rPr>
          <w:color w:val="0D0D0D" w:themeColor="text1" w:themeTint="F2"/>
          <w:spacing w:val="-4"/>
          <w:sz w:val="16"/>
          <w:szCs w:val="16"/>
        </w:rPr>
        <w:t xml:space="preserve"> Běloruska.</w:t>
      </w:r>
    </w:p>
  </w:footnote>
  <w:footnote w:id="17">
    <w:p w14:paraId="33522502" w14:textId="77777777" w:rsidR="00AD1119" w:rsidRPr="00601E0A" w:rsidRDefault="00AD1119" w:rsidP="00AD1119">
      <w:pPr>
        <w:pStyle w:val="Textpoznpodarou"/>
        <w:rPr>
          <w:sz w:val="16"/>
          <w:szCs w:val="16"/>
        </w:rPr>
      </w:pPr>
      <w:r w:rsidRPr="00601E0A">
        <w:rPr>
          <w:rStyle w:val="Znakapoznpodarou"/>
          <w:sz w:val="16"/>
          <w:szCs w:val="16"/>
        </w:rPr>
        <w:footnoteRef/>
      </w:r>
      <w:r w:rsidRPr="00601E0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Česko v rámci EU dlouhodobě patří k zemím s vysokou mírou zaměstnanosti. Dle aktuálních dat za 1. čtvrtletí 2026 byla tato míra </w:t>
      </w:r>
      <w:r>
        <w:rPr>
          <w:sz w:val="16"/>
          <w:szCs w:val="16"/>
        </w:rPr>
        <w:br/>
        <w:t xml:space="preserve">u osob ve věku 15 až 64 let za muže pátá nejvyšší v Unii (průměrnou úroveň EU převyšovala o 5,1 p. b.) a za ženy jedenáctá nejvyšší (+4,4 p. b.). Nicméně za Nizozemskem, které mezi členskými státy dosahuje nejvyšší zaměstnanosti, Česko zřetelně zaostávalo </w:t>
      </w:r>
      <w:r>
        <w:rPr>
          <w:sz w:val="16"/>
          <w:szCs w:val="16"/>
        </w:rPr>
        <w:br/>
        <w:t xml:space="preserve">(u mužů o 5,3 p. b. a žen o 7,6 p. b.). V rámci členských států, jež vstoupily do EU až po roce 2000, Česko předčily jen některé malé ekonomiky (Malta, Kypr) a u žen i pobaltské státy. Z pohledu věku je v Česku oproti EU celková míra zaměstnanosti nižší pouze u 15 až 24letých, u žen ale rovněž ve skupině 25–39 let.  </w:t>
      </w:r>
    </w:p>
  </w:footnote>
  <w:footnote w:id="18">
    <w:p w14:paraId="716279AB" w14:textId="77777777" w:rsidR="00AD1119" w:rsidRPr="001F6C8C" w:rsidRDefault="00AD1119" w:rsidP="00AD1119">
      <w:pPr>
        <w:pStyle w:val="Textpoznpodarou"/>
        <w:rPr>
          <w:sz w:val="16"/>
          <w:szCs w:val="16"/>
        </w:rPr>
      </w:pPr>
      <w:r w:rsidRPr="001F6C8C">
        <w:rPr>
          <w:rStyle w:val="Znakapoznpodarou"/>
          <w:sz w:val="16"/>
          <w:szCs w:val="16"/>
        </w:rPr>
        <w:footnoteRef/>
      </w:r>
      <w:r w:rsidRPr="001F6C8C">
        <w:rPr>
          <w:sz w:val="16"/>
          <w:szCs w:val="16"/>
        </w:rPr>
        <w:t xml:space="preserve"> Jde o regiony</w:t>
      </w:r>
      <w:r>
        <w:rPr>
          <w:sz w:val="16"/>
          <w:szCs w:val="16"/>
        </w:rPr>
        <w:t xml:space="preserve"> na</w:t>
      </w:r>
      <w:r w:rsidRPr="001F6C8C">
        <w:rPr>
          <w:sz w:val="16"/>
          <w:szCs w:val="16"/>
        </w:rPr>
        <w:t xml:space="preserve"> úrovni NUTS-2 (dle nomenklatury EU). Od letošního roku jsou čtvrtletní údaje z</w:t>
      </w:r>
      <w:r>
        <w:rPr>
          <w:sz w:val="16"/>
          <w:szCs w:val="16"/>
        </w:rPr>
        <w:t> </w:t>
      </w:r>
      <w:r w:rsidRPr="001F6C8C">
        <w:rPr>
          <w:sz w:val="16"/>
          <w:szCs w:val="16"/>
        </w:rPr>
        <w:t>VŠPS</w:t>
      </w:r>
      <w:r>
        <w:rPr>
          <w:sz w:val="16"/>
          <w:szCs w:val="16"/>
        </w:rPr>
        <w:t xml:space="preserve"> k</w:t>
      </w:r>
      <w:r w:rsidRPr="001F6C8C">
        <w:rPr>
          <w:sz w:val="16"/>
          <w:szCs w:val="16"/>
        </w:rPr>
        <w:t xml:space="preserve"> dispozici </w:t>
      </w:r>
      <w:r>
        <w:rPr>
          <w:sz w:val="16"/>
          <w:szCs w:val="16"/>
        </w:rPr>
        <w:t>pouze</w:t>
      </w:r>
      <w:r w:rsidRPr="001F6C8C">
        <w:rPr>
          <w:sz w:val="16"/>
          <w:szCs w:val="16"/>
        </w:rPr>
        <w:t xml:space="preserve"> na této </w:t>
      </w:r>
      <w:r>
        <w:rPr>
          <w:sz w:val="16"/>
          <w:szCs w:val="16"/>
        </w:rPr>
        <w:br/>
      </w:r>
      <w:r w:rsidRPr="001F6C8C">
        <w:rPr>
          <w:sz w:val="16"/>
          <w:szCs w:val="16"/>
        </w:rPr>
        <w:t>(a nikoli dříve publikované) krajské úrovni</w:t>
      </w:r>
      <w:r>
        <w:rPr>
          <w:sz w:val="16"/>
          <w:szCs w:val="16"/>
        </w:rPr>
        <w:t xml:space="preserve"> (NUTS-3).</w:t>
      </w:r>
    </w:p>
  </w:footnote>
  <w:footnote w:id="19">
    <w:p w14:paraId="69E27AF2" w14:textId="77777777" w:rsidR="00AD1119" w:rsidRPr="00FF570F" w:rsidRDefault="00AD1119" w:rsidP="00AD1119">
      <w:pPr>
        <w:pStyle w:val="Textpoznpodarou"/>
        <w:rPr>
          <w:spacing w:val="-2"/>
          <w:sz w:val="16"/>
          <w:szCs w:val="16"/>
        </w:rPr>
      </w:pPr>
      <w:r w:rsidRPr="00FF570F">
        <w:rPr>
          <w:rStyle w:val="Znakapoznpodarou"/>
          <w:spacing w:val="-2"/>
          <w:sz w:val="16"/>
          <w:szCs w:val="16"/>
        </w:rPr>
        <w:footnoteRef/>
      </w:r>
      <w:r w:rsidRPr="00FF570F">
        <w:rPr>
          <w:spacing w:val="-2"/>
          <w:sz w:val="16"/>
          <w:szCs w:val="16"/>
        </w:rPr>
        <w:t xml:space="preserve"> Na meziročním přírůstku počtu osob se zkrácenými pracovními úvazky ve 2. čtvrtletí 2026 (+49 tis.) se z 80 % podílely ženy, a to především posílením těchto úvazků u nejmladší pracovní skupiny (15</w:t>
      </w:r>
      <w:r>
        <w:rPr>
          <w:spacing w:val="-2"/>
          <w:sz w:val="16"/>
          <w:szCs w:val="16"/>
        </w:rPr>
        <w:t>–</w:t>
      </w:r>
      <w:r w:rsidRPr="00FF570F">
        <w:rPr>
          <w:spacing w:val="-2"/>
          <w:sz w:val="16"/>
          <w:szCs w:val="16"/>
        </w:rPr>
        <w:t>24 let) i té nejstarší (60 a více let). To souviselo také s obecnějšími změnami na pracovním trhu po ústupu pandemie covidu-19 a také se státní politikou zaměstnanosti, jež od roku 2023 stimulovala nabídku těchto úvazků (zejména formou slevy na pojistném u zaměstnavatelů, jež se týká vybraných skupin zaměstnanců, např. osob pečující</w:t>
      </w:r>
      <w:r>
        <w:rPr>
          <w:spacing w:val="-2"/>
          <w:sz w:val="16"/>
          <w:szCs w:val="16"/>
        </w:rPr>
        <w:t>ch</w:t>
      </w:r>
      <w:r w:rsidRPr="00FF570F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br/>
      </w:r>
      <w:r w:rsidRPr="00FF570F">
        <w:rPr>
          <w:spacing w:val="-2"/>
          <w:sz w:val="16"/>
          <w:szCs w:val="16"/>
        </w:rPr>
        <w:t>o dítě do 10 let, osob starších 55 let, osob se zdravotním postižením či studentů).</w:t>
      </w:r>
    </w:p>
  </w:footnote>
  <w:footnote w:id="20">
    <w:p w14:paraId="3093906C" w14:textId="77777777" w:rsidR="00AD1119" w:rsidRPr="00126939" w:rsidRDefault="00AD1119" w:rsidP="00AD1119">
      <w:pPr>
        <w:pStyle w:val="Textpoznpodarou"/>
        <w:rPr>
          <w:sz w:val="16"/>
          <w:szCs w:val="16"/>
        </w:rPr>
      </w:pPr>
      <w:r w:rsidRPr="00126939">
        <w:rPr>
          <w:rStyle w:val="Znakapoznpodarou"/>
          <w:sz w:val="16"/>
          <w:szCs w:val="16"/>
        </w:rPr>
        <w:footnoteRef/>
      </w:r>
      <w:r w:rsidRPr="00126939">
        <w:rPr>
          <w:sz w:val="16"/>
          <w:szCs w:val="16"/>
        </w:rPr>
        <w:t xml:space="preserve"> </w:t>
      </w:r>
      <w:r>
        <w:rPr>
          <w:sz w:val="16"/>
          <w:szCs w:val="16"/>
        </w:rPr>
        <w:t>Není-li uvedeno jinak, jsou dále použity</w:t>
      </w:r>
      <w:r w:rsidRPr="00126939">
        <w:rPr>
          <w:sz w:val="16"/>
          <w:szCs w:val="16"/>
        </w:rPr>
        <w:t xml:space="preserve"> sezónně očištěné údaje.</w:t>
      </w:r>
    </w:p>
  </w:footnote>
  <w:footnote w:id="21">
    <w:p w14:paraId="28185867" w14:textId="77777777" w:rsidR="00AD1119" w:rsidRPr="00630BA3" w:rsidRDefault="00AD1119" w:rsidP="00AD1119">
      <w:pPr>
        <w:pStyle w:val="Textpoznpodarou"/>
        <w:rPr>
          <w:color w:val="0D0D0D" w:themeColor="text1" w:themeTint="F2"/>
          <w:spacing w:val="-3"/>
          <w:sz w:val="16"/>
          <w:szCs w:val="16"/>
        </w:rPr>
      </w:pPr>
      <w:r w:rsidRPr="00630BA3">
        <w:rPr>
          <w:rStyle w:val="Znakapoznpodarou"/>
          <w:sz w:val="16"/>
          <w:szCs w:val="16"/>
        </w:rPr>
        <w:footnoteRef/>
      </w:r>
      <w:r w:rsidRPr="00630BA3">
        <w:rPr>
          <w:sz w:val="16"/>
          <w:szCs w:val="16"/>
        </w:rPr>
        <w:t xml:space="preserve"> </w:t>
      </w:r>
      <w:r w:rsidRPr="00630BA3">
        <w:rPr>
          <w:color w:val="0D0D0D" w:themeColor="text1" w:themeTint="F2"/>
          <w:spacing w:val="-3"/>
          <w:sz w:val="16"/>
          <w:szCs w:val="16"/>
        </w:rPr>
        <w:t>Dle konjunkturálního průzkumu z</w:t>
      </w:r>
      <w:r>
        <w:rPr>
          <w:color w:val="0D0D0D" w:themeColor="text1" w:themeTint="F2"/>
          <w:spacing w:val="-3"/>
          <w:sz w:val="16"/>
          <w:szCs w:val="16"/>
        </w:rPr>
        <w:t>e srpna</w:t>
      </w:r>
      <w:r w:rsidRPr="00630BA3">
        <w:rPr>
          <w:color w:val="0D0D0D" w:themeColor="text1" w:themeTint="F2"/>
          <w:spacing w:val="-3"/>
          <w:sz w:val="16"/>
          <w:szCs w:val="16"/>
        </w:rPr>
        <w:t xml:space="preserve"> </w:t>
      </w:r>
      <w:r w:rsidRPr="00630BA3">
        <w:rPr>
          <w:rFonts w:cs="Arial"/>
          <w:sz w:val="16"/>
          <w:szCs w:val="16"/>
        </w:rPr>
        <w:t xml:space="preserve">předpokládalo (bez zohlednění sezónnosti) v tříměsíčním horizontu snižování počtu </w:t>
      </w:r>
      <w:r w:rsidRPr="00AC1D53">
        <w:rPr>
          <w:color w:val="0D0D0D" w:themeColor="text1" w:themeTint="F2"/>
          <w:spacing w:val="-3"/>
          <w:sz w:val="16"/>
          <w:szCs w:val="16"/>
        </w:rPr>
        <w:t xml:space="preserve">zaměstnanců 19 % firem ve službách, zhruba desetina shodně v průmyslu i stavebnictví (ale v obchodu jen 7 %). Naopak úmysl </w:t>
      </w:r>
      <w:r>
        <w:rPr>
          <w:color w:val="0D0D0D" w:themeColor="text1" w:themeTint="F2"/>
          <w:spacing w:val="-3"/>
          <w:sz w:val="16"/>
          <w:szCs w:val="16"/>
        </w:rPr>
        <w:t>navyšovat</w:t>
      </w:r>
      <w:r w:rsidRPr="00AC1D53">
        <w:rPr>
          <w:color w:val="0D0D0D" w:themeColor="text1" w:themeTint="F2"/>
          <w:spacing w:val="-3"/>
          <w:sz w:val="16"/>
          <w:szCs w:val="16"/>
        </w:rPr>
        <w:t xml:space="preserve"> stavy pracovníků byl nejzřetelnější ve stavebnictví (14 %), dále s mírný</w:t>
      </w:r>
      <w:r>
        <w:rPr>
          <w:color w:val="0D0D0D" w:themeColor="text1" w:themeTint="F2"/>
          <w:spacing w:val="-3"/>
          <w:sz w:val="16"/>
          <w:szCs w:val="16"/>
        </w:rPr>
        <w:t>m</w:t>
      </w:r>
      <w:r w:rsidRPr="00AC1D53">
        <w:rPr>
          <w:color w:val="0D0D0D" w:themeColor="text1" w:themeTint="F2"/>
          <w:spacing w:val="-3"/>
          <w:sz w:val="16"/>
          <w:szCs w:val="16"/>
        </w:rPr>
        <w:t xml:space="preserve"> odstupem v průmyslu (11 %) obchodě (10 %) a službách (8 % firem).</w:t>
      </w:r>
    </w:p>
  </w:footnote>
  <w:footnote w:id="22">
    <w:p w14:paraId="490420BD" w14:textId="77777777" w:rsidR="00AD1119" w:rsidRPr="00170701" w:rsidRDefault="00AD1119" w:rsidP="00AD1119">
      <w:pPr>
        <w:pStyle w:val="Textpoznpodarou"/>
        <w:rPr>
          <w:color w:val="0D0D0D" w:themeColor="text1" w:themeTint="F2"/>
          <w:spacing w:val="-2"/>
          <w:sz w:val="16"/>
          <w:szCs w:val="16"/>
        </w:rPr>
      </w:pPr>
      <w:r w:rsidRPr="001C07D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1C07D2">
        <w:rPr>
          <w:color w:val="0D0D0D" w:themeColor="text1" w:themeTint="F2"/>
          <w:sz w:val="16"/>
          <w:szCs w:val="16"/>
        </w:rPr>
        <w:t xml:space="preserve"> </w:t>
      </w:r>
      <w:r w:rsidRPr="001C07D2">
        <w:rPr>
          <w:color w:val="0D0D0D" w:themeColor="text1" w:themeTint="F2"/>
          <w:spacing w:val="-2"/>
          <w:sz w:val="16"/>
          <w:szCs w:val="16"/>
        </w:rPr>
        <w:t xml:space="preserve">Převažující negativní očekávání zaměstnanosti vyjádřily </w:t>
      </w:r>
      <w:r>
        <w:rPr>
          <w:color w:val="0D0D0D" w:themeColor="text1" w:themeTint="F2"/>
          <w:spacing w:val="-2"/>
          <w:sz w:val="16"/>
          <w:szCs w:val="16"/>
        </w:rPr>
        <w:t xml:space="preserve">letos v srpnu 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podniky </w:t>
      </w:r>
      <w:r>
        <w:rPr>
          <w:color w:val="0D0D0D" w:themeColor="text1" w:themeTint="F2"/>
          <w:spacing w:val="-2"/>
          <w:sz w:val="16"/>
          <w:szCs w:val="16"/>
        </w:rPr>
        <w:t>ve třetině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 </w:t>
      </w:r>
      <w:r w:rsidRPr="00170701">
        <w:rPr>
          <w:i/>
          <w:iCs/>
          <w:color w:val="0D0D0D" w:themeColor="text1" w:themeTint="F2"/>
          <w:spacing w:val="-2"/>
          <w:sz w:val="16"/>
          <w:szCs w:val="16"/>
        </w:rPr>
        <w:t>zpracovatelských průmyslových oborů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. Nejhorší vyhlídky měly </w:t>
      </w:r>
      <w:r>
        <w:rPr>
          <w:color w:val="0D0D0D" w:themeColor="text1" w:themeTint="F2"/>
          <w:spacing w:val="-2"/>
          <w:sz w:val="16"/>
          <w:szCs w:val="16"/>
        </w:rPr>
        <w:t>hutnictví, elektronický průmysl a strojírenství, z menších oborů kožedělný, dřevozpracující a papírenský průmysl.</w:t>
      </w:r>
      <w:r w:rsidRPr="00A73603">
        <w:rPr>
          <w:color w:val="0D0D0D" w:themeColor="text1" w:themeTint="F2"/>
          <w:spacing w:val="-4"/>
          <w:sz w:val="16"/>
          <w:szCs w:val="16"/>
        </w:rPr>
        <w:t xml:space="preserve"> Naopak pozitivní výhledy přetrvávaly hlavně v</w:t>
      </w:r>
      <w:r>
        <w:rPr>
          <w:color w:val="0D0D0D" w:themeColor="text1" w:themeTint="F2"/>
          <w:spacing w:val="-4"/>
          <w:sz w:val="16"/>
          <w:szCs w:val="16"/>
        </w:rPr>
        <w:t xml:space="preserve"> elektrotechnice, kovodělném průmyslu, opravách strojů a zařízení, ostatním průmyslu (např. výroba sportovních potřeb), </w:t>
      </w:r>
      <w:r w:rsidRPr="00A82316">
        <w:rPr>
          <w:color w:val="0D0D0D" w:themeColor="text1" w:themeTint="F2"/>
          <w:spacing w:val="-2"/>
          <w:sz w:val="16"/>
          <w:szCs w:val="16"/>
        </w:rPr>
        <w:t>potravinářství</w:t>
      </w:r>
      <w:r>
        <w:rPr>
          <w:color w:val="0D0D0D" w:themeColor="text1" w:themeTint="F2"/>
          <w:spacing w:val="-2"/>
          <w:sz w:val="16"/>
          <w:szCs w:val="16"/>
        </w:rPr>
        <w:t>,</w:t>
      </w:r>
      <w:r>
        <w:rPr>
          <w:color w:val="0D0D0D" w:themeColor="text1" w:themeTint="F2"/>
          <w:spacing w:val="-4"/>
          <w:sz w:val="16"/>
          <w:szCs w:val="16"/>
        </w:rPr>
        <w:t xml:space="preserve"> farmacii a tiskárenství</w:t>
      </w:r>
      <w:r>
        <w:rPr>
          <w:color w:val="0D0D0D" w:themeColor="text1" w:themeTint="F2"/>
          <w:spacing w:val="-2"/>
          <w:sz w:val="16"/>
          <w:szCs w:val="16"/>
        </w:rPr>
        <w:t xml:space="preserve">. 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Ve </w:t>
      </w:r>
      <w:r w:rsidRPr="00170701">
        <w:rPr>
          <w:i/>
          <w:iCs/>
          <w:color w:val="0D0D0D" w:themeColor="text1" w:themeTint="F2"/>
          <w:spacing w:val="-2"/>
          <w:sz w:val="16"/>
          <w:szCs w:val="16"/>
        </w:rPr>
        <w:t>službách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 převažovala negativní očekávání </w:t>
      </w:r>
      <w:r>
        <w:rPr>
          <w:color w:val="0D0D0D" w:themeColor="text1" w:themeTint="F2"/>
          <w:spacing w:val="-2"/>
          <w:sz w:val="16"/>
          <w:szCs w:val="16"/>
        </w:rPr>
        <w:t>také ve třetině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 dílčích odvětví</w:t>
      </w:r>
      <w:r>
        <w:rPr>
          <w:color w:val="0D0D0D" w:themeColor="text1" w:themeTint="F2"/>
          <w:spacing w:val="-2"/>
          <w:sz w:val="16"/>
          <w:szCs w:val="16"/>
        </w:rPr>
        <w:t xml:space="preserve"> –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 </w:t>
      </w:r>
      <w:r>
        <w:rPr>
          <w:color w:val="0D0D0D" w:themeColor="text1" w:themeTint="F2"/>
          <w:spacing w:val="-2"/>
          <w:sz w:val="16"/>
          <w:szCs w:val="16"/>
        </w:rPr>
        <w:t>n</w:t>
      </w:r>
      <w:r w:rsidRPr="00A82316">
        <w:rPr>
          <w:color w:val="0D0D0D" w:themeColor="text1" w:themeTint="F2"/>
          <w:spacing w:val="-2"/>
          <w:sz w:val="16"/>
          <w:szCs w:val="16"/>
        </w:rPr>
        <w:t>ejvíce</w:t>
      </w:r>
      <w:r>
        <w:rPr>
          <w:color w:val="0D0D0D" w:themeColor="text1" w:themeTint="F2"/>
          <w:spacing w:val="-2"/>
          <w:sz w:val="16"/>
          <w:szCs w:val="16"/>
        </w:rPr>
        <w:t xml:space="preserve"> </w:t>
      </w:r>
      <w:r w:rsidRPr="00A82316">
        <w:rPr>
          <w:color w:val="0D0D0D" w:themeColor="text1" w:themeTint="F2"/>
          <w:spacing w:val="-2"/>
          <w:sz w:val="16"/>
          <w:szCs w:val="16"/>
        </w:rPr>
        <w:t>v</w:t>
      </w:r>
      <w:r>
        <w:rPr>
          <w:color w:val="0D0D0D" w:themeColor="text1" w:themeTint="F2"/>
          <w:spacing w:val="-2"/>
          <w:sz w:val="16"/>
          <w:szCs w:val="16"/>
        </w:rPr>
        <w:t xml:space="preserve"> telekomunikacích, peněžnictví, reklamě, veterinárních činnostech a některých administrativních a podpůrných činnostech. </w:t>
      </w:r>
      <w:r w:rsidRPr="00A82316">
        <w:rPr>
          <w:color w:val="0D0D0D" w:themeColor="text1" w:themeTint="F2"/>
          <w:spacing w:val="-2"/>
          <w:sz w:val="16"/>
          <w:szCs w:val="16"/>
        </w:rPr>
        <w:t xml:space="preserve">Naopak optimismus převládal </w:t>
      </w:r>
      <w:r>
        <w:rPr>
          <w:color w:val="0D0D0D" w:themeColor="text1" w:themeTint="F2"/>
          <w:spacing w:val="-2"/>
          <w:sz w:val="16"/>
          <w:szCs w:val="16"/>
        </w:rPr>
        <w:t>v</w:t>
      </w:r>
      <w:r w:rsidRPr="00BA5CE9">
        <w:rPr>
          <w:color w:val="0D0D0D" w:themeColor="text1" w:themeTint="F2"/>
          <w:spacing w:val="-6"/>
          <w:sz w:val="16"/>
          <w:szCs w:val="16"/>
        </w:rPr>
        <w:t xml:space="preserve"> informačních činnostech</w:t>
      </w:r>
      <w:r>
        <w:rPr>
          <w:color w:val="0D0D0D" w:themeColor="text1" w:themeTint="F2"/>
          <w:spacing w:val="-6"/>
          <w:sz w:val="16"/>
          <w:szCs w:val="16"/>
        </w:rPr>
        <w:t>, právních a účetnických</w:t>
      </w:r>
      <w:r w:rsidRPr="00BA5CE9">
        <w:rPr>
          <w:color w:val="0D0D0D" w:themeColor="text1" w:themeTint="F2"/>
          <w:spacing w:val="-6"/>
          <w:sz w:val="16"/>
          <w:szCs w:val="16"/>
        </w:rPr>
        <w:t xml:space="preserve"> činnostech</w:t>
      </w:r>
      <w:r>
        <w:rPr>
          <w:color w:val="0D0D0D" w:themeColor="text1" w:themeTint="F2"/>
          <w:spacing w:val="-6"/>
          <w:sz w:val="16"/>
          <w:szCs w:val="16"/>
        </w:rPr>
        <w:t>,</w:t>
      </w:r>
      <w:r w:rsidRPr="00BA5CE9">
        <w:rPr>
          <w:color w:val="0D0D0D" w:themeColor="text1" w:themeTint="F2"/>
          <w:spacing w:val="-6"/>
          <w:sz w:val="16"/>
          <w:szCs w:val="16"/>
        </w:rPr>
        <w:t xml:space="preserve"> vedení podniků a poradenství v oblasti řízení, </w:t>
      </w:r>
      <w:r>
        <w:rPr>
          <w:color w:val="0D0D0D" w:themeColor="text1" w:themeTint="F2"/>
          <w:spacing w:val="-6"/>
          <w:sz w:val="16"/>
          <w:szCs w:val="16"/>
        </w:rPr>
        <w:t xml:space="preserve">pracovních agenturách, pozemní dopravě, skladování či </w:t>
      </w:r>
      <w:r w:rsidRPr="00BA5CE9">
        <w:rPr>
          <w:color w:val="0D0D0D" w:themeColor="text1" w:themeTint="F2"/>
          <w:spacing w:val="-6"/>
          <w:sz w:val="16"/>
          <w:szCs w:val="16"/>
        </w:rPr>
        <w:t>bezpečnostních a pátracích činnostech</w:t>
      </w:r>
      <w:r>
        <w:rPr>
          <w:color w:val="0D0D0D" w:themeColor="text1" w:themeTint="F2"/>
          <w:spacing w:val="-6"/>
          <w:sz w:val="16"/>
          <w:szCs w:val="16"/>
        </w:rPr>
        <w:t>.</w:t>
      </w:r>
    </w:p>
  </w:footnote>
  <w:footnote w:id="23">
    <w:p w14:paraId="3E68CAC7" w14:textId="77777777" w:rsidR="00AD1119" w:rsidRPr="00A4613D" w:rsidRDefault="00AD1119" w:rsidP="00AD1119">
      <w:pPr>
        <w:pStyle w:val="Textpoznpodarou"/>
        <w:rPr>
          <w:sz w:val="16"/>
          <w:szCs w:val="16"/>
        </w:rPr>
      </w:pPr>
      <w:r w:rsidRPr="00A82316">
        <w:rPr>
          <w:rStyle w:val="Znakapoznpodarou"/>
          <w:color w:val="0D0D0D" w:themeColor="text1" w:themeTint="F2"/>
          <w:sz w:val="16"/>
          <w:szCs w:val="16"/>
        </w:rPr>
        <w:footnoteRef/>
      </w:r>
      <w:r w:rsidRPr="00A82316">
        <w:rPr>
          <w:color w:val="0D0D0D" w:themeColor="text1" w:themeTint="F2"/>
          <w:sz w:val="16"/>
          <w:szCs w:val="16"/>
        </w:rPr>
        <w:t xml:space="preserve"> Podniky mohly uvést více bariér současně.</w:t>
      </w:r>
    </w:p>
  </w:footnote>
  <w:footnote w:id="24">
    <w:p w14:paraId="5537FF25" w14:textId="77777777" w:rsidR="00AD1119" w:rsidRPr="00A378F8" w:rsidRDefault="00AD1119" w:rsidP="00AD1119">
      <w:pPr>
        <w:pStyle w:val="Textpoznpodarou"/>
        <w:rPr>
          <w:sz w:val="16"/>
          <w:szCs w:val="16"/>
        </w:rPr>
      </w:pPr>
      <w:r w:rsidRPr="00A378F8">
        <w:rPr>
          <w:rStyle w:val="Znakapoznpodarou"/>
          <w:sz w:val="16"/>
          <w:szCs w:val="16"/>
        </w:rPr>
        <w:footnoteRef/>
      </w:r>
      <w:r w:rsidRPr="00A378F8">
        <w:rPr>
          <w:sz w:val="16"/>
          <w:szCs w:val="16"/>
        </w:rPr>
        <w:t xml:space="preserve"> Jednalo se o výrobu ostatních dopravních prostředků, opravy strojů a zařízen</w:t>
      </w:r>
      <w:r>
        <w:rPr>
          <w:sz w:val="16"/>
          <w:szCs w:val="16"/>
        </w:rPr>
        <w:t>í</w:t>
      </w:r>
      <w:r w:rsidRPr="00A378F8">
        <w:rPr>
          <w:sz w:val="16"/>
          <w:szCs w:val="16"/>
        </w:rPr>
        <w:t xml:space="preserve"> a také ostatní průmysl (např. výroba sportovních potřeb, her a hraček aj.). V rámci služeb sem patřily </w:t>
      </w:r>
      <w:r>
        <w:rPr>
          <w:sz w:val="16"/>
          <w:szCs w:val="16"/>
        </w:rPr>
        <w:t xml:space="preserve">pozemní doprava, stravování a pohostinství, architektonické a inženýrské činnosti, bezpečnostní a pátrací činnosti, </w:t>
      </w:r>
      <w:r>
        <w:rPr>
          <w:color w:val="0D0D0D" w:themeColor="text1" w:themeTint="F2"/>
          <w:spacing w:val="-6"/>
          <w:sz w:val="16"/>
          <w:szCs w:val="16"/>
        </w:rPr>
        <w:t>úklidové činnosti, pracovní agentury a p</w:t>
      </w:r>
      <w:r w:rsidRPr="003E371B">
        <w:rPr>
          <w:color w:val="0D0D0D" w:themeColor="text1" w:themeTint="F2"/>
          <w:spacing w:val="-6"/>
          <w:sz w:val="16"/>
          <w:szCs w:val="16"/>
        </w:rPr>
        <w:t>oskytování ostatních osobních služe</w:t>
      </w:r>
      <w:r>
        <w:rPr>
          <w:color w:val="0D0D0D" w:themeColor="text1" w:themeTint="F2"/>
          <w:spacing w:val="-6"/>
          <w:sz w:val="16"/>
          <w:szCs w:val="16"/>
        </w:rPr>
        <w:t>b.</w:t>
      </w:r>
    </w:p>
  </w:footnote>
  <w:footnote w:id="25">
    <w:p w14:paraId="604419E3" w14:textId="77777777" w:rsidR="00AD1119" w:rsidRPr="004E68B1" w:rsidRDefault="00AD1119" w:rsidP="00AD1119">
      <w:pPr>
        <w:pStyle w:val="Textpoznpodarou"/>
        <w:rPr>
          <w:spacing w:val="-3"/>
          <w:sz w:val="16"/>
          <w:szCs w:val="16"/>
        </w:rPr>
      </w:pPr>
      <w:r w:rsidRPr="004E68B1">
        <w:rPr>
          <w:rStyle w:val="Znakapoznpodarou"/>
          <w:spacing w:val="-3"/>
          <w:sz w:val="16"/>
          <w:szCs w:val="16"/>
        </w:rPr>
        <w:footnoteRef/>
      </w:r>
      <w:r>
        <w:rPr>
          <w:spacing w:val="-3"/>
          <w:sz w:val="16"/>
          <w:szCs w:val="16"/>
        </w:rPr>
        <w:t xml:space="preserve"> Ú</w:t>
      </w:r>
      <w:r w:rsidRPr="004E68B1">
        <w:rPr>
          <w:spacing w:val="-3"/>
          <w:sz w:val="16"/>
          <w:szCs w:val="16"/>
        </w:rPr>
        <w:t>daje o </w:t>
      </w:r>
      <w:r>
        <w:rPr>
          <w:spacing w:val="-3"/>
          <w:sz w:val="16"/>
          <w:szCs w:val="16"/>
        </w:rPr>
        <w:t xml:space="preserve">mírách </w:t>
      </w:r>
      <w:r w:rsidRPr="004E68B1">
        <w:rPr>
          <w:spacing w:val="-3"/>
          <w:sz w:val="16"/>
          <w:szCs w:val="16"/>
        </w:rPr>
        <w:t xml:space="preserve">nezaměstnanosti </w:t>
      </w:r>
      <w:r>
        <w:rPr>
          <w:spacing w:val="-3"/>
          <w:sz w:val="16"/>
          <w:szCs w:val="16"/>
        </w:rPr>
        <w:t xml:space="preserve">v Česku vycházejí </w:t>
      </w:r>
      <w:r w:rsidRPr="004E68B1">
        <w:rPr>
          <w:spacing w:val="-3"/>
          <w:sz w:val="16"/>
          <w:szCs w:val="16"/>
        </w:rPr>
        <w:t>z</w:t>
      </w:r>
      <w:r>
        <w:rPr>
          <w:spacing w:val="-3"/>
          <w:sz w:val="16"/>
          <w:szCs w:val="16"/>
        </w:rPr>
        <w:t> VŠPS (dle metodiky ILO) a jsou sezónně očištěny pomocí trendcyklu.</w:t>
      </w:r>
    </w:p>
  </w:footnote>
  <w:footnote w:id="26">
    <w:p w14:paraId="2FA20570" w14:textId="77777777" w:rsidR="00AD1119" w:rsidRPr="00B57D4E" w:rsidRDefault="00AD1119" w:rsidP="00AD1119">
      <w:pPr>
        <w:pStyle w:val="Textpoznpodarou"/>
        <w:rPr>
          <w:sz w:val="16"/>
          <w:szCs w:val="16"/>
        </w:rPr>
      </w:pPr>
      <w:r w:rsidRPr="00B57D4E">
        <w:rPr>
          <w:rStyle w:val="Znakapoznpodarou"/>
          <w:sz w:val="16"/>
          <w:szCs w:val="16"/>
        </w:rPr>
        <w:footnoteRef/>
      </w:r>
      <w:r w:rsidRPr="00B57D4E">
        <w:rPr>
          <w:sz w:val="16"/>
          <w:szCs w:val="16"/>
        </w:rPr>
        <w:t xml:space="preserve"> Počet ekonomicky neaktivních osob, které práci aktivně nehledají, ale současně uvádějí ochotu pracovat</w:t>
      </w:r>
      <w:r>
        <w:rPr>
          <w:sz w:val="16"/>
          <w:szCs w:val="16"/>
        </w:rPr>
        <w:t>,</w:t>
      </w:r>
      <w:r w:rsidRPr="00B57D4E">
        <w:rPr>
          <w:sz w:val="16"/>
          <w:szCs w:val="16"/>
        </w:rPr>
        <w:t xml:space="preserve"> dosáhl letos v</w:t>
      </w:r>
      <w:r>
        <w:rPr>
          <w:sz w:val="16"/>
          <w:szCs w:val="16"/>
        </w:rPr>
        <w:t> </w:t>
      </w:r>
      <w:r w:rsidRPr="00B57D4E">
        <w:rPr>
          <w:sz w:val="16"/>
          <w:szCs w:val="16"/>
        </w:rPr>
        <w:t>1</w:t>
      </w:r>
      <w:r>
        <w:rPr>
          <w:sz w:val="16"/>
          <w:szCs w:val="16"/>
        </w:rPr>
        <w:t>.</w:t>
      </w:r>
      <w:r w:rsidRPr="00B57D4E">
        <w:rPr>
          <w:sz w:val="16"/>
          <w:szCs w:val="16"/>
        </w:rPr>
        <w:t xml:space="preserve"> pololetí </w:t>
      </w:r>
      <w:r>
        <w:rPr>
          <w:sz w:val="16"/>
          <w:szCs w:val="16"/>
        </w:rPr>
        <w:br/>
      </w:r>
      <w:r w:rsidRPr="00B57D4E">
        <w:rPr>
          <w:sz w:val="16"/>
          <w:szCs w:val="16"/>
        </w:rPr>
        <w:t>76 tis. a tato skupina se meziročně snížila o 5 tis.</w:t>
      </w:r>
    </w:p>
  </w:footnote>
  <w:footnote w:id="27">
    <w:p w14:paraId="75B769B5" w14:textId="77777777" w:rsidR="00AD1119" w:rsidRPr="00300589" w:rsidRDefault="00AD1119" w:rsidP="00AD1119">
      <w:pPr>
        <w:pStyle w:val="Textpoznpodarou"/>
        <w:jc w:val="both"/>
        <w:rPr>
          <w:sz w:val="16"/>
          <w:szCs w:val="16"/>
        </w:rPr>
      </w:pPr>
      <w:r w:rsidRPr="00300589">
        <w:rPr>
          <w:rStyle w:val="Znakapoznpodarou"/>
          <w:sz w:val="16"/>
          <w:szCs w:val="16"/>
        </w:rPr>
        <w:footnoteRef/>
      </w:r>
      <w:r w:rsidRPr="00300589">
        <w:rPr>
          <w:sz w:val="16"/>
          <w:szCs w:val="16"/>
        </w:rPr>
        <w:t xml:space="preserve"> Letos v lednu </w:t>
      </w:r>
      <w:r>
        <w:rPr>
          <w:sz w:val="16"/>
          <w:szCs w:val="16"/>
        </w:rPr>
        <w:t xml:space="preserve">přitom </w:t>
      </w:r>
      <w:r w:rsidRPr="00300589">
        <w:rPr>
          <w:sz w:val="16"/>
          <w:szCs w:val="16"/>
        </w:rPr>
        <w:t>dosáhl 0,8 p. b., což</w:t>
      </w:r>
      <w:r>
        <w:rPr>
          <w:sz w:val="16"/>
          <w:szCs w:val="16"/>
        </w:rPr>
        <w:t xml:space="preserve"> tehdy</w:t>
      </w:r>
      <w:r w:rsidRPr="00300589">
        <w:rPr>
          <w:sz w:val="16"/>
          <w:szCs w:val="16"/>
        </w:rPr>
        <w:t xml:space="preserve"> představovalo </w:t>
      </w:r>
      <w:r w:rsidRPr="00300589">
        <w:rPr>
          <w:rStyle w:val="normaltextrun"/>
          <w:rFonts w:eastAsiaTheme="majorEastAsia" w:cs="Arial"/>
          <w:sz w:val="16"/>
          <w:szCs w:val="16"/>
        </w:rPr>
        <w:t>nejvýraznější zhoršení od vrcholu pandemie (</w:t>
      </w:r>
      <w:r>
        <w:rPr>
          <w:rStyle w:val="normaltextrun"/>
          <w:rFonts w:eastAsiaTheme="majorEastAsia" w:cs="Arial"/>
          <w:sz w:val="16"/>
          <w:szCs w:val="16"/>
        </w:rPr>
        <w:t xml:space="preserve">resp. </w:t>
      </w:r>
      <w:r w:rsidRPr="00300589">
        <w:rPr>
          <w:rStyle w:val="normaltextrun"/>
          <w:rFonts w:eastAsiaTheme="majorEastAsia" w:cs="Arial"/>
          <w:sz w:val="16"/>
          <w:szCs w:val="16"/>
        </w:rPr>
        <w:t>březn</w:t>
      </w:r>
      <w:r>
        <w:rPr>
          <w:rStyle w:val="normaltextrun"/>
          <w:rFonts w:eastAsiaTheme="majorEastAsia" w:cs="Arial"/>
          <w:sz w:val="16"/>
          <w:szCs w:val="16"/>
        </w:rPr>
        <w:t>a</w:t>
      </w:r>
      <w:r w:rsidRPr="00300589">
        <w:rPr>
          <w:rStyle w:val="normaltextrun"/>
          <w:rFonts w:eastAsiaTheme="majorEastAsia" w:cs="Arial"/>
          <w:sz w:val="16"/>
          <w:szCs w:val="16"/>
        </w:rPr>
        <w:t xml:space="preserve"> 2021).</w:t>
      </w:r>
    </w:p>
  </w:footnote>
  <w:footnote w:id="28">
    <w:p w14:paraId="185F44A9" w14:textId="77777777" w:rsidR="00AD1119" w:rsidRPr="00172BEF" w:rsidRDefault="00AD1119" w:rsidP="00AD1119">
      <w:pPr>
        <w:pStyle w:val="Textpoznpodarou"/>
        <w:rPr>
          <w:rFonts w:eastAsiaTheme="majorEastAsia"/>
          <w:color w:val="0D0D0D" w:themeColor="text1" w:themeTint="F2"/>
          <w:sz w:val="16"/>
          <w:szCs w:val="16"/>
        </w:rPr>
      </w:pPr>
      <w:r w:rsidRPr="00CC188E">
        <w:rPr>
          <w:rStyle w:val="Znakapoznpodarou"/>
          <w:color w:val="0D0D0D" w:themeColor="text1" w:themeTint="F2"/>
          <w:sz w:val="16"/>
          <w:szCs w:val="16"/>
        </w:rPr>
        <w:footnoteRef/>
      </w:r>
      <w:r w:rsidRPr="00CC188E">
        <w:rPr>
          <w:color w:val="0D0D0D" w:themeColor="text1" w:themeTint="F2"/>
          <w:sz w:val="16"/>
          <w:szCs w:val="16"/>
        </w:rPr>
        <w:t xml:space="preserve"> </w:t>
      </w:r>
      <w:r w:rsidRPr="00172BEF">
        <w:rPr>
          <w:rFonts w:cs="Arial"/>
          <w:color w:val="0D0D0D" w:themeColor="text1" w:themeTint="F2"/>
          <w:sz w:val="16"/>
          <w:szCs w:val="16"/>
        </w:rPr>
        <w:t>Nejvyšší podíl nezaměstnaných (k obyvatelstvu ve věku 15–64 let) měli letos v červenci muži v okrese Karviná (11,0 %) a ženy na Mostecku (12,0 %). Celková nezaměstnanost</w:t>
      </w:r>
      <w:r w:rsidRPr="00172BEF">
        <w:rPr>
          <w:sz w:val="16"/>
          <w:szCs w:val="16"/>
        </w:rPr>
        <w:t xml:space="preserve"> v pásmu 7 až 10 % sužovala okresy Bruntál, Ostrava, Sokolov, Chomutov, Ústí nad Labem, </w:t>
      </w:r>
      <w:r w:rsidRPr="00172BEF">
        <w:rPr>
          <w:spacing w:val="-2"/>
          <w:sz w:val="16"/>
          <w:szCs w:val="16"/>
        </w:rPr>
        <w:t>Děčín, Louny. Naopak nejnižší byla stále v okresech Praha</w:t>
      </w:r>
      <w:r>
        <w:rPr>
          <w:spacing w:val="-2"/>
          <w:sz w:val="16"/>
          <w:szCs w:val="16"/>
        </w:rPr>
        <w:t xml:space="preserve">-západ </w:t>
      </w:r>
      <w:r w:rsidRPr="00172BEF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Praha-východ</w:t>
      </w:r>
      <w:r w:rsidRPr="00172BEF">
        <w:rPr>
          <w:spacing w:val="-2"/>
          <w:sz w:val="16"/>
          <w:szCs w:val="16"/>
        </w:rPr>
        <w:t xml:space="preserve"> (2,0 %), Rychnov nad Kněžnou (2,9 %), Pelhřimov (3,0 %), Zlín (3,5 %),</w:t>
      </w:r>
      <w:r w:rsidRPr="00172BEF">
        <w:rPr>
          <w:sz w:val="16"/>
          <w:szCs w:val="16"/>
        </w:rPr>
        <w:t xml:space="preserve"> Kroměříž, Ústí nad Orlicí a Jindřichův Hradec (shodně 3,6 %). Meziročně se nezaměstnanost zvýšila ve všech okresech Česka – nejvíce vlivem útlumu těžby uhlí na Karvinsku (+1,1 p. b.), dále na Bruntálsku (+1,1 p. b.), Prostějovsku </w:t>
      </w:r>
      <w:r>
        <w:rPr>
          <w:sz w:val="16"/>
          <w:szCs w:val="16"/>
        </w:rPr>
        <w:br/>
      </w:r>
      <w:r w:rsidRPr="00172BEF">
        <w:rPr>
          <w:sz w:val="16"/>
          <w:szCs w:val="16"/>
        </w:rPr>
        <w:t xml:space="preserve">a Děčínsku (+0,8 až 0,9 p. b.). Mírně nadprůměrný růst nastal ale např. i v Plzni (z 3,5 % na 4,1 %) či </w:t>
      </w:r>
      <w:r>
        <w:rPr>
          <w:sz w:val="16"/>
          <w:szCs w:val="16"/>
        </w:rPr>
        <w:t xml:space="preserve">v </w:t>
      </w:r>
      <w:r w:rsidRPr="00172BEF">
        <w:rPr>
          <w:sz w:val="16"/>
          <w:szCs w:val="16"/>
        </w:rPr>
        <w:t>Praze (z 3,4 % na 3,9 %)</w:t>
      </w:r>
      <w:r>
        <w:rPr>
          <w:sz w:val="16"/>
          <w:szCs w:val="16"/>
        </w:rPr>
        <w:t>.</w:t>
      </w:r>
    </w:p>
  </w:footnote>
  <w:footnote w:id="29">
    <w:p w14:paraId="19D9BD45" w14:textId="77777777" w:rsidR="00AD1119" w:rsidRPr="00BC4EF9" w:rsidRDefault="00AD1119" w:rsidP="00AD1119">
      <w:pPr>
        <w:pStyle w:val="Textpoznpodarou"/>
        <w:rPr>
          <w:sz w:val="16"/>
          <w:szCs w:val="16"/>
        </w:rPr>
      </w:pPr>
      <w:r w:rsidRPr="00BC4EF9">
        <w:rPr>
          <w:rStyle w:val="Znakapoznpodarou"/>
          <w:sz w:val="16"/>
          <w:szCs w:val="16"/>
        </w:rPr>
        <w:footnoteRef/>
      </w:r>
      <w:r w:rsidRPr="00BC4EF9">
        <w:rPr>
          <w:sz w:val="16"/>
          <w:szCs w:val="16"/>
        </w:rPr>
        <w:t xml:space="preserve"> U</w:t>
      </w:r>
      <w:r w:rsidRPr="00BC4EF9">
        <w:rPr>
          <w:color w:val="0D0D0D" w:themeColor="text1" w:themeTint="F2"/>
          <w:sz w:val="16"/>
          <w:szCs w:val="16"/>
        </w:rPr>
        <w:t xml:space="preserve"> tří čtvrtin </w:t>
      </w:r>
      <w:r>
        <w:rPr>
          <w:color w:val="0D0D0D" w:themeColor="text1" w:themeTint="F2"/>
          <w:sz w:val="16"/>
          <w:szCs w:val="16"/>
        </w:rPr>
        <w:t xml:space="preserve">nabízených </w:t>
      </w:r>
      <w:r w:rsidRPr="00BC4EF9">
        <w:rPr>
          <w:color w:val="0D0D0D" w:themeColor="text1" w:themeTint="F2"/>
          <w:sz w:val="16"/>
          <w:szCs w:val="16"/>
        </w:rPr>
        <w:t>volných pracovních míst postačovalo uchazečům pouze základní vzdělání</w:t>
      </w:r>
      <w:r>
        <w:rPr>
          <w:color w:val="0D0D0D" w:themeColor="text1" w:themeTint="F2"/>
          <w:sz w:val="16"/>
          <w:szCs w:val="16"/>
        </w:rPr>
        <w:t xml:space="preserve"> a u 90 % středoškolské bez maturity.</w:t>
      </w:r>
      <w:r w:rsidRPr="00BC4EF9">
        <w:rPr>
          <w:color w:val="0D0D0D" w:themeColor="text1" w:themeTint="F2"/>
          <w:sz w:val="16"/>
          <w:szCs w:val="16"/>
        </w:rPr>
        <w:t xml:space="preserve"> Naopak více než třetina všech registrovaných uchazečů o práci disponuje alespoň maturitním vzděláním</w:t>
      </w:r>
      <w:r>
        <w:rPr>
          <w:color w:val="0D0D0D" w:themeColor="text1" w:themeTint="F2"/>
          <w:sz w:val="16"/>
          <w:szCs w:val="16"/>
        </w:rPr>
        <w:t xml:space="preserve"> a celých 70 % uchazečů dosáhlo alespoň nižší formy středoškolského vzdělání. Nelze však opomenout fakt, že lépe placená místa pro uchazeče s vyšší kvalifikací jsou často primárně nabízena jinou formou než prostřednictvím úřadů práce. </w:t>
      </w:r>
    </w:p>
  </w:footnote>
  <w:footnote w:id="30">
    <w:p w14:paraId="513ECA8B" w14:textId="77777777" w:rsidR="00AD1119" w:rsidRPr="00F157D3" w:rsidRDefault="00AD1119" w:rsidP="00AD1119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sz w:val="16"/>
          <w:szCs w:val="16"/>
        </w:rPr>
      </w:pPr>
      <w:r w:rsidRPr="00F157D3">
        <w:rPr>
          <w:rStyle w:val="Znakapoznpodarou"/>
          <w:rFonts w:ascii="Arial" w:hAnsi="Arial" w:cs="Arial"/>
          <w:sz w:val="16"/>
          <w:szCs w:val="16"/>
        </w:rPr>
        <w:footnoteRef/>
      </w:r>
      <w:r w:rsidRPr="00F157D3">
        <w:rPr>
          <w:rFonts w:ascii="Arial" w:hAnsi="Arial" w:cs="Arial"/>
          <w:sz w:val="16"/>
          <w:szCs w:val="16"/>
        </w:rPr>
        <w:t xml:space="preserve"> Nejvíce uchazečů na místo připadá tradičně v „hornických okresech“ Karviná (19,1) a Sokolov (18,3), dále pak Ústí nad Labem (17,1), Děčín (16,4), Bruntál (10,5), Jablonec n. Nisou (9,5) a Ostrava (8,6). Naopak téměř vyrovnaný poměr mezi uchazeči a místy byl </w:t>
      </w:r>
      <w:r>
        <w:rPr>
          <w:rFonts w:ascii="Arial" w:hAnsi="Arial" w:cs="Arial"/>
          <w:sz w:val="16"/>
          <w:szCs w:val="16"/>
        </w:rPr>
        <w:br/>
      </w:r>
      <w:r w:rsidRPr="00F157D3">
        <w:rPr>
          <w:rFonts w:ascii="Arial" w:hAnsi="Arial" w:cs="Arial"/>
          <w:sz w:val="16"/>
          <w:szCs w:val="16"/>
        </w:rPr>
        <w:t xml:space="preserve">v okresech Tachov (1,2), Praha-východ a </w:t>
      </w:r>
      <w:r>
        <w:rPr>
          <w:rFonts w:ascii="Arial" w:hAnsi="Arial" w:cs="Arial"/>
          <w:sz w:val="16"/>
          <w:szCs w:val="16"/>
        </w:rPr>
        <w:t>Praha-</w:t>
      </w:r>
      <w:r w:rsidRPr="00F157D3">
        <w:rPr>
          <w:rFonts w:ascii="Arial" w:hAnsi="Arial" w:cs="Arial"/>
          <w:sz w:val="16"/>
          <w:szCs w:val="16"/>
        </w:rPr>
        <w:t xml:space="preserve">západ, Mladá Boleslav a Prachatice (shodně 1,3), relativně příznivý byl např. i v Praze (1,7) či </w:t>
      </w:r>
      <w:r>
        <w:rPr>
          <w:rFonts w:ascii="Arial" w:hAnsi="Arial" w:cs="Arial"/>
          <w:sz w:val="16"/>
          <w:szCs w:val="16"/>
        </w:rPr>
        <w:t xml:space="preserve">v </w:t>
      </w:r>
      <w:r w:rsidRPr="00F157D3">
        <w:rPr>
          <w:rFonts w:ascii="Arial" w:hAnsi="Arial" w:cs="Arial"/>
          <w:sz w:val="16"/>
          <w:szCs w:val="16"/>
        </w:rPr>
        <w:t xml:space="preserve">okolí Plzně. Tlak uchazečů na volná místa se meziročně zvýšil v 60 % okresů, nejvíce v Ústí nad Labem (z 8,8 na 17,0, a to hlavně kvůli absolutnímu úbytku míst) a Děčín (z 13,8 na 16,4), mezi kraji nejvíce na Liberecku a </w:t>
      </w:r>
      <w:r>
        <w:rPr>
          <w:rFonts w:ascii="Arial" w:hAnsi="Arial" w:cs="Arial"/>
          <w:sz w:val="16"/>
          <w:szCs w:val="16"/>
        </w:rPr>
        <w:t>ve s</w:t>
      </w:r>
      <w:r w:rsidRPr="00F157D3">
        <w:rPr>
          <w:rFonts w:ascii="Arial" w:hAnsi="Arial" w:cs="Arial"/>
          <w:sz w:val="16"/>
          <w:szCs w:val="16"/>
        </w:rPr>
        <w:t>tředních Čechách. Mezi okresy naopak klesl zejména v Hodoníně (z 12,2 na 7,4) a Karviné (z 24,4 na 19,1), mezi kraji hlavně v</w:t>
      </w:r>
      <w:r>
        <w:rPr>
          <w:rFonts w:ascii="Arial" w:hAnsi="Arial" w:cs="Arial"/>
          <w:sz w:val="16"/>
          <w:szCs w:val="16"/>
        </w:rPr>
        <w:t> </w:t>
      </w:r>
      <w:r w:rsidRPr="00F157D3">
        <w:rPr>
          <w:rFonts w:ascii="Arial" w:hAnsi="Arial" w:cs="Arial"/>
          <w:sz w:val="16"/>
          <w:szCs w:val="16"/>
        </w:rPr>
        <w:t>Jihomoravském</w:t>
      </w:r>
      <w:r>
        <w:rPr>
          <w:rFonts w:ascii="Arial" w:hAnsi="Arial" w:cs="Arial"/>
          <w:sz w:val="16"/>
          <w:szCs w:val="16"/>
        </w:rPr>
        <w:t xml:space="preserve"> kraji</w:t>
      </w:r>
      <w:r w:rsidRPr="00F157D3">
        <w:rPr>
          <w:rFonts w:ascii="Arial" w:hAnsi="Arial" w:cs="Arial"/>
          <w:sz w:val="16"/>
          <w:szCs w:val="16"/>
        </w:rPr>
        <w:t xml:space="preserve"> a </w:t>
      </w:r>
      <w:r>
        <w:rPr>
          <w:rFonts w:ascii="Arial" w:hAnsi="Arial" w:cs="Arial"/>
          <w:sz w:val="16"/>
          <w:szCs w:val="16"/>
        </w:rPr>
        <w:t xml:space="preserve">v Kraji </w:t>
      </w:r>
      <w:r w:rsidRPr="00F157D3">
        <w:rPr>
          <w:rFonts w:ascii="Arial" w:hAnsi="Arial" w:cs="Arial"/>
          <w:sz w:val="16"/>
          <w:szCs w:val="16"/>
        </w:rPr>
        <w:t>Vysočin</w:t>
      </w:r>
      <w:r>
        <w:rPr>
          <w:rFonts w:ascii="Arial" w:hAnsi="Arial" w:cs="Arial"/>
          <w:sz w:val="16"/>
          <w:szCs w:val="16"/>
        </w:rPr>
        <w:t>a</w:t>
      </w:r>
      <w:r w:rsidRPr="00F157D3">
        <w:rPr>
          <w:rFonts w:ascii="Arial" w:hAnsi="Arial" w:cs="Arial"/>
          <w:sz w:val="16"/>
          <w:szCs w:val="16"/>
        </w:rPr>
        <w:t>.</w:t>
      </w:r>
    </w:p>
  </w:footnote>
  <w:footnote w:id="31">
    <w:p w14:paraId="70ED2576" w14:textId="77777777" w:rsidR="00AD1119" w:rsidRPr="003E1845" w:rsidRDefault="00AD1119" w:rsidP="00AD1119">
      <w:pPr>
        <w:pStyle w:val="Textpoznpodarou"/>
        <w:rPr>
          <w:spacing w:val="-4"/>
          <w:sz w:val="16"/>
          <w:szCs w:val="16"/>
        </w:rPr>
      </w:pPr>
      <w:r w:rsidRPr="003E1845">
        <w:rPr>
          <w:rStyle w:val="Znakapoznpodarou"/>
          <w:spacing w:val="-4"/>
          <w:sz w:val="16"/>
          <w:szCs w:val="16"/>
        </w:rPr>
        <w:footnoteRef/>
      </w:r>
      <w:r w:rsidRPr="003E1845">
        <w:rPr>
          <w:spacing w:val="-4"/>
          <w:sz w:val="16"/>
          <w:szCs w:val="16"/>
        </w:rPr>
        <w:t xml:space="preserve"> </w:t>
      </w:r>
      <w:r w:rsidRPr="002654D8">
        <w:rPr>
          <w:color w:val="0D0D0D" w:themeColor="text1" w:themeTint="F2"/>
          <w:spacing w:val="-2"/>
          <w:sz w:val="16"/>
          <w:szCs w:val="16"/>
        </w:rPr>
        <w:t xml:space="preserve">U čistých výdělků promlouvá do jejich vývoje nepříznivě mírné zvýšení daňového zatížení práce vlivem znovuzavedení zaměstnaneckých odvodů na nemocenské pojištění (celkový odvod sociálního pojištění za zaměstnance se zvýšil z 6,5 % na 7,1 %), jež bylo schváleno </w:t>
      </w:r>
      <w:r>
        <w:rPr>
          <w:color w:val="0D0D0D" w:themeColor="text1" w:themeTint="F2"/>
          <w:spacing w:val="-2"/>
          <w:sz w:val="16"/>
          <w:szCs w:val="16"/>
        </w:rPr>
        <w:br/>
      </w:r>
      <w:r w:rsidRPr="002654D8">
        <w:rPr>
          <w:color w:val="0D0D0D" w:themeColor="text1" w:themeTint="F2"/>
          <w:spacing w:val="-2"/>
          <w:sz w:val="16"/>
          <w:szCs w:val="16"/>
        </w:rPr>
        <w:t>v rámci vládního konsolidačního balíčku (s účinností od ledna 2024). K růstu kupní síly výdělků naopak významně přispělo zrušení superhrubé mzdy (</w:t>
      </w:r>
      <w:r>
        <w:rPr>
          <w:color w:val="0D0D0D" w:themeColor="text1" w:themeTint="F2"/>
          <w:spacing w:val="-2"/>
          <w:sz w:val="16"/>
          <w:szCs w:val="16"/>
        </w:rPr>
        <w:t>od l</w:t>
      </w:r>
      <w:r w:rsidRPr="002654D8">
        <w:rPr>
          <w:color w:val="0D0D0D" w:themeColor="text1" w:themeTint="F2"/>
          <w:spacing w:val="-2"/>
          <w:sz w:val="16"/>
          <w:szCs w:val="16"/>
        </w:rPr>
        <w:t>edna 2021).</w:t>
      </w:r>
    </w:p>
  </w:footnote>
  <w:footnote w:id="32">
    <w:p w14:paraId="54C32071" w14:textId="77777777" w:rsidR="00AD1119" w:rsidRPr="00D73105" w:rsidRDefault="00AD1119" w:rsidP="00AD1119">
      <w:pPr>
        <w:pStyle w:val="Textpoznpodarou"/>
        <w:rPr>
          <w:sz w:val="16"/>
          <w:szCs w:val="16"/>
        </w:rPr>
      </w:pPr>
      <w:r w:rsidRPr="00D73105">
        <w:rPr>
          <w:rStyle w:val="Znakapoznpodarou"/>
          <w:sz w:val="16"/>
          <w:szCs w:val="16"/>
        </w:rPr>
        <w:footnoteRef/>
      </w:r>
      <w:r w:rsidRPr="00D73105">
        <w:rPr>
          <w:sz w:val="16"/>
          <w:szCs w:val="16"/>
        </w:rPr>
        <w:t xml:space="preserve"> Ta se od ledna 2026 zvýšila meziročně o 7,7 % na 22 400 tis. korun.  </w:t>
      </w:r>
    </w:p>
  </w:footnote>
  <w:footnote w:id="33">
    <w:p w14:paraId="5CC08390" w14:textId="77777777" w:rsidR="00AD1119" w:rsidRPr="00C274E8" w:rsidRDefault="00AD1119" w:rsidP="00AD1119">
      <w:pPr>
        <w:pStyle w:val="Textpoznpodarou"/>
        <w:rPr>
          <w:sz w:val="16"/>
          <w:szCs w:val="16"/>
        </w:rPr>
      </w:pPr>
      <w:r w:rsidRPr="00C274E8">
        <w:rPr>
          <w:rStyle w:val="Znakapoznpodarou"/>
          <w:sz w:val="16"/>
          <w:szCs w:val="16"/>
        </w:rPr>
        <w:footnoteRef/>
      </w:r>
      <w:r w:rsidRPr="00C274E8">
        <w:rPr>
          <w:sz w:val="16"/>
          <w:szCs w:val="16"/>
        </w:rPr>
        <w:t xml:space="preserve"> Od letošního ledna </w:t>
      </w:r>
      <w:r>
        <w:rPr>
          <w:sz w:val="16"/>
          <w:szCs w:val="16"/>
        </w:rPr>
        <w:t>se</w:t>
      </w:r>
      <w:r w:rsidRPr="00C274E8">
        <w:rPr>
          <w:sz w:val="16"/>
          <w:szCs w:val="16"/>
        </w:rPr>
        <w:t> posíl</w:t>
      </w:r>
      <w:r>
        <w:rPr>
          <w:sz w:val="16"/>
          <w:szCs w:val="16"/>
        </w:rPr>
        <w:t>ily</w:t>
      </w:r>
      <w:r w:rsidRPr="00C274E8">
        <w:rPr>
          <w:sz w:val="16"/>
          <w:szCs w:val="16"/>
        </w:rPr>
        <w:t xml:space="preserve"> výdaj</w:t>
      </w:r>
      <w:r>
        <w:rPr>
          <w:sz w:val="16"/>
          <w:szCs w:val="16"/>
        </w:rPr>
        <w:t>e</w:t>
      </w:r>
      <w:r w:rsidRPr="00C274E8">
        <w:rPr>
          <w:sz w:val="16"/>
          <w:szCs w:val="16"/>
        </w:rPr>
        <w:t xml:space="preserve"> na platy pracovníků ve školství, vojáků a bezpečnostních sborů. Od dubna došlo u zaměstnanců odměňovaných podle zákona o státní službě a zákoníku práce k valorizaci platových tarifů: u státních zaměstnanců a dalších administrativních profesí včetně kultury (o 9 %)</w:t>
      </w:r>
      <w:r>
        <w:rPr>
          <w:sz w:val="16"/>
          <w:szCs w:val="16"/>
        </w:rPr>
        <w:t>,</w:t>
      </w:r>
      <w:r w:rsidRPr="00C274E8">
        <w:rPr>
          <w:sz w:val="16"/>
          <w:szCs w:val="16"/>
        </w:rPr>
        <w:t xml:space="preserve"> u zdravotnických pracovníků a zaměstnanců v sociálních službách (o 5 %) a u lékařů </w:t>
      </w:r>
      <w:r>
        <w:rPr>
          <w:sz w:val="16"/>
          <w:szCs w:val="16"/>
        </w:rPr>
        <w:br/>
      </w:r>
      <w:r w:rsidRPr="00C274E8">
        <w:rPr>
          <w:sz w:val="16"/>
          <w:szCs w:val="16"/>
        </w:rPr>
        <w:t>a zubařů (o 2 %</w:t>
      </w:r>
      <w:r>
        <w:rPr>
          <w:sz w:val="16"/>
          <w:szCs w:val="16"/>
        </w:rPr>
        <w:t>).</w:t>
      </w:r>
    </w:p>
  </w:footnote>
  <w:footnote w:id="34">
    <w:p w14:paraId="60841675" w14:textId="77777777" w:rsidR="00AD1119" w:rsidRDefault="00AD1119" w:rsidP="00AD1119">
      <w:pPr>
        <w:pStyle w:val="Textpoznpodarou"/>
      </w:pPr>
      <w:r w:rsidRPr="003A4185">
        <w:rPr>
          <w:rStyle w:val="Znakapoznpodarou"/>
          <w:sz w:val="16"/>
          <w:szCs w:val="16"/>
        </w:rPr>
        <w:footnoteRef/>
      </w:r>
      <w:r w:rsidRPr="003A4185">
        <w:rPr>
          <w:sz w:val="16"/>
          <w:szCs w:val="16"/>
        </w:rPr>
        <w:t xml:space="preserve"> Ty zahrnují především různorodé </w:t>
      </w:r>
      <w:r w:rsidRPr="003A4185">
        <w:rPr>
          <w:spacing w:val="-2"/>
          <w:sz w:val="16"/>
          <w:szCs w:val="16"/>
        </w:rPr>
        <w:t>služby pro domácnosti (opravy výrobků</w:t>
      </w:r>
      <w:r w:rsidRPr="00B85732">
        <w:rPr>
          <w:spacing w:val="-2"/>
          <w:sz w:val="16"/>
          <w:szCs w:val="16"/>
        </w:rPr>
        <w:t>, kadeřnické a kosmetické</w:t>
      </w:r>
      <w:r w:rsidRPr="00180D79">
        <w:rPr>
          <w:sz w:val="16"/>
          <w:szCs w:val="16"/>
        </w:rPr>
        <w:t xml:space="preserve"> činnosti</w:t>
      </w:r>
      <w:r>
        <w:rPr>
          <w:sz w:val="16"/>
          <w:szCs w:val="16"/>
        </w:rPr>
        <w:t xml:space="preserve"> aj.).</w:t>
      </w:r>
    </w:p>
  </w:footnote>
  <w:footnote w:id="35">
    <w:p w14:paraId="465E7CF7" w14:textId="77777777" w:rsidR="00AD1119" w:rsidRPr="00135EBA" w:rsidRDefault="00AD1119" w:rsidP="00AD1119">
      <w:pPr>
        <w:pStyle w:val="Textpoznpodarou"/>
        <w:rPr>
          <w:sz w:val="16"/>
          <w:szCs w:val="16"/>
        </w:rPr>
      </w:pPr>
      <w:r w:rsidRPr="00135EBA">
        <w:rPr>
          <w:rStyle w:val="Znakapoznpodarou"/>
          <w:sz w:val="16"/>
          <w:szCs w:val="16"/>
        </w:rPr>
        <w:footnoteRef/>
      </w:r>
      <w:r w:rsidRPr="00135EBA">
        <w:rPr>
          <w:sz w:val="16"/>
          <w:szCs w:val="16"/>
        </w:rPr>
        <w:t xml:space="preserve"> </w:t>
      </w:r>
      <w:r>
        <w:rPr>
          <w:sz w:val="16"/>
          <w:szCs w:val="16"/>
        </w:rPr>
        <w:t>Výdělky zaměstnanců</w:t>
      </w:r>
      <w:r w:rsidRPr="00135EBA">
        <w:rPr>
          <w:sz w:val="16"/>
          <w:szCs w:val="16"/>
        </w:rPr>
        <w:t xml:space="preserve"> byd</w:t>
      </w:r>
      <w:r>
        <w:rPr>
          <w:sz w:val="16"/>
          <w:szCs w:val="16"/>
        </w:rPr>
        <w:t>l</w:t>
      </w:r>
      <w:r w:rsidRPr="00135EBA">
        <w:rPr>
          <w:sz w:val="16"/>
          <w:szCs w:val="16"/>
        </w:rPr>
        <w:t>ící</w:t>
      </w:r>
      <w:r>
        <w:rPr>
          <w:sz w:val="16"/>
          <w:szCs w:val="16"/>
        </w:rPr>
        <w:t>ch</w:t>
      </w:r>
      <w:r w:rsidRPr="00135EBA">
        <w:rPr>
          <w:sz w:val="16"/>
          <w:szCs w:val="16"/>
        </w:rPr>
        <w:t xml:space="preserve"> v tomto malém kraji</w:t>
      </w:r>
      <w:r>
        <w:rPr>
          <w:sz w:val="16"/>
          <w:szCs w:val="16"/>
        </w:rPr>
        <w:t xml:space="preserve"> však mohou být ve skutečnosti vyšší díky dojížďce za prací do ostatních regionů Česka a také díky práci v Německu.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9EBB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A682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C5946"/>
    <w:multiLevelType w:val="hybridMultilevel"/>
    <w:tmpl w:val="4C1C2D78"/>
    <w:lvl w:ilvl="0" w:tplc="B01A5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95764B"/>
    <w:multiLevelType w:val="hybridMultilevel"/>
    <w:tmpl w:val="84788BC8"/>
    <w:lvl w:ilvl="0" w:tplc="1B96A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55121"/>
    <w:multiLevelType w:val="hybridMultilevel"/>
    <w:tmpl w:val="338E27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361065"/>
    <w:multiLevelType w:val="hybridMultilevel"/>
    <w:tmpl w:val="991072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145AAD"/>
    <w:multiLevelType w:val="hybridMultilevel"/>
    <w:tmpl w:val="96304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35353"/>
    <w:multiLevelType w:val="multilevel"/>
    <w:tmpl w:val="1C0E9EAE"/>
    <w:name w:val="Analyz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E462C8E"/>
    <w:multiLevelType w:val="hybridMultilevel"/>
    <w:tmpl w:val="84B46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64F20"/>
    <w:multiLevelType w:val="hybridMultilevel"/>
    <w:tmpl w:val="ADE25A6C"/>
    <w:lvl w:ilvl="0" w:tplc="04050001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2333"/>
    <w:multiLevelType w:val="multilevel"/>
    <w:tmpl w:val="D0ACF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8DA62F8"/>
    <w:multiLevelType w:val="hybridMultilevel"/>
    <w:tmpl w:val="419C8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7A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2420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D106E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11355C0"/>
    <w:multiLevelType w:val="multilevel"/>
    <w:tmpl w:val="697E8B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9914012"/>
    <w:multiLevelType w:val="multilevel"/>
    <w:tmpl w:val="F380FB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C1667"/>
    <w:multiLevelType w:val="hybridMultilevel"/>
    <w:tmpl w:val="735E7570"/>
    <w:lvl w:ilvl="0" w:tplc="5588AF8E">
      <w:start w:val="1"/>
      <w:numFmt w:val="decimal"/>
      <w:lvlText w:val="%1."/>
      <w:lvlJc w:val="left"/>
      <w:pPr>
        <w:ind w:left="4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20" w:hanging="360"/>
      </w:pPr>
    </w:lvl>
    <w:lvl w:ilvl="2" w:tplc="0405001B" w:tentative="1">
      <w:start w:val="1"/>
      <w:numFmt w:val="lowerRoman"/>
      <w:lvlText w:val="%3."/>
      <w:lvlJc w:val="right"/>
      <w:pPr>
        <w:ind w:left="6240" w:hanging="180"/>
      </w:pPr>
    </w:lvl>
    <w:lvl w:ilvl="3" w:tplc="0405000F" w:tentative="1">
      <w:start w:val="1"/>
      <w:numFmt w:val="decimal"/>
      <w:lvlText w:val="%4."/>
      <w:lvlJc w:val="left"/>
      <w:pPr>
        <w:ind w:left="6960" w:hanging="360"/>
      </w:pPr>
    </w:lvl>
    <w:lvl w:ilvl="4" w:tplc="04050019" w:tentative="1">
      <w:start w:val="1"/>
      <w:numFmt w:val="lowerLetter"/>
      <w:lvlText w:val="%5."/>
      <w:lvlJc w:val="left"/>
      <w:pPr>
        <w:ind w:left="7680" w:hanging="360"/>
      </w:pPr>
    </w:lvl>
    <w:lvl w:ilvl="5" w:tplc="0405001B" w:tentative="1">
      <w:start w:val="1"/>
      <w:numFmt w:val="lowerRoman"/>
      <w:lvlText w:val="%6."/>
      <w:lvlJc w:val="right"/>
      <w:pPr>
        <w:ind w:left="8400" w:hanging="180"/>
      </w:pPr>
    </w:lvl>
    <w:lvl w:ilvl="6" w:tplc="0405000F" w:tentative="1">
      <w:start w:val="1"/>
      <w:numFmt w:val="decimal"/>
      <w:lvlText w:val="%7."/>
      <w:lvlJc w:val="left"/>
      <w:pPr>
        <w:ind w:left="9120" w:hanging="360"/>
      </w:pPr>
    </w:lvl>
    <w:lvl w:ilvl="7" w:tplc="04050019" w:tentative="1">
      <w:start w:val="1"/>
      <w:numFmt w:val="lowerLetter"/>
      <w:lvlText w:val="%8."/>
      <w:lvlJc w:val="left"/>
      <w:pPr>
        <w:ind w:left="9840" w:hanging="360"/>
      </w:pPr>
    </w:lvl>
    <w:lvl w:ilvl="8" w:tplc="0405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27" w15:restartNumberingAfterBreak="0">
    <w:nsid w:val="3D4D0562"/>
    <w:multiLevelType w:val="hybridMultilevel"/>
    <w:tmpl w:val="E8A8F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B1D16"/>
    <w:multiLevelType w:val="hybridMultilevel"/>
    <w:tmpl w:val="CA440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558D6"/>
    <w:multiLevelType w:val="hybridMultilevel"/>
    <w:tmpl w:val="1B90B8E0"/>
    <w:lvl w:ilvl="0" w:tplc="4B66ED1E">
      <w:start w:val="1"/>
      <w:numFmt w:val="decimal"/>
      <w:lvlText w:val="%1."/>
      <w:lvlJc w:val="left"/>
      <w:pPr>
        <w:ind w:left="4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5" w:hanging="360"/>
      </w:pPr>
    </w:lvl>
    <w:lvl w:ilvl="2" w:tplc="0405001B" w:tentative="1">
      <w:start w:val="1"/>
      <w:numFmt w:val="lowerRoman"/>
      <w:lvlText w:val="%3."/>
      <w:lvlJc w:val="right"/>
      <w:pPr>
        <w:ind w:left="6345" w:hanging="180"/>
      </w:pPr>
    </w:lvl>
    <w:lvl w:ilvl="3" w:tplc="0405000F" w:tentative="1">
      <w:start w:val="1"/>
      <w:numFmt w:val="decimal"/>
      <w:lvlText w:val="%4."/>
      <w:lvlJc w:val="left"/>
      <w:pPr>
        <w:ind w:left="7065" w:hanging="360"/>
      </w:pPr>
    </w:lvl>
    <w:lvl w:ilvl="4" w:tplc="04050019" w:tentative="1">
      <w:start w:val="1"/>
      <w:numFmt w:val="lowerLetter"/>
      <w:lvlText w:val="%5."/>
      <w:lvlJc w:val="left"/>
      <w:pPr>
        <w:ind w:left="7785" w:hanging="360"/>
      </w:pPr>
    </w:lvl>
    <w:lvl w:ilvl="5" w:tplc="0405001B" w:tentative="1">
      <w:start w:val="1"/>
      <w:numFmt w:val="lowerRoman"/>
      <w:lvlText w:val="%6."/>
      <w:lvlJc w:val="right"/>
      <w:pPr>
        <w:ind w:left="8505" w:hanging="180"/>
      </w:pPr>
    </w:lvl>
    <w:lvl w:ilvl="6" w:tplc="0405000F" w:tentative="1">
      <w:start w:val="1"/>
      <w:numFmt w:val="decimal"/>
      <w:lvlText w:val="%7."/>
      <w:lvlJc w:val="left"/>
      <w:pPr>
        <w:ind w:left="9225" w:hanging="360"/>
      </w:pPr>
    </w:lvl>
    <w:lvl w:ilvl="7" w:tplc="04050019" w:tentative="1">
      <w:start w:val="1"/>
      <w:numFmt w:val="lowerLetter"/>
      <w:lvlText w:val="%8."/>
      <w:lvlJc w:val="left"/>
      <w:pPr>
        <w:ind w:left="9945" w:hanging="360"/>
      </w:pPr>
    </w:lvl>
    <w:lvl w:ilvl="8" w:tplc="0405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30" w15:restartNumberingAfterBreak="0">
    <w:nsid w:val="479678F7"/>
    <w:multiLevelType w:val="hybridMultilevel"/>
    <w:tmpl w:val="A4DE7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051A8"/>
    <w:multiLevelType w:val="hybridMultilevel"/>
    <w:tmpl w:val="DEACE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A4287"/>
    <w:multiLevelType w:val="multilevel"/>
    <w:tmpl w:val="1C0E9EAE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90F3B"/>
    <w:multiLevelType w:val="hybridMultilevel"/>
    <w:tmpl w:val="D64CB604"/>
    <w:lvl w:ilvl="0" w:tplc="67AC8A1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655F88"/>
    <w:multiLevelType w:val="hybridMultilevel"/>
    <w:tmpl w:val="70283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67A6"/>
    <w:multiLevelType w:val="hybridMultilevel"/>
    <w:tmpl w:val="50E0F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B210F"/>
    <w:multiLevelType w:val="multilevel"/>
    <w:tmpl w:val="D64CB60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405E1"/>
    <w:multiLevelType w:val="multilevel"/>
    <w:tmpl w:val="5FCA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EF3AA7"/>
    <w:multiLevelType w:val="multilevel"/>
    <w:tmpl w:val="909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048D2"/>
    <w:multiLevelType w:val="hybridMultilevel"/>
    <w:tmpl w:val="D2A0F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235D04"/>
    <w:multiLevelType w:val="hybridMultilevel"/>
    <w:tmpl w:val="26840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747AF"/>
    <w:multiLevelType w:val="hybridMultilevel"/>
    <w:tmpl w:val="76204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51B2D"/>
    <w:multiLevelType w:val="hybridMultilevel"/>
    <w:tmpl w:val="4C1C2D78"/>
    <w:lvl w:ilvl="0" w:tplc="B01A5632">
      <w:start w:val="1"/>
      <w:numFmt w:val="bullet"/>
      <w:pStyle w:val="Normal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A7946"/>
    <w:multiLevelType w:val="multilevel"/>
    <w:tmpl w:val="6F3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8E301A"/>
    <w:multiLevelType w:val="hybridMultilevel"/>
    <w:tmpl w:val="1A92D7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0647203">
    <w:abstractNumId w:val="31"/>
  </w:num>
  <w:num w:numId="2" w16cid:durableId="2108306025">
    <w:abstractNumId w:val="8"/>
  </w:num>
  <w:num w:numId="3" w16cid:durableId="1851791032">
    <w:abstractNumId w:val="3"/>
  </w:num>
  <w:num w:numId="4" w16cid:durableId="1418281433">
    <w:abstractNumId w:val="2"/>
  </w:num>
  <w:num w:numId="5" w16cid:durableId="1057360773">
    <w:abstractNumId w:val="1"/>
  </w:num>
  <w:num w:numId="6" w16cid:durableId="917859753">
    <w:abstractNumId w:val="0"/>
  </w:num>
  <w:num w:numId="7" w16cid:durableId="1884097028">
    <w:abstractNumId w:val="9"/>
  </w:num>
  <w:num w:numId="8" w16cid:durableId="824902319">
    <w:abstractNumId w:val="7"/>
  </w:num>
  <w:num w:numId="9" w16cid:durableId="1803766138">
    <w:abstractNumId w:val="6"/>
  </w:num>
  <w:num w:numId="10" w16cid:durableId="566259340">
    <w:abstractNumId w:val="5"/>
  </w:num>
  <w:num w:numId="11" w16cid:durableId="52774508">
    <w:abstractNumId w:val="4"/>
  </w:num>
  <w:num w:numId="12" w16cid:durableId="1533685237">
    <w:abstractNumId w:val="18"/>
  </w:num>
  <w:num w:numId="13" w16cid:durableId="195428688">
    <w:abstractNumId w:val="34"/>
  </w:num>
  <w:num w:numId="14" w16cid:durableId="1684941278">
    <w:abstractNumId w:val="15"/>
  </w:num>
  <w:num w:numId="15" w16cid:durableId="1238784906">
    <w:abstractNumId w:val="24"/>
  </w:num>
  <w:num w:numId="16" w16cid:durableId="2045134713">
    <w:abstractNumId w:val="19"/>
  </w:num>
  <w:num w:numId="17" w16cid:durableId="1458451516">
    <w:abstractNumId w:val="35"/>
  </w:num>
  <w:num w:numId="18" w16cid:durableId="849877926">
    <w:abstractNumId w:val="25"/>
  </w:num>
  <w:num w:numId="19" w16cid:durableId="1118066606">
    <w:abstractNumId w:val="38"/>
  </w:num>
  <w:num w:numId="20" w16cid:durableId="508564300">
    <w:abstractNumId w:val="44"/>
  </w:num>
  <w:num w:numId="21" w16cid:durableId="316148911">
    <w:abstractNumId w:val="33"/>
  </w:num>
  <w:num w:numId="22" w16cid:durableId="360010707">
    <w:abstractNumId w:val="23"/>
  </w:num>
  <w:num w:numId="23" w16cid:durableId="999309269">
    <w:abstractNumId w:val="21"/>
  </w:num>
  <w:num w:numId="24" w16cid:durableId="1194266313">
    <w:abstractNumId w:val="22"/>
  </w:num>
  <w:num w:numId="25" w16cid:durableId="1815366340">
    <w:abstractNumId w:val="41"/>
  </w:num>
  <w:num w:numId="26" w16cid:durableId="1577863405">
    <w:abstractNumId w:val="43"/>
  </w:num>
  <w:num w:numId="27" w16cid:durableId="1207061094">
    <w:abstractNumId w:val="13"/>
  </w:num>
  <w:num w:numId="28" w16cid:durableId="1693920833">
    <w:abstractNumId w:val="27"/>
  </w:num>
  <w:num w:numId="29" w16cid:durableId="1876775477">
    <w:abstractNumId w:val="26"/>
  </w:num>
  <w:num w:numId="30" w16cid:durableId="179972127">
    <w:abstractNumId w:val="10"/>
  </w:num>
  <w:num w:numId="31" w16cid:durableId="970136012">
    <w:abstractNumId w:val="28"/>
  </w:num>
  <w:num w:numId="32" w16cid:durableId="1617836376">
    <w:abstractNumId w:val="12"/>
  </w:num>
  <w:num w:numId="33" w16cid:durableId="357007340">
    <w:abstractNumId w:val="46"/>
  </w:num>
  <w:num w:numId="34" w16cid:durableId="2131776467">
    <w:abstractNumId w:val="11"/>
  </w:num>
  <w:num w:numId="35" w16cid:durableId="1776095800">
    <w:abstractNumId w:val="37"/>
  </w:num>
  <w:num w:numId="36" w16cid:durableId="862209000">
    <w:abstractNumId w:val="30"/>
  </w:num>
  <w:num w:numId="37" w16cid:durableId="322010878">
    <w:abstractNumId w:val="29"/>
  </w:num>
  <w:num w:numId="38" w16cid:durableId="1458373311">
    <w:abstractNumId w:val="39"/>
  </w:num>
  <w:num w:numId="39" w16cid:durableId="288441997">
    <w:abstractNumId w:val="45"/>
  </w:num>
  <w:num w:numId="40" w16cid:durableId="952595072">
    <w:abstractNumId w:val="40"/>
  </w:num>
  <w:num w:numId="41" w16cid:durableId="1427652868">
    <w:abstractNumId w:val="32"/>
  </w:num>
  <w:num w:numId="42" w16cid:durableId="1024401835">
    <w:abstractNumId w:val="20"/>
  </w:num>
  <w:num w:numId="43" w16cid:durableId="428089243">
    <w:abstractNumId w:val="14"/>
  </w:num>
  <w:num w:numId="44" w16cid:durableId="82647767">
    <w:abstractNumId w:val="36"/>
  </w:num>
  <w:num w:numId="45" w16cid:durableId="215163427">
    <w:abstractNumId w:val="16"/>
  </w:num>
  <w:num w:numId="46" w16cid:durableId="1639922006">
    <w:abstractNumId w:val="44"/>
    <w:lvlOverride w:ilvl="0">
      <w:startOverride w:val="1"/>
    </w:lvlOverride>
  </w:num>
  <w:num w:numId="47" w16cid:durableId="1509101590">
    <w:abstractNumId w:val="17"/>
  </w:num>
  <w:num w:numId="48" w16cid:durableId="14816520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43"/>
    <w:rsid w:val="0000209D"/>
    <w:rsid w:val="00004D5A"/>
    <w:rsid w:val="000056D5"/>
    <w:rsid w:val="00006ABD"/>
    <w:rsid w:val="0000767A"/>
    <w:rsid w:val="00010256"/>
    <w:rsid w:val="00010702"/>
    <w:rsid w:val="00011912"/>
    <w:rsid w:val="00015E7C"/>
    <w:rsid w:val="0002195D"/>
    <w:rsid w:val="000234D6"/>
    <w:rsid w:val="00023D29"/>
    <w:rsid w:val="00026389"/>
    <w:rsid w:val="00031AE0"/>
    <w:rsid w:val="000322EF"/>
    <w:rsid w:val="00033FCD"/>
    <w:rsid w:val="00036F4B"/>
    <w:rsid w:val="00040D10"/>
    <w:rsid w:val="00041CEC"/>
    <w:rsid w:val="0004694F"/>
    <w:rsid w:val="000522E4"/>
    <w:rsid w:val="000610E1"/>
    <w:rsid w:val="00062EC5"/>
    <w:rsid w:val="00062F22"/>
    <w:rsid w:val="000712B3"/>
    <w:rsid w:val="0008263E"/>
    <w:rsid w:val="00082C19"/>
    <w:rsid w:val="00085395"/>
    <w:rsid w:val="00087634"/>
    <w:rsid w:val="00087F2B"/>
    <w:rsid w:val="00092231"/>
    <w:rsid w:val="00095135"/>
    <w:rsid w:val="000974D1"/>
    <w:rsid w:val="0009799E"/>
    <w:rsid w:val="000A1183"/>
    <w:rsid w:val="000A256D"/>
    <w:rsid w:val="000A3A2C"/>
    <w:rsid w:val="000A57D4"/>
    <w:rsid w:val="000B7FD1"/>
    <w:rsid w:val="000C3408"/>
    <w:rsid w:val="000C6AFD"/>
    <w:rsid w:val="000D3ACB"/>
    <w:rsid w:val="000D5637"/>
    <w:rsid w:val="000E6FBD"/>
    <w:rsid w:val="00100F5C"/>
    <w:rsid w:val="00101CDA"/>
    <w:rsid w:val="00104C4C"/>
    <w:rsid w:val="001062D9"/>
    <w:rsid w:val="00117623"/>
    <w:rsid w:val="0012192F"/>
    <w:rsid w:val="00125D69"/>
    <w:rsid w:val="0013332E"/>
    <w:rsid w:val="001405FA"/>
    <w:rsid w:val="001425C3"/>
    <w:rsid w:val="001476BD"/>
    <w:rsid w:val="001612F4"/>
    <w:rsid w:val="0016256B"/>
    <w:rsid w:val="00163793"/>
    <w:rsid w:val="001706D6"/>
    <w:rsid w:val="001714F2"/>
    <w:rsid w:val="00175B9F"/>
    <w:rsid w:val="00181BBC"/>
    <w:rsid w:val="00184B08"/>
    <w:rsid w:val="00185010"/>
    <w:rsid w:val="0019143B"/>
    <w:rsid w:val="001A0487"/>
    <w:rsid w:val="001A552F"/>
    <w:rsid w:val="001B2CA9"/>
    <w:rsid w:val="001B3110"/>
    <w:rsid w:val="001B4729"/>
    <w:rsid w:val="001B6310"/>
    <w:rsid w:val="001B6C09"/>
    <w:rsid w:val="001C05CD"/>
    <w:rsid w:val="001D48D4"/>
    <w:rsid w:val="001D68B2"/>
    <w:rsid w:val="001E504C"/>
    <w:rsid w:val="001E5803"/>
    <w:rsid w:val="001E6062"/>
    <w:rsid w:val="001F4597"/>
    <w:rsid w:val="00203DA4"/>
    <w:rsid w:val="002118B9"/>
    <w:rsid w:val="00214CF7"/>
    <w:rsid w:val="00217C5B"/>
    <w:rsid w:val="0022139E"/>
    <w:rsid w:val="00222729"/>
    <w:rsid w:val="002252E0"/>
    <w:rsid w:val="002255F6"/>
    <w:rsid w:val="00227850"/>
    <w:rsid w:val="00227A53"/>
    <w:rsid w:val="00230C6E"/>
    <w:rsid w:val="00236443"/>
    <w:rsid w:val="00241B06"/>
    <w:rsid w:val="002436BA"/>
    <w:rsid w:val="00244A15"/>
    <w:rsid w:val="00247319"/>
    <w:rsid w:val="0024799E"/>
    <w:rsid w:val="00253C0F"/>
    <w:rsid w:val="002558C1"/>
    <w:rsid w:val="00271465"/>
    <w:rsid w:val="00285412"/>
    <w:rsid w:val="00291640"/>
    <w:rsid w:val="002A16D4"/>
    <w:rsid w:val="002A230C"/>
    <w:rsid w:val="002A2B09"/>
    <w:rsid w:val="002B2299"/>
    <w:rsid w:val="002B4121"/>
    <w:rsid w:val="002B4845"/>
    <w:rsid w:val="002C43BD"/>
    <w:rsid w:val="002D0E59"/>
    <w:rsid w:val="002E02A1"/>
    <w:rsid w:val="002E42AC"/>
    <w:rsid w:val="002E4E4C"/>
    <w:rsid w:val="00302ADD"/>
    <w:rsid w:val="00304771"/>
    <w:rsid w:val="003052D4"/>
    <w:rsid w:val="00306C5B"/>
    <w:rsid w:val="003166B7"/>
    <w:rsid w:val="003209D6"/>
    <w:rsid w:val="00321924"/>
    <w:rsid w:val="0032656E"/>
    <w:rsid w:val="00332190"/>
    <w:rsid w:val="0034335E"/>
    <w:rsid w:val="00344668"/>
    <w:rsid w:val="003462D9"/>
    <w:rsid w:val="0036073B"/>
    <w:rsid w:val="00360C86"/>
    <w:rsid w:val="00360FBC"/>
    <w:rsid w:val="00362E90"/>
    <w:rsid w:val="00364FA0"/>
    <w:rsid w:val="003657F3"/>
    <w:rsid w:val="00366728"/>
    <w:rsid w:val="003818DC"/>
    <w:rsid w:val="00384327"/>
    <w:rsid w:val="00385D98"/>
    <w:rsid w:val="003A2B4D"/>
    <w:rsid w:val="003A2D12"/>
    <w:rsid w:val="003A478C"/>
    <w:rsid w:val="003A5525"/>
    <w:rsid w:val="003A6B38"/>
    <w:rsid w:val="003B2D3D"/>
    <w:rsid w:val="003B461F"/>
    <w:rsid w:val="003B5A32"/>
    <w:rsid w:val="003C3490"/>
    <w:rsid w:val="003C7E62"/>
    <w:rsid w:val="003D6920"/>
    <w:rsid w:val="003E4C91"/>
    <w:rsid w:val="003F313C"/>
    <w:rsid w:val="003F37FC"/>
    <w:rsid w:val="003F4B2C"/>
    <w:rsid w:val="003F551C"/>
    <w:rsid w:val="003F72ED"/>
    <w:rsid w:val="003F7D23"/>
    <w:rsid w:val="00407C13"/>
    <w:rsid w:val="0041041D"/>
    <w:rsid w:val="00410638"/>
    <w:rsid w:val="0041501E"/>
    <w:rsid w:val="004150B9"/>
    <w:rsid w:val="004159C3"/>
    <w:rsid w:val="00432A58"/>
    <w:rsid w:val="00434617"/>
    <w:rsid w:val="00440900"/>
    <w:rsid w:val="00441BF6"/>
    <w:rsid w:val="004441A0"/>
    <w:rsid w:val="004455BA"/>
    <w:rsid w:val="0045078A"/>
    <w:rsid w:val="0045086D"/>
    <w:rsid w:val="00451504"/>
    <w:rsid w:val="00460FB3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A03CF"/>
    <w:rsid w:val="004A14E4"/>
    <w:rsid w:val="004A3212"/>
    <w:rsid w:val="004A4A88"/>
    <w:rsid w:val="004A5494"/>
    <w:rsid w:val="004A61C5"/>
    <w:rsid w:val="004A77DF"/>
    <w:rsid w:val="004B1417"/>
    <w:rsid w:val="004B55B7"/>
    <w:rsid w:val="004B6468"/>
    <w:rsid w:val="004B7125"/>
    <w:rsid w:val="004C384C"/>
    <w:rsid w:val="004C3867"/>
    <w:rsid w:val="004C4CD0"/>
    <w:rsid w:val="004C70DC"/>
    <w:rsid w:val="004D0211"/>
    <w:rsid w:val="004D0794"/>
    <w:rsid w:val="004F06F5"/>
    <w:rsid w:val="004F33A0"/>
    <w:rsid w:val="0050689D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43498"/>
    <w:rsid w:val="0055599F"/>
    <w:rsid w:val="00556D68"/>
    <w:rsid w:val="00563EB8"/>
    <w:rsid w:val="005647BF"/>
    <w:rsid w:val="00564AF1"/>
    <w:rsid w:val="00572FB1"/>
    <w:rsid w:val="0057364B"/>
    <w:rsid w:val="00574773"/>
    <w:rsid w:val="00583FFD"/>
    <w:rsid w:val="005911BE"/>
    <w:rsid w:val="00593152"/>
    <w:rsid w:val="005A10F2"/>
    <w:rsid w:val="005A21E0"/>
    <w:rsid w:val="005A28FF"/>
    <w:rsid w:val="005A3DF8"/>
    <w:rsid w:val="005A5549"/>
    <w:rsid w:val="005B121D"/>
    <w:rsid w:val="005B6459"/>
    <w:rsid w:val="005C06ED"/>
    <w:rsid w:val="005C2609"/>
    <w:rsid w:val="005D5802"/>
    <w:rsid w:val="005D7119"/>
    <w:rsid w:val="005D7890"/>
    <w:rsid w:val="005E7C78"/>
    <w:rsid w:val="005F18C5"/>
    <w:rsid w:val="005F3EB1"/>
    <w:rsid w:val="005F46D8"/>
    <w:rsid w:val="005F5469"/>
    <w:rsid w:val="00604307"/>
    <w:rsid w:val="0060487F"/>
    <w:rsid w:val="00604EAD"/>
    <w:rsid w:val="006104FB"/>
    <w:rsid w:val="00612A2F"/>
    <w:rsid w:val="00616E05"/>
    <w:rsid w:val="00624093"/>
    <w:rsid w:val="006350D5"/>
    <w:rsid w:val="00635B43"/>
    <w:rsid w:val="006404A7"/>
    <w:rsid w:val="006451E4"/>
    <w:rsid w:val="00645B33"/>
    <w:rsid w:val="00650942"/>
    <w:rsid w:val="006516CB"/>
    <w:rsid w:val="00656FC8"/>
    <w:rsid w:val="00657E87"/>
    <w:rsid w:val="00664803"/>
    <w:rsid w:val="00665BA4"/>
    <w:rsid w:val="00667AF2"/>
    <w:rsid w:val="006710C9"/>
    <w:rsid w:val="006741AC"/>
    <w:rsid w:val="00674D89"/>
    <w:rsid w:val="00675E37"/>
    <w:rsid w:val="0068174E"/>
    <w:rsid w:val="00681DCE"/>
    <w:rsid w:val="0068260E"/>
    <w:rsid w:val="00683398"/>
    <w:rsid w:val="00695BEF"/>
    <w:rsid w:val="006977F6"/>
    <w:rsid w:val="00697A13"/>
    <w:rsid w:val="006A109C"/>
    <w:rsid w:val="006B0F92"/>
    <w:rsid w:val="006B1AFC"/>
    <w:rsid w:val="006B344A"/>
    <w:rsid w:val="006B78D8"/>
    <w:rsid w:val="006C113F"/>
    <w:rsid w:val="006C123E"/>
    <w:rsid w:val="006C1752"/>
    <w:rsid w:val="006C56D4"/>
    <w:rsid w:val="006C6924"/>
    <w:rsid w:val="006C7CA6"/>
    <w:rsid w:val="006D3E8A"/>
    <w:rsid w:val="006D61F6"/>
    <w:rsid w:val="006E279A"/>
    <w:rsid w:val="006E313B"/>
    <w:rsid w:val="006E7227"/>
    <w:rsid w:val="006F438E"/>
    <w:rsid w:val="006F5416"/>
    <w:rsid w:val="00705242"/>
    <w:rsid w:val="00706AD4"/>
    <w:rsid w:val="00707150"/>
    <w:rsid w:val="007140BE"/>
    <w:rsid w:val="007211F5"/>
    <w:rsid w:val="00723946"/>
    <w:rsid w:val="007240E2"/>
    <w:rsid w:val="00725BB5"/>
    <w:rsid w:val="00730AE8"/>
    <w:rsid w:val="00730F1B"/>
    <w:rsid w:val="00741493"/>
    <w:rsid w:val="0075027A"/>
    <w:rsid w:val="00752180"/>
    <w:rsid w:val="00753CAB"/>
    <w:rsid w:val="00755202"/>
    <w:rsid w:val="00755D3A"/>
    <w:rsid w:val="007578D3"/>
    <w:rsid w:val="007609C6"/>
    <w:rsid w:val="00760EA4"/>
    <w:rsid w:val="00761600"/>
    <w:rsid w:val="0076175D"/>
    <w:rsid w:val="00763B85"/>
    <w:rsid w:val="0076521E"/>
    <w:rsid w:val="007661E9"/>
    <w:rsid w:val="00776169"/>
    <w:rsid w:val="00776527"/>
    <w:rsid w:val="00780EF1"/>
    <w:rsid w:val="00790764"/>
    <w:rsid w:val="0079453C"/>
    <w:rsid w:val="00794677"/>
    <w:rsid w:val="00797445"/>
    <w:rsid w:val="007A516D"/>
    <w:rsid w:val="007B6689"/>
    <w:rsid w:val="007C6BBD"/>
    <w:rsid w:val="007C7443"/>
    <w:rsid w:val="007D2975"/>
    <w:rsid w:val="007D40DF"/>
    <w:rsid w:val="007E29B4"/>
    <w:rsid w:val="007E435A"/>
    <w:rsid w:val="007E7E61"/>
    <w:rsid w:val="007F0845"/>
    <w:rsid w:val="007F708D"/>
    <w:rsid w:val="00801E13"/>
    <w:rsid w:val="00807C82"/>
    <w:rsid w:val="00814B15"/>
    <w:rsid w:val="00816905"/>
    <w:rsid w:val="008207EF"/>
    <w:rsid w:val="00821777"/>
    <w:rsid w:val="00821FF6"/>
    <w:rsid w:val="00822574"/>
    <w:rsid w:val="00825C4D"/>
    <w:rsid w:val="0083143E"/>
    <w:rsid w:val="00831CDE"/>
    <w:rsid w:val="00834304"/>
    <w:rsid w:val="00834FAA"/>
    <w:rsid w:val="00836086"/>
    <w:rsid w:val="00846121"/>
    <w:rsid w:val="0084708F"/>
    <w:rsid w:val="008477C8"/>
    <w:rsid w:val="0085114D"/>
    <w:rsid w:val="00852217"/>
    <w:rsid w:val="00855408"/>
    <w:rsid w:val="00856D65"/>
    <w:rsid w:val="00861B41"/>
    <w:rsid w:val="00861BE3"/>
    <w:rsid w:val="00863434"/>
    <w:rsid w:val="00865E4C"/>
    <w:rsid w:val="008701E4"/>
    <w:rsid w:val="00871069"/>
    <w:rsid w:val="00875A32"/>
    <w:rsid w:val="00876086"/>
    <w:rsid w:val="008825B0"/>
    <w:rsid w:val="00884AD6"/>
    <w:rsid w:val="008873D4"/>
    <w:rsid w:val="0089126C"/>
    <w:rsid w:val="0089296D"/>
    <w:rsid w:val="00893E85"/>
    <w:rsid w:val="00894031"/>
    <w:rsid w:val="00895508"/>
    <w:rsid w:val="0089685F"/>
    <w:rsid w:val="008B167B"/>
    <w:rsid w:val="008B7C02"/>
    <w:rsid w:val="008B7D2B"/>
    <w:rsid w:val="008C0049"/>
    <w:rsid w:val="008C0E88"/>
    <w:rsid w:val="008C53CB"/>
    <w:rsid w:val="008D17C7"/>
    <w:rsid w:val="008D1E6A"/>
    <w:rsid w:val="008D2A16"/>
    <w:rsid w:val="008E0808"/>
    <w:rsid w:val="008E2C57"/>
    <w:rsid w:val="008E31FF"/>
    <w:rsid w:val="008E6F06"/>
    <w:rsid w:val="008E7FC9"/>
    <w:rsid w:val="008F029B"/>
    <w:rsid w:val="008F3FC9"/>
    <w:rsid w:val="008F585B"/>
    <w:rsid w:val="009003A8"/>
    <w:rsid w:val="00902500"/>
    <w:rsid w:val="00902EFF"/>
    <w:rsid w:val="00906401"/>
    <w:rsid w:val="0091155E"/>
    <w:rsid w:val="00912634"/>
    <w:rsid w:val="00912A92"/>
    <w:rsid w:val="0091728D"/>
    <w:rsid w:val="009203C8"/>
    <w:rsid w:val="0092180B"/>
    <w:rsid w:val="00921F14"/>
    <w:rsid w:val="009231A3"/>
    <w:rsid w:val="00924AC8"/>
    <w:rsid w:val="0092597A"/>
    <w:rsid w:val="00930FB1"/>
    <w:rsid w:val="0093139F"/>
    <w:rsid w:val="00932443"/>
    <w:rsid w:val="009324EF"/>
    <w:rsid w:val="00933121"/>
    <w:rsid w:val="00937AE2"/>
    <w:rsid w:val="0094427A"/>
    <w:rsid w:val="00945245"/>
    <w:rsid w:val="0095759C"/>
    <w:rsid w:val="00966405"/>
    <w:rsid w:val="009721DB"/>
    <w:rsid w:val="00974923"/>
    <w:rsid w:val="00975148"/>
    <w:rsid w:val="00980D3D"/>
    <w:rsid w:val="00987A30"/>
    <w:rsid w:val="00992CF3"/>
    <w:rsid w:val="00994868"/>
    <w:rsid w:val="009968D6"/>
    <w:rsid w:val="009A1CAB"/>
    <w:rsid w:val="009A60D1"/>
    <w:rsid w:val="009B1F0B"/>
    <w:rsid w:val="009B6FD3"/>
    <w:rsid w:val="009C1750"/>
    <w:rsid w:val="009C2E29"/>
    <w:rsid w:val="009C554B"/>
    <w:rsid w:val="009C719E"/>
    <w:rsid w:val="009C7A10"/>
    <w:rsid w:val="009D3ACD"/>
    <w:rsid w:val="009E5273"/>
    <w:rsid w:val="009E5DDB"/>
    <w:rsid w:val="009F4CA7"/>
    <w:rsid w:val="00A0439C"/>
    <w:rsid w:val="00A10D66"/>
    <w:rsid w:val="00A14114"/>
    <w:rsid w:val="00A16413"/>
    <w:rsid w:val="00A16E1D"/>
    <w:rsid w:val="00A171A3"/>
    <w:rsid w:val="00A17D5B"/>
    <w:rsid w:val="00A23E43"/>
    <w:rsid w:val="00A25216"/>
    <w:rsid w:val="00A30F65"/>
    <w:rsid w:val="00A33A89"/>
    <w:rsid w:val="00A40EAC"/>
    <w:rsid w:val="00A418BC"/>
    <w:rsid w:val="00A46DE0"/>
    <w:rsid w:val="00A50D73"/>
    <w:rsid w:val="00A52CAD"/>
    <w:rsid w:val="00A53FC7"/>
    <w:rsid w:val="00A62CE1"/>
    <w:rsid w:val="00A6741E"/>
    <w:rsid w:val="00A75E40"/>
    <w:rsid w:val="00A77D1D"/>
    <w:rsid w:val="00A84A6A"/>
    <w:rsid w:val="00A857C0"/>
    <w:rsid w:val="00A90FED"/>
    <w:rsid w:val="00AA2996"/>
    <w:rsid w:val="00AA52BF"/>
    <w:rsid w:val="00AA559A"/>
    <w:rsid w:val="00AB2AF1"/>
    <w:rsid w:val="00AC224B"/>
    <w:rsid w:val="00AC45BD"/>
    <w:rsid w:val="00AD0D0E"/>
    <w:rsid w:val="00AD1119"/>
    <w:rsid w:val="00AD168E"/>
    <w:rsid w:val="00AD306C"/>
    <w:rsid w:val="00AD68C4"/>
    <w:rsid w:val="00AE09B3"/>
    <w:rsid w:val="00AE1A83"/>
    <w:rsid w:val="00AF6128"/>
    <w:rsid w:val="00B00913"/>
    <w:rsid w:val="00B01593"/>
    <w:rsid w:val="00B023F2"/>
    <w:rsid w:val="00B04705"/>
    <w:rsid w:val="00B10A4D"/>
    <w:rsid w:val="00B14BC1"/>
    <w:rsid w:val="00B17E71"/>
    <w:rsid w:val="00B17FDE"/>
    <w:rsid w:val="00B2379C"/>
    <w:rsid w:val="00B2687D"/>
    <w:rsid w:val="00B32DDB"/>
    <w:rsid w:val="00B34528"/>
    <w:rsid w:val="00B34CC9"/>
    <w:rsid w:val="00B402FC"/>
    <w:rsid w:val="00B439DA"/>
    <w:rsid w:val="00B46604"/>
    <w:rsid w:val="00B530CD"/>
    <w:rsid w:val="00B536DD"/>
    <w:rsid w:val="00B55F5E"/>
    <w:rsid w:val="00B5752E"/>
    <w:rsid w:val="00B63A11"/>
    <w:rsid w:val="00B63B6A"/>
    <w:rsid w:val="00B64C24"/>
    <w:rsid w:val="00B6608F"/>
    <w:rsid w:val="00B679FB"/>
    <w:rsid w:val="00B76D1E"/>
    <w:rsid w:val="00B80EC6"/>
    <w:rsid w:val="00B84CF6"/>
    <w:rsid w:val="00B92D1D"/>
    <w:rsid w:val="00B938C5"/>
    <w:rsid w:val="00B95940"/>
    <w:rsid w:val="00BA6C2B"/>
    <w:rsid w:val="00BB099E"/>
    <w:rsid w:val="00BB2F43"/>
    <w:rsid w:val="00BB46F3"/>
    <w:rsid w:val="00BB4CB1"/>
    <w:rsid w:val="00BB4F98"/>
    <w:rsid w:val="00BC5C12"/>
    <w:rsid w:val="00BC7154"/>
    <w:rsid w:val="00BC731E"/>
    <w:rsid w:val="00BD366B"/>
    <w:rsid w:val="00BD6D50"/>
    <w:rsid w:val="00BE18B9"/>
    <w:rsid w:val="00BE2495"/>
    <w:rsid w:val="00BF1578"/>
    <w:rsid w:val="00C21F94"/>
    <w:rsid w:val="00C247DE"/>
    <w:rsid w:val="00C27913"/>
    <w:rsid w:val="00C27D07"/>
    <w:rsid w:val="00C33B68"/>
    <w:rsid w:val="00C35666"/>
    <w:rsid w:val="00C36A79"/>
    <w:rsid w:val="00C401D2"/>
    <w:rsid w:val="00C405D4"/>
    <w:rsid w:val="00C446A2"/>
    <w:rsid w:val="00C4513B"/>
    <w:rsid w:val="00C5390B"/>
    <w:rsid w:val="00C54697"/>
    <w:rsid w:val="00C73885"/>
    <w:rsid w:val="00C747B1"/>
    <w:rsid w:val="00C82191"/>
    <w:rsid w:val="00C83134"/>
    <w:rsid w:val="00C85545"/>
    <w:rsid w:val="00C90CF4"/>
    <w:rsid w:val="00C92EB6"/>
    <w:rsid w:val="00C93389"/>
    <w:rsid w:val="00CA0914"/>
    <w:rsid w:val="00CA6AB4"/>
    <w:rsid w:val="00CB4930"/>
    <w:rsid w:val="00CC2E7D"/>
    <w:rsid w:val="00CD10A5"/>
    <w:rsid w:val="00CD2076"/>
    <w:rsid w:val="00CD29B5"/>
    <w:rsid w:val="00CD5BA3"/>
    <w:rsid w:val="00CD6331"/>
    <w:rsid w:val="00CE670B"/>
    <w:rsid w:val="00CF4908"/>
    <w:rsid w:val="00CF51EC"/>
    <w:rsid w:val="00CF73AE"/>
    <w:rsid w:val="00D040DD"/>
    <w:rsid w:val="00D075BE"/>
    <w:rsid w:val="00D13986"/>
    <w:rsid w:val="00D21D83"/>
    <w:rsid w:val="00D22D10"/>
    <w:rsid w:val="00D235B7"/>
    <w:rsid w:val="00D25F28"/>
    <w:rsid w:val="00D26071"/>
    <w:rsid w:val="00D27973"/>
    <w:rsid w:val="00D35E1A"/>
    <w:rsid w:val="00D50F46"/>
    <w:rsid w:val="00D57677"/>
    <w:rsid w:val="00D66223"/>
    <w:rsid w:val="00D71625"/>
    <w:rsid w:val="00D76A18"/>
    <w:rsid w:val="00D8084C"/>
    <w:rsid w:val="00D915EA"/>
    <w:rsid w:val="00D94D95"/>
    <w:rsid w:val="00DA7C0C"/>
    <w:rsid w:val="00DB08A9"/>
    <w:rsid w:val="00DB2EC8"/>
    <w:rsid w:val="00DC5B3B"/>
    <w:rsid w:val="00DD129F"/>
    <w:rsid w:val="00DD1A46"/>
    <w:rsid w:val="00DE02BD"/>
    <w:rsid w:val="00DE0F3B"/>
    <w:rsid w:val="00DF42FF"/>
    <w:rsid w:val="00E01C0E"/>
    <w:rsid w:val="00E03F9A"/>
    <w:rsid w:val="00E04694"/>
    <w:rsid w:val="00E12B1E"/>
    <w:rsid w:val="00E17262"/>
    <w:rsid w:val="00E253A2"/>
    <w:rsid w:val="00E3309D"/>
    <w:rsid w:val="00E47EBA"/>
    <w:rsid w:val="00E50156"/>
    <w:rsid w:val="00E51643"/>
    <w:rsid w:val="00E53470"/>
    <w:rsid w:val="00E539F6"/>
    <w:rsid w:val="00E6519D"/>
    <w:rsid w:val="00E67696"/>
    <w:rsid w:val="00E71A58"/>
    <w:rsid w:val="00E72A7A"/>
    <w:rsid w:val="00E75C94"/>
    <w:rsid w:val="00E76A3F"/>
    <w:rsid w:val="00E93820"/>
    <w:rsid w:val="00E94A86"/>
    <w:rsid w:val="00E96143"/>
    <w:rsid w:val="00E963D6"/>
    <w:rsid w:val="00EA0987"/>
    <w:rsid w:val="00EA0C68"/>
    <w:rsid w:val="00EA32BC"/>
    <w:rsid w:val="00EB4511"/>
    <w:rsid w:val="00EB4A3B"/>
    <w:rsid w:val="00EC03D7"/>
    <w:rsid w:val="00ED62C6"/>
    <w:rsid w:val="00ED64C1"/>
    <w:rsid w:val="00EE3446"/>
    <w:rsid w:val="00EE3E78"/>
    <w:rsid w:val="00EE4B1B"/>
    <w:rsid w:val="00EE7F19"/>
    <w:rsid w:val="00EF150D"/>
    <w:rsid w:val="00EF1F5A"/>
    <w:rsid w:val="00EF47BF"/>
    <w:rsid w:val="00F04811"/>
    <w:rsid w:val="00F0488C"/>
    <w:rsid w:val="00F10F11"/>
    <w:rsid w:val="00F15AAA"/>
    <w:rsid w:val="00F15BEF"/>
    <w:rsid w:val="00F24407"/>
    <w:rsid w:val="00F24931"/>
    <w:rsid w:val="00F24FAA"/>
    <w:rsid w:val="00F3364D"/>
    <w:rsid w:val="00F3443C"/>
    <w:rsid w:val="00F437CC"/>
    <w:rsid w:val="00F44537"/>
    <w:rsid w:val="00F44B6A"/>
    <w:rsid w:val="00F47067"/>
    <w:rsid w:val="00F525EB"/>
    <w:rsid w:val="00F63DDE"/>
    <w:rsid w:val="00F63FB7"/>
    <w:rsid w:val="00F6421B"/>
    <w:rsid w:val="00F649D2"/>
    <w:rsid w:val="00F6602B"/>
    <w:rsid w:val="00F73A0C"/>
    <w:rsid w:val="00F756DB"/>
    <w:rsid w:val="00F84E7D"/>
    <w:rsid w:val="00F85066"/>
    <w:rsid w:val="00F87A4D"/>
    <w:rsid w:val="00F9785E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16D78745"/>
  <w15:docId w15:val="{FC3C9807-8A20-484D-A937-0CB633FC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FA0"/>
    <w:pPr>
      <w:spacing w:after="240" w:line="276" w:lineRule="auto"/>
      <w:jc w:val="both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A0987"/>
    <w:pPr>
      <w:keepNext/>
      <w:keepLines/>
      <w:spacing w:after="100" w:line="276" w:lineRule="auto"/>
      <w:contextualSpacing/>
      <w:outlineLvl w:val="0"/>
    </w:pPr>
    <w:rPr>
      <w:rFonts w:ascii="Arial" w:eastAsia="MS Gothic" w:hAnsi="Arial"/>
      <w:b/>
      <w:bCs/>
      <w:color w:val="86BF5E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EA0987"/>
    <w:pPr>
      <w:keepNext/>
      <w:keepLines/>
      <w:spacing w:line="276" w:lineRule="auto"/>
      <w:outlineLvl w:val="1"/>
    </w:pPr>
    <w:rPr>
      <w:rFonts w:ascii="Arial" w:eastAsia="MS Gothic" w:hAnsi="Arial"/>
      <w:b/>
      <w:bCs/>
      <w:color w:val="86BF5E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EA0987"/>
    <w:pPr>
      <w:keepNext/>
      <w:keepLines/>
      <w:spacing w:line="276" w:lineRule="auto"/>
      <w:outlineLvl w:val="2"/>
    </w:pPr>
    <w:rPr>
      <w:rFonts w:ascii="Arial" w:eastAsia="MS Gothic" w:hAnsi="Arial"/>
      <w:b/>
      <w:bCs/>
      <w:color w:val="86BF5E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1041D"/>
    <w:pPr>
      <w:keepNext/>
      <w:keepLines/>
      <w:spacing w:line="276" w:lineRule="auto"/>
      <w:outlineLvl w:val="3"/>
    </w:pPr>
    <w:rPr>
      <w:rFonts w:ascii="Arial" w:eastAsia="MS Gothic" w:hAnsi="Arial"/>
      <w:b/>
      <w:bCs/>
      <w:iCs/>
      <w:color w:val="86BF5E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7A516D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16D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16D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16D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16D"/>
    <w:pPr>
      <w:numPr>
        <w:ilvl w:val="8"/>
        <w:numId w:val="1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EA0987"/>
    <w:rPr>
      <w:rFonts w:ascii="Arial" w:eastAsia="MS Gothic" w:hAnsi="Arial"/>
      <w:b/>
      <w:bCs/>
      <w:color w:val="86BF5E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EA0987"/>
    <w:rPr>
      <w:rFonts w:ascii="Arial" w:eastAsia="MS Gothic" w:hAnsi="Arial"/>
      <w:b/>
      <w:bCs/>
      <w:color w:val="86BF5E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EA0987"/>
    <w:rPr>
      <w:rFonts w:ascii="Arial" w:eastAsia="MS Gothic" w:hAnsi="Arial"/>
      <w:b/>
      <w:bCs/>
      <w:color w:val="86BF5E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41041D"/>
    <w:rPr>
      <w:rFonts w:ascii="Arial" w:eastAsia="MS Gothic" w:hAnsi="Arial"/>
      <w:b/>
      <w:bCs/>
      <w:iCs/>
      <w:color w:val="86BF5E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7A516D"/>
    <w:rPr>
      <w:rFonts w:ascii="Cambria" w:eastAsia="Times New Roman" w:hAnsi="Cambria"/>
      <w:sz w:val="22"/>
      <w:szCs w:val="22"/>
      <w:lang w:eastAsia="cs-CZ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0A57D4"/>
    <w:pPr>
      <w:spacing w:after="80" w:line="288" w:lineRule="auto"/>
    </w:pPr>
    <w:rPr>
      <w:rFonts w:ascii="Arial" w:eastAsia="Times New Roman" w:hAnsi="Arial"/>
      <w:b/>
      <w:color w:val="86BF5E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A-Box1">
    <w:name w:val="A-Box 1"/>
    <w:next w:val="Normln"/>
    <w:qFormat/>
    <w:rsid w:val="00EA0987"/>
    <w:pPr>
      <w:shd w:val="clear" w:color="auto" w:fill="F0F6E9"/>
      <w:spacing w:before="240" w:after="240" w:line="276" w:lineRule="auto"/>
      <w:contextualSpacing/>
      <w:jc w:val="both"/>
    </w:pPr>
    <w:rPr>
      <w:rFonts w:ascii="Arial" w:hAnsi="Arial" w:cs="Arial"/>
      <w:lang w:eastAsia="cs-CZ"/>
    </w:rPr>
  </w:style>
  <w:style w:type="paragraph" w:customStyle="1" w:styleId="A-Box2">
    <w:name w:val="A-Box 2"/>
    <w:next w:val="Normln"/>
    <w:qFormat/>
    <w:rsid w:val="00EA0987"/>
    <w:pPr>
      <w:spacing w:before="240" w:after="240" w:line="276" w:lineRule="auto"/>
      <w:contextualSpacing/>
      <w:jc w:val="both"/>
    </w:pPr>
    <w:rPr>
      <w:rFonts w:ascii="Arial" w:hAnsi="Arial" w:cs="Arial"/>
      <w:color w:val="86BF5E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0A57D4"/>
    <w:pPr>
      <w:spacing w:after="40"/>
      <w:contextualSpacing/>
    </w:pPr>
    <w:rPr>
      <w:b/>
      <w:caps/>
      <w:sz w:val="24"/>
    </w:rPr>
  </w:style>
  <w:style w:type="paragraph" w:customStyle="1" w:styleId="TLKontakty">
    <w:name w:val="TL Kontakty"/>
    <w:qFormat/>
    <w:rsid w:val="000A57D4"/>
    <w:pPr>
      <w:spacing w:after="160" w:line="259" w:lineRule="auto"/>
      <w:contextualSpacing/>
    </w:pPr>
    <w:rPr>
      <w:rFonts w:ascii="Arial" w:eastAsia="Times New Roman" w:hAnsi="Arial"/>
      <w:b/>
      <w:color w:val="86BF5E"/>
      <w:lang w:eastAsia="cs-CZ"/>
    </w:rPr>
  </w:style>
  <w:style w:type="paragraph" w:styleId="Nzev">
    <w:name w:val="Title"/>
    <w:link w:val="NzevChar"/>
    <w:uiPriority w:val="10"/>
    <w:qFormat/>
    <w:rsid w:val="001E6062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1E6062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1E6062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1E6062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7A516D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16D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16D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16D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paragraph" w:styleId="Textpoznpodarou">
    <w:name w:val="footnote text"/>
    <w:aliases w:val="Text pozn. pod čarou_martin_ang"/>
    <w:basedOn w:val="Normln"/>
    <w:link w:val="TextpoznpodarouChar"/>
    <w:qFormat/>
    <w:rsid w:val="008E7FC9"/>
    <w:pPr>
      <w:spacing w:after="0" w:line="240" w:lineRule="auto"/>
      <w:jc w:val="left"/>
    </w:pPr>
    <w:rPr>
      <w:rFonts w:eastAsia="Calibri"/>
      <w:szCs w:val="20"/>
    </w:rPr>
  </w:style>
  <w:style w:type="character" w:customStyle="1" w:styleId="TextpoznpodarouChar">
    <w:name w:val="Text pozn. pod čarou Char"/>
    <w:aliases w:val="Text pozn. pod čarou_martin_ang Char"/>
    <w:basedOn w:val="Standardnpsmoodstavce"/>
    <w:link w:val="Textpoznpodarou"/>
    <w:qFormat/>
    <w:rsid w:val="008E7FC9"/>
    <w:rPr>
      <w:rFonts w:ascii="Arial" w:hAnsi="Arial"/>
      <w:lang w:eastAsia="cs-CZ"/>
    </w:rPr>
  </w:style>
  <w:style w:type="paragraph" w:styleId="Bezmezer">
    <w:name w:val="No Spacing"/>
    <w:uiPriority w:val="1"/>
    <w:qFormat/>
    <w:rsid w:val="00AD68C4"/>
    <w:pPr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Marginlie">
    <w:name w:val="Marginálie"/>
    <w:basedOn w:val="Normln"/>
    <w:qFormat/>
    <w:rsid w:val="0089296D"/>
    <w:pPr>
      <w:spacing w:after="0"/>
      <w:jc w:val="left"/>
    </w:pPr>
    <w:rPr>
      <w:spacing w:val="-2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6B0F92"/>
    <w:pPr>
      <w:ind w:left="720"/>
      <w:contextualSpacing/>
    </w:pPr>
  </w:style>
  <w:style w:type="paragraph" w:customStyle="1" w:styleId="Normalodrka">
    <w:name w:val="Normal odrážka"/>
    <w:qFormat/>
    <w:rsid w:val="006B0F92"/>
    <w:pPr>
      <w:numPr>
        <w:numId w:val="20"/>
      </w:numPr>
      <w:spacing w:after="240" w:line="276" w:lineRule="auto"/>
      <w:ind w:left="357" w:hanging="357"/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EA0987"/>
    <w:pPr>
      <w:shd w:val="clear" w:color="auto" w:fill="F0F6E9"/>
      <w:spacing w:before="240" w:after="240" w:line="276" w:lineRule="auto"/>
      <w:ind w:left="709"/>
      <w:contextualSpacing/>
      <w:jc w:val="both"/>
    </w:pPr>
    <w:rPr>
      <w:rFonts w:ascii="Arial" w:hAnsi="Arial" w:cs="Arial"/>
      <w:lang w:eastAsia="cs-CZ"/>
    </w:rPr>
  </w:style>
  <w:style w:type="paragraph" w:customStyle="1" w:styleId="Box2">
    <w:name w:val="Box 2"/>
    <w:next w:val="Normln"/>
    <w:qFormat/>
    <w:rsid w:val="00EA0987"/>
    <w:pPr>
      <w:spacing w:before="240" w:after="240" w:line="276" w:lineRule="auto"/>
      <w:ind w:left="709"/>
      <w:contextualSpacing/>
      <w:jc w:val="both"/>
    </w:pPr>
    <w:rPr>
      <w:rFonts w:ascii="Arial" w:hAnsi="Arial" w:cs="Arial"/>
      <w:b/>
      <w:color w:val="86BF5E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1E6062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32"/>
    <w:qFormat/>
    <w:rsid w:val="001E6062"/>
    <w:rPr>
      <w:b/>
      <w:bCs/>
      <w:smallCaps/>
      <w:color w:val="000000" w:themeColor="text1"/>
      <w:spacing w:val="5"/>
    </w:rPr>
  </w:style>
  <w:style w:type="character" w:styleId="Znakapoznpodarou">
    <w:name w:val="footnote reference"/>
    <w:basedOn w:val="Standardnpsmoodstavce"/>
    <w:rsid w:val="009324EF"/>
    <w:rPr>
      <w:rFonts w:cs="Times New Roman"/>
      <w:vertAlign w:val="superscript"/>
    </w:rPr>
  </w:style>
  <w:style w:type="paragraph" w:customStyle="1" w:styleId="Nadpis11">
    <w:name w:val="Nadpis 11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paragraph" w:customStyle="1" w:styleId="Textpoznpodarou1">
    <w:name w:val="Text pozn. pod čarou1"/>
    <w:basedOn w:val="Normln"/>
    <w:qFormat/>
    <w:rsid w:val="009324EF"/>
    <w:pPr>
      <w:spacing w:after="0" w:line="240" w:lineRule="auto"/>
      <w:jc w:val="left"/>
    </w:pPr>
    <w:rPr>
      <w:rFonts w:eastAsia="Calibri"/>
      <w:szCs w:val="20"/>
    </w:rPr>
  </w:style>
  <w:style w:type="character" w:styleId="Zdraznn">
    <w:name w:val="Emphasis"/>
    <w:basedOn w:val="Standardnpsmoodstavce"/>
    <w:uiPriority w:val="20"/>
    <w:qFormat/>
    <w:rsid w:val="009324EF"/>
    <w:rPr>
      <w:i/>
      <w:iCs/>
    </w:rPr>
  </w:style>
  <w:style w:type="character" w:customStyle="1" w:styleId="normaltextrun">
    <w:name w:val="normaltextrun"/>
    <w:basedOn w:val="Standardnpsmoodstavce"/>
    <w:rsid w:val="009324EF"/>
  </w:style>
  <w:style w:type="paragraph" w:customStyle="1" w:styleId="paragraph">
    <w:name w:val="paragraph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eop">
    <w:name w:val="eop"/>
    <w:basedOn w:val="Standardnpsmoodstavce"/>
    <w:rsid w:val="009324EF"/>
  </w:style>
  <w:style w:type="table" w:styleId="Mkatabulky">
    <w:name w:val="Table Grid"/>
    <w:basedOn w:val="Normlntabulka"/>
    <w:uiPriority w:val="59"/>
    <w:rsid w:val="009324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9324EF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9324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24E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24EF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24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24EF"/>
    <w:rPr>
      <w:rFonts w:ascii="Arial" w:eastAsia="Times New Roman" w:hAnsi="Arial"/>
      <w:b/>
      <w:bCs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9324EF"/>
    <w:pPr>
      <w:spacing w:after="0" w:line="288" w:lineRule="auto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324EF"/>
    <w:rPr>
      <w:rFonts w:ascii="Tahoma" w:hAnsi="Tahoma" w:cs="Tahoma"/>
      <w:sz w:val="16"/>
      <w:szCs w:val="16"/>
      <w:lang w:eastAsia="cs-CZ"/>
    </w:rPr>
  </w:style>
  <w:style w:type="paragraph" w:customStyle="1" w:styleId="Nadpis12">
    <w:name w:val="Nadpis 12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character" w:customStyle="1" w:styleId="spelle">
    <w:name w:val="spelle"/>
    <w:basedOn w:val="Standardnpsmoodstavce"/>
    <w:rsid w:val="009324EF"/>
  </w:style>
  <w:style w:type="paragraph" w:styleId="Revize">
    <w:name w:val="Revision"/>
    <w:hidden/>
    <w:uiPriority w:val="99"/>
    <w:semiHidden/>
    <w:rsid w:val="009324EF"/>
    <w:rPr>
      <w:rFonts w:ascii="Arial" w:eastAsia="Times New Roman" w:hAnsi="Arial"/>
      <w:szCs w:val="24"/>
      <w:lang w:eastAsia="cs-CZ"/>
    </w:rPr>
  </w:style>
  <w:style w:type="character" w:customStyle="1" w:styleId="odkaz-style-wrapper">
    <w:name w:val="odkaz-style-wrapper"/>
    <w:basedOn w:val="Standardnpsmoodstavce"/>
    <w:rsid w:val="009324EF"/>
  </w:style>
  <w:style w:type="character" w:customStyle="1" w:styleId="tabulka">
    <w:name w:val="tabulka"/>
    <w:basedOn w:val="Standardnpsmoodstavce"/>
    <w:rsid w:val="009324EF"/>
  </w:style>
  <w:style w:type="paragraph" w:customStyle="1" w:styleId="Default">
    <w:name w:val="Default"/>
    <w:rsid w:val="009324E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32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324EF"/>
    <w:rPr>
      <w:rFonts w:ascii="Courier New" w:eastAsia="Times New Roman" w:hAnsi="Courier New" w:cs="Courier New"/>
      <w:lang w:eastAsia="cs-CZ"/>
    </w:rPr>
  </w:style>
  <w:style w:type="paragraph" w:customStyle="1" w:styleId="cay">
    <w:name w:val="c_ay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cew">
    <w:name w:val="c_ew"/>
    <w:basedOn w:val="Standardnpsmoodstavce"/>
    <w:rsid w:val="009324EF"/>
  </w:style>
  <w:style w:type="character" w:styleId="Sledovanodkaz">
    <w:name w:val="FollowedHyperlink"/>
    <w:basedOn w:val="Standardnpsmoodstavce"/>
    <w:uiPriority w:val="99"/>
    <w:semiHidden/>
    <w:unhideWhenUsed/>
    <w:rsid w:val="009324EF"/>
    <w:rPr>
      <w:color w:val="800080" w:themeColor="followedHyperlink"/>
      <w:u w:val="single"/>
    </w:rPr>
  </w:style>
  <w:style w:type="character" w:customStyle="1" w:styleId="cfu">
    <w:name w:val="c_fu"/>
    <w:basedOn w:val="Standardnpsmoodstavce"/>
    <w:rsid w:val="009324EF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324EF"/>
    <w:rPr>
      <w:rFonts w:ascii="Arial" w:eastAsia="Times New Roman" w:hAnsi="Arial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B2F43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B2F43"/>
    <w:rPr>
      <w:rFonts w:ascii="Arial" w:eastAsia="Times New Roman" w:hAnsi="Arial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BB2F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bojnikova31519.CZSO\Downloads\Form_c444_Publikace_regiony%20a%20zeme%20-%20analyz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Qmakro-2026\2q-2026\Trh%20pr&#225;ce\Grafy-TRH%20PR&#193;CE%202q-202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Qmakro-2026\2q-2026\Trh%20pr&#225;ce\Grafy-TRH%20PR&#193;CE%202q-2026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Qmakro-2026\2q-2026\Trh%20pr&#225;ce\Grafy-TRH%20PR&#193;CE%202q-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488731014312048E-2"/>
          <c:y val="1.4522051060224651E-2"/>
          <c:w val="0.84495121574960907"/>
          <c:h val="0.6790318537289844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'Trh práce 1-SNÚ'!$AC$7</c:f>
              <c:strCache>
                <c:ptCount val="1"/>
                <c:pt idx="0">
                  <c:v>Zemědělství, lesnictví a rybářství</c:v>
                </c:pt>
              </c:strCache>
            </c:strRef>
          </c:tx>
          <c:spPr>
            <a:solidFill>
              <a:srgbClr val="85BF5E"/>
            </a:solidFill>
            <a:ln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1-SNÚ'!$AC$52:$AC$74</c:f>
              <c:numCache>
                <c:formatCode>#\ ##0.0</c:formatCode>
                <c:ptCount val="23"/>
                <c:pt idx="0">
                  <c:v>2.8002776784144496E-2</c:v>
                </c:pt>
                <c:pt idx="1">
                  <c:v>-4.1461393064381027E-2</c:v>
                </c:pt>
                <c:pt idx="2">
                  <c:v>-5.8397268273598195E-2</c:v>
                </c:pt>
                <c:pt idx="3">
                  <c:v>-1.1262996336935964E-2</c:v>
                </c:pt>
                <c:pt idx="4">
                  <c:v>0.10513424306014746</c:v>
                </c:pt>
                <c:pt idx="5">
                  <c:v>0.19711462834772112</c:v>
                </c:pt>
                <c:pt idx="6">
                  <c:v>0.16489789174754407</c:v>
                </c:pt>
                <c:pt idx="7">
                  <c:v>7.3111933711846711E-2</c:v>
                </c:pt>
                <c:pt idx="8">
                  <c:v>1.2313656789678582E-2</c:v>
                </c:pt>
                <c:pt idx="9">
                  <c:v>-1.3215311541128334E-2</c:v>
                </c:pt>
                <c:pt idx="10">
                  <c:v>-1.7186709567985316E-2</c:v>
                </c:pt>
                <c:pt idx="11">
                  <c:v>1.4564431082512574E-2</c:v>
                </c:pt>
                <c:pt idx="12">
                  <c:v>-5.0240416422815938E-2</c:v>
                </c:pt>
                <c:pt idx="13">
                  <c:v>-5.5135905948623894E-2</c:v>
                </c:pt>
                <c:pt idx="14">
                  <c:v>-0.11813549510593412</c:v>
                </c:pt>
                <c:pt idx="15">
                  <c:v>-7.982011684016925E-2</c:v>
                </c:pt>
                <c:pt idx="16">
                  <c:v>-4.1146206802937665E-2</c:v>
                </c:pt>
                <c:pt idx="17">
                  <c:v>-6.1876591960553916E-2</c:v>
                </c:pt>
                <c:pt idx="18">
                  <c:v>-3.7960551072880384E-2</c:v>
                </c:pt>
                <c:pt idx="19">
                  <c:v>-5.1245833190882301E-2</c:v>
                </c:pt>
                <c:pt idx="20">
                  <c:v>-6.4630605421872975E-2</c:v>
                </c:pt>
                <c:pt idx="21">
                  <c:v>-4.1579303004729833E-2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AF-44EA-88C4-71DB3FFFDC07}"/>
            </c:ext>
          </c:extLst>
        </c:ser>
        <c:ser>
          <c:idx val="1"/>
          <c:order val="1"/>
          <c:tx>
            <c:strRef>
              <c:f>'Trh práce 1-SNÚ'!$AD$7</c:f>
              <c:strCache>
                <c:ptCount val="1"/>
                <c:pt idx="0">
                  <c:v>Zpracovatelský průmysl</c:v>
                </c:pt>
              </c:strCache>
            </c:strRef>
          </c:tx>
          <c:spPr>
            <a:solidFill>
              <a:srgbClr val="9FC9D7"/>
            </a:solidFill>
            <a:ln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1-SNÚ'!$AD$52:$AD$74</c:f>
              <c:numCache>
                <c:formatCode>#\ ##0.0</c:formatCode>
                <c:ptCount val="23"/>
                <c:pt idx="0">
                  <c:v>-0.34634016212054219</c:v>
                </c:pt>
                <c:pt idx="1">
                  <c:v>3.1509121698602822E-3</c:v>
                </c:pt>
                <c:pt idx="2">
                  <c:v>0.30654250774554798</c:v>
                </c:pt>
                <c:pt idx="3">
                  <c:v>0.30045529751291367</c:v>
                </c:pt>
                <c:pt idx="4">
                  <c:v>-2.8033255450465585E-2</c:v>
                </c:pt>
                <c:pt idx="5">
                  <c:v>0.16787935055456787</c:v>
                </c:pt>
                <c:pt idx="6">
                  <c:v>-2.7366675160206622E-2</c:v>
                </c:pt>
                <c:pt idx="7">
                  <c:v>-8.9710318662644353E-2</c:v>
                </c:pt>
                <c:pt idx="8">
                  <c:v>-8.0114313039595944E-2</c:v>
                </c:pt>
                <c:pt idx="9">
                  <c:v>-0.32149760034310931</c:v>
                </c:pt>
                <c:pt idx="10">
                  <c:v>-0.49529142132592296</c:v>
                </c:pt>
                <c:pt idx="11">
                  <c:v>-0.43398270156379137</c:v>
                </c:pt>
                <c:pt idx="12">
                  <c:v>-0.11074759444586799</c:v>
                </c:pt>
                <c:pt idx="13">
                  <c:v>-0.11440515959888493</c:v>
                </c:pt>
                <c:pt idx="14">
                  <c:v>0.10203616834547823</c:v>
                </c:pt>
                <c:pt idx="15">
                  <c:v>0.14494185309603444</c:v>
                </c:pt>
                <c:pt idx="16">
                  <c:v>-0.25163552022379271</c:v>
                </c:pt>
                <c:pt idx="17">
                  <c:v>-0.22841522017448104</c:v>
                </c:pt>
                <c:pt idx="18">
                  <c:v>-0.21655102011652805</c:v>
                </c:pt>
                <c:pt idx="19">
                  <c:v>-8.3496154185786473E-2</c:v>
                </c:pt>
                <c:pt idx="20">
                  <c:v>-0.19880599916167793</c:v>
                </c:pt>
                <c:pt idx="21">
                  <c:v>-4.4642468744834171E-2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AF-44EA-88C4-71DB3FFFDC07}"/>
            </c:ext>
          </c:extLst>
        </c:ser>
        <c:ser>
          <c:idx val="2"/>
          <c:order val="2"/>
          <c:tx>
            <c:strRef>
              <c:f>'Trh práce 1-SNÚ'!$AE$7</c:f>
              <c:strCache>
                <c:ptCount val="1"/>
                <c:pt idx="0">
                  <c:v>Stavebnictví</c:v>
                </c:pt>
              </c:strCache>
            </c:strRef>
          </c:tx>
          <c:spPr>
            <a:solidFill>
              <a:srgbClr val="009CB5"/>
            </a:solidFill>
            <a:ln w="19050"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1-SNÚ'!$AE$52:$AE$74</c:f>
              <c:numCache>
                <c:formatCode>#\ ##0.0</c:formatCode>
                <c:ptCount val="23"/>
                <c:pt idx="0">
                  <c:v>0.10155269523884607</c:v>
                </c:pt>
                <c:pt idx="1">
                  <c:v>0.31580209351215521</c:v>
                </c:pt>
                <c:pt idx="2">
                  <c:v>0.17095344807581425</c:v>
                </c:pt>
                <c:pt idx="3">
                  <c:v>0.23464255912161827</c:v>
                </c:pt>
                <c:pt idx="4">
                  <c:v>0.12338446446565465</c:v>
                </c:pt>
                <c:pt idx="5">
                  <c:v>0.14952408505658937</c:v>
                </c:pt>
                <c:pt idx="6">
                  <c:v>0.1411524444514034</c:v>
                </c:pt>
                <c:pt idx="7">
                  <c:v>0.12302000274757839</c:v>
                </c:pt>
                <c:pt idx="8">
                  <c:v>0.42812620516138616</c:v>
                </c:pt>
                <c:pt idx="9">
                  <c:v>0.39068584842581094</c:v>
                </c:pt>
                <c:pt idx="10">
                  <c:v>0.35022362359049081</c:v>
                </c:pt>
                <c:pt idx="11">
                  <c:v>0.24262848395662612</c:v>
                </c:pt>
                <c:pt idx="12">
                  <c:v>-0.36604526196365195</c:v>
                </c:pt>
                <c:pt idx="13">
                  <c:v>-0.30361653161936331</c:v>
                </c:pt>
                <c:pt idx="14">
                  <c:v>-0.23920316999985505</c:v>
                </c:pt>
                <c:pt idx="15">
                  <c:v>-0.18018853294525411</c:v>
                </c:pt>
                <c:pt idx="16">
                  <c:v>0.26710914976555189</c:v>
                </c:pt>
                <c:pt idx="17">
                  <c:v>0.20281364270651028</c:v>
                </c:pt>
                <c:pt idx="18">
                  <c:v>0.32957159905890215</c:v>
                </c:pt>
                <c:pt idx="19">
                  <c:v>0.37107979888524373</c:v>
                </c:pt>
                <c:pt idx="20">
                  <c:v>0.18362663421607334</c:v>
                </c:pt>
                <c:pt idx="21">
                  <c:v>0.17804424298843119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AF-44EA-88C4-71DB3FFFDC07}"/>
            </c:ext>
          </c:extLst>
        </c:ser>
        <c:ser>
          <c:idx val="3"/>
          <c:order val="3"/>
          <c:tx>
            <c:strRef>
              <c:f>'Trh práce 1-SNÚ'!$AF$7</c:f>
              <c:strCache>
                <c:ptCount val="1"/>
                <c:pt idx="0">
                  <c:v>Obchod, doprava, ubytování a pohost.</c:v>
                </c:pt>
              </c:strCache>
            </c:strRef>
          </c:tx>
          <c:spPr>
            <a:solidFill>
              <a:srgbClr val="E6C483"/>
            </a:solidFill>
            <a:ln w="19050"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1-SNÚ'!$AF$52:$AF$74</c:f>
              <c:numCache>
                <c:formatCode>#\ ##0.0</c:formatCode>
                <c:ptCount val="23"/>
                <c:pt idx="0">
                  <c:v>-0.82949226683804478</c:v>
                </c:pt>
                <c:pt idx="1">
                  <c:v>-0.3128433101331401</c:v>
                </c:pt>
                <c:pt idx="2">
                  <c:v>0.15177536325689855</c:v>
                </c:pt>
                <c:pt idx="3">
                  <c:v>0.63713638222196889</c:v>
                </c:pt>
                <c:pt idx="4">
                  <c:v>9.8879203748751046E-2</c:v>
                </c:pt>
                <c:pt idx="5">
                  <c:v>0.36067621178514792</c:v>
                </c:pt>
                <c:pt idx="6">
                  <c:v>-4.4718392008855891E-2</c:v>
                </c:pt>
                <c:pt idx="7">
                  <c:v>-0.17298452887497942</c:v>
                </c:pt>
                <c:pt idx="8">
                  <c:v>0.21484687061255145</c:v>
                </c:pt>
                <c:pt idx="9">
                  <c:v>0.18741373728822849</c:v>
                </c:pt>
                <c:pt idx="10">
                  <c:v>0.31792607470701895</c:v>
                </c:pt>
                <c:pt idx="11">
                  <c:v>0.43316111827195725</c:v>
                </c:pt>
                <c:pt idx="12">
                  <c:v>0.45436906302272279</c:v>
                </c:pt>
                <c:pt idx="13">
                  <c:v>0.49945233142951906</c:v>
                </c:pt>
                <c:pt idx="14">
                  <c:v>0.32676285322854309</c:v>
                </c:pt>
                <c:pt idx="15">
                  <c:v>0.17535039265279861</c:v>
                </c:pt>
                <c:pt idx="16">
                  <c:v>0.29746623465915806</c:v>
                </c:pt>
                <c:pt idx="17">
                  <c:v>0.27127402142279594</c:v>
                </c:pt>
                <c:pt idx="18">
                  <c:v>0.32773952613067431</c:v>
                </c:pt>
                <c:pt idx="19">
                  <c:v>0.21167472589512498</c:v>
                </c:pt>
                <c:pt idx="20">
                  <c:v>0.14263870872746226</c:v>
                </c:pt>
                <c:pt idx="21">
                  <c:v>0.20932840906783995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AF-44EA-88C4-71DB3FFFDC07}"/>
            </c:ext>
          </c:extLst>
        </c:ser>
        <c:ser>
          <c:idx val="4"/>
          <c:order val="4"/>
          <c:tx>
            <c:strRef>
              <c:f>'Trh práce 1-SNÚ'!$AG$7</c:f>
              <c:strCache>
                <c:ptCount val="1"/>
                <c:pt idx="0">
                  <c:v>Informační a komunikač. čin.</c:v>
                </c:pt>
              </c:strCache>
            </c:strRef>
          </c:tx>
          <c:spPr>
            <a:solidFill>
              <a:srgbClr val="CC9610"/>
            </a:solidFill>
            <a:ln w="19050"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1-SNÚ'!$AG$52:$AG$74</c:f>
              <c:numCache>
                <c:formatCode>#\ ##0.0</c:formatCode>
                <c:ptCount val="23"/>
                <c:pt idx="0">
                  <c:v>3.1735217262139397E-2</c:v>
                </c:pt>
                <c:pt idx="1">
                  <c:v>8.4094771752917394E-2</c:v>
                </c:pt>
                <c:pt idx="2">
                  <c:v>6.1350693335711207E-2</c:v>
                </c:pt>
                <c:pt idx="3">
                  <c:v>-2.3830735009326184E-2</c:v>
                </c:pt>
                <c:pt idx="4">
                  <c:v>0.18057611963296502</c:v>
                </c:pt>
                <c:pt idx="5">
                  <c:v>0.17130313064745503</c:v>
                </c:pt>
                <c:pt idx="6">
                  <c:v>0.18147632556272095</c:v>
                </c:pt>
                <c:pt idx="7">
                  <c:v>0.27067411649356277</c:v>
                </c:pt>
                <c:pt idx="8">
                  <c:v>0.27739722534785127</c:v>
                </c:pt>
                <c:pt idx="9">
                  <c:v>0.19288731313221355</c:v>
                </c:pt>
                <c:pt idx="10">
                  <c:v>0.15595209041069594</c:v>
                </c:pt>
                <c:pt idx="11">
                  <c:v>0.13802599302811916</c:v>
                </c:pt>
                <c:pt idx="12">
                  <c:v>0.10733769528622278</c:v>
                </c:pt>
                <c:pt idx="13">
                  <c:v>9.2354487708454669E-2</c:v>
                </c:pt>
                <c:pt idx="14">
                  <c:v>5.416233985734132E-2</c:v>
                </c:pt>
                <c:pt idx="15">
                  <c:v>-8.2763472151168777E-2</c:v>
                </c:pt>
                <c:pt idx="16">
                  <c:v>0.10781744731957579</c:v>
                </c:pt>
                <c:pt idx="17">
                  <c:v>7.348533016773548E-2</c:v>
                </c:pt>
                <c:pt idx="18">
                  <c:v>0.14949715094338994</c:v>
                </c:pt>
                <c:pt idx="19">
                  <c:v>0.13386442762170539</c:v>
                </c:pt>
                <c:pt idx="20">
                  <c:v>3.8403429298831865E-2</c:v>
                </c:pt>
                <c:pt idx="21">
                  <c:v>5.6097621098360438E-2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5AF-44EA-88C4-71DB3FFFDC07}"/>
            </c:ext>
          </c:extLst>
        </c:ser>
        <c:ser>
          <c:idx val="5"/>
          <c:order val="5"/>
          <c:tx>
            <c:strRef>
              <c:f>'Trh práce 1-SNÚ'!$AH$7</c:f>
              <c:strCache>
                <c:ptCount val="1"/>
                <c:pt idx="0">
                  <c:v>Profesní, vědec., techn. a admin. čin.</c:v>
                </c:pt>
              </c:strCache>
            </c:strRef>
          </c:tx>
          <c:spPr>
            <a:solidFill>
              <a:srgbClr val="D8A7B7"/>
            </a:solidFill>
            <a:ln w="19050"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1-SNÚ'!$AH$52:$AH$74</c:f>
              <c:numCache>
                <c:formatCode>#\ ##0.0</c:formatCode>
                <c:ptCount val="23"/>
                <c:pt idx="0">
                  <c:v>-0.13232164618434719</c:v>
                </c:pt>
                <c:pt idx="1">
                  <c:v>0.15130142279054706</c:v>
                </c:pt>
                <c:pt idx="2">
                  <c:v>0.30216990440683522</c:v>
                </c:pt>
                <c:pt idx="3">
                  <c:v>0.12765368761436965</c:v>
                </c:pt>
                <c:pt idx="4">
                  <c:v>0.15014001371531671</c:v>
                </c:pt>
                <c:pt idx="5">
                  <c:v>0.10353130580880499</c:v>
                </c:pt>
                <c:pt idx="6">
                  <c:v>0.16495447343292013</c:v>
                </c:pt>
                <c:pt idx="7">
                  <c:v>0.24152343816160637</c:v>
                </c:pt>
                <c:pt idx="8">
                  <c:v>0.45743724095522231</c:v>
                </c:pt>
                <c:pt idx="9">
                  <c:v>0.46710971389131484</c:v>
                </c:pt>
                <c:pt idx="10">
                  <c:v>0.51683558827077503</c:v>
                </c:pt>
                <c:pt idx="11">
                  <c:v>0.51050198178960737</c:v>
                </c:pt>
                <c:pt idx="12">
                  <c:v>9.3623970405040988E-2</c:v>
                </c:pt>
                <c:pt idx="13">
                  <c:v>5.9195443869874652E-2</c:v>
                </c:pt>
                <c:pt idx="14">
                  <c:v>1.9234361753900916E-2</c:v>
                </c:pt>
                <c:pt idx="15">
                  <c:v>-2.9562324904851802E-2</c:v>
                </c:pt>
                <c:pt idx="16">
                  <c:v>0.29803796590563547</c:v>
                </c:pt>
                <c:pt idx="17">
                  <c:v>0.26232447285233051</c:v>
                </c:pt>
                <c:pt idx="18">
                  <c:v>0.26024595945476153</c:v>
                </c:pt>
                <c:pt idx="19">
                  <c:v>0.31370932990451283</c:v>
                </c:pt>
                <c:pt idx="20">
                  <c:v>0.15605260796596418</c:v>
                </c:pt>
                <c:pt idx="21">
                  <c:v>0.26705730186211396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5AF-44EA-88C4-71DB3FFFDC07}"/>
            </c:ext>
          </c:extLst>
        </c:ser>
        <c:ser>
          <c:idx val="6"/>
          <c:order val="6"/>
          <c:tx>
            <c:strRef>
              <c:f>'Trh práce 1-SNÚ'!$AI$7</c:f>
              <c:strCache>
                <c:ptCount val="1"/>
                <c:pt idx="0">
                  <c:v>Veř.spr.,obrana, vzděl.,zdrav.a soc.péče</c:v>
                </c:pt>
              </c:strCache>
            </c:strRef>
          </c:tx>
          <c:spPr>
            <a:solidFill>
              <a:srgbClr val="BC5B80"/>
            </a:solidFill>
            <a:ln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1-SNÚ'!$AI$52:$AI$74</c:f>
              <c:numCache>
                <c:formatCode>#\ ##0.0</c:formatCode>
                <c:ptCount val="23"/>
                <c:pt idx="0">
                  <c:v>0.48671402761020832</c:v>
                </c:pt>
                <c:pt idx="1">
                  <c:v>0.61617624511944569</c:v>
                </c:pt>
                <c:pt idx="2">
                  <c:v>0.59097268369488631</c:v>
                </c:pt>
                <c:pt idx="3">
                  <c:v>0.46765419032391881</c:v>
                </c:pt>
                <c:pt idx="4">
                  <c:v>0.2585734086073897</c:v>
                </c:pt>
                <c:pt idx="5">
                  <c:v>0.20930708967850267</c:v>
                </c:pt>
                <c:pt idx="6">
                  <c:v>0.20882414016113554</c:v>
                </c:pt>
                <c:pt idx="7">
                  <c:v>0.25738788092070208</c:v>
                </c:pt>
                <c:pt idx="8">
                  <c:v>0.31677448670748293</c:v>
                </c:pt>
                <c:pt idx="9">
                  <c:v>0.29049316730902952</c:v>
                </c:pt>
                <c:pt idx="10">
                  <c:v>0.13152788725967438</c:v>
                </c:pt>
                <c:pt idx="11">
                  <c:v>0.10734732601713433</c:v>
                </c:pt>
                <c:pt idx="12">
                  <c:v>0.13836036481473399</c:v>
                </c:pt>
                <c:pt idx="13">
                  <c:v>0.12962842680357525</c:v>
                </c:pt>
                <c:pt idx="14">
                  <c:v>0.21454704184552567</c:v>
                </c:pt>
                <c:pt idx="15">
                  <c:v>0.34479567871290434</c:v>
                </c:pt>
                <c:pt idx="16">
                  <c:v>0.27349040819397702</c:v>
                </c:pt>
                <c:pt idx="17">
                  <c:v>0.36359374991403143</c:v>
                </c:pt>
                <c:pt idx="18">
                  <c:v>0.33842051130224254</c:v>
                </c:pt>
                <c:pt idx="19">
                  <c:v>0.2398846155182186</c:v>
                </c:pt>
                <c:pt idx="20">
                  <c:v>0.47003249366935212</c:v>
                </c:pt>
                <c:pt idx="21">
                  <c:v>0.44584467973423908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5AF-44EA-88C4-71DB3FFFDC07}"/>
            </c:ext>
          </c:extLst>
        </c:ser>
        <c:ser>
          <c:idx val="7"/>
          <c:order val="7"/>
          <c:tx>
            <c:strRef>
              <c:f>'Trh práce 1-SNÚ'!$AJ$7</c:f>
              <c:strCache>
                <c:ptCount val="1"/>
                <c:pt idx="0">
                  <c:v>Ostatní odvětví*</c:v>
                </c:pt>
              </c:strCache>
            </c:strRef>
          </c:tx>
          <c:spPr>
            <a:solidFill>
              <a:srgbClr val="BBBBC0"/>
            </a:solidFill>
            <a:ln>
              <a:noFill/>
            </a:ln>
          </c:spPr>
          <c:invertIfNegative val="0"/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1-SNÚ'!$AJ$52:$AJ$74</c:f>
              <c:numCache>
                <c:formatCode>#\ ##0.0</c:formatCode>
                <c:ptCount val="23"/>
                <c:pt idx="0">
                  <c:v>1.0742607873213753E-2</c:v>
                </c:pt>
                <c:pt idx="1">
                  <c:v>0.19255147418499846</c:v>
                </c:pt>
                <c:pt idx="2">
                  <c:v>0.15816166550159752</c:v>
                </c:pt>
                <c:pt idx="3">
                  <c:v>0.22491455376756969</c:v>
                </c:pt>
                <c:pt idx="4">
                  <c:v>8.7017513347261544E-2</c:v>
                </c:pt>
                <c:pt idx="5">
                  <c:v>0.11239509204927955</c:v>
                </c:pt>
                <c:pt idx="6">
                  <c:v>6.112708076790465E-2</c:v>
                </c:pt>
                <c:pt idx="7">
                  <c:v>8.2540268020633134E-2</c:v>
                </c:pt>
                <c:pt idx="8">
                  <c:v>0.28296858846588063</c:v>
                </c:pt>
                <c:pt idx="9">
                  <c:v>0.39224169361434097</c:v>
                </c:pt>
                <c:pt idx="10">
                  <c:v>0.45070696473171507</c:v>
                </c:pt>
                <c:pt idx="11">
                  <c:v>0.49013045062163141</c:v>
                </c:pt>
                <c:pt idx="12">
                  <c:v>0.21654712869812037</c:v>
                </c:pt>
                <c:pt idx="13">
                  <c:v>0.309816553171819</c:v>
                </c:pt>
                <c:pt idx="14">
                  <c:v>0.29915610390391251</c:v>
                </c:pt>
                <c:pt idx="15">
                  <c:v>0.32792657358673816</c:v>
                </c:pt>
                <c:pt idx="16">
                  <c:v>0.3799430776993809</c:v>
                </c:pt>
                <c:pt idx="17">
                  <c:v>0.29746245453473164</c:v>
                </c:pt>
                <c:pt idx="18">
                  <c:v>0.22120448535422674</c:v>
                </c:pt>
                <c:pt idx="19">
                  <c:v>0.28517035537330798</c:v>
                </c:pt>
                <c:pt idx="20">
                  <c:v>0.31352486876856761</c:v>
                </c:pt>
                <c:pt idx="21">
                  <c:v>0.43522328846973524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AF-44EA-88C4-71DB3FFFDC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"/>
        <c:overlap val="100"/>
        <c:axId val="101898496"/>
        <c:axId val="101781504"/>
      </c:barChart>
      <c:lineChart>
        <c:grouping val="standard"/>
        <c:varyColors val="0"/>
        <c:ser>
          <c:idx val="8"/>
          <c:order val="8"/>
          <c:tx>
            <c:strRef>
              <c:f>'Trh práce 1-SNÚ'!$AK$7</c:f>
              <c:strCache>
                <c:ptCount val="1"/>
                <c:pt idx="0">
                  <c:v>Zaměstnanost celkem</c:v>
                </c:pt>
              </c:strCache>
            </c:strRef>
          </c:tx>
          <c:spPr>
            <a:ln w="19050"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none"/>
          </c:marker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1-SNÚ'!$AK$52:$AK$74</c:f>
              <c:numCache>
                <c:formatCode>#\ ##0.0</c:formatCode>
                <c:ptCount val="23"/>
                <c:pt idx="0">
                  <c:v>-0.64940675037438211</c:v>
                </c:pt>
                <c:pt idx="1">
                  <c:v>1.0087722163324031</c:v>
                </c:pt>
                <c:pt idx="2">
                  <c:v>1.6835289977436929</c:v>
                </c:pt>
                <c:pt idx="3">
                  <c:v>1.9573629392160967</c:v>
                </c:pt>
                <c:pt idx="4">
                  <c:v>0.97567171112702056</c:v>
                </c:pt>
                <c:pt idx="5">
                  <c:v>1.4717308939280684</c:v>
                </c:pt>
                <c:pt idx="6">
                  <c:v>0.85034728895456624</c:v>
                </c:pt>
                <c:pt idx="7">
                  <c:v>0.78556279251830574</c:v>
                </c:pt>
                <c:pt idx="8">
                  <c:v>1.9097499610004576</c:v>
                </c:pt>
                <c:pt idx="9">
                  <c:v>1.5861185617767006</c:v>
                </c:pt>
                <c:pt idx="10">
                  <c:v>1.410694098076462</c:v>
                </c:pt>
                <c:pt idx="11">
                  <c:v>1.5023770832037968</c:v>
                </c:pt>
                <c:pt idx="12">
                  <c:v>0.48320494939450498</c:v>
                </c:pt>
                <c:pt idx="13">
                  <c:v>0.61728964581637058</c:v>
                </c:pt>
                <c:pt idx="14">
                  <c:v>0.65856020382891245</c:v>
                </c:pt>
                <c:pt idx="15">
                  <c:v>0.62068005120703162</c:v>
                </c:pt>
                <c:pt idx="16">
                  <c:v>1.3310825565165487</c:v>
                </c:pt>
                <c:pt idx="17">
                  <c:v>1.1806618594631004</c:v>
                </c:pt>
                <c:pt idx="18">
                  <c:v>1.3721676610547888</c:v>
                </c:pt>
                <c:pt idx="19">
                  <c:v>1.4206412658214447</c:v>
                </c:pt>
                <c:pt idx="20">
                  <c:v>1.0408421380627004</c:v>
                </c:pt>
                <c:pt idx="21">
                  <c:v>1.5053737714711559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15AF-44EA-88C4-71DB3FFFDC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898496"/>
        <c:axId val="101781504"/>
      </c:lineChart>
      <c:lineChart>
        <c:grouping val="standard"/>
        <c:varyColors val="0"/>
        <c:ser>
          <c:idx val="9"/>
          <c:order val="9"/>
          <c:tx>
            <c:strRef>
              <c:f>'Trh práce 1-SNÚ'!$AL$7</c:f>
              <c:strCache>
                <c:ptCount val="1"/>
              </c:strCache>
            </c:strRef>
          </c:tx>
          <c:spPr>
            <a:ln>
              <a:noFill/>
            </a:ln>
          </c:spPr>
          <c:marker>
            <c:symbol val="none"/>
          </c:marker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1-SNÚ'!$AL$52:$AL$74</c:f>
              <c:numCache>
                <c:formatCode>General</c:formatCode>
                <c:ptCount val="23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15AF-44EA-88C4-71DB3FFFDC07}"/>
            </c:ext>
          </c:extLst>
        </c:ser>
        <c:ser>
          <c:idx val="10"/>
          <c:order val="10"/>
          <c:tx>
            <c:strRef>
              <c:f>'Trh práce 1-SNÚ'!$AM$7</c:f>
              <c:strCache>
                <c:ptCount val="1"/>
                <c:pt idx="0">
                  <c:v>Očekávání zaměstnanosti (průmysl)</c:v>
                </c:pt>
              </c:strCache>
            </c:strRef>
          </c:tx>
          <c:spPr>
            <a:ln w="15875">
              <a:solidFill>
                <a:schemeClr val="tx1">
                  <a:lumMod val="95000"/>
                  <a:lumOff val="5000"/>
                </a:schemeClr>
              </a:solidFill>
              <a:prstDash val="sysDot"/>
            </a:ln>
          </c:spPr>
          <c:marker>
            <c:symbol val="none"/>
          </c:marker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1-SNÚ'!$AM$52:$AM$74</c:f>
              <c:numCache>
                <c:formatCode>#\ ##0.0</c:formatCode>
                <c:ptCount val="23"/>
                <c:pt idx="0">
                  <c:v>2.3333333333333335</c:v>
                </c:pt>
                <c:pt idx="1">
                  <c:v>7.3</c:v>
                </c:pt>
                <c:pt idx="2">
                  <c:v>4.7333333333333334</c:v>
                </c:pt>
                <c:pt idx="3">
                  <c:v>2.4333333333333331</c:v>
                </c:pt>
                <c:pt idx="4">
                  <c:v>8.7666666666666675</c:v>
                </c:pt>
                <c:pt idx="5">
                  <c:v>6.333333333333333</c:v>
                </c:pt>
                <c:pt idx="6">
                  <c:v>1.7666666666666666</c:v>
                </c:pt>
                <c:pt idx="7">
                  <c:v>-7.3</c:v>
                </c:pt>
                <c:pt idx="8">
                  <c:v>-7</c:v>
                </c:pt>
                <c:pt idx="9">
                  <c:v>-4.8666666666666663</c:v>
                </c:pt>
                <c:pt idx="10">
                  <c:v>-6.1000000000000005</c:v>
                </c:pt>
                <c:pt idx="11">
                  <c:v>-10.100000000000001</c:v>
                </c:pt>
                <c:pt idx="12">
                  <c:v>-7.4333333333333327</c:v>
                </c:pt>
                <c:pt idx="13">
                  <c:v>-9.3666666666666671</c:v>
                </c:pt>
                <c:pt idx="14">
                  <c:v>-10.833333333333334</c:v>
                </c:pt>
                <c:pt idx="15">
                  <c:v>-13.6</c:v>
                </c:pt>
                <c:pt idx="16">
                  <c:v>-11.6</c:v>
                </c:pt>
                <c:pt idx="17">
                  <c:v>-10.700000000000001</c:v>
                </c:pt>
                <c:pt idx="18">
                  <c:v>-9.7666666666666657</c:v>
                </c:pt>
                <c:pt idx="19">
                  <c:v>-10.299999999999999</c:v>
                </c:pt>
                <c:pt idx="20">
                  <c:v>-3.3000000000000003</c:v>
                </c:pt>
                <c:pt idx="21">
                  <c:v>-1.1666666666666667</c:v>
                </c:pt>
                <c:pt idx="22">
                  <c:v>0.39999999999999991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15AF-44EA-88C4-71DB3FFFDC07}"/>
            </c:ext>
          </c:extLst>
        </c:ser>
        <c:ser>
          <c:idx val="11"/>
          <c:order val="11"/>
          <c:tx>
            <c:strRef>
              <c:f>'Trh práce 1-SNÚ'!$AN$7</c:f>
              <c:strCache>
                <c:ptCount val="1"/>
                <c:pt idx="0">
                  <c:v>Očekávání zaměstnanosti (stavebnictví)</c:v>
                </c:pt>
              </c:strCache>
            </c:strRef>
          </c:tx>
          <c:spPr>
            <a:ln w="15875">
              <a:solidFill>
                <a:srgbClr val="009CB5"/>
              </a:solidFill>
              <a:prstDash val="sysDot"/>
            </a:ln>
          </c:spPr>
          <c:marker>
            <c:symbol val="none"/>
          </c:marker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1-SNÚ'!$AN$52:$AN$74</c:f>
              <c:numCache>
                <c:formatCode>#\ ##0.0</c:formatCode>
                <c:ptCount val="23"/>
                <c:pt idx="0">
                  <c:v>0.70000000000000007</c:v>
                </c:pt>
                <c:pt idx="1">
                  <c:v>4.166666666666667</c:v>
                </c:pt>
                <c:pt idx="2">
                  <c:v>7.4000000000000012</c:v>
                </c:pt>
                <c:pt idx="3">
                  <c:v>7.3</c:v>
                </c:pt>
                <c:pt idx="4">
                  <c:v>11.566666666666668</c:v>
                </c:pt>
                <c:pt idx="5">
                  <c:v>6.8999999999999995</c:v>
                </c:pt>
                <c:pt idx="6">
                  <c:v>3.7666666666666671</c:v>
                </c:pt>
                <c:pt idx="7">
                  <c:v>-0.6333333333333333</c:v>
                </c:pt>
                <c:pt idx="8">
                  <c:v>-11.433333333333332</c:v>
                </c:pt>
                <c:pt idx="9">
                  <c:v>-12.533333333333333</c:v>
                </c:pt>
                <c:pt idx="10">
                  <c:v>-10.666666666666666</c:v>
                </c:pt>
                <c:pt idx="11">
                  <c:v>-4.5</c:v>
                </c:pt>
                <c:pt idx="12">
                  <c:v>0.6333333333333333</c:v>
                </c:pt>
                <c:pt idx="13">
                  <c:v>-8.1</c:v>
                </c:pt>
                <c:pt idx="14">
                  <c:v>-4.6000000000000005</c:v>
                </c:pt>
                <c:pt idx="15">
                  <c:v>5.5666666666666673</c:v>
                </c:pt>
                <c:pt idx="16">
                  <c:v>3.7666666666666671</c:v>
                </c:pt>
                <c:pt idx="17">
                  <c:v>6.666666666666667</c:v>
                </c:pt>
                <c:pt idx="18">
                  <c:v>11.299999999999999</c:v>
                </c:pt>
                <c:pt idx="19">
                  <c:v>4.4333333333333327</c:v>
                </c:pt>
                <c:pt idx="20">
                  <c:v>2.1333333333333333</c:v>
                </c:pt>
                <c:pt idx="21">
                  <c:v>5.2333333333333334</c:v>
                </c:pt>
                <c:pt idx="22">
                  <c:v>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15AF-44EA-88C4-71DB3FFFDC07}"/>
            </c:ext>
          </c:extLst>
        </c:ser>
        <c:ser>
          <c:idx val="12"/>
          <c:order val="12"/>
          <c:tx>
            <c:strRef>
              <c:f>'Trh práce 1-SNÚ'!$AO$7</c:f>
              <c:strCache>
                <c:ptCount val="1"/>
                <c:pt idx="0">
                  <c:v>Očekávání zaměstnanosti (obchod)</c:v>
                </c:pt>
              </c:strCache>
            </c:strRef>
          </c:tx>
          <c:spPr>
            <a:ln w="15875">
              <a:solidFill>
                <a:srgbClr val="CC9610"/>
              </a:solidFill>
              <a:prstDash val="sysDot"/>
            </a:ln>
          </c:spPr>
          <c:marker>
            <c:symbol val="none"/>
          </c:marker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1-SNÚ'!$AO$52:$AO$74</c:f>
              <c:numCache>
                <c:formatCode>#\ ##0.0</c:formatCode>
                <c:ptCount val="23"/>
                <c:pt idx="0">
                  <c:v>6.4333333333333336</c:v>
                </c:pt>
                <c:pt idx="1">
                  <c:v>9.2000000000000011</c:v>
                </c:pt>
                <c:pt idx="2">
                  <c:v>13.133333333333335</c:v>
                </c:pt>
                <c:pt idx="3">
                  <c:v>10.433333333333335</c:v>
                </c:pt>
                <c:pt idx="4">
                  <c:v>9.7666666666666657</c:v>
                </c:pt>
                <c:pt idx="5">
                  <c:v>4.2333333333333334</c:v>
                </c:pt>
                <c:pt idx="6">
                  <c:v>3.5</c:v>
                </c:pt>
                <c:pt idx="7">
                  <c:v>9.6666666666666661</c:v>
                </c:pt>
                <c:pt idx="8">
                  <c:v>9.1666666666666661</c:v>
                </c:pt>
                <c:pt idx="9">
                  <c:v>9</c:v>
                </c:pt>
                <c:pt idx="10">
                  <c:v>11.066666666666668</c:v>
                </c:pt>
                <c:pt idx="11">
                  <c:v>12.766666666666666</c:v>
                </c:pt>
                <c:pt idx="12">
                  <c:v>7.9000000000000012</c:v>
                </c:pt>
                <c:pt idx="13">
                  <c:v>10.133333333333333</c:v>
                </c:pt>
                <c:pt idx="14">
                  <c:v>4.166666666666667</c:v>
                </c:pt>
                <c:pt idx="15">
                  <c:v>9.7999999999999989</c:v>
                </c:pt>
                <c:pt idx="16">
                  <c:v>7.3999999999999995</c:v>
                </c:pt>
                <c:pt idx="17">
                  <c:v>6.9333333333333336</c:v>
                </c:pt>
                <c:pt idx="18">
                  <c:v>13</c:v>
                </c:pt>
                <c:pt idx="19">
                  <c:v>5.9333333333333336</c:v>
                </c:pt>
                <c:pt idx="20">
                  <c:v>12.666666666666666</c:v>
                </c:pt>
                <c:pt idx="21">
                  <c:v>11.933333333333332</c:v>
                </c:pt>
                <c:pt idx="22">
                  <c:v>6.65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15AF-44EA-88C4-71DB3FFFDC07}"/>
            </c:ext>
          </c:extLst>
        </c:ser>
        <c:ser>
          <c:idx val="13"/>
          <c:order val="13"/>
          <c:tx>
            <c:strRef>
              <c:f>'Trh práce 1-SNÚ'!$AP$7</c:f>
              <c:strCache>
                <c:ptCount val="1"/>
                <c:pt idx="0">
                  <c:v>Očekávání zaměstnanosti (vybr. služby)</c:v>
                </c:pt>
              </c:strCache>
            </c:strRef>
          </c:tx>
          <c:spPr>
            <a:ln w="15875">
              <a:solidFill>
                <a:srgbClr val="BC5B80"/>
              </a:solidFill>
              <a:prstDash val="sysDot"/>
            </a:ln>
          </c:spPr>
          <c:marker>
            <c:symbol val="none"/>
          </c:marker>
          <c:cat>
            <c:multiLvlStrRef>
              <c:f>'Trh práce 1-SNÚ'!$AA$52:$AB$74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1-SNÚ'!$AP$52:$AP$74</c:f>
              <c:numCache>
                <c:formatCode>#\ ##0.0</c:formatCode>
                <c:ptCount val="23"/>
                <c:pt idx="0">
                  <c:v>-29.566666666666666</c:v>
                </c:pt>
                <c:pt idx="1">
                  <c:v>-24.233333333333331</c:v>
                </c:pt>
                <c:pt idx="2">
                  <c:v>-8.1666666666666661</c:v>
                </c:pt>
                <c:pt idx="3">
                  <c:v>-19.633333333333333</c:v>
                </c:pt>
                <c:pt idx="4">
                  <c:v>-9.9333333333333336</c:v>
                </c:pt>
                <c:pt idx="5">
                  <c:v>-6.3666666666666671</c:v>
                </c:pt>
                <c:pt idx="6">
                  <c:v>-5.9333333333333327</c:v>
                </c:pt>
                <c:pt idx="7">
                  <c:v>-8.0666666666666682</c:v>
                </c:pt>
                <c:pt idx="8">
                  <c:v>-11.199999999999998</c:v>
                </c:pt>
                <c:pt idx="9">
                  <c:v>-17.766666666666669</c:v>
                </c:pt>
                <c:pt idx="10">
                  <c:v>-10.299999999999999</c:v>
                </c:pt>
                <c:pt idx="11">
                  <c:v>-15.566666666666665</c:v>
                </c:pt>
                <c:pt idx="12">
                  <c:v>-23.933333333333334</c:v>
                </c:pt>
                <c:pt idx="13">
                  <c:v>-17.933333333333334</c:v>
                </c:pt>
                <c:pt idx="14">
                  <c:v>-13.366666666666667</c:v>
                </c:pt>
                <c:pt idx="15">
                  <c:v>-8</c:v>
                </c:pt>
                <c:pt idx="16">
                  <c:v>-12.200000000000001</c:v>
                </c:pt>
                <c:pt idx="17">
                  <c:v>-10.933333333333335</c:v>
                </c:pt>
                <c:pt idx="18">
                  <c:v>-14.699999999999998</c:v>
                </c:pt>
                <c:pt idx="19">
                  <c:v>-12.333333333333334</c:v>
                </c:pt>
                <c:pt idx="20">
                  <c:v>-14.033333333333333</c:v>
                </c:pt>
                <c:pt idx="21">
                  <c:v>-23.833333333333332</c:v>
                </c:pt>
                <c:pt idx="22">
                  <c:v>-12.25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15AF-44EA-88C4-71DB3FFFDC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2941824"/>
        <c:axId val="332936832"/>
      </c:lineChart>
      <c:catAx>
        <c:axId val="101898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>
            <a:solidFill>
              <a:schemeClr val="tx1"/>
            </a:solidFill>
          </a:ln>
        </c:spPr>
        <c:crossAx val="101781504"/>
        <c:crosses val="autoZero"/>
        <c:auto val="1"/>
        <c:lblAlgn val="ctr"/>
        <c:lblOffset val="10"/>
        <c:noMultiLvlLbl val="0"/>
      </c:catAx>
      <c:valAx>
        <c:axId val="101781504"/>
        <c:scaling>
          <c:orientation val="minMax"/>
          <c:max val="2.5"/>
          <c:min val="-4.5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700" b="0" i="1"/>
                </a:pPr>
                <a:r>
                  <a:rPr lang="cs-CZ" sz="700" b="0" i="1"/>
                  <a:t>Příspěvek k růstu zaměstnanosti</a:t>
                </a:r>
              </a:p>
            </c:rich>
          </c:tx>
          <c:overlay val="0"/>
        </c:title>
        <c:numFmt formatCode="0.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01898496"/>
        <c:crosses val="autoZero"/>
        <c:crossBetween val="between"/>
        <c:majorUnit val="0.5"/>
      </c:valAx>
      <c:valAx>
        <c:axId val="332936832"/>
        <c:scaling>
          <c:orientation val="minMax"/>
          <c:max val="100"/>
          <c:min val="-40"/>
        </c:scaling>
        <c:delete val="0"/>
        <c:axPos val="r"/>
        <c:title>
          <c:tx>
            <c:rich>
              <a:bodyPr/>
              <a:lstStyle/>
              <a:p>
                <a:pPr>
                  <a:defRPr sz="700" b="0" i="1"/>
                </a:pPr>
                <a:r>
                  <a:rPr lang="cs-CZ" sz="700" b="0" i="1"/>
                  <a:t>Očekávání vývoje zaměstnanosti</a:t>
                </a:r>
              </a:p>
            </c:rich>
          </c:tx>
          <c:overlay val="0"/>
        </c:title>
        <c:numFmt formatCode="#,##0" sourceLinked="0"/>
        <c:majorTickMark val="out"/>
        <c:minorTickMark val="none"/>
        <c:tickLblPos val="nextTo"/>
        <c:crossAx val="332941824"/>
        <c:crosses val="max"/>
        <c:crossBetween val="between"/>
        <c:majorUnit val="10"/>
      </c:valAx>
      <c:catAx>
        <c:axId val="3329418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32936832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1.2822898706986479E-2"/>
          <c:y val="0.77650317447341888"/>
          <c:w val="0.96005692595618608"/>
          <c:h val="0.21537108953613804"/>
        </c:manualLayout>
      </c:layout>
      <c:overlay val="0"/>
      <c:spPr>
        <a:ln w="6350">
          <a:solidFill>
            <a:schemeClr val="tx1"/>
          </a:solidFill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036417007492182E-2"/>
          <c:y val="1.6081916099773243E-2"/>
          <c:w val="0.84656370352623134"/>
          <c:h val="0.775664481002283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'Trh práce-2b'!$A$3</c:f>
              <c:strCache>
                <c:ptCount val="1"/>
                <c:pt idx="0">
                  <c:v>Míra nezaměstnanosti mužů</c:v>
                </c:pt>
              </c:strCache>
            </c:strRef>
          </c:tx>
          <c:spPr>
            <a:solidFill>
              <a:srgbClr val="BBBBC0"/>
            </a:solidFill>
          </c:spPr>
          <c:invertIfNegative val="0"/>
          <c:cat>
            <c:multiLvlStrRef>
              <c:f>'Trh práce-2b'!$B$1:$X$2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práce-2b'!$B$3:$X$3</c:f>
              <c:numCache>
                <c:formatCode>0.0</c:formatCode>
                <c:ptCount val="23"/>
                <c:pt idx="0">
                  <c:v>2.6783883811398574</c:v>
                </c:pt>
                <c:pt idx="1">
                  <c:v>2.5536010071555162</c:v>
                </c:pt>
                <c:pt idx="2">
                  <c:v>2.259830822160243</c:v>
                </c:pt>
                <c:pt idx="3">
                  <c:v>1.9979657942438862</c:v>
                </c:pt>
                <c:pt idx="4">
                  <c:v>1.9744075739885485</c:v>
                </c:pt>
                <c:pt idx="5">
                  <c:v>1.9076349041299208</c:v>
                </c:pt>
                <c:pt idx="6">
                  <c:v>1.9343548779440736</c:v>
                </c:pt>
                <c:pt idx="7">
                  <c:v>2.081167309633035</c:v>
                </c:pt>
                <c:pt idx="8">
                  <c:v>2.194494023603375</c:v>
                </c:pt>
                <c:pt idx="9">
                  <c:v>2.2408151052019591</c:v>
                </c:pt>
                <c:pt idx="10">
                  <c:v>2.3202748783710629</c:v>
                </c:pt>
                <c:pt idx="11">
                  <c:v>2.4221829715582923</c:v>
                </c:pt>
                <c:pt idx="12">
                  <c:v>2.4005106212983693</c:v>
                </c:pt>
                <c:pt idx="13">
                  <c:v>2.3910452784841367</c:v>
                </c:pt>
                <c:pt idx="14">
                  <c:v>2.3330625466537587</c:v>
                </c:pt>
                <c:pt idx="15">
                  <c:v>2.3088180586422502</c:v>
                </c:pt>
                <c:pt idx="16">
                  <c:v>2.308675922296707</c:v>
                </c:pt>
                <c:pt idx="17">
                  <c:v>2.5584972066839788</c:v>
                </c:pt>
                <c:pt idx="18">
                  <c:v>2.7723553309098157</c:v>
                </c:pt>
                <c:pt idx="19">
                  <c:v>2.8567356387455889</c:v>
                </c:pt>
                <c:pt idx="20">
                  <c:v>2.7943031702918986</c:v>
                </c:pt>
                <c:pt idx="21">
                  <c:v>2.7523650947163372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94-4E87-8FE1-72BE8FC119C5}"/>
            </c:ext>
          </c:extLst>
        </c:ser>
        <c:ser>
          <c:idx val="1"/>
          <c:order val="1"/>
          <c:tx>
            <c:strRef>
              <c:f>'Trh práce-2b'!$A$4</c:f>
              <c:strCache>
                <c:ptCount val="1"/>
                <c:pt idx="0">
                  <c:v>Míra nezaměstnanosti žen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rgbClr val="BBBBC0"/>
              </a:solidFill>
            </a:ln>
          </c:spPr>
          <c:invertIfNegative val="0"/>
          <c:cat>
            <c:multiLvlStrRef>
              <c:f>'Trh práce-2b'!$B$1:$X$2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práce-2b'!$B$4:$X$4</c:f>
              <c:numCache>
                <c:formatCode>0.0</c:formatCode>
                <c:ptCount val="23"/>
                <c:pt idx="0">
                  <c:v>4.0898135319190461</c:v>
                </c:pt>
                <c:pt idx="1">
                  <c:v>3.8056507886598703</c:v>
                </c:pt>
                <c:pt idx="2">
                  <c:v>3.253665119752863</c:v>
                </c:pt>
                <c:pt idx="3">
                  <c:v>2.8630213212374502</c:v>
                </c:pt>
                <c:pt idx="4">
                  <c:v>2.9756982986395406</c:v>
                </c:pt>
                <c:pt idx="5">
                  <c:v>3.1163422185889567</c:v>
                </c:pt>
                <c:pt idx="6">
                  <c:v>2.9257386005498667</c:v>
                </c:pt>
                <c:pt idx="7">
                  <c:v>2.8359338864526875</c:v>
                </c:pt>
                <c:pt idx="8">
                  <c:v>3.0277784073550369</c:v>
                </c:pt>
                <c:pt idx="9">
                  <c:v>3.1756620476017883</c:v>
                </c:pt>
                <c:pt idx="10">
                  <c:v>3.2183040116876058</c:v>
                </c:pt>
                <c:pt idx="11">
                  <c:v>3.3028384544749176</c:v>
                </c:pt>
                <c:pt idx="12">
                  <c:v>3.4355601135176159</c:v>
                </c:pt>
                <c:pt idx="13">
                  <c:v>3.2794742063655913</c:v>
                </c:pt>
                <c:pt idx="14">
                  <c:v>3.2547007396736425</c:v>
                </c:pt>
                <c:pt idx="15">
                  <c:v>3.2758850020352237</c:v>
                </c:pt>
                <c:pt idx="16">
                  <c:v>3.2097726018627051</c:v>
                </c:pt>
                <c:pt idx="17">
                  <c:v>3.2879396462132924</c:v>
                </c:pt>
                <c:pt idx="18">
                  <c:v>3.4404273095221618</c:v>
                </c:pt>
                <c:pt idx="19">
                  <c:v>3.6678179507402962</c:v>
                </c:pt>
                <c:pt idx="20">
                  <c:v>3.779685991817376</c:v>
                </c:pt>
                <c:pt idx="21">
                  <c:v>3.7911034236656502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94-4E87-8FE1-72BE8FC119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axId val="100654464"/>
        <c:axId val="101647488"/>
      </c:barChart>
      <c:lineChart>
        <c:grouping val="standard"/>
        <c:varyColors val="0"/>
        <c:ser>
          <c:idx val="4"/>
          <c:order val="2"/>
          <c:tx>
            <c:strRef>
              <c:f>'Trh práce-2b'!$A$5</c:f>
              <c:strCache>
                <c:ptCount val="1"/>
                <c:pt idx="0">
                  <c:v>VPM pro vyučené a SŠ bez maturity</c:v>
                </c:pt>
              </c:strCache>
            </c:strRef>
          </c:tx>
          <c:spPr>
            <a:ln w="15875">
              <a:solidFill>
                <a:srgbClr val="BC5B80"/>
              </a:solidFill>
              <a:prstDash val="solid"/>
            </a:ln>
          </c:spPr>
          <c:marker>
            <c:symbol val="none"/>
          </c:marker>
          <c:cat>
            <c:multiLvlStrRef>
              <c:f>'Trh práce-2b'!$B$1:$X$2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práce-2b'!$B$5:$X$5</c:f>
              <c:numCache>
                <c:formatCode>0.0</c:formatCode>
                <c:ptCount val="23"/>
                <c:pt idx="0">
                  <c:v>21.22</c:v>
                </c:pt>
                <c:pt idx="1">
                  <c:v>28</c:v>
                </c:pt>
                <c:pt idx="2">
                  <c:v>28.465</c:v>
                </c:pt>
                <c:pt idx="3">
                  <c:v>22.591000000000001</c:v>
                </c:pt>
                <c:pt idx="4">
                  <c:v>26.402999999999999</c:v>
                </c:pt>
                <c:pt idx="5">
                  <c:v>24.98</c:v>
                </c:pt>
                <c:pt idx="6">
                  <c:v>20.081</c:v>
                </c:pt>
                <c:pt idx="7">
                  <c:v>16.219000000000001</c:v>
                </c:pt>
                <c:pt idx="8">
                  <c:v>18.276</c:v>
                </c:pt>
                <c:pt idx="9">
                  <c:v>19.419</c:v>
                </c:pt>
                <c:pt idx="10">
                  <c:v>17.792000000000002</c:v>
                </c:pt>
                <c:pt idx="11">
                  <c:v>14.455</c:v>
                </c:pt>
                <c:pt idx="12">
                  <c:v>14.478</c:v>
                </c:pt>
                <c:pt idx="13">
                  <c:v>15.478</c:v>
                </c:pt>
                <c:pt idx="14">
                  <c:v>15.435</c:v>
                </c:pt>
                <c:pt idx="15">
                  <c:v>14.093</c:v>
                </c:pt>
                <c:pt idx="16">
                  <c:v>12.814</c:v>
                </c:pt>
                <c:pt idx="17">
                  <c:v>14.827999999999999</c:v>
                </c:pt>
                <c:pt idx="18">
                  <c:v>13.662000000000001</c:v>
                </c:pt>
                <c:pt idx="19">
                  <c:v>11.477</c:v>
                </c:pt>
                <c:pt idx="20">
                  <c:v>12.683999999999999</c:v>
                </c:pt>
                <c:pt idx="21">
                  <c:v>14.701000000000001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B94-4E87-8FE1-72BE8FC119C5}"/>
            </c:ext>
          </c:extLst>
        </c:ser>
        <c:ser>
          <c:idx val="5"/>
          <c:order val="3"/>
          <c:tx>
            <c:strRef>
              <c:f>'Trh práce-2b'!$A$6</c:f>
              <c:strCache>
                <c:ptCount val="1"/>
                <c:pt idx="0">
                  <c:v>VPM pro SŠ s mat., VOŠ a VŠ</c:v>
                </c:pt>
              </c:strCache>
            </c:strRef>
          </c:tx>
          <c:spPr>
            <a:ln w="15875">
              <a:solidFill>
                <a:srgbClr val="009CB5"/>
              </a:solidFill>
              <a:prstDash val="solid"/>
            </a:ln>
          </c:spPr>
          <c:marker>
            <c:symbol val="none"/>
          </c:marker>
          <c:cat>
            <c:multiLvlStrRef>
              <c:f>'Trh práce-2b'!$B$1:$X$2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práce-2b'!$B$6:$X$6</c:f>
              <c:numCache>
                <c:formatCode>0.0</c:formatCode>
                <c:ptCount val="23"/>
                <c:pt idx="0">
                  <c:v>16.512</c:v>
                </c:pt>
                <c:pt idx="1">
                  <c:v>19.815999999999999</c:v>
                </c:pt>
                <c:pt idx="2">
                  <c:v>19.486999999999998</c:v>
                </c:pt>
                <c:pt idx="3">
                  <c:v>18.061</c:v>
                </c:pt>
                <c:pt idx="4">
                  <c:v>21.087</c:v>
                </c:pt>
                <c:pt idx="5">
                  <c:v>21.347999999999999</c:v>
                </c:pt>
                <c:pt idx="6">
                  <c:v>18.567</c:v>
                </c:pt>
                <c:pt idx="7">
                  <c:v>16.672999999999998</c:v>
                </c:pt>
                <c:pt idx="8">
                  <c:v>18.158000000000001</c:v>
                </c:pt>
                <c:pt idx="9">
                  <c:v>18.765000000000001</c:v>
                </c:pt>
                <c:pt idx="10">
                  <c:v>17.125</c:v>
                </c:pt>
                <c:pt idx="11">
                  <c:v>15.332000000000001</c:v>
                </c:pt>
                <c:pt idx="12">
                  <c:v>16.600000000000001</c:v>
                </c:pt>
                <c:pt idx="13">
                  <c:v>15.853999999999999</c:v>
                </c:pt>
                <c:pt idx="14">
                  <c:v>14.837999999999999</c:v>
                </c:pt>
                <c:pt idx="15">
                  <c:v>13.59</c:v>
                </c:pt>
                <c:pt idx="16">
                  <c:v>10.319000000000001</c:v>
                </c:pt>
                <c:pt idx="17">
                  <c:v>11.635</c:v>
                </c:pt>
                <c:pt idx="18">
                  <c:v>11.321999999999999</c:v>
                </c:pt>
                <c:pt idx="19">
                  <c:v>9.5069999999999997</c:v>
                </c:pt>
                <c:pt idx="20">
                  <c:v>10.015000000000001</c:v>
                </c:pt>
                <c:pt idx="21">
                  <c:v>11.193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B94-4E87-8FE1-72BE8FC119C5}"/>
            </c:ext>
          </c:extLst>
        </c:ser>
        <c:ser>
          <c:idx val="6"/>
          <c:order val="4"/>
          <c:tx>
            <c:strRef>
              <c:f>'Trh práce-2b'!$A$7</c:f>
              <c:strCache>
                <c:ptCount val="1"/>
                <c:pt idx="0">
                  <c:v>Očekávání vývoje nezaměstnanosti</c:v>
                </c:pt>
              </c:strCache>
            </c:strRef>
          </c:tx>
          <c:spPr>
            <a:ln w="15875">
              <a:noFill/>
              <a:prstDash val="sysDash"/>
            </a:ln>
          </c:spPr>
          <c:marker>
            <c:symbol val="circle"/>
            <c:size val="4"/>
            <c:spPr>
              <a:solidFill>
                <a:srgbClr val="CC9610"/>
              </a:solidFill>
              <a:ln>
                <a:solidFill>
                  <a:srgbClr val="CC9610"/>
                </a:solidFill>
              </a:ln>
            </c:spPr>
          </c:marker>
          <c:cat>
            <c:multiLvlStrRef>
              <c:f>'Trh práce-2b'!$B$1:$X$2</c:f>
              <c:multiLvlStrCache>
                <c:ptCount val="2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práce-2b'!$B$7:$X$7</c:f>
              <c:numCache>
                <c:formatCode>0.0</c:formatCode>
                <c:ptCount val="23"/>
                <c:pt idx="0">
                  <c:v>57</c:v>
                </c:pt>
                <c:pt idx="1">
                  <c:v>28.666666666666668</c:v>
                </c:pt>
                <c:pt idx="2">
                  <c:v>15.666666666666666</c:v>
                </c:pt>
                <c:pt idx="3">
                  <c:v>17.333333333333332</c:v>
                </c:pt>
                <c:pt idx="4">
                  <c:v>15.666666666666666</c:v>
                </c:pt>
                <c:pt idx="5">
                  <c:v>20.333333333333332</c:v>
                </c:pt>
                <c:pt idx="6">
                  <c:v>29</c:v>
                </c:pt>
                <c:pt idx="7">
                  <c:v>40.333333333333336</c:v>
                </c:pt>
                <c:pt idx="8">
                  <c:v>34.666666666666664</c:v>
                </c:pt>
                <c:pt idx="9">
                  <c:v>28.666666666666668</c:v>
                </c:pt>
                <c:pt idx="10">
                  <c:v>25.333333333333332</c:v>
                </c:pt>
                <c:pt idx="11">
                  <c:v>21</c:v>
                </c:pt>
                <c:pt idx="12">
                  <c:v>23</c:v>
                </c:pt>
                <c:pt idx="13">
                  <c:v>20.333333333333332</c:v>
                </c:pt>
                <c:pt idx="14">
                  <c:v>23.666666666666668</c:v>
                </c:pt>
                <c:pt idx="15">
                  <c:v>21.333333333333332</c:v>
                </c:pt>
                <c:pt idx="16">
                  <c:v>29.333333333333332</c:v>
                </c:pt>
                <c:pt idx="17">
                  <c:v>28.666666666666668</c:v>
                </c:pt>
                <c:pt idx="18">
                  <c:v>25.666666666666668</c:v>
                </c:pt>
                <c:pt idx="19">
                  <c:v>15.666666666666666</c:v>
                </c:pt>
                <c:pt idx="20">
                  <c:v>17</c:v>
                </c:pt>
                <c:pt idx="21">
                  <c:v>21</c:v>
                </c:pt>
                <c:pt idx="22">
                  <c:v>22.5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B94-4E87-8FE1-72BE8FC119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1670576"/>
        <c:axId val="323971328"/>
      </c:lineChart>
      <c:catAx>
        <c:axId val="100654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>
            <a:solidFill>
              <a:schemeClr val="tx1"/>
            </a:solidFill>
          </a:ln>
        </c:spPr>
        <c:crossAx val="101647488"/>
        <c:crossesAt val="-50"/>
        <c:auto val="1"/>
        <c:lblAlgn val="ctr"/>
        <c:lblOffset val="0"/>
        <c:noMultiLvlLbl val="0"/>
      </c:catAx>
      <c:valAx>
        <c:axId val="101647488"/>
        <c:scaling>
          <c:orientation val="minMax"/>
          <c:max val="5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700" b="0" i="1"/>
                </a:pPr>
                <a:r>
                  <a:rPr lang="cs-CZ" sz="700" b="0" i="1"/>
                  <a:t>Míra nezaměstnanosti</a:t>
                </a:r>
              </a:p>
            </c:rich>
          </c:tx>
          <c:overlay val="0"/>
        </c:title>
        <c:numFmt formatCode="0.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00654464"/>
        <c:crosses val="autoZero"/>
        <c:crossBetween val="between"/>
        <c:majorUnit val="0.5"/>
      </c:valAx>
      <c:valAx>
        <c:axId val="323971328"/>
        <c:scaling>
          <c:orientation val="minMax"/>
          <c:max val="90"/>
          <c:min val="-10"/>
        </c:scaling>
        <c:delete val="0"/>
        <c:axPos val="r"/>
        <c:title>
          <c:tx>
            <c:rich>
              <a:bodyPr/>
              <a:lstStyle/>
              <a:p>
                <a:pPr>
                  <a:defRPr sz="700" b="0" i="1"/>
                </a:pPr>
                <a:r>
                  <a:rPr lang="cs-CZ" sz="700" b="0" i="1"/>
                  <a:t>Volná</a:t>
                </a:r>
                <a:r>
                  <a:rPr lang="cs-CZ" sz="700" b="0" i="1" baseline="0"/>
                  <a:t> prac. místa, saldo oček. nezam.</a:t>
                </a:r>
                <a:endParaRPr lang="cs-CZ" sz="700" b="0" i="1"/>
              </a:p>
            </c:rich>
          </c:tx>
          <c:overlay val="0"/>
        </c:title>
        <c:numFmt formatCode="#,##0" sourceLinked="0"/>
        <c:majorTickMark val="out"/>
        <c:minorTickMark val="none"/>
        <c:tickLblPos val="nextTo"/>
        <c:crossAx val="331670576"/>
        <c:crosses val="max"/>
        <c:crossBetween val="between"/>
        <c:majorUnit val="10"/>
      </c:valAx>
      <c:catAx>
        <c:axId val="3316705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23971328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7.2323130460832843E-2"/>
          <c:y val="0.88507093775279932"/>
          <c:w val="0.84458621047248839"/>
          <c:h val="0.11132549647630853"/>
        </c:manualLayout>
      </c:layout>
      <c:overlay val="0"/>
      <c:spPr>
        <a:ln w="6350">
          <a:solidFill>
            <a:schemeClr val="tx1"/>
          </a:solidFill>
        </a:ln>
      </c:spPr>
      <c:txPr>
        <a:bodyPr/>
        <a:lstStyle/>
        <a:p>
          <a:pPr>
            <a:defRPr sz="77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57959249939119E-2"/>
          <c:y val="1.6330737879601123E-2"/>
          <c:w val="0.91492556213978382"/>
          <c:h val="0.7577600516796773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'Trh práce 3'!$Z$113</c:f>
              <c:strCache>
                <c:ptCount val="1"/>
                <c:pt idx="0">
                  <c:v>Průměrná mzda celkem (reálně)</c:v>
                </c:pt>
              </c:strCache>
            </c:strRef>
          </c:tx>
          <c:spPr>
            <a:solidFill>
              <a:srgbClr val="D7D9DB"/>
            </a:solidFill>
            <a:ln>
              <a:noFill/>
            </a:ln>
            <a:effectLst/>
          </c:spPr>
          <c:invertIfNegative val="0"/>
          <c:cat>
            <c:multiLvlStrRef>
              <c:f>'Trh práce 3'!$W$114:$X$135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3'!$Z$114:$Z$135</c:f>
              <c:numCache>
                <c:formatCode>#\ ##0.0</c:formatCode>
                <c:ptCount val="22"/>
                <c:pt idx="0">
                  <c:v>0.79999999999999716</c:v>
                </c:pt>
                <c:pt idx="1">
                  <c:v>8.0999999999999943</c:v>
                </c:pt>
                <c:pt idx="2">
                  <c:v>1.2000000000000028</c:v>
                </c:pt>
                <c:pt idx="3">
                  <c:v>-2.0999999999999943</c:v>
                </c:pt>
                <c:pt idx="4">
                  <c:v>-5.2999999999999972</c:v>
                </c:pt>
                <c:pt idx="5">
                  <c:v>-11.5</c:v>
                </c:pt>
                <c:pt idx="6">
                  <c:v>-11.599999999999994</c:v>
                </c:pt>
                <c:pt idx="7">
                  <c:v>-8.7000000000000028</c:v>
                </c:pt>
                <c:pt idx="8">
                  <c:v>-7</c:v>
                </c:pt>
                <c:pt idx="9">
                  <c:v>-3.0999999999999943</c:v>
                </c:pt>
                <c:pt idx="10">
                  <c:v>-1.0999999999999943</c:v>
                </c:pt>
                <c:pt idx="11">
                  <c:v>-1.2999999999999972</c:v>
                </c:pt>
                <c:pt idx="12">
                  <c:v>5.0999999999999943</c:v>
                </c:pt>
                <c:pt idx="13">
                  <c:v>4</c:v>
                </c:pt>
                <c:pt idx="14">
                  <c:v>4.0999999999999943</c:v>
                </c:pt>
                <c:pt idx="15">
                  <c:v>3.2000000000000028</c:v>
                </c:pt>
                <c:pt idx="16">
                  <c:v>3.4000000000000057</c:v>
                </c:pt>
                <c:pt idx="17">
                  <c:v>4.7000000000000028</c:v>
                </c:pt>
                <c:pt idx="18">
                  <c:v>3.9000000000000057</c:v>
                </c:pt>
                <c:pt idx="19">
                  <c:v>4.4000000000000057</c:v>
                </c:pt>
                <c:pt idx="20">
                  <c:v>4.4000000000000057</c:v>
                </c:pt>
                <c:pt idx="21">
                  <c:v>4.2999999999999972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1F-4E47-9FBB-2D5C1E900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850416976"/>
        <c:axId val="627665280"/>
      </c:barChart>
      <c:lineChart>
        <c:grouping val="standard"/>
        <c:varyColors val="0"/>
        <c:ser>
          <c:idx val="0"/>
          <c:order val="0"/>
          <c:tx>
            <c:strRef>
              <c:f>'Trh práce 3'!$Y$113</c:f>
              <c:strCache>
                <c:ptCount val="1"/>
                <c:pt idx="0">
                  <c:v>Průměrná mzda celkem (nominálně)</c:v>
                </c:pt>
              </c:strCache>
            </c:strRef>
          </c:tx>
          <c:spPr>
            <a:ln w="19050" cap="rnd">
              <a:solidFill>
                <a:srgbClr val="8390A7"/>
              </a:solidFill>
              <a:round/>
            </a:ln>
            <a:effectLst/>
          </c:spPr>
          <c:marker>
            <c:symbol val="none"/>
          </c:marker>
          <c:cat>
            <c:multiLvlStrRef>
              <c:f>'Trh práce 3'!$W$114:$X$135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3'!$Y$114:$Y$135</c:f>
              <c:numCache>
                <c:formatCode>#\ ##0.0</c:formatCode>
                <c:ptCount val="22"/>
                <c:pt idx="0">
                  <c:v>3.0004890538246798</c:v>
                </c:pt>
                <c:pt idx="1">
                  <c:v>11.168458781362006</c:v>
                </c:pt>
                <c:pt idx="2">
                  <c:v>5.3398193189715215</c:v>
                </c:pt>
                <c:pt idx="3">
                  <c:v>3.8601248337255782</c:v>
                </c:pt>
                <c:pt idx="4">
                  <c:v>5.2703608535359194</c:v>
                </c:pt>
                <c:pt idx="5">
                  <c:v>2.4658240907918554</c:v>
                </c:pt>
                <c:pt idx="6">
                  <c:v>3.9318133839983034</c:v>
                </c:pt>
                <c:pt idx="7">
                  <c:v>5.6082362503386634</c:v>
                </c:pt>
                <c:pt idx="8">
                  <c:v>8.2513066779867899</c:v>
                </c:pt>
                <c:pt idx="9">
                  <c:v>7.6725570155565634</c:v>
                </c:pt>
                <c:pt idx="10">
                  <c:v>6.8171431473112278</c:v>
                </c:pt>
                <c:pt idx="11">
                  <c:v>6.1896543682074707</c:v>
                </c:pt>
                <c:pt idx="12">
                  <c:v>7.303742555329535</c:v>
                </c:pt>
                <c:pt idx="13">
                  <c:v>6.5834385374292879</c:v>
                </c:pt>
                <c:pt idx="14">
                  <c:v>6.510422856599547</c:v>
                </c:pt>
                <c:pt idx="15">
                  <c:v>6.1890538522357872</c:v>
                </c:pt>
                <c:pt idx="16">
                  <c:v>6.1944679198739294</c:v>
                </c:pt>
                <c:pt idx="17">
                  <c:v>7.1726255757841528</c:v>
                </c:pt>
                <c:pt idx="18">
                  <c:v>6.4873912073198028</c:v>
                </c:pt>
                <c:pt idx="19">
                  <c:v>6.6804550155118818</c:v>
                </c:pt>
                <c:pt idx="20">
                  <c:v>6.097692125696355</c:v>
                </c:pt>
                <c:pt idx="21">
                  <c:v>6.3569381907490765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1F-4E47-9FBB-2D5C1E900EF1}"/>
            </c:ext>
          </c:extLst>
        </c:ser>
        <c:ser>
          <c:idx val="2"/>
          <c:order val="2"/>
          <c:tx>
            <c:strRef>
              <c:f>'Trh práce 3'!$AA$113</c:f>
              <c:strCache>
                <c:ptCount val="1"/>
                <c:pt idx="0">
                  <c:v>Prům. mzda v průmyslu (nominálně)</c:v>
                </c:pt>
              </c:strCache>
            </c:strRef>
          </c:tx>
          <c:spPr>
            <a:ln w="15875" cap="rnd">
              <a:solidFill>
                <a:srgbClr val="BC5B80"/>
              </a:solidFill>
              <a:prstDash val="dash"/>
              <a:round/>
            </a:ln>
            <a:effectLst/>
          </c:spPr>
          <c:marker>
            <c:symbol val="none"/>
          </c:marker>
          <c:cat>
            <c:multiLvlStrRef>
              <c:f>'Trh práce 3'!$W$114:$X$135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3'!$AA$114:$AA$135</c:f>
              <c:numCache>
                <c:formatCode>#\ ##0.0</c:formatCode>
                <c:ptCount val="22"/>
                <c:pt idx="0">
                  <c:v>1.8985680538948344</c:v>
                </c:pt>
                <c:pt idx="1">
                  <c:v>10.170242950877807</c:v>
                </c:pt>
                <c:pt idx="2">
                  <c:v>4.7656227408114233</c:v>
                </c:pt>
                <c:pt idx="3">
                  <c:v>3.7112962913660397</c:v>
                </c:pt>
                <c:pt idx="4">
                  <c:v>4.9627933600457936</c:v>
                </c:pt>
                <c:pt idx="5">
                  <c:v>5.8242790073776121</c:v>
                </c:pt>
                <c:pt idx="6">
                  <c:v>5.6391288746584252</c:v>
                </c:pt>
                <c:pt idx="7">
                  <c:v>7.3649082274419158</c:v>
                </c:pt>
                <c:pt idx="8">
                  <c:v>10.053443856683202</c:v>
                </c:pt>
                <c:pt idx="9">
                  <c:v>9.2759722151802464</c:v>
                </c:pt>
                <c:pt idx="10">
                  <c:v>8.1338837792642096</c:v>
                </c:pt>
                <c:pt idx="11">
                  <c:v>6.9888102524866156</c:v>
                </c:pt>
                <c:pt idx="12">
                  <c:v>8.089492331706353</c:v>
                </c:pt>
                <c:pt idx="13">
                  <c:v>7.5814870664655984</c:v>
                </c:pt>
                <c:pt idx="14">
                  <c:v>7.0267004953485497</c:v>
                </c:pt>
                <c:pt idx="15">
                  <c:v>6.8473864169665006</c:v>
                </c:pt>
                <c:pt idx="16">
                  <c:v>6.4021455095585083</c:v>
                </c:pt>
                <c:pt idx="17">
                  <c:v>7.7458866150561789</c:v>
                </c:pt>
                <c:pt idx="18">
                  <c:v>6.0099790034542764</c:v>
                </c:pt>
                <c:pt idx="19">
                  <c:v>7.1740812783668986</c:v>
                </c:pt>
                <c:pt idx="20">
                  <c:v>6.1246472349684353</c:v>
                </c:pt>
                <c:pt idx="21">
                  <c:v>5.1275893125187508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91F-4E47-9FBB-2D5C1E900EF1}"/>
            </c:ext>
          </c:extLst>
        </c:ser>
        <c:ser>
          <c:idx val="3"/>
          <c:order val="3"/>
          <c:tx>
            <c:strRef>
              <c:f>'Trh práce 3'!$AB$113</c:f>
              <c:strCache>
                <c:ptCount val="1"/>
                <c:pt idx="0">
                  <c:v>Prům. mzda v obchodu (nominálně)</c:v>
                </c:pt>
              </c:strCache>
            </c:strRef>
          </c:tx>
          <c:spPr>
            <a:ln w="15875" cap="rnd">
              <a:solidFill>
                <a:srgbClr val="009CB5"/>
              </a:solidFill>
              <a:prstDash val="dash"/>
              <a:round/>
            </a:ln>
            <a:effectLst/>
          </c:spPr>
          <c:marker>
            <c:symbol val="none"/>
          </c:marker>
          <c:cat>
            <c:multiLvlStrRef>
              <c:f>'Trh práce 3'!$W$114:$X$135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3'!$AB$114:$AB$135</c:f>
              <c:numCache>
                <c:formatCode>#\ ##0.0</c:formatCode>
                <c:ptCount val="22"/>
                <c:pt idx="0">
                  <c:v>2.2321294994165299</c:v>
                </c:pt>
                <c:pt idx="1">
                  <c:v>9.8898705823792881</c:v>
                </c:pt>
                <c:pt idx="2">
                  <c:v>6.6146127126443588</c:v>
                </c:pt>
                <c:pt idx="3">
                  <c:v>8.7059366526279263</c:v>
                </c:pt>
                <c:pt idx="4">
                  <c:v>6.7609096496619543</c:v>
                </c:pt>
                <c:pt idx="5">
                  <c:v>5.6167369702460093</c:v>
                </c:pt>
                <c:pt idx="6">
                  <c:v>3.4585503049205073</c:v>
                </c:pt>
                <c:pt idx="7">
                  <c:v>5.3444432650461664</c:v>
                </c:pt>
                <c:pt idx="8">
                  <c:v>8.2325849165227396</c:v>
                </c:pt>
                <c:pt idx="9">
                  <c:v>6.9557991797785945</c:v>
                </c:pt>
                <c:pt idx="10">
                  <c:v>6.314429521169231</c:v>
                </c:pt>
                <c:pt idx="11">
                  <c:v>5.6073353821351191</c:v>
                </c:pt>
                <c:pt idx="12">
                  <c:v>7.6063829787234027</c:v>
                </c:pt>
                <c:pt idx="13">
                  <c:v>6.302942208410613</c:v>
                </c:pt>
                <c:pt idx="14">
                  <c:v>6.8102989949112498</c:v>
                </c:pt>
                <c:pt idx="15">
                  <c:v>5.5982253601755616</c:v>
                </c:pt>
                <c:pt idx="16">
                  <c:v>3.3872372478403179</c:v>
                </c:pt>
                <c:pt idx="17">
                  <c:v>5.1253035339604338</c:v>
                </c:pt>
                <c:pt idx="18">
                  <c:v>4.4276944227168258</c:v>
                </c:pt>
                <c:pt idx="19">
                  <c:v>5.2178627092227288</c:v>
                </c:pt>
                <c:pt idx="20">
                  <c:v>6.34078593870953</c:v>
                </c:pt>
                <c:pt idx="21">
                  <c:v>6.173891592473808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91F-4E47-9FBB-2D5C1E900EF1}"/>
            </c:ext>
          </c:extLst>
        </c:ser>
        <c:ser>
          <c:idx val="4"/>
          <c:order val="4"/>
          <c:tx>
            <c:strRef>
              <c:f>'Trh práce 3'!$AC$113</c:f>
              <c:strCache>
                <c:ptCount val="1"/>
                <c:pt idx="0">
                  <c:v>Prům. mzda ve veř. službách (nom.)*</c:v>
                </c:pt>
              </c:strCache>
            </c:strRef>
          </c:tx>
          <c:spPr>
            <a:ln w="15875" cap="rnd">
              <a:solidFill>
                <a:srgbClr val="85BF5E"/>
              </a:solidFill>
              <a:prstDash val="dash"/>
              <a:round/>
            </a:ln>
            <a:effectLst/>
          </c:spPr>
          <c:marker>
            <c:symbol val="none"/>
          </c:marker>
          <c:cat>
            <c:multiLvlStrRef>
              <c:f>'Trh práce 3'!$W$114:$X$135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'Trh práce 3'!$AC$114:$AC$135</c:f>
              <c:numCache>
                <c:formatCode>#\ ##0.0</c:formatCode>
                <c:ptCount val="22"/>
                <c:pt idx="0">
                  <c:v>4.5485385483402752</c:v>
                </c:pt>
                <c:pt idx="1">
                  <c:v>17.785684079315018</c:v>
                </c:pt>
                <c:pt idx="2">
                  <c:v>5.4643357321226631</c:v>
                </c:pt>
                <c:pt idx="3">
                  <c:v>-0.40508430459891542</c:v>
                </c:pt>
                <c:pt idx="4">
                  <c:v>2.3050985414715655</c:v>
                </c:pt>
                <c:pt idx="5">
                  <c:v>-7.0315803873919265</c:v>
                </c:pt>
                <c:pt idx="6">
                  <c:v>0.30518367768182486</c:v>
                </c:pt>
                <c:pt idx="7">
                  <c:v>3.4014494016982155</c:v>
                </c:pt>
                <c:pt idx="8">
                  <c:v>7.9558858004871666</c:v>
                </c:pt>
                <c:pt idx="9">
                  <c:v>6.6185978338731104</c:v>
                </c:pt>
                <c:pt idx="10">
                  <c:v>6.1956460416074748</c:v>
                </c:pt>
                <c:pt idx="11">
                  <c:v>5.4315381637976827</c:v>
                </c:pt>
                <c:pt idx="12">
                  <c:v>4.9055773020722171</c:v>
                </c:pt>
                <c:pt idx="13">
                  <c:v>5.1422675010122134</c:v>
                </c:pt>
                <c:pt idx="14">
                  <c:v>5.2333623000588148</c:v>
                </c:pt>
                <c:pt idx="15">
                  <c:v>4.088030032660626</c:v>
                </c:pt>
                <c:pt idx="16">
                  <c:v>5.2201477242158774</c:v>
                </c:pt>
                <c:pt idx="17">
                  <c:v>6.0948127472935028</c:v>
                </c:pt>
                <c:pt idx="18">
                  <c:v>5.9730216581103832</c:v>
                </c:pt>
                <c:pt idx="19">
                  <c:v>5.8514536384590912</c:v>
                </c:pt>
                <c:pt idx="20">
                  <c:v>5.2436213824090743</c:v>
                </c:pt>
                <c:pt idx="21">
                  <c:v>7.1109780909529121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91F-4E47-9FBB-2D5C1E900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0416976"/>
        <c:axId val="627665280"/>
      </c:lineChart>
      <c:catAx>
        <c:axId val="85041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27665280"/>
        <c:crossesAt val="0"/>
        <c:auto val="1"/>
        <c:lblAlgn val="ctr"/>
        <c:lblOffset val="0"/>
        <c:noMultiLvlLbl val="0"/>
      </c:catAx>
      <c:valAx>
        <c:axId val="627665280"/>
        <c:scaling>
          <c:orientation val="minMax"/>
          <c:max val="18"/>
          <c:min val="-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850416976"/>
        <c:crossesAt val="1"/>
        <c:crossBetween val="between"/>
        <c:majorUnit val="2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7.214914630516546E-2"/>
          <c:y val="0.87090119606315763"/>
          <c:w val="0.90518602700435646"/>
          <c:h val="0.10975176890804522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v1.2</Verzeform>
    <Forma xmlns="8675fb2b-b414-4bad-b4c4-d9349268b5a1">
      <Value>Elektronická</Value>
    </Forma>
    <Vazbanaproces xmlns="8675fb2b-b414-4bad-b4c4-d9349268b5a1">179. Vnější komunikace
</Vazbanaproces>
    <Gestor xmlns="8675fb2b-b414-4bad-b4c4-d9349268b5a1">
      <UserInfo>
        <DisplayName>Novotný Michal</DisplayName>
        <AccountId>24</AccountId>
        <AccountType/>
      </UserInfo>
    </Gestor>
    <Form_c xmlns="8675fb2b-b414-4bad-b4c4-d9349268b5a1">444</Form_c>
    <NazevForm xmlns="8675fb2b-b414-4bad-b4c4-d9349268b5a1">Publikace CZ barevná - regiony a země - analýzy</NazevForm>
    <UcinnostOdForm xmlns="8675fb2b-b414-4bad-b4c4-d9349268b5a1">2026-09-06T22:00:00+00:00</UcinnostOdForm>
    <PredpisForm xmlns="8675fb2b-b414-4bad-b4c4-d9349268b5a1">Manuál značky a jednotného vizuálního stylu Českého statistického úřadu</PredpisForm>
    <UstanoveniForm xmlns="8675fb2b-b414-4bad-b4c4-d9349268b5a1" xsi:nil="true"/>
    <PoznForm xmlns="8675fb2b-b414-4bad-b4c4-d9349268b5a1" xsi:nil="true"/>
    <Oznaceni xmlns="8675fb2b-b414-4bad-b4c4-d9349268b5a1">Form_c444</Oznaceni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ProcDomena xmlns="406a38fe-c53c-4047-b0f8-c641386931ae">
      <Value>P4 Komunikace a propagace</Value>
    </ProcDomena>
    <DomenaForm xmlns="8675fb2b-b414-4bad-b4c4-d9349268b5a1" xsi:nil="true"/>
    <SiteKnihDok xmlns="406a38fe-c53c-4047-b0f8-c641386931ae">Vnitřní předpisy</SiteKnihD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A6635-18E5-4C5D-A03B-290B09811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7681AD-41B0-431A-9D34-CF6700A12FAC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4520BFF4-F202-41B8-B99D-38B5B9511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8A1E1-1E99-4B4F-B9B5-70567730AA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Form_c444_Publikace_regiony a zeme - analyzy.dotx</Template>
  <TotalTime>90</TotalTime>
  <Pages>8</Pages>
  <Words>3628</Words>
  <Characters>21410</Characters>
  <Application>Microsoft Office Word</Application>
  <DocSecurity>0</DocSecurity>
  <Lines>178</Lines>
  <Paragraphs>49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24989</CharactersWithSpaces>
  <SharedDoc>false</SharedDoc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Publikace CZ barevná - regiony a země - analýzy</dc:title>
  <dc:subject/>
  <dc:creator>Zábojníková Karolína</dc:creator>
  <cp:keywords/>
  <cp:lastModifiedBy>Zábojníková Karolína</cp:lastModifiedBy>
  <cp:revision>46</cp:revision>
  <cp:lastPrinted>2014-07-17T14:07:00Z</cp:lastPrinted>
  <dcterms:created xsi:type="dcterms:W3CDTF">2026-09-14T09:32:00Z</dcterms:created>
  <dcterms:modified xsi:type="dcterms:W3CDTF">2026-09-15T10:26:00Z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vícetematické analýzy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2018-04-17T07:00:00Z</vt:filetime>
  </property>
  <property fmtid="{D5CDD505-2E9C-101B-9397-08002B2CF9AE}" pid="8" name="Označení">
    <vt:lpwstr>Form_c444</vt:lpwstr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