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927AB9" w:rsidP="00E66C15">
      <w:pPr>
        <w:pStyle w:val="Datum"/>
      </w:pPr>
      <w:r>
        <w:t>23</w:t>
      </w:r>
      <w:r w:rsidR="00C87663">
        <w:t xml:space="preserve">. září </w:t>
      </w:r>
      <w:r w:rsidR="00473F0B">
        <w:t>2016</w:t>
      </w:r>
    </w:p>
    <w:p w:rsidR="00376CBE" w:rsidRPr="00AE6D5B" w:rsidRDefault="00376CBE" w:rsidP="00E66C15">
      <w:pPr>
        <w:pStyle w:val="Datum"/>
      </w:pPr>
    </w:p>
    <w:p w:rsidR="00892B3A" w:rsidRDefault="00BE6B18" w:rsidP="00E66C15">
      <w:pPr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Česká ekonomika rostla rychleji než EU</w:t>
      </w:r>
    </w:p>
    <w:p w:rsidR="00892B3A" w:rsidRDefault="00892B3A" w:rsidP="00A944D9">
      <w:pPr>
        <w:jc w:val="left"/>
        <w:rPr>
          <w:b/>
        </w:rPr>
      </w:pPr>
    </w:p>
    <w:p w:rsidR="0097024A" w:rsidRDefault="0097024A" w:rsidP="00A944D9">
      <w:pPr>
        <w:jc w:val="left"/>
        <w:rPr>
          <w:b/>
        </w:rPr>
      </w:pPr>
      <w:r>
        <w:rPr>
          <w:b/>
        </w:rPr>
        <w:t>Česká ekonomika stabilně rostla i v prvním pololetí letošního roku. Hrubý domácí produkt se meziročně zvýšil o 2,8 %. Jde o silnější růst, než vykázala EU jako celek.</w:t>
      </w:r>
    </w:p>
    <w:p w:rsidR="00892B3A" w:rsidRDefault="00892B3A" w:rsidP="00892B3A">
      <w:pPr>
        <w:jc w:val="left"/>
      </w:pPr>
    </w:p>
    <w:p w:rsidR="00355A83" w:rsidRDefault="00355A83" w:rsidP="00E66C15">
      <w:pPr>
        <w:jc w:val="left"/>
      </w:pPr>
      <w:r>
        <w:t>Hrubý domácí produkt</w:t>
      </w:r>
      <w:r w:rsidR="0097024A">
        <w:t xml:space="preserve"> i</w:t>
      </w:r>
      <w:r w:rsidR="00C3312C" w:rsidRPr="00C3312C">
        <w:t xml:space="preserve"> hrubá přidaná hodnota vzrostly </w:t>
      </w:r>
      <w:r w:rsidR="0097024A">
        <w:t xml:space="preserve">ve 2. čtvrtletí </w:t>
      </w:r>
      <w:r>
        <w:t xml:space="preserve">shodně </w:t>
      </w:r>
      <w:r w:rsidR="00C3312C" w:rsidRPr="00C3312C">
        <w:t>o 0,9 %</w:t>
      </w:r>
      <w:r w:rsidR="000041A2">
        <w:t>, ve </w:t>
      </w:r>
      <w:r>
        <w:t xml:space="preserve">srovnání s předchozím čtvrtletím. </w:t>
      </w:r>
      <w:r w:rsidR="0097024A" w:rsidRPr="0097024A">
        <w:t xml:space="preserve">Meziroční růst HDP činil 2,6 % a HPH 2,7 %. </w:t>
      </w:r>
      <w:r w:rsidRPr="00355A83">
        <w:rPr>
          <w:i/>
        </w:rPr>
        <w:t>„</w:t>
      </w:r>
      <w:r w:rsidR="000041A2">
        <w:rPr>
          <w:i/>
        </w:rPr>
        <w:t>Ekonomi</w:t>
      </w:r>
      <w:r w:rsidR="004417FD">
        <w:rPr>
          <w:i/>
        </w:rPr>
        <w:t xml:space="preserve">ce se dařilo díky </w:t>
      </w:r>
      <w:r w:rsidR="0097024A" w:rsidRPr="00355A83">
        <w:rPr>
          <w:i/>
        </w:rPr>
        <w:t>mimořádně úspěšn</w:t>
      </w:r>
      <w:r w:rsidR="004417FD">
        <w:rPr>
          <w:i/>
        </w:rPr>
        <w:t>ému</w:t>
      </w:r>
      <w:r w:rsidR="0097024A" w:rsidRPr="00355A83">
        <w:rPr>
          <w:i/>
        </w:rPr>
        <w:t xml:space="preserve"> zahraniční</w:t>
      </w:r>
      <w:r w:rsidR="004417FD">
        <w:rPr>
          <w:i/>
        </w:rPr>
        <w:t>mu</w:t>
      </w:r>
      <w:r w:rsidR="0097024A" w:rsidRPr="00355A83">
        <w:rPr>
          <w:i/>
        </w:rPr>
        <w:t xml:space="preserve"> obchod</w:t>
      </w:r>
      <w:r w:rsidR="004417FD">
        <w:rPr>
          <w:i/>
        </w:rPr>
        <w:t>u</w:t>
      </w:r>
      <w:r w:rsidR="0097024A" w:rsidRPr="00355A83">
        <w:rPr>
          <w:i/>
        </w:rPr>
        <w:t xml:space="preserve"> a spotřeb</w:t>
      </w:r>
      <w:r w:rsidR="004417FD">
        <w:rPr>
          <w:i/>
        </w:rPr>
        <w:t>ě</w:t>
      </w:r>
      <w:r w:rsidR="0097024A" w:rsidRPr="00355A83">
        <w:rPr>
          <w:i/>
        </w:rPr>
        <w:t xml:space="preserve"> domácností.</w:t>
      </w:r>
      <w:r w:rsidR="00833F22">
        <w:rPr>
          <w:i/>
        </w:rPr>
        <w:t xml:space="preserve"> N</w:t>
      </w:r>
      <w:r w:rsidR="000041A2">
        <w:rPr>
          <w:i/>
        </w:rPr>
        <w:t>a rozdíl od investic, </w:t>
      </w:r>
      <w:r w:rsidR="00833F22" w:rsidRPr="00833F22">
        <w:rPr>
          <w:i/>
        </w:rPr>
        <w:t>které výrazně podpořily růst v loňském roce</w:t>
      </w:r>
      <w:r w:rsidRPr="00355A83">
        <w:rPr>
          <w:i/>
        </w:rPr>
        <w:t xml:space="preserve">,“ </w:t>
      </w:r>
      <w:r>
        <w:t>komentuje vývoj hospodářství Iva Ritschelová, předsedkyně ČSÚ.</w:t>
      </w:r>
    </w:p>
    <w:p w:rsidR="00BE6B18" w:rsidRDefault="00BE6B18" w:rsidP="00E66C15">
      <w:pPr>
        <w:jc w:val="left"/>
      </w:pPr>
    </w:p>
    <w:p w:rsidR="00C42928" w:rsidRDefault="00BE6B18" w:rsidP="00E66C15">
      <w:pPr>
        <w:jc w:val="left"/>
      </w:pPr>
      <w:r w:rsidRPr="00BE6B18">
        <w:t xml:space="preserve">Pokračující meziroční růst spotřeby domácností byl podpořen rostoucí průměrnou </w:t>
      </w:r>
      <w:r>
        <w:t xml:space="preserve">mzdou, rekordní zaměstnaností </w:t>
      </w:r>
      <w:r w:rsidRPr="00BE6B18">
        <w:t>i přetrvávající vysokou spotřebitelskou</w:t>
      </w:r>
      <w:r>
        <w:t xml:space="preserve"> důvěrou. V případě </w:t>
      </w:r>
      <w:r w:rsidR="00FC7296">
        <w:t xml:space="preserve">tvorby kapitálu </w:t>
      </w:r>
      <w:r>
        <w:t>se </w:t>
      </w:r>
      <w:r w:rsidRPr="00BE6B18">
        <w:t xml:space="preserve">na rozdíl od 1. čtvrtletí naplno projevil </w:t>
      </w:r>
      <w:r>
        <w:t>úbytek</w:t>
      </w:r>
      <w:r w:rsidRPr="00BE6B18">
        <w:t xml:space="preserve"> dotací</w:t>
      </w:r>
      <w:r w:rsidR="004417FD">
        <w:t xml:space="preserve"> z fondů EU</w:t>
      </w:r>
      <w:r w:rsidRPr="00BE6B18">
        <w:t>, což vedl</w:t>
      </w:r>
      <w:r>
        <w:t>o zejména k poklesu investic do </w:t>
      </w:r>
      <w:r w:rsidRPr="00BE6B18">
        <w:t>ostatních budov a staveb.</w:t>
      </w:r>
      <w:r>
        <w:t xml:space="preserve"> </w:t>
      </w:r>
      <w:r w:rsidR="004417FD" w:rsidRPr="004417FD">
        <w:rPr>
          <w:i/>
        </w:rPr>
        <w:t>„</w:t>
      </w:r>
      <w:r w:rsidR="00C42928" w:rsidRPr="004417FD">
        <w:rPr>
          <w:i/>
        </w:rPr>
        <w:t xml:space="preserve">Stavebnictví </w:t>
      </w:r>
      <w:r w:rsidR="00B03800">
        <w:rPr>
          <w:i/>
        </w:rPr>
        <w:t xml:space="preserve">ve 2. čtvrtletí </w:t>
      </w:r>
      <w:r w:rsidR="00C42928" w:rsidRPr="004417FD">
        <w:rPr>
          <w:i/>
        </w:rPr>
        <w:t>meziročně pokleslo o 5,5 %.</w:t>
      </w:r>
      <w:r w:rsidR="000041A2" w:rsidRPr="004417FD">
        <w:rPr>
          <w:i/>
        </w:rPr>
        <w:t xml:space="preserve"> Naopak </w:t>
      </w:r>
      <w:r w:rsidR="00C42928" w:rsidRPr="004417FD">
        <w:rPr>
          <w:i/>
        </w:rPr>
        <w:t>z</w:t>
      </w:r>
      <w:r w:rsidRPr="004417FD">
        <w:rPr>
          <w:i/>
        </w:rPr>
        <w:t>pracovatelský průmysl se držel v dobré kondici</w:t>
      </w:r>
      <w:r w:rsidR="00FC7296" w:rsidRPr="004417FD">
        <w:rPr>
          <w:i/>
        </w:rPr>
        <w:t>. H</w:t>
      </w:r>
      <w:r w:rsidR="004029A8" w:rsidRPr="004417FD">
        <w:rPr>
          <w:i/>
        </w:rPr>
        <w:t xml:space="preserve">rubá </w:t>
      </w:r>
      <w:r w:rsidR="000041A2" w:rsidRPr="004417FD">
        <w:rPr>
          <w:i/>
        </w:rPr>
        <w:t>přidaná hodnota se zvýšila i ve </w:t>
      </w:r>
      <w:r w:rsidR="004029A8" w:rsidRPr="004417FD">
        <w:rPr>
          <w:i/>
        </w:rPr>
        <w:t>všech hlavních odvětvích služeb</w:t>
      </w:r>
      <w:r w:rsidR="004417FD" w:rsidRPr="004417FD">
        <w:rPr>
          <w:i/>
        </w:rPr>
        <w:t>,“</w:t>
      </w:r>
      <w:r w:rsidR="004417FD">
        <w:t xml:space="preserve"> doplňuje analytik ČSÚ Jiří Kamenický.</w:t>
      </w:r>
    </w:p>
    <w:p w:rsidR="00355A83" w:rsidRDefault="00355A83" w:rsidP="00E66C15">
      <w:pPr>
        <w:jc w:val="left"/>
      </w:pPr>
    </w:p>
    <w:p w:rsidR="00355A83" w:rsidRDefault="00355A83" w:rsidP="00DC09BB">
      <w:pPr>
        <w:jc w:val="left"/>
      </w:pPr>
      <w:r>
        <w:t xml:space="preserve">Tuzemské </w:t>
      </w:r>
      <w:r w:rsidR="0097024A" w:rsidRPr="0097024A">
        <w:t>ekonomi</w:t>
      </w:r>
      <w:r>
        <w:t xml:space="preserve">ce se </w:t>
      </w:r>
      <w:r w:rsidR="0097024A" w:rsidRPr="0097024A">
        <w:t xml:space="preserve">ve 2. čtvrtletí </w:t>
      </w:r>
      <w:r>
        <w:t xml:space="preserve">dařilo lépe než </w:t>
      </w:r>
      <w:r w:rsidR="0097024A" w:rsidRPr="0097024A">
        <w:t>EU28</w:t>
      </w:r>
      <w:r>
        <w:t>. Unijní růst b</w:t>
      </w:r>
      <w:r w:rsidR="0097024A" w:rsidRPr="0097024A">
        <w:t xml:space="preserve">yl meziročně </w:t>
      </w:r>
      <w:r>
        <w:t xml:space="preserve">na úrovni </w:t>
      </w:r>
      <w:r w:rsidR="0097024A" w:rsidRPr="0097024A">
        <w:t>1,8 %</w:t>
      </w:r>
      <w:r>
        <w:t>, což je o 0,8 procentního bodu horší výsledek než v případě samotného Česka. I z pohledu mezičtvrtletního tempa byl</w:t>
      </w:r>
      <w:r w:rsidR="00BA4D44">
        <w:t xml:space="preserve"> růst</w:t>
      </w:r>
      <w:r>
        <w:t xml:space="preserve"> národní</w:t>
      </w:r>
      <w:r w:rsidR="00BA4D44">
        <w:t>ho</w:t>
      </w:r>
      <w:r>
        <w:t xml:space="preserve"> hospodářství rychlejší, a to o 0,5 p.b. </w:t>
      </w:r>
      <w:r w:rsidR="00760825" w:rsidRPr="00760825">
        <w:rPr>
          <w:i/>
        </w:rPr>
        <w:t>„</w:t>
      </w:r>
      <w:r w:rsidRPr="00760825">
        <w:rPr>
          <w:i/>
        </w:rPr>
        <w:t xml:space="preserve">Česká ekonomika se tak dál drží mezi </w:t>
      </w:r>
      <w:r w:rsidR="004029A8">
        <w:rPr>
          <w:i/>
        </w:rPr>
        <w:t xml:space="preserve">třetinou </w:t>
      </w:r>
      <w:r w:rsidRPr="00760825">
        <w:rPr>
          <w:i/>
        </w:rPr>
        <w:t>nejrychleji rostoucí</w:t>
      </w:r>
      <w:r w:rsidR="004029A8">
        <w:rPr>
          <w:i/>
        </w:rPr>
        <w:t>ch</w:t>
      </w:r>
      <w:r w:rsidRPr="00760825">
        <w:rPr>
          <w:i/>
        </w:rPr>
        <w:t xml:space="preserve"> členský</w:t>
      </w:r>
      <w:r w:rsidR="004029A8">
        <w:rPr>
          <w:i/>
        </w:rPr>
        <w:t xml:space="preserve">ch </w:t>
      </w:r>
      <w:r w:rsidRPr="00760825">
        <w:rPr>
          <w:i/>
        </w:rPr>
        <w:t>stát</w:t>
      </w:r>
      <w:r w:rsidR="004029A8">
        <w:rPr>
          <w:i/>
        </w:rPr>
        <w:t>ů</w:t>
      </w:r>
      <w:r w:rsidRPr="00760825">
        <w:rPr>
          <w:i/>
        </w:rPr>
        <w:t xml:space="preserve">. </w:t>
      </w:r>
      <w:r w:rsidR="00AD6C73">
        <w:rPr>
          <w:i/>
        </w:rPr>
        <w:t xml:space="preserve">Významněji </w:t>
      </w:r>
      <w:r w:rsidR="00760825" w:rsidRPr="00760825">
        <w:rPr>
          <w:i/>
        </w:rPr>
        <w:t>rostla meziročně ve 2. čtvrtletí například ekonomika Rumunska, Slovenska nebo Španělska,“</w:t>
      </w:r>
      <w:r w:rsidR="00760825">
        <w:t xml:space="preserve"> uvádí </w:t>
      </w:r>
      <w:r w:rsidR="00DC09BB">
        <w:t>Jaroslav Sixta, ředitel sekce makroekonomických statistik Č</w:t>
      </w:r>
      <w:r w:rsidR="009D1582">
        <w:t>SÚ</w:t>
      </w:r>
      <w:r w:rsidR="00BF43CE">
        <w:t>.</w:t>
      </w:r>
    </w:p>
    <w:p w:rsidR="00BE6B18" w:rsidRDefault="00BE6B18" w:rsidP="00760825">
      <w:pPr>
        <w:jc w:val="left"/>
      </w:pPr>
    </w:p>
    <w:p w:rsidR="00BE6B18" w:rsidRDefault="00BE6B18" w:rsidP="00760825">
      <w:pPr>
        <w:jc w:val="left"/>
      </w:pPr>
      <w:r w:rsidRPr="00BE6B18">
        <w:t xml:space="preserve">Růst spotřebitelských cen </w:t>
      </w:r>
      <w:r>
        <w:t xml:space="preserve">byl nepatrný, </w:t>
      </w:r>
      <w:r w:rsidRPr="00BE6B18">
        <w:t>0,2 %. Přes ceny za</w:t>
      </w:r>
      <w:r>
        <w:t>hraničního obchodu pronikaly do </w:t>
      </w:r>
      <w:r w:rsidRPr="00BE6B18">
        <w:t>české ekonomiky deflační tlaky. V prostředí rekordně níz</w:t>
      </w:r>
      <w:r>
        <w:t>kých úrokových sazeb z úvěrů na </w:t>
      </w:r>
      <w:r w:rsidRPr="00BE6B18">
        <w:t>bydlení však zrychlova</w:t>
      </w:r>
      <w:r>
        <w:t xml:space="preserve">ly svou dynamiku růstu ceny bytů, zejména </w:t>
      </w:r>
      <w:r w:rsidRPr="00BE6B18">
        <w:t>prodávaných mezi domácnostmi.</w:t>
      </w:r>
      <w:bookmarkStart w:id="0" w:name="_GoBack"/>
      <w:bookmarkEnd w:id="0"/>
    </w:p>
    <w:p w:rsidR="00BE6B18" w:rsidRDefault="00BE6B18" w:rsidP="00760825">
      <w:pPr>
        <w:jc w:val="left"/>
      </w:pPr>
    </w:p>
    <w:p w:rsidR="00BE6B18" w:rsidRDefault="00BE6B18" w:rsidP="00760825">
      <w:pPr>
        <w:jc w:val="left"/>
        <w:rPr>
          <w:rFonts w:ascii="Segoe UI" w:hAnsi="Segoe UI" w:cs="Segoe UI"/>
          <w:szCs w:val="20"/>
        </w:rPr>
      </w:pPr>
      <w:r>
        <w:t xml:space="preserve">Více informací naleznete v právě vydané analýze s názvem Vývoj ekonomiky České republiky v 1. pololetí 2016: </w:t>
      </w:r>
      <w:hyperlink r:id="rId7" w:history="1">
        <w:r w:rsidR="00EC5E15">
          <w:rPr>
            <w:rStyle w:val="Hypertextovodkaz"/>
            <w:rFonts w:ascii="Segoe UI" w:hAnsi="Segoe UI" w:cs="Segoe UI"/>
            <w:szCs w:val="20"/>
          </w:rPr>
          <w:t>https://www.czso.cz/csu/czso/vyvoj-ekonomiky-ceske-republiky-1-pololeti-2016</w:t>
        </w:r>
      </w:hyperlink>
      <w:r w:rsidR="00EC5E15">
        <w:rPr>
          <w:rFonts w:ascii="Segoe UI" w:hAnsi="Segoe UI" w:cs="Segoe UI"/>
          <w:szCs w:val="20"/>
        </w:rPr>
        <w:t>.</w:t>
      </w:r>
    </w:p>
    <w:p w:rsidR="0097024A" w:rsidRDefault="0097024A" w:rsidP="00E66C15">
      <w:pPr>
        <w:jc w:val="left"/>
      </w:pPr>
    </w:p>
    <w:p w:rsidR="00892B3A" w:rsidRDefault="00892B3A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 xml:space="preserve">-mail: </w:t>
      </w:r>
      <w:hyperlink r:id="rId8" w:history="1">
        <w:r w:rsidR="008E1DFB" w:rsidRPr="00160720">
          <w:rPr>
            <w:rStyle w:val="Hypertextovodkaz"/>
            <w:rFonts w:cs="Arial"/>
          </w:rPr>
          <w:t>petra.bacova@czso.cz</w:t>
        </w:r>
      </w:hyperlink>
      <w:r w:rsidR="008E1DFB">
        <w:rPr>
          <w:rFonts w:cs="Arial"/>
        </w:rPr>
        <w:t xml:space="preserve"> </w:t>
      </w:r>
    </w:p>
    <w:sectPr w:rsidR="00B3607A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9D" w:rsidRDefault="007E2C9D" w:rsidP="00BA6370">
      <w:r>
        <w:separator/>
      </w:r>
    </w:p>
  </w:endnote>
  <w:endnote w:type="continuationSeparator" w:id="0">
    <w:p w:rsidR="007E2C9D" w:rsidRDefault="007E2C9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40A8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F40A82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40A82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8E1DF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40A82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9D" w:rsidRDefault="007E2C9D" w:rsidP="00BA6370">
      <w:r>
        <w:separator/>
      </w:r>
    </w:p>
  </w:footnote>
  <w:footnote w:type="continuationSeparator" w:id="0">
    <w:p w:rsidR="007E2C9D" w:rsidRDefault="007E2C9D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40A82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20"/>
  <w:hyphenationZone w:val="425"/>
  <w:characterSpacingControl w:val="doNotCompress"/>
  <w:hdrShapeDefaults>
    <o:shapedefaults v:ext="edit" spidmax="1843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041A2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938B8"/>
    <w:rsid w:val="000967DC"/>
    <w:rsid w:val="000B6F63"/>
    <w:rsid w:val="000C435D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6B06"/>
    <w:rsid w:val="001404AB"/>
    <w:rsid w:val="00146745"/>
    <w:rsid w:val="001523B7"/>
    <w:rsid w:val="0015703B"/>
    <w:rsid w:val="001630AF"/>
    <w:rsid w:val="001658A9"/>
    <w:rsid w:val="001713E4"/>
    <w:rsid w:val="0017231D"/>
    <w:rsid w:val="001723E2"/>
    <w:rsid w:val="001776E2"/>
    <w:rsid w:val="001810DC"/>
    <w:rsid w:val="00183C7E"/>
    <w:rsid w:val="00185A19"/>
    <w:rsid w:val="00191EC0"/>
    <w:rsid w:val="00193E70"/>
    <w:rsid w:val="00194358"/>
    <w:rsid w:val="001A59BF"/>
    <w:rsid w:val="001B3045"/>
    <w:rsid w:val="001B607F"/>
    <w:rsid w:val="001C0D61"/>
    <w:rsid w:val="001D369A"/>
    <w:rsid w:val="001F36AA"/>
    <w:rsid w:val="002070FB"/>
    <w:rsid w:val="002110E6"/>
    <w:rsid w:val="00212A31"/>
    <w:rsid w:val="00213729"/>
    <w:rsid w:val="0021709D"/>
    <w:rsid w:val="002272A6"/>
    <w:rsid w:val="0023519D"/>
    <w:rsid w:val="002406FA"/>
    <w:rsid w:val="002460EA"/>
    <w:rsid w:val="00260C48"/>
    <w:rsid w:val="00262B08"/>
    <w:rsid w:val="00274D2C"/>
    <w:rsid w:val="00282A46"/>
    <w:rsid w:val="002848DA"/>
    <w:rsid w:val="00286C3C"/>
    <w:rsid w:val="002923B4"/>
    <w:rsid w:val="002B2E47"/>
    <w:rsid w:val="002D6A6C"/>
    <w:rsid w:val="002E3116"/>
    <w:rsid w:val="003065B2"/>
    <w:rsid w:val="0031024D"/>
    <w:rsid w:val="00311BAF"/>
    <w:rsid w:val="00313447"/>
    <w:rsid w:val="00322412"/>
    <w:rsid w:val="003301A3"/>
    <w:rsid w:val="00336562"/>
    <w:rsid w:val="00340B05"/>
    <w:rsid w:val="003437B8"/>
    <w:rsid w:val="00346A11"/>
    <w:rsid w:val="0035578A"/>
    <w:rsid w:val="00355A83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D9D"/>
    <w:rsid w:val="003C2DCF"/>
    <w:rsid w:val="003C716D"/>
    <w:rsid w:val="003C7FE7"/>
    <w:rsid w:val="003D02AA"/>
    <w:rsid w:val="003D0499"/>
    <w:rsid w:val="003D4B0A"/>
    <w:rsid w:val="003E6B4D"/>
    <w:rsid w:val="003F526A"/>
    <w:rsid w:val="004029A8"/>
    <w:rsid w:val="00405244"/>
    <w:rsid w:val="00407934"/>
    <w:rsid w:val="00413A9D"/>
    <w:rsid w:val="00423D6E"/>
    <w:rsid w:val="00436E16"/>
    <w:rsid w:val="004417FD"/>
    <w:rsid w:val="004436EE"/>
    <w:rsid w:val="00451C08"/>
    <w:rsid w:val="0045547F"/>
    <w:rsid w:val="00466D57"/>
    <w:rsid w:val="00472471"/>
    <w:rsid w:val="00472B7E"/>
    <w:rsid w:val="00473F0B"/>
    <w:rsid w:val="004779D5"/>
    <w:rsid w:val="00487D01"/>
    <w:rsid w:val="004920AD"/>
    <w:rsid w:val="004A76F2"/>
    <w:rsid w:val="004D05B3"/>
    <w:rsid w:val="004E0BCD"/>
    <w:rsid w:val="004E479E"/>
    <w:rsid w:val="004E4A38"/>
    <w:rsid w:val="004E583B"/>
    <w:rsid w:val="004F3418"/>
    <w:rsid w:val="004F78E6"/>
    <w:rsid w:val="005121F9"/>
    <w:rsid w:val="00512D99"/>
    <w:rsid w:val="00521057"/>
    <w:rsid w:val="00525956"/>
    <w:rsid w:val="005306A4"/>
    <w:rsid w:val="00531DBB"/>
    <w:rsid w:val="00533F59"/>
    <w:rsid w:val="00550AD9"/>
    <w:rsid w:val="005514B9"/>
    <w:rsid w:val="005615D2"/>
    <w:rsid w:val="005748DB"/>
    <w:rsid w:val="0059449B"/>
    <w:rsid w:val="005A3D83"/>
    <w:rsid w:val="005B12E4"/>
    <w:rsid w:val="005C33AD"/>
    <w:rsid w:val="005F699D"/>
    <w:rsid w:val="005F79FB"/>
    <w:rsid w:val="00604406"/>
    <w:rsid w:val="00605F4A"/>
    <w:rsid w:val="00607822"/>
    <w:rsid w:val="006103AA"/>
    <w:rsid w:val="006113AB"/>
    <w:rsid w:val="00613BBF"/>
    <w:rsid w:val="006153F8"/>
    <w:rsid w:val="00622B80"/>
    <w:rsid w:val="0064139A"/>
    <w:rsid w:val="006458A1"/>
    <w:rsid w:val="00647E0E"/>
    <w:rsid w:val="00661B2F"/>
    <w:rsid w:val="00664790"/>
    <w:rsid w:val="00673584"/>
    <w:rsid w:val="00675D16"/>
    <w:rsid w:val="00694066"/>
    <w:rsid w:val="006A4ECD"/>
    <w:rsid w:val="006B4219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7EC5"/>
    <w:rsid w:val="00737B80"/>
    <w:rsid w:val="007576C2"/>
    <w:rsid w:val="00760825"/>
    <w:rsid w:val="007620EB"/>
    <w:rsid w:val="007815C6"/>
    <w:rsid w:val="00782E90"/>
    <w:rsid w:val="007916AF"/>
    <w:rsid w:val="007A57F2"/>
    <w:rsid w:val="007B1333"/>
    <w:rsid w:val="007C04EB"/>
    <w:rsid w:val="007C6E10"/>
    <w:rsid w:val="007E2C9D"/>
    <w:rsid w:val="007E5892"/>
    <w:rsid w:val="007F4AEB"/>
    <w:rsid w:val="007F75B2"/>
    <w:rsid w:val="008043C4"/>
    <w:rsid w:val="008103D3"/>
    <w:rsid w:val="00813702"/>
    <w:rsid w:val="00831B1B"/>
    <w:rsid w:val="00833F22"/>
    <w:rsid w:val="008608A9"/>
    <w:rsid w:val="00861D0E"/>
    <w:rsid w:val="0086744B"/>
    <w:rsid w:val="00867569"/>
    <w:rsid w:val="00892B3A"/>
    <w:rsid w:val="00896572"/>
    <w:rsid w:val="008A750A"/>
    <w:rsid w:val="008C384C"/>
    <w:rsid w:val="008C5F54"/>
    <w:rsid w:val="008D0F11"/>
    <w:rsid w:val="008D7EA9"/>
    <w:rsid w:val="008E1032"/>
    <w:rsid w:val="008E1DFB"/>
    <w:rsid w:val="008F0E6C"/>
    <w:rsid w:val="008F35B4"/>
    <w:rsid w:val="008F73B4"/>
    <w:rsid w:val="0090115E"/>
    <w:rsid w:val="00910C82"/>
    <w:rsid w:val="009149AE"/>
    <w:rsid w:val="0092781E"/>
    <w:rsid w:val="00927AB9"/>
    <w:rsid w:val="0094402F"/>
    <w:rsid w:val="0094728C"/>
    <w:rsid w:val="009473BD"/>
    <w:rsid w:val="00956773"/>
    <w:rsid w:val="009636F1"/>
    <w:rsid w:val="009668FF"/>
    <w:rsid w:val="0097024A"/>
    <w:rsid w:val="0098003E"/>
    <w:rsid w:val="00981A35"/>
    <w:rsid w:val="009850DA"/>
    <w:rsid w:val="00985980"/>
    <w:rsid w:val="009965AA"/>
    <w:rsid w:val="009972BF"/>
    <w:rsid w:val="009B55B1"/>
    <w:rsid w:val="009C3EC7"/>
    <w:rsid w:val="009D1582"/>
    <w:rsid w:val="009D7D68"/>
    <w:rsid w:val="009E016F"/>
    <w:rsid w:val="00A029DA"/>
    <w:rsid w:val="00A1185E"/>
    <w:rsid w:val="00A4343D"/>
    <w:rsid w:val="00A502F1"/>
    <w:rsid w:val="00A504E0"/>
    <w:rsid w:val="00A578A4"/>
    <w:rsid w:val="00A65AE5"/>
    <w:rsid w:val="00A70A83"/>
    <w:rsid w:val="00A81EB3"/>
    <w:rsid w:val="00A8368E"/>
    <w:rsid w:val="00A842CF"/>
    <w:rsid w:val="00A944D9"/>
    <w:rsid w:val="00AA039D"/>
    <w:rsid w:val="00AA20FB"/>
    <w:rsid w:val="00AB1E44"/>
    <w:rsid w:val="00AD0BA3"/>
    <w:rsid w:val="00AD6C73"/>
    <w:rsid w:val="00AE66B0"/>
    <w:rsid w:val="00AE6D5B"/>
    <w:rsid w:val="00B00C1D"/>
    <w:rsid w:val="00B03800"/>
    <w:rsid w:val="00B03E21"/>
    <w:rsid w:val="00B3607A"/>
    <w:rsid w:val="00B458B6"/>
    <w:rsid w:val="00B649D6"/>
    <w:rsid w:val="00B64BFF"/>
    <w:rsid w:val="00B803C3"/>
    <w:rsid w:val="00BA128C"/>
    <w:rsid w:val="00BA3992"/>
    <w:rsid w:val="00BA439F"/>
    <w:rsid w:val="00BA4D44"/>
    <w:rsid w:val="00BA6370"/>
    <w:rsid w:val="00BA6986"/>
    <w:rsid w:val="00BB47A8"/>
    <w:rsid w:val="00BB6DFD"/>
    <w:rsid w:val="00BD259E"/>
    <w:rsid w:val="00BE4918"/>
    <w:rsid w:val="00BE6B18"/>
    <w:rsid w:val="00BF0540"/>
    <w:rsid w:val="00BF43CE"/>
    <w:rsid w:val="00C072F9"/>
    <w:rsid w:val="00C1130E"/>
    <w:rsid w:val="00C122BC"/>
    <w:rsid w:val="00C241F3"/>
    <w:rsid w:val="00C24C3C"/>
    <w:rsid w:val="00C269D4"/>
    <w:rsid w:val="00C3312C"/>
    <w:rsid w:val="00C4160D"/>
    <w:rsid w:val="00C41F27"/>
    <w:rsid w:val="00C42928"/>
    <w:rsid w:val="00C45312"/>
    <w:rsid w:val="00C46064"/>
    <w:rsid w:val="00C5242A"/>
    <w:rsid w:val="00C52466"/>
    <w:rsid w:val="00C75A80"/>
    <w:rsid w:val="00C8406E"/>
    <w:rsid w:val="00C87663"/>
    <w:rsid w:val="00CA1C4A"/>
    <w:rsid w:val="00CB2709"/>
    <w:rsid w:val="00CB4A18"/>
    <w:rsid w:val="00CB6F89"/>
    <w:rsid w:val="00CD05E7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274F"/>
    <w:rsid w:val="00DB119D"/>
    <w:rsid w:val="00DB19B5"/>
    <w:rsid w:val="00DB78B8"/>
    <w:rsid w:val="00DC09BB"/>
    <w:rsid w:val="00DE4A33"/>
    <w:rsid w:val="00DE7268"/>
    <w:rsid w:val="00DF0D61"/>
    <w:rsid w:val="00DF47FE"/>
    <w:rsid w:val="00E077B8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93830"/>
    <w:rsid w:val="00E93E0E"/>
    <w:rsid w:val="00EA7D0E"/>
    <w:rsid w:val="00EB1ED3"/>
    <w:rsid w:val="00EB2CED"/>
    <w:rsid w:val="00EB5CAE"/>
    <w:rsid w:val="00EC2D51"/>
    <w:rsid w:val="00EC5E15"/>
    <w:rsid w:val="00ED71ED"/>
    <w:rsid w:val="00EE69D9"/>
    <w:rsid w:val="00EE7B94"/>
    <w:rsid w:val="00F26395"/>
    <w:rsid w:val="00F405C9"/>
    <w:rsid w:val="00F40A82"/>
    <w:rsid w:val="00F46F18"/>
    <w:rsid w:val="00F5188C"/>
    <w:rsid w:val="00F56027"/>
    <w:rsid w:val="00F60154"/>
    <w:rsid w:val="00FA6441"/>
    <w:rsid w:val="00FB005B"/>
    <w:rsid w:val="00FB687C"/>
    <w:rsid w:val="00FB76F0"/>
    <w:rsid w:val="00FC7296"/>
    <w:rsid w:val="00FE10D4"/>
    <w:rsid w:val="00FF6438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1-pololeti-20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651A-34D0-4757-B70D-94AEAAD7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33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2391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8</cp:revision>
  <cp:lastPrinted>2016-09-23T08:14:00Z</cp:lastPrinted>
  <dcterms:created xsi:type="dcterms:W3CDTF">2016-09-22T10:54:00Z</dcterms:created>
  <dcterms:modified xsi:type="dcterms:W3CDTF">2016-09-23T08:37:00Z</dcterms:modified>
</cp:coreProperties>
</file>