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77A9" w14:textId="77777777" w:rsidR="006B4B37" w:rsidRPr="009E6830" w:rsidRDefault="006B4B37" w:rsidP="006D5EBD">
      <w:pPr>
        <w:pStyle w:val="Nadpis1"/>
        <w:spacing w:after="240"/>
        <w:contextualSpacing w:val="0"/>
        <w:rPr>
          <w:color w:val="auto"/>
        </w:rPr>
      </w:pPr>
      <w:bookmarkStart w:id="0" w:name="_Toc444112495"/>
      <w:r w:rsidRPr="009E6830">
        <w:rPr>
          <w:color w:val="auto"/>
        </w:rPr>
        <w:t>Metodické vysvětlivky</w:t>
      </w:r>
    </w:p>
    <w:bookmarkEnd w:id="0"/>
    <w:p w14:paraId="217F93C7" w14:textId="77777777" w:rsid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Publikace </w:t>
      </w:r>
      <w:r w:rsidRPr="00C2521C">
        <w:rPr>
          <w:rFonts w:eastAsia="Calibri" w:cs="Arial"/>
          <w:b/>
          <w:bCs/>
          <w:szCs w:val="20"/>
          <w:lang w:eastAsia="en-US"/>
        </w:rPr>
        <w:t>Chov skotu</w:t>
      </w:r>
      <w:r w:rsidRPr="00EC28A5">
        <w:rPr>
          <w:rFonts w:eastAsia="Calibri" w:cs="Arial"/>
          <w:szCs w:val="20"/>
          <w:lang w:eastAsia="en-US"/>
        </w:rPr>
        <w:t xml:space="preserve"> obsahuje statistické informace o dvou základních oblastech:</w:t>
      </w:r>
      <w:r>
        <w:rPr>
          <w:rFonts w:eastAsia="Calibri" w:cs="Arial"/>
          <w:szCs w:val="20"/>
          <w:lang w:eastAsia="en-US"/>
        </w:rPr>
        <w:t xml:space="preserve"> </w:t>
      </w:r>
    </w:p>
    <w:p w14:paraId="155623C1" w14:textId="6750CAC3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>
        <w:rPr>
          <w:rFonts w:eastAsia="Calibri" w:cs="Arial"/>
          <w:szCs w:val="20"/>
          <w:lang w:eastAsia="en-US"/>
        </w:rPr>
        <w:t xml:space="preserve">- </w:t>
      </w:r>
      <w:r w:rsidRPr="00EC28A5">
        <w:rPr>
          <w:rFonts w:eastAsia="Calibri" w:cs="Arial"/>
          <w:szCs w:val="20"/>
          <w:lang w:eastAsia="en-US"/>
        </w:rPr>
        <w:t>stavech turů (skotu, buvolů) podle věku a účelu chovu</w:t>
      </w:r>
    </w:p>
    <w:p w14:paraId="24A657B7" w14:textId="645259D6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 xml:space="preserve">produkci v chovu skotu (výroba mléka, výroba jatečného skotu, počet narozených telat), ze které se </w:t>
      </w:r>
      <w:r>
        <w:rPr>
          <w:rFonts w:eastAsia="Calibri" w:cs="Arial"/>
          <w:szCs w:val="20"/>
          <w:lang w:eastAsia="en-US"/>
        </w:rPr>
        <w:t xml:space="preserve">  </w:t>
      </w:r>
      <w:r w:rsidRPr="00EC28A5">
        <w:rPr>
          <w:rFonts w:eastAsia="Calibri" w:cs="Arial"/>
          <w:szCs w:val="20"/>
          <w:lang w:eastAsia="en-US"/>
        </w:rPr>
        <w:t>odvozují ukazatele užitkovosti</w:t>
      </w:r>
    </w:p>
    <w:p w14:paraId="1C7FCE97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Údaje jsou zjišťovány pro splnění povinností vyplývajících z nařízení Evropského parlamentu a Rady (ES) č. 2022/2379 a 138/2004, směrnice Rady č. 96/16/ES, v platných zněních, pro potřeby analýz této oblasti ve vnitřní ekonomice, pro potřeby Evropské unie a mezinárodních organizací, zejména Organizace pro výživu a zemědělství, a pro informování veřejnosti.</w:t>
      </w:r>
    </w:p>
    <w:p w14:paraId="6E2538CA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Statistické údaje pokrývají </w:t>
      </w:r>
      <w:r w:rsidRPr="00EC28A5">
        <w:rPr>
          <w:rFonts w:eastAsia="Calibri" w:cs="Arial"/>
          <w:b/>
          <w:bCs/>
          <w:szCs w:val="20"/>
          <w:lang w:eastAsia="en-US"/>
        </w:rPr>
        <w:t>zemědělský sektor</w:t>
      </w:r>
      <w:r w:rsidRPr="00EC28A5">
        <w:rPr>
          <w:rFonts w:eastAsia="Calibri" w:cs="Arial"/>
          <w:szCs w:val="20"/>
          <w:lang w:eastAsia="en-US"/>
        </w:rPr>
        <w:t xml:space="preserve">, který je definovaný podle klasifikace NACE </w:t>
      </w:r>
      <w:proofErr w:type="spellStart"/>
      <w:r w:rsidRPr="00EC28A5">
        <w:rPr>
          <w:rFonts w:eastAsia="Calibri" w:cs="Arial"/>
          <w:szCs w:val="20"/>
          <w:lang w:eastAsia="en-US"/>
        </w:rPr>
        <w:t>rev</w:t>
      </w:r>
      <w:proofErr w:type="spellEnd"/>
      <w:r w:rsidRPr="00EC28A5">
        <w:rPr>
          <w:rFonts w:eastAsia="Calibri" w:cs="Arial"/>
          <w:szCs w:val="20"/>
          <w:lang w:eastAsia="en-US"/>
        </w:rPr>
        <w:t>. 2 zemědělskými činnostmi a prahovými hodnotami pro zápis do zemědělského registru:</w:t>
      </w:r>
    </w:p>
    <w:p w14:paraId="25009798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01.1 Pěstování plodin jiných než trvalých</w:t>
      </w:r>
    </w:p>
    <w:p w14:paraId="22C45F96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01.2 Pěstování trvalých plodin </w:t>
      </w:r>
    </w:p>
    <w:p w14:paraId="6293CE43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01.3 Množení rostlin</w:t>
      </w:r>
    </w:p>
    <w:p w14:paraId="5B5CD933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01.4 Živočišná výroba, z třídy 01.49 Chov ostatních zvířat jsou zahrnuty pouze chov polodomestikovaných a ostatních zvířat (s výjimkou chovu hmyzu) a chov včel, výroba medu a včelího vosku</w:t>
      </w:r>
    </w:p>
    <w:p w14:paraId="140552D8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01.5 Smíšené hospodářství</w:t>
      </w:r>
    </w:p>
    <w:p w14:paraId="2B47EFBA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01.6 Podpůrné činnosti pro zemědělství a posklizňové činnosti, z této skupiny se zahrnují pouze činnosti k udržení zemědělské půdy v dobrém zemědělském a environmentálním stavu</w:t>
      </w:r>
    </w:p>
    <w:p w14:paraId="01C48273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Do zemědělského registru se zapisují subjekty, které splňují alespoň jedno z kritérií stanovených vyhláškou ČSÚ č. 126/2001 Sb.:</w:t>
      </w:r>
    </w:p>
    <w:p w14:paraId="6ACD1B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a) výměra obhospodařované zemědělské půdy nejméně 1 hektar</w:t>
      </w:r>
    </w:p>
    <w:p w14:paraId="59924CDC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b) výměra půdy využívané pro pěstování speciálních zemědělských plodin (vinice, chmelnice, intenzivní sady, okrasné květiny nebo dřeviny, zelenina, kořeninové kultury, kultury léčivých rostlin, semenářské plochy, školky apod.) nejméně 1500 m2</w:t>
      </w:r>
    </w:p>
    <w:p w14:paraId="5C9B6DC2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c) výměra půdy, na které jsou zřízeny skleníky, fóliovníky nebo pařeniště, nejméně 300 m2</w:t>
      </w:r>
    </w:p>
    <w:p w14:paraId="51CEA383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d) chov hospodářských zvířat v počtu nejméně 1 kusu skotu nebo 2 kusů prasat nebo 4 kusů ovcí nebo 4 kusů koz nebo 50 kusů drůbeže nebo 100 kusů králíků nebo 100 kusů kožešinových zvířat</w:t>
      </w:r>
    </w:p>
    <w:p w14:paraId="7F63B1FA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e) chov sladkovodních ryb na vodní ploše bez zřetele na její výměru</w:t>
      </w:r>
    </w:p>
    <w:p w14:paraId="2EAFB86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Statistickou populací</w:t>
      </w:r>
      <w:r w:rsidRPr="00EC28A5">
        <w:rPr>
          <w:rFonts w:eastAsia="Calibri" w:cs="Arial"/>
          <w:szCs w:val="20"/>
          <w:lang w:eastAsia="en-US"/>
        </w:rPr>
        <w:t xml:space="preserve"> jsou ekonomické subjekty zabývající se chovem skotu.</w:t>
      </w:r>
    </w:p>
    <w:p w14:paraId="26425FE6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Statistickou jednotkou</w:t>
      </w:r>
      <w:r w:rsidRPr="00EC28A5">
        <w:rPr>
          <w:rFonts w:eastAsia="Calibri" w:cs="Arial"/>
          <w:szCs w:val="20"/>
          <w:lang w:eastAsia="en-US"/>
        </w:rPr>
        <w:t xml:space="preserve"> je zemědělský podnik, kterým se rozumí technicko-hospodářská jednotka, která podléhá jednotnému řízení a provádí zemědělské činnosti jako svou primární nebo sekundární činnost.</w:t>
      </w:r>
    </w:p>
    <w:p w14:paraId="5B65C68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lastRenderedPageBreak/>
        <w:t>Statistickými jednotkami jsou právnické i fyzické osoby.</w:t>
      </w:r>
    </w:p>
    <w:p w14:paraId="6A7E304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Pro stavy zvířat je </w:t>
      </w:r>
      <w:r w:rsidRPr="00EC28A5">
        <w:rPr>
          <w:rFonts w:eastAsia="Calibri" w:cs="Arial"/>
          <w:b/>
          <w:bCs/>
          <w:szCs w:val="20"/>
          <w:lang w:eastAsia="en-US"/>
        </w:rPr>
        <w:t>referenčním dnem</w:t>
      </w:r>
      <w:r w:rsidRPr="00EC28A5">
        <w:rPr>
          <w:rFonts w:eastAsia="Calibri" w:cs="Arial"/>
          <w:szCs w:val="20"/>
          <w:lang w:eastAsia="en-US"/>
        </w:rPr>
        <w:t xml:space="preserve"> 30. červen a 31. prosinec.</w:t>
      </w:r>
    </w:p>
    <w:p w14:paraId="060F5B6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Pro ukazatele produkce jsou </w:t>
      </w:r>
      <w:r w:rsidRPr="00EC28A5">
        <w:rPr>
          <w:rFonts w:eastAsia="Calibri" w:cs="Arial"/>
          <w:b/>
          <w:bCs/>
          <w:szCs w:val="20"/>
          <w:lang w:eastAsia="en-US"/>
        </w:rPr>
        <w:t>referenčním obdobím</w:t>
      </w:r>
      <w:r w:rsidRPr="00EC28A5">
        <w:rPr>
          <w:rFonts w:eastAsia="Calibri" w:cs="Arial"/>
          <w:szCs w:val="20"/>
          <w:lang w:eastAsia="en-US"/>
        </w:rPr>
        <w:t xml:space="preserve"> kalendářní pololetí nebo rok.</w:t>
      </w:r>
    </w:p>
    <w:p w14:paraId="16325410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Statistické informace geograficky pokrývají </w:t>
      </w:r>
      <w:r w:rsidRPr="00EC28A5">
        <w:rPr>
          <w:rFonts w:eastAsia="Calibri" w:cs="Arial"/>
          <w:b/>
          <w:bCs/>
          <w:szCs w:val="20"/>
          <w:lang w:eastAsia="en-US"/>
        </w:rPr>
        <w:t xml:space="preserve">území </w:t>
      </w:r>
      <w:r w:rsidRPr="00EC28A5">
        <w:rPr>
          <w:rFonts w:eastAsia="Calibri" w:cs="Arial"/>
          <w:szCs w:val="20"/>
          <w:lang w:eastAsia="en-US"/>
        </w:rPr>
        <w:t>České republiky a jsou členěny podle krajů (úroveň NUTS3) nebo regionů soudržnosti (NUTS2).</w:t>
      </w:r>
    </w:p>
    <w:p w14:paraId="23CFB4E5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Zdrojem publikovaných dat</w:t>
      </w:r>
      <w:r w:rsidRPr="00EC28A5">
        <w:rPr>
          <w:rFonts w:eastAsia="Calibri" w:cs="Arial"/>
          <w:szCs w:val="20"/>
          <w:lang w:eastAsia="en-US"/>
        </w:rPr>
        <w:t xml:space="preserve"> je výběrové statistické zjišťování Zem1-02 o chovu skotu, ze kterého vychází část týkající se užitkovosti. Provádí se jako výběrové šetření dvakrát ročně. Výběr je stratifikovaný podle velikosti chovaného stáda skotu, příslušnosti k výrobní podoblasti a kraji hospodaření. Zjištěné hodnoty jsou ve stratech váženy koeficienty odpovídajícími procentickému zastoupení vybraných jednotek.</w:t>
      </w:r>
    </w:p>
    <w:p w14:paraId="725B68D0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Nezjištěné hodnoty (skutečná non-response) jsou nahrazovány průměrnou hodnotou ve stratu. </w:t>
      </w:r>
    </w:p>
    <w:p w14:paraId="37D0F989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V roce 2025 došlo ke změně způsobu dopočtu. Třídění do krajů se provádí nově metodou příslušnosti k provozovně (na základě údajů o stavech z administrativního zdroje), nikoliv k podniku. </w:t>
      </w:r>
    </w:p>
    <w:p w14:paraId="6701CDEA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Od roku 2025 je nově zdrojem údajů o stavech turů v podrobném členění dle kategorií Integrovaný zemědělský registr, spravovaný MZe, data jsou pro zpracování přebírána čtyřikrát ročně (za každé pololetí předběžné a definitivní údaje). Převzatá data o stavech pokrývají celou populaci.</w:t>
      </w:r>
    </w:p>
    <w:p w14:paraId="4B457F58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Data jsou kontrolována</w:t>
      </w:r>
      <w:r w:rsidRPr="00EC28A5">
        <w:rPr>
          <w:rFonts w:eastAsia="Calibri" w:cs="Arial"/>
          <w:szCs w:val="20"/>
          <w:lang w:eastAsia="en-US"/>
        </w:rPr>
        <w:t xml:space="preserve"> na úrovni zpravodajské jednotky ve dvou fázích:</w:t>
      </w:r>
    </w:p>
    <w:p w14:paraId="44333E0B" w14:textId="0F306CB6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>před odesláním vyplněného on-line formuláře – závazné kontroly</w:t>
      </w:r>
    </w:p>
    <w:p w14:paraId="7CDFF51F" w14:textId="5CC9CC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-</w:t>
      </w:r>
      <w:r>
        <w:rPr>
          <w:rFonts w:eastAsia="Calibri" w:cs="Arial"/>
          <w:szCs w:val="20"/>
          <w:lang w:eastAsia="en-US"/>
        </w:rPr>
        <w:t xml:space="preserve"> </w:t>
      </w:r>
      <w:r w:rsidRPr="00EC28A5">
        <w:rPr>
          <w:rFonts w:eastAsia="Calibri" w:cs="Arial"/>
          <w:szCs w:val="20"/>
          <w:lang w:eastAsia="en-US"/>
        </w:rPr>
        <w:t>po přijetí dat – informativní kontroly</w:t>
      </w:r>
    </w:p>
    <w:p w14:paraId="36CBB141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a na úrovni agregátů se posuzují výkyvy vzhledem k předchozímu období.</w:t>
      </w:r>
    </w:p>
    <w:p w14:paraId="3F5BE25B" w14:textId="77777777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Ze zjištěných údajů jsou počítány </w:t>
      </w:r>
      <w:r w:rsidRPr="00EC28A5">
        <w:rPr>
          <w:rFonts w:eastAsia="Calibri" w:cs="Arial"/>
          <w:b/>
          <w:bCs/>
          <w:szCs w:val="20"/>
          <w:lang w:eastAsia="en-US"/>
        </w:rPr>
        <w:t>odvozené ukazatele</w:t>
      </w:r>
      <w:r w:rsidRPr="00EC28A5">
        <w:rPr>
          <w:rFonts w:eastAsia="Calibri" w:cs="Arial"/>
          <w:szCs w:val="20"/>
          <w:lang w:eastAsia="en-US"/>
        </w:rPr>
        <w:t>:</w:t>
      </w:r>
    </w:p>
    <w:p w14:paraId="43078B6F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průměrný stav krav = počet krmných dnů krav / počet kalendářních dnů za sledované období), </w:t>
      </w:r>
    </w:p>
    <w:p w14:paraId="137CFB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průměrná denní užitkovost = výroba mléka v litrech / počet krmných dnů dojených krav</w:t>
      </w:r>
    </w:p>
    <w:p w14:paraId="3CB68C30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 xml:space="preserve">průměrná roční dojivost = výroba mléka v litrech / průměrný stav dojených krav za rok </w:t>
      </w:r>
    </w:p>
    <w:p w14:paraId="422CEF12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počet telat narozených na 100 krav = počet živě narozených telat / 100 * průměrný stav krav ve sledovaném období</w:t>
      </w:r>
    </w:p>
    <w:p w14:paraId="50DC5304" w14:textId="77777777" w:rsidR="00EC28A5" w:rsidRPr="00EC28A5" w:rsidRDefault="00EC28A5" w:rsidP="00EC28A5">
      <w:pPr>
        <w:ind w:firstLine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úhyn telat v procentech= počet uhynulých telat do 3 měsíců věku * 100 / počet živě narozených telat</w:t>
      </w:r>
    </w:p>
    <w:p w14:paraId="2F699340" w14:textId="77777777" w:rsidR="00EC28A5" w:rsidRPr="00EC28A5" w:rsidRDefault="00EC28A5" w:rsidP="00EC28A5">
      <w:pPr>
        <w:ind w:left="708"/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počet telat odchovaných na 100 krav počet = (počet živě narozených telat – počet uhynulých telat do 3 měsíců věku) / 100*průměrný stav krav ve sledovaném období.</w:t>
      </w:r>
    </w:p>
    <w:p w14:paraId="2F88EC78" w14:textId="32E4769C" w:rsidR="00EC28A5" w:rsidRDefault="00EC28A5">
      <w:pPr>
        <w:spacing w:after="0" w:line="240" w:lineRule="auto"/>
        <w:rPr>
          <w:rFonts w:eastAsia="Calibri" w:cs="Arial"/>
          <w:b/>
          <w:bCs/>
          <w:szCs w:val="20"/>
          <w:lang w:eastAsia="en-US"/>
        </w:rPr>
      </w:pPr>
    </w:p>
    <w:p w14:paraId="0042CD14" w14:textId="725E87B4" w:rsidR="00EC28A5" w:rsidRPr="00EC28A5" w:rsidRDefault="00EC28A5" w:rsidP="00EC28A5">
      <w:pPr>
        <w:rPr>
          <w:rFonts w:eastAsia="Calibri" w:cs="Arial"/>
          <w:b/>
          <w:bCs/>
          <w:szCs w:val="20"/>
          <w:lang w:eastAsia="en-US"/>
        </w:rPr>
      </w:pPr>
      <w:r w:rsidRPr="00EC28A5">
        <w:rPr>
          <w:rFonts w:eastAsia="Calibri" w:cs="Arial"/>
          <w:b/>
          <w:bCs/>
          <w:szCs w:val="20"/>
          <w:lang w:eastAsia="en-US"/>
        </w:rPr>
        <w:t>Přerušení řady u sledovaných ukazatelů:</w:t>
      </w:r>
    </w:p>
    <w:p w14:paraId="4887A664" w14:textId="170717E2" w:rsid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od roku 2017</w:t>
      </w:r>
      <w:r>
        <w:rPr>
          <w:rFonts w:eastAsia="Calibri" w:cs="Arial"/>
          <w:szCs w:val="20"/>
          <w:lang w:eastAsia="en-US"/>
        </w:rPr>
        <w:t xml:space="preserve">: </w:t>
      </w:r>
    </w:p>
    <w:p w14:paraId="3D936402" w14:textId="7A05B898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Věkové členění skotu do 1 roku změněno z kategorií „do 8 měsíců“ a „8 až 12 měsíců věku“ na „do 6 měsíců“ a „6 až 12 měsíců věku“.</w:t>
      </w:r>
    </w:p>
    <w:p w14:paraId="5A706CA1" w14:textId="062BEC82" w:rsidR="00EC28A5" w:rsidRPr="00EC28A5" w:rsidRDefault="00EC28A5" w:rsidP="00EC28A5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lastRenderedPageBreak/>
        <w:t>od roku 2025</w:t>
      </w:r>
      <w:r>
        <w:rPr>
          <w:rFonts w:eastAsia="Calibri" w:cs="Arial"/>
          <w:szCs w:val="20"/>
          <w:lang w:eastAsia="en-US"/>
        </w:rPr>
        <w:t>:</w:t>
      </w:r>
      <w:r w:rsidRPr="00EC28A5">
        <w:rPr>
          <w:rFonts w:eastAsia="Calibri" w:cs="Arial"/>
          <w:szCs w:val="20"/>
          <w:lang w:eastAsia="en-US"/>
        </w:rPr>
        <w:t xml:space="preserve"> </w:t>
      </w:r>
    </w:p>
    <w:p w14:paraId="26043667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„Stavy skotu“ změněny na „Stavy turů“</w:t>
      </w:r>
    </w:p>
    <w:p w14:paraId="0AA7E610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Změny u věkového členění</w:t>
      </w:r>
    </w:p>
    <w:p w14:paraId="6631A2B7" w14:textId="01029B2C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Uvádí se: „do 1 roku“ („jatečná“, „ostatní“ „býčci“, „jalovičky“ a „z toho telata do 6 měsíců“, „z toho telata 6 až 12 měsíců</w:t>
      </w:r>
    </w:p>
    <w:p w14:paraId="193C3B72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„býci celkem (vč. volů)“ – 1 až 2 roky i nad 2 roky (neuvádí se „plemenní“, „ostatní vč. volů“)</w:t>
      </w:r>
    </w:p>
    <w:p w14:paraId="36C14CA5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„jalovice jatečné“, „jalovice ostatní“ – 1 až 2 roky i nad 2 roky (neuvádí se „zapuštěné“, „nezapuštěné“)</w:t>
      </w:r>
    </w:p>
    <w:p w14:paraId="30A633AE" w14:textId="77777777" w:rsidR="00EC28A5" w:rsidRPr="00EC28A5" w:rsidRDefault="00EC28A5" w:rsidP="006F73E4">
      <w:pPr>
        <w:rPr>
          <w:rFonts w:eastAsia="Calibri" w:cs="Arial"/>
          <w:szCs w:val="20"/>
          <w:lang w:eastAsia="en-US"/>
        </w:rPr>
      </w:pPr>
      <w:r w:rsidRPr="00EC28A5">
        <w:rPr>
          <w:rFonts w:eastAsia="Calibri" w:cs="Arial"/>
          <w:szCs w:val="20"/>
          <w:lang w:eastAsia="en-US"/>
        </w:rPr>
        <w:t>„krávy dojené“, „krávy ostatní“ (neuvádí se „zapuštěné“, „nezapuštěné“).</w:t>
      </w:r>
    </w:p>
    <w:p w14:paraId="26130603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</w:p>
    <w:p w14:paraId="3B9D3458" w14:textId="3833A124" w:rsidR="00A62FE9" w:rsidRPr="009E6830" w:rsidRDefault="00A62FE9" w:rsidP="00A62FE9">
      <w:pPr>
        <w:rPr>
          <w:rFonts w:eastAsia="MS Gothic"/>
          <w:b/>
          <w:bCs/>
          <w:sz w:val="28"/>
          <w:szCs w:val="26"/>
        </w:rPr>
      </w:pPr>
      <w:r w:rsidRPr="009E6830">
        <w:rPr>
          <w:rFonts w:eastAsia="MS Gothic"/>
          <w:b/>
          <w:bCs/>
          <w:sz w:val="28"/>
          <w:szCs w:val="26"/>
        </w:rPr>
        <w:t>Použité značky v tabulkách publikace</w:t>
      </w:r>
    </w:p>
    <w:p w14:paraId="789E28D4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-</w:t>
      </w:r>
      <w:r w:rsidRPr="009E6830">
        <w:rPr>
          <w:rFonts w:ascii="Calibri" w:hAnsi="Calibri" w:cs="Calibri"/>
          <w:sz w:val="22"/>
          <w:szCs w:val="22"/>
        </w:rPr>
        <w:tab/>
        <w:t>ležatá čárka na místě čísla značí, že se jev nevyskytoval</w:t>
      </w:r>
    </w:p>
    <w:p w14:paraId="66914280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.</w:t>
      </w:r>
      <w:r w:rsidRPr="009E6830">
        <w:rPr>
          <w:rFonts w:ascii="Calibri" w:hAnsi="Calibri" w:cs="Calibri"/>
          <w:sz w:val="22"/>
          <w:szCs w:val="22"/>
        </w:rPr>
        <w:tab/>
        <w:t>tečka na místě čísla značí, že údaj není k dispozici nebo je nespolehlivý</w:t>
      </w:r>
    </w:p>
    <w:p w14:paraId="6DB12182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x</w:t>
      </w:r>
      <w:r w:rsidRPr="009E6830">
        <w:rPr>
          <w:rFonts w:ascii="Calibri" w:hAnsi="Calibri" w:cs="Calibri"/>
          <w:sz w:val="22"/>
          <w:szCs w:val="22"/>
        </w:rPr>
        <w:tab/>
        <w:t>ležatý křížek na místě čísla značí, že zápis není možný z logických důvodů</w:t>
      </w:r>
    </w:p>
    <w:p w14:paraId="3F5F5F7A" w14:textId="77777777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0</w:t>
      </w:r>
      <w:r w:rsidRPr="009E6830">
        <w:rPr>
          <w:rFonts w:ascii="Calibri" w:hAnsi="Calibri" w:cs="Calibri"/>
          <w:sz w:val="22"/>
          <w:szCs w:val="22"/>
        </w:rPr>
        <w:tab/>
        <w:t>nula se používá pro označení číselných údajů menších než polovina zvolené měřicí jednotky</w:t>
      </w:r>
    </w:p>
    <w:p w14:paraId="18C22046" w14:textId="48DEB0D9" w:rsidR="00A62FE9" w:rsidRPr="009E6830" w:rsidRDefault="00A62FE9" w:rsidP="00A62FE9">
      <w:pPr>
        <w:rPr>
          <w:rFonts w:ascii="Calibri" w:hAnsi="Calibri" w:cs="Calibri"/>
          <w:sz w:val="22"/>
          <w:szCs w:val="22"/>
        </w:rPr>
      </w:pPr>
      <w:r w:rsidRPr="009E6830">
        <w:rPr>
          <w:rFonts w:ascii="Calibri" w:hAnsi="Calibri" w:cs="Calibri"/>
          <w:sz w:val="22"/>
          <w:szCs w:val="22"/>
        </w:rPr>
        <w:t>i. d.</w:t>
      </w:r>
      <w:r w:rsidRPr="009E6830">
        <w:rPr>
          <w:rFonts w:ascii="Calibri" w:hAnsi="Calibri" w:cs="Calibri"/>
          <w:sz w:val="22"/>
          <w:szCs w:val="22"/>
        </w:rPr>
        <w:tab/>
        <w:t>individuální data</w:t>
      </w:r>
    </w:p>
    <w:p w14:paraId="220E5896" w14:textId="77777777" w:rsidR="006B4B37" w:rsidRPr="009E6830" w:rsidRDefault="006B4B37" w:rsidP="004C0A82">
      <w:pPr>
        <w:pStyle w:val="Zkladntextodsazen"/>
        <w:spacing w:before="0" w:after="240" w:line="288" w:lineRule="auto"/>
        <w:ind w:firstLine="0"/>
      </w:pPr>
    </w:p>
    <w:sectPr w:rsidR="006B4B37" w:rsidRPr="009E6830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9F8B" w14:textId="77777777" w:rsidR="004A2615" w:rsidRDefault="004A2615" w:rsidP="00E71A58">
      <w:r>
        <w:separator/>
      </w:r>
    </w:p>
  </w:endnote>
  <w:endnote w:type="continuationSeparator" w:id="0">
    <w:p w14:paraId="7C2915C5" w14:textId="77777777" w:rsidR="004A2615" w:rsidRDefault="004A261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D806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D826A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D826AC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B5C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D826AC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D826AC">
      <w:rPr>
        <w:rStyle w:val="ZpatChar"/>
        <w:szCs w:val="16"/>
      </w:rPr>
      <w:t>3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2953" w14:textId="77777777" w:rsidR="004A2615" w:rsidRDefault="004A2615" w:rsidP="00E71A58">
      <w:r>
        <w:separator/>
      </w:r>
    </w:p>
  </w:footnote>
  <w:footnote w:type="continuationSeparator" w:id="0">
    <w:p w14:paraId="6E0AA556" w14:textId="77777777" w:rsidR="004A2615" w:rsidRDefault="004A261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3349" w14:textId="77777777" w:rsidR="00B1354D" w:rsidRPr="004B1A7F" w:rsidRDefault="00B1354D" w:rsidP="00B1354D">
    <w:pPr>
      <w:pStyle w:val="Zhlav"/>
    </w:pPr>
    <w:r w:rsidRPr="007E0109">
      <w:rPr>
        <w:rFonts w:cs="Arial"/>
        <w:szCs w:val="16"/>
      </w:rPr>
      <w:t xml:space="preserve">CHOV SKOTU – 2. POLOLETÍ 2025 – DEFINITIVNÍ DATA </w:t>
    </w:r>
    <w:r w:rsidRPr="007E0109">
      <w:rPr>
        <w:rFonts w:cs="Arial"/>
        <w:i/>
        <w:iCs/>
        <w:szCs w:val="16"/>
      </w:rPr>
      <w:t>/ CATTLE PRODUCTION – 2ND HALF OF 2025 – FINAL DATA</w:t>
    </w:r>
  </w:p>
  <w:p w14:paraId="7531CC16" w14:textId="60F4AC4F" w:rsidR="00515C74" w:rsidRPr="00B1354D" w:rsidRDefault="00515C74" w:rsidP="00B13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A32" w14:textId="06C759D9" w:rsidR="00B5752E" w:rsidRPr="004B1A7F" w:rsidRDefault="007E0109" w:rsidP="004B1A7F">
    <w:pPr>
      <w:pStyle w:val="Zhlav"/>
    </w:pPr>
    <w:r w:rsidRPr="007E0109">
      <w:rPr>
        <w:rFonts w:cs="Arial"/>
        <w:szCs w:val="16"/>
      </w:rPr>
      <w:t xml:space="preserve">CHOV SKOTU – 2. POLOLETÍ 2025 – DEFINITIVNÍ DATA </w:t>
    </w:r>
    <w:r w:rsidRPr="007E0109">
      <w:rPr>
        <w:rFonts w:cs="Arial"/>
        <w:i/>
        <w:iCs/>
        <w:szCs w:val="16"/>
      </w:rPr>
      <w:t>/ CATTLE PRODUCTION – 2ND HALF OF 2025 – FINAL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6734">
    <w:abstractNumId w:val="12"/>
  </w:num>
  <w:num w:numId="2" w16cid:durableId="785467133">
    <w:abstractNumId w:val="8"/>
  </w:num>
  <w:num w:numId="3" w16cid:durableId="1528057077">
    <w:abstractNumId w:val="3"/>
  </w:num>
  <w:num w:numId="4" w16cid:durableId="840048213">
    <w:abstractNumId w:val="2"/>
  </w:num>
  <w:num w:numId="5" w16cid:durableId="94788241">
    <w:abstractNumId w:val="1"/>
  </w:num>
  <w:num w:numId="6" w16cid:durableId="1772970937">
    <w:abstractNumId w:val="0"/>
  </w:num>
  <w:num w:numId="7" w16cid:durableId="384109187">
    <w:abstractNumId w:val="9"/>
  </w:num>
  <w:num w:numId="8" w16cid:durableId="2097634368">
    <w:abstractNumId w:val="7"/>
  </w:num>
  <w:num w:numId="9" w16cid:durableId="270818772">
    <w:abstractNumId w:val="6"/>
  </w:num>
  <w:num w:numId="10" w16cid:durableId="469633632">
    <w:abstractNumId w:val="5"/>
  </w:num>
  <w:num w:numId="11" w16cid:durableId="457066353">
    <w:abstractNumId w:val="4"/>
  </w:num>
  <w:num w:numId="12" w16cid:durableId="1374573512">
    <w:abstractNumId w:val="11"/>
  </w:num>
  <w:num w:numId="13" w16cid:durableId="1971863670">
    <w:abstractNumId w:val="13"/>
  </w:num>
  <w:num w:numId="14" w16cid:durableId="1926111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1B3"/>
    <w:rsid w:val="00100F5C"/>
    <w:rsid w:val="00104C4C"/>
    <w:rsid w:val="0011347B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400A"/>
    <w:rsid w:val="001D68B2"/>
    <w:rsid w:val="001F4597"/>
    <w:rsid w:val="00206F08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63EBC"/>
    <w:rsid w:val="00271465"/>
    <w:rsid w:val="00285412"/>
    <w:rsid w:val="002A16D4"/>
    <w:rsid w:val="002A230C"/>
    <w:rsid w:val="002C43BD"/>
    <w:rsid w:val="002C624A"/>
    <w:rsid w:val="002D0E59"/>
    <w:rsid w:val="002D73B4"/>
    <w:rsid w:val="002E02A1"/>
    <w:rsid w:val="002E4E4C"/>
    <w:rsid w:val="002E769F"/>
    <w:rsid w:val="00304771"/>
    <w:rsid w:val="003052D4"/>
    <w:rsid w:val="00306C5B"/>
    <w:rsid w:val="00314D9F"/>
    <w:rsid w:val="003209D6"/>
    <w:rsid w:val="00321924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41A0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2615"/>
    <w:rsid w:val="004A3212"/>
    <w:rsid w:val="004A61C5"/>
    <w:rsid w:val="004A77DF"/>
    <w:rsid w:val="004B1417"/>
    <w:rsid w:val="004B1A7F"/>
    <w:rsid w:val="004B55B7"/>
    <w:rsid w:val="004B6468"/>
    <w:rsid w:val="004C0A82"/>
    <w:rsid w:val="004C384C"/>
    <w:rsid w:val="004C3867"/>
    <w:rsid w:val="004C4CD0"/>
    <w:rsid w:val="004C70DC"/>
    <w:rsid w:val="004D0211"/>
    <w:rsid w:val="004D0794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203B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7229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4B37"/>
    <w:rsid w:val="006B78D8"/>
    <w:rsid w:val="006C113F"/>
    <w:rsid w:val="006C123E"/>
    <w:rsid w:val="006C2CE4"/>
    <w:rsid w:val="006C56D4"/>
    <w:rsid w:val="006C6924"/>
    <w:rsid w:val="006C7CA6"/>
    <w:rsid w:val="006D3E8A"/>
    <w:rsid w:val="006D5EBD"/>
    <w:rsid w:val="006D61F6"/>
    <w:rsid w:val="006E279A"/>
    <w:rsid w:val="006E313B"/>
    <w:rsid w:val="006F5416"/>
    <w:rsid w:val="006F6B1A"/>
    <w:rsid w:val="006F73E4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0109"/>
    <w:rsid w:val="007E7E61"/>
    <w:rsid w:val="007F0845"/>
    <w:rsid w:val="007F0A02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73A2C"/>
    <w:rsid w:val="00974923"/>
    <w:rsid w:val="00980D3D"/>
    <w:rsid w:val="00987A30"/>
    <w:rsid w:val="00992CF3"/>
    <w:rsid w:val="00993BB8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E6830"/>
    <w:rsid w:val="009F0901"/>
    <w:rsid w:val="009F4CA7"/>
    <w:rsid w:val="009F7A0A"/>
    <w:rsid w:val="00A10D66"/>
    <w:rsid w:val="00A14114"/>
    <w:rsid w:val="00A15799"/>
    <w:rsid w:val="00A16413"/>
    <w:rsid w:val="00A23E43"/>
    <w:rsid w:val="00A30F65"/>
    <w:rsid w:val="00A33966"/>
    <w:rsid w:val="00A418BC"/>
    <w:rsid w:val="00A46DE0"/>
    <w:rsid w:val="00A50D73"/>
    <w:rsid w:val="00A52CAD"/>
    <w:rsid w:val="00A53FC7"/>
    <w:rsid w:val="00A62CE1"/>
    <w:rsid w:val="00A62FE9"/>
    <w:rsid w:val="00A6741E"/>
    <w:rsid w:val="00A75E40"/>
    <w:rsid w:val="00A77D1D"/>
    <w:rsid w:val="00A857C0"/>
    <w:rsid w:val="00A93ABB"/>
    <w:rsid w:val="00AA2996"/>
    <w:rsid w:val="00AA52BF"/>
    <w:rsid w:val="00AA559A"/>
    <w:rsid w:val="00AB2AF1"/>
    <w:rsid w:val="00AD306C"/>
    <w:rsid w:val="00AE09B3"/>
    <w:rsid w:val="00AE1A83"/>
    <w:rsid w:val="00AE356A"/>
    <w:rsid w:val="00AF46DC"/>
    <w:rsid w:val="00B00913"/>
    <w:rsid w:val="00B01593"/>
    <w:rsid w:val="00B10A4D"/>
    <w:rsid w:val="00B119F7"/>
    <w:rsid w:val="00B1354D"/>
    <w:rsid w:val="00B17E71"/>
    <w:rsid w:val="00B17FDE"/>
    <w:rsid w:val="00B2379C"/>
    <w:rsid w:val="00B2687D"/>
    <w:rsid w:val="00B32DDB"/>
    <w:rsid w:val="00B34528"/>
    <w:rsid w:val="00B35250"/>
    <w:rsid w:val="00B3611A"/>
    <w:rsid w:val="00B402FC"/>
    <w:rsid w:val="00B40F34"/>
    <w:rsid w:val="00B46604"/>
    <w:rsid w:val="00B530CD"/>
    <w:rsid w:val="00B55F5E"/>
    <w:rsid w:val="00B572E3"/>
    <w:rsid w:val="00B5752E"/>
    <w:rsid w:val="00B63A11"/>
    <w:rsid w:val="00B644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521C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826AC"/>
    <w:rsid w:val="00D9550B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026B"/>
    <w:rsid w:val="00E3309D"/>
    <w:rsid w:val="00E50156"/>
    <w:rsid w:val="00E50F95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C28A5"/>
    <w:rsid w:val="00ED25EA"/>
    <w:rsid w:val="00ED62C6"/>
    <w:rsid w:val="00ED64C1"/>
    <w:rsid w:val="00EE3446"/>
    <w:rsid w:val="00EE3E78"/>
    <w:rsid w:val="00EE4B1B"/>
    <w:rsid w:val="00EF1357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1212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312F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7FA9DB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  <w:style w:type="paragraph" w:styleId="Zkladntextodsazen">
    <w:name w:val="Body Text Indent"/>
    <w:basedOn w:val="Normln"/>
    <w:link w:val="ZkladntextodsazenChar"/>
    <w:semiHidden/>
    <w:rsid w:val="006B4B37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4B37"/>
    <w:rPr>
      <w:rFonts w:ascii="Arial" w:eastAsia="Times New Roman" w:hAnsi="Arial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B4B37"/>
    <w:pPr>
      <w:spacing w:before="120" w:after="120" w:line="240" w:lineRule="auto"/>
      <w:ind w:firstLine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6B4B37"/>
    <w:pPr>
      <w:spacing w:before="120" w:after="120" w:line="24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6B4B37"/>
    <w:rPr>
      <w:rFonts w:ascii="Arial" w:eastAsia="Times New Roman" w:hAnsi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4B37"/>
    <w:rPr>
      <w:rFonts w:ascii="Times New Roman" w:eastAsia="Times New Roman" w:hAnsi="Times New Roman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B4B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B4B37"/>
    <w:rPr>
      <w:rFonts w:ascii="Times New Roman" w:eastAsia="Times New Roman" w:hAnsi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C0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4C0A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E18D8-9B47-466B-8DC2-29648F9CD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820</Words>
  <Characters>4840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5649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22</cp:revision>
  <cp:lastPrinted>2014-07-17T14:07:00Z</cp:lastPrinted>
  <dcterms:created xsi:type="dcterms:W3CDTF">2024-09-19T07:54:00Z</dcterms:created>
  <dcterms:modified xsi:type="dcterms:W3CDTF">2026-05-13T07:17:00Z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