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5E" w:rsidRDefault="002E435E" w:rsidP="003E7DCB">
      <w:pPr>
        <w:pStyle w:val="Nadpis1"/>
        <w:numPr>
          <w:ilvl w:val="0"/>
          <w:numId w:val="6"/>
        </w:numPr>
        <w:jc w:val="both"/>
      </w:pPr>
      <w:bookmarkStart w:id="0" w:name="_Toc454185155"/>
      <w:r>
        <w:t>Státní rozpočet</w:t>
      </w:r>
      <w:bookmarkEnd w:id="0"/>
    </w:p>
    <w:tbl>
      <w:tblPr>
        <w:tblW w:w="5063" w:type="pct"/>
        <w:tblCellMar>
          <w:left w:w="28" w:type="dxa"/>
          <w:right w:w="28" w:type="dxa"/>
        </w:tblCellMar>
        <w:tblLook w:val="04A0"/>
      </w:tblPr>
      <w:tblGrid>
        <w:gridCol w:w="584"/>
        <w:gridCol w:w="1459"/>
        <w:gridCol w:w="275"/>
        <w:gridCol w:w="2591"/>
        <w:gridCol w:w="711"/>
        <w:gridCol w:w="4074"/>
        <w:gridCol w:w="122"/>
      </w:tblGrid>
      <w:tr w:rsidR="007A4048" w:rsidRPr="00A90EFD" w:rsidTr="002C0FF4">
        <w:trPr>
          <w:gridAfter w:val="1"/>
          <w:wAfter w:w="62" w:type="pct"/>
        </w:trPr>
        <w:tc>
          <w:tcPr>
            <w:tcW w:w="1041" w:type="pct"/>
            <w:gridSpan w:val="2"/>
          </w:tcPr>
          <w:p w:rsidR="007A4048" w:rsidRPr="009E7272" w:rsidRDefault="007A4048" w:rsidP="0002434F">
            <w:pPr>
              <w:spacing w:line="240" w:lineRule="auto"/>
              <w:rPr>
                <w:rFonts w:cs="Arial"/>
                <w:color w:val="0D0D0D" w:themeColor="text1" w:themeTint="F2"/>
                <w:spacing w:val="-4"/>
                <w:sz w:val="16"/>
                <w:szCs w:val="16"/>
              </w:rPr>
            </w:pPr>
            <w:r w:rsidRPr="009E7272">
              <w:rPr>
                <w:rFonts w:cs="Arial"/>
                <w:color w:val="0D0D0D" w:themeColor="text1" w:themeTint="F2"/>
                <w:spacing w:val="-4"/>
                <w:sz w:val="16"/>
                <w:szCs w:val="16"/>
              </w:rPr>
              <w:t xml:space="preserve">Pokračující svižný růst ekonomiky v kombinaci s dozníváním efektu intenzivního čerpání prostředků z evropských fondů vyústily </w:t>
            </w:r>
            <w:r>
              <w:rPr>
                <w:rFonts w:cs="Arial"/>
                <w:color w:val="0D0D0D" w:themeColor="text1" w:themeTint="F2"/>
                <w:spacing w:val="-4"/>
                <w:sz w:val="16"/>
                <w:szCs w:val="16"/>
              </w:rPr>
              <w:t xml:space="preserve">v 1. čtvrtletí v dosud rekordní výši přebytku SR </w:t>
            </w:r>
          </w:p>
        </w:tc>
        <w:tc>
          <w:tcPr>
            <w:tcW w:w="140" w:type="pct"/>
          </w:tcPr>
          <w:p w:rsidR="007A4048" w:rsidRPr="00A90EFD" w:rsidRDefault="007A4048" w:rsidP="0002434F">
            <w:pPr>
              <w:pStyle w:val="Textpoznpodarou"/>
              <w:jc w:val="both"/>
              <w:rPr>
                <w:rFonts w:cs="Arial"/>
                <w:color w:val="0D0D0D" w:themeColor="text1" w:themeTint="F2"/>
              </w:rPr>
            </w:pPr>
          </w:p>
        </w:tc>
        <w:tc>
          <w:tcPr>
            <w:tcW w:w="3757" w:type="pct"/>
            <w:gridSpan w:val="3"/>
          </w:tcPr>
          <w:p w:rsidR="007A4048" w:rsidRPr="00741F3C" w:rsidRDefault="007A4048" w:rsidP="0002434F">
            <w:pPr>
              <w:pStyle w:val="Textpoznpodarou"/>
              <w:jc w:val="both"/>
              <w:rPr>
                <w:rFonts w:cs="Arial"/>
                <w:color w:val="000000" w:themeColor="text1"/>
                <w:spacing w:val="-4"/>
              </w:rPr>
            </w:pPr>
            <w:r w:rsidRPr="00741F3C">
              <w:rPr>
                <w:rFonts w:cs="Arial"/>
                <w:color w:val="0D0D0D" w:themeColor="text1" w:themeTint="F2"/>
                <w:spacing w:val="-4"/>
              </w:rPr>
              <w:t>Státní rozpočet (SR) skončil (dle pokladního plnění) za celé 1. čtvrtletí 2016 přebytkem ve výši 43,6 mld. korun a těsně překonal dosud rekordní hodnotu z </w:t>
            </w:r>
            <w:r w:rsidRPr="00741F3C">
              <w:rPr>
                <w:rFonts w:cs="Arial"/>
                <w:color w:val="000000" w:themeColor="text1"/>
                <w:spacing w:val="-4"/>
              </w:rPr>
              <w:t xml:space="preserve">počátku roku 2014. Šlo v tomto období roku o nejlepší výsledek v historii samotné ČR. Souvisel se svižným růstem ekonomiky, jenž byl reflektován vysokými růstovými tempy inkasa přímých i nepřímých daní. Významný byl také doznívající efekt přílivu prostředků z rozpočtu EU. </w:t>
            </w:r>
            <w:r w:rsidRPr="00741F3C">
              <w:rPr>
                <w:rFonts w:cs="Arial"/>
                <w:color w:val="0D0D0D" w:themeColor="text1" w:themeTint="F2"/>
                <w:spacing w:val="-4"/>
              </w:rPr>
              <w:t>Saldo SR (tvořící klíčovou složku deficitu či přebytku sektoru vládních institucí) činilo v poměru k</w:t>
            </w:r>
            <w:r w:rsidRPr="00741F3C">
              <w:rPr>
                <w:color w:val="0D0D0D" w:themeColor="text1" w:themeTint="F2"/>
                <w:spacing w:val="-4"/>
              </w:rPr>
              <w:t> </w:t>
            </w:r>
            <w:r w:rsidRPr="00741F3C">
              <w:rPr>
                <w:rFonts w:cs="Arial"/>
                <w:color w:val="000000" w:themeColor="text1"/>
                <w:spacing w:val="-4"/>
              </w:rPr>
              <w:t>nominálnímu HDP +4,1 % (o rok dříve +1,9 %) a</w:t>
            </w:r>
            <w:r w:rsidRPr="00741F3C">
              <w:rPr>
                <w:rFonts w:cs="Arial"/>
                <w:color w:val="0D0D0D" w:themeColor="text1" w:themeTint="F2"/>
                <w:spacing w:val="-4"/>
              </w:rPr>
              <w:t xml:space="preserve"> dosáhlo</w:t>
            </w:r>
            <w:r w:rsidRPr="00741F3C">
              <w:rPr>
                <w:rFonts w:cs="Arial"/>
                <w:color w:val="FF0000"/>
                <w:spacing w:val="-4"/>
              </w:rPr>
              <w:t xml:space="preserve"> </w:t>
            </w:r>
            <w:r w:rsidRPr="00741F3C">
              <w:rPr>
                <w:rFonts w:cs="Arial"/>
                <w:color w:val="000000" w:themeColor="text1"/>
                <w:spacing w:val="-4"/>
              </w:rPr>
              <w:t>druhého nejpříznivějšího</w:t>
            </w:r>
            <w:r w:rsidRPr="00741F3C">
              <w:rPr>
                <w:rFonts w:cs="Arial"/>
                <w:color w:val="0D0D0D" w:themeColor="text1" w:themeTint="F2"/>
                <w:spacing w:val="-4"/>
              </w:rPr>
              <w:t xml:space="preserve"> výsledku v rámci 1. čtvrtletí po roce 2000.</w:t>
            </w:r>
          </w:p>
          <w:p w:rsidR="007A4048" w:rsidRPr="00741F3C" w:rsidRDefault="007A4048" w:rsidP="0002434F">
            <w:pPr>
              <w:pStyle w:val="Textpoznpodarou"/>
              <w:jc w:val="both"/>
              <w:rPr>
                <w:rFonts w:cs="Arial"/>
                <w:color w:val="0D0D0D" w:themeColor="text1" w:themeTint="F2"/>
                <w:spacing w:val="-2"/>
                <w:sz w:val="15"/>
                <w:szCs w:val="15"/>
              </w:rPr>
            </w:pPr>
          </w:p>
        </w:tc>
      </w:tr>
      <w:tr w:rsidR="007A4048" w:rsidRPr="00A90EFD" w:rsidTr="002C0FF4">
        <w:trPr>
          <w:gridAfter w:val="1"/>
          <w:wAfter w:w="62" w:type="pct"/>
        </w:trPr>
        <w:tc>
          <w:tcPr>
            <w:tcW w:w="1041" w:type="pct"/>
            <w:gridSpan w:val="2"/>
          </w:tcPr>
          <w:p w:rsidR="007A4048" w:rsidRDefault="007A4048" w:rsidP="0002434F">
            <w:pPr>
              <w:spacing w:line="240" w:lineRule="auto"/>
              <w:rPr>
                <w:rFonts w:cs="Arial"/>
                <w:color w:val="0D0D0D" w:themeColor="text1" w:themeTint="F2"/>
                <w:spacing w:val="-2"/>
                <w:sz w:val="16"/>
                <w:szCs w:val="16"/>
              </w:rPr>
            </w:pPr>
            <w:r w:rsidRPr="00C30516">
              <w:rPr>
                <w:rFonts w:cs="Arial"/>
                <w:color w:val="0D0D0D" w:themeColor="text1" w:themeTint="F2"/>
                <w:spacing w:val="-2"/>
                <w:sz w:val="16"/>
                <w:szCs w:val="16"/>
              </w:rPr>
              <w:t xml:space="preserve">Nejvíc plateb z rozpočtu EU směřovalo do dopravy </w:t>
            </w:r>
          </w:p>
          <w:p w:rsidR="007A4048" w:rsidRPr="00C30516" w:rsidRDefault="007A4048" w:rsidP="0002434F">
            <w:pPr>
              <w:spacing w:line="240" w:lineRule="auto"/>
              <w:rPr>
                <w:rFonts w:cs="Arial"/>
                <w:color w:val="0D0D0D" w:themeColor="text1" w:themeTint="F2"/>
                <w:spacing w:val="-2"/>
                <w:sz w:val="16"/>
                <w:szCs w:val="16"/>
              </w:rPr>
            </w:pPr>
            <w:r w:rsidRPr="00C30516">
              <w:rPr>
                <w:rFonts w:cs="Arial"/>
                <w:color w:val="0D0D0D" w:themeColor="text1" w:themeTint="F2"/>
                <w:spacing w:val="-2"/>
                <w:sz w:val="16"/>
                <w:szCs w:val="16"/>
              </w:rPr>
              <w:t xml:space="preserve">(18 mld. korun), následované životním prostředím a školstvím </w:t>
            </w:r>
          </w:p>
        </w:tc>
        <w:tc>
          <w:tcPr>
            <w:tcW w:w="140" w:type="pct"/>
          </w:tcPr>
          <w:p w:rsidR="007A4048" w:rsidRPr="00A90EFD" w:rsidRDefault="007A4048" w:rsidP="0002434F">
            <w:pPr>
              <w:pStyle w:val="Textpoznpodarou"/>
              <w:jc w:val="both"/>
              <w:rPr>
                <w:rFonts w:cs="Arial"/>
                <w:color w:val="0D0D0D" w:themeColor="text1" w:themeTint="F2"/>
              </w:rPr>
            </w:pPr>
          </w:p>
        </w:tc>
        <w:tc>
          <w:tcPr>
            <w:tcW w:w="3757" w:type="pct"/>
            <w:gridSpan w:val="3"/>
          </w:tcPr>
          <w:p w:rsidR="007A4048" w:rsidRPr="00E26A48" w:rsidRDefault="007A4048" w:rsidP="0002434F">
            <w:pPr>
              <w:pStyle w:val="Textpoznpodarou"/>
              <w:jc w:val="both"/>
              <w:rPr>
                <w:rFonts w:cs="Arial"/>
                <w:color w:val="000000" w:themeColor="text1"/>
                <w:spacing w:val="-2"/>
              </w:rPr>
            </w:pPr>
            <w:r w:rsidRPr="00E26A48">
              <w:rPr>
                <w:rFonts w:cs="Arial"/>
                <w:color w:val="000000" w:themeColor="text1"/>
                <w:spacing w:val="-2"/>
              </w:rPr>
              <w:t>K růstu celkových příjmů SR (meziročně o 8,7 %) přispěly v 1. čtvrtletí hlavně daňové příjmy, vč. pojistného (v úhrnu vyšší o 14,7 mld. korun). O pětinu dále posílily i transfery z EU (nejvíce směřovalo na operační program Doprava), které za</w:t>
            </w:r>
            <w:r w:rsidR="002C0FF4">
              <w:rPr>
                <w:rFonts w:cs="Arial"/>
                <w:color w:val="000000" w:themeColor="text1"/>
                <w:spacing w:val="-2"/>
              </w:rPr>
              <w:t> </w:t>
            </w:r>
            <w:r w:rsidRPr="00E26A48">
              <w:rPr>
                <w:rFonts w:cs="Arial"/>
                <w:color w:val="000000" w:themeColor="text1"/>
                <w:spacing w:val="-2"/>
              </w:rPr>
              <w:t>prvních pět měsíců činily 112 mld. korun a překonaly rozpočtem očekávanou celoroční hodnotu. Příjmy SR jsou v roce 2016 negativně ovlivněny změnou rozpočtového určení daní, jež snižuje podíl SR na celostátním inkasu zhruba o 1 </w:t>
            </w:r>
            <w:proofErr w:type="spellStart"/>
            <w:proofErr w:type="gramStart"/>
            <w:r w:rsidRPr="00E26A48">
              <w:rPr>
                <w:rFonts w:cs="Arial"/>
                <w:color w:val="000000" w:themeColor="text1"/>
                <w:spacing w:val="-2"/>
              </w:rPr>
              <w:t>p.b</w:t>
            </w:r>
            <w:proofErr w:type="spellEnd"/>
            <w:r w:rsidRPr="00E26A48">
              <w:rPr>
                <w:rFonts w:cs="Arial"/>
                <w:color w:val="000000" w:themeColor="text1"/>
                <w:spacing w:val="-2"/>
              </w:rPr>
              <w:t>., a to</w:t>
            </w:r>
            <w:proofErr w:type="gramEnd"/>
            <w:r w:rsidRPr="00E26A48">
              <w:rPr>
                <w:rFonts w:cs="Arial"/>
                <w:color w:val="000000" w:themeColor="text1"/>
                <w:spacing w:val="-2"/>
              </w:rPr>
              <w:t xml:space="preserve"> jak u DPH, tak i u daně z příjmu fyzických osob ze závislé činnosti.</w:t>
            </w:r>
          </w:p>
          <w:p w:rsidR="007A4048" w:rsidRPr="00741F3C" w:rsidRDefault="007A4048" w:rsidP="0002434F">
            <w:pPr>
              <w:pStyle w:val="Textpoznpodarou"/>
              <w:jc w:val="both"/>
              <w:rPr>
                <w:rFonts w:cs="Arial"/>
                <w:color w:val="000000" w:themeColor="text1"/>
                <w:spacing w:val="-2"/>
                <w:sz w:val="15"/>
                <w:szCs w:val="15"/>
              </w:rPr>
            </w:pPr>
          </w:p>
        </w:tc>
      </w:tr>
      <w:tr w:rsidR="007A4048" w:rsidRPr="00A90EFD" w:rsidTr="002C0FF4">
        <w:trPr>
          <w:gridAfter w:val="1"/>
          <w:wAfter w:w="62" w:type="pct"/>
        </w:trPr>
        <w:tc>
          <w:tcPr>
            <w:tcW w:w="1041" w:type="pct"/>
            <w:gridSpan w:val="2"/>
          </w:tcPr>
          <w:p w:rsidR="007A4048" w:rsidRPr="00C30516" w:rsidRDefault="007A4048" w:rsidP="0002434F">
            <w:pPr>
              <w:spacing w:line="240" w:lineRule="auto"/>
              <w:rPr>
                <w:rFonts w:cs="Arial"/>
                <w:bCs/>
                <w:iCs/>
                <w:color w:val="0D0D0D" w:themeColor="text1" w:themeTint="F2"/>
                <w:spacing w:val="-2"/>
                <w:sz w:val="16"/>
                <w:szCs w:val="16"/>
              </w:rPr>
            </w:pPr>
            <w:r w:rsidRPr="00C30516">
              <w:rPr>
                <w:rFonts w:cs="Arial"/>
                <w:bCs/>
                <w:iCs/>
                <w:color w:val="0D0D0D" w:themeColor="text1" w:themeTint="F2"/>
                <w:spacing w:val="-2"/>
                <w:sz w:val="16"/>
                <w:szCs w:val="16"/>
              </w:rPr>
              <w:t xml:space="preserve">Sílící tempo výběru DPH v průběhu roku odráželo vysoký meziroční růst </w:t>
            </w:r>
            <w:r>
              <w:rPr>
                <w:rFonts w:cs="Arial"/>
                <w:bCs/>
                <w:iCs/>
                <w:color w:val="0D0D0D" w:themeColor="text1" w:themeTint="F2"/>
                <w:spacing w:val="-2"/>
                <w:sz w:val="16"/>
                <w:szCs w:val="16"/>
              </w:rPr>
              <w:t xml:space="preserve">celkových </w:t>
            </w:r>
            <w:r w:rsidRPr="00C30516">
              <w:rPr>
                <w:rFonts w:cs="Arial"/>
                <w:bCs/>
                <w:iCs/>
                <w:color w:val="0D0D0D" w:themeColor="text1" w:themeTint="F2"/>
                <w:spacing w:val="-2"/>
                <w:sz w:val="16"/>
                <w:szCs w:val="16"/>
              </w:rPr>
              <w:t>výdajů na konečnou spotřebu</w:t>
            </w:r>
          </w:p>
        </w:tc>
        <w:tc>
          <w:tcPr>
            <w:tcW w:w="140" w:type="pct"/>
          </w:tcPr>
          <w:p w:rsidR="007A4048" w:rsidRPr="00A90EFD" w:rsidRDefault="007A4048" w:rsidP="0002434F">
            <w:pPr>
              <w:pStyle w:val="Textpoznpodarou"/>
              <w:jc w:val="both"/>
              <w:rPr>
                <w:rFonts w:cs="Arial"/>
                <w:color w:val="0D0D0D" w:themeColor="text1" w:themeTint="F2"/>
              </w:rPr>
            </w:pPr>
          </w:p>
        </w:tc>
        <w:tc>
          <w:tcPr>
            <w:tcW w:w="3757" w:type="pct"/>
            <w:gridSpan w:val="3"/>
          </w:tcPr>
          <w:p w:rsidR="007A4048" w:rsidRPr="00E26A48" w:rsidRDefault="007A4048" w:rsidP="0002434F">
            <w:pPr>
              <w:pStyle w:val="Textpoznpodarou"/>
              <w:jc w:val="both"/>
              <w:rPr>
                <w:rFonts w:cs="Arial"/>
                <w:color w:val="0D0D0D" w:themeColor="text1" w:themeTint="F2"/>
                <w:spacing w:val="-2"/>
              </w:rPr>
            </w:pPr>
            <w:r w:rsidRPr="00E26A48">
              <w:rPr>
                <w:rFonts w:cs="Arial"/>
                <w:color w:val="0D0D0D" w:themeColor="text1" w:themeTint="F2"/>
                <w:spacing w:val="-2"/>
              </w:rPr>
              <w:t>Celostátní inkaso váhově dominantní daně – DPH vzrostlo o 4,2 %, na úrovni SR meziročně posílilo o 2,9 %</w:t>
            </w:r>
            <w:r w:rsidRPr="00E26A48">
              <w:rPr>
                <w:rStyle w:val="Znakapoznpodarou"/>
                <w:color w:val="0D0D0D" w:themeColor="text1" w:themeTint="F2"/>
                <w:spacing w:val="-2"/>
              </w:rPr>
              <w:footnoteReference w:id="1"/>
            </w:r>
            <w:r w:rsidRPr="00E26A48">
              <w:rPr>
                <w:rFonts w:cs="Arial"/>
                <w:color w:val="0D0D0D" w:themeColor="text1" w:themeTint="F2"/>
                <w:spacing w:val="-2"/>
              </w:rPr>
              <w:t>. Reflektovalo stabilní růstová tempa výdajů na konečnou spotřebu, a to jak u domácností (nominálně v 1. čtvrtletí 3,2 %), tak i</w:t>
            </w:r>
            <w:r w:rsidR="002C0FF4">
              <w:rPr>
                <w:rFonts w:cs="Arial"/>
                <w:color w:val="0D0D0D" w:themeColor="text1" w:themeTint="F2"/>
                <w:spacing w:val="-2"/>
              </w:rPr>
              <w:t> </w:t>
            </w:r>
            <w:r w:rsidRPr="00E26A48">
              <w:rPr>
                <w:rFonts w:cs="Arial"/>
                <w:color w:val="0D0D0D" w:themeColor="text1" w:themeTint="F2"/>
                <w:spacing w:val="-2"/>
              </w:rPr>
              <w:t>vládních institucí (3,9 %). Mírně negativní vliv měla i meziročně mírně vyšší výplata zadržovaných odpočtů, v opačném směru zřejmě působilo zvýšení kontrolních opatření při výběru daně.</w:t>
            </w:r>
          </w:p>
          <w:p w:rsidR="007A4048" w:rsidRPr="002C493D" w:rsidRDefault="007A4048" w:rsidP="0002434F">
            <w:pPr>
              <w:pStyle w:val="Textpoznpodarou"/>
              <w:jc w:val="both"/>
              <w:rPr>
                <w:rFonts w:cs="Arial"/>
                <w:color w:val="0D0D0D" w:themeColor="text1" w:themeTint="F2"/>
                <w:spacing w:val="-2"/>
                <w:sz w:val="16"/>
                <w:szCs w:val="16"/>
              </w:rPr>
            </w:pPr>
          </w:p>
        </w:tc>
      </w:tr>
      <w:tr w:rsidR="007A4048" w:rsidRPr="00A90EFD" w:rsidTr="002C0FF4">
        <w:trPr>
          <w:gridAfter w:val="1"/>
          <w:wAfter w:w="62" w:type="pct"/>
        </w:trPr>
        <w:tc>
          <w:tcPr>
            <w:tcW w:w="1041" w:type="pct"/>
            <w:gridSpan w:val="2"/>
          </w:tcPr>
          <w:p w:rsidR="007A4048" w:rsidRDefault="007A4048" w:rsidP="0002434F">
            <w:pPr>
              <w:spacing w:line="240" w:lineRule="auto"/>
              <w:rPr>
                <w:rFonts w:cs="Arial"/>
                <w:bCs/>
                <w:iCs/>
                <w:color w:val="0D0D0D" w:themeColor="text1" w:themeTint="F2"/>
                <w:sz w:val="16"/>
                <w:szCs w:val="16"/>
              </w:rPr>
            </w:pPr>
            <w:r w:rsidRPr="00D02B7C">
              <w:rPr>
                <w:rFonts w:cs="Arial"/>
                <w:bCs/>
                <w:iCs/>
                <w:color w:val="0D0D0D" w:themeColor="text1" w:themeTint="F2"/>
                <w:sz w:val="16"/>
                <w:szCs w:val="16"/>
              </w:rPr>
              <w:t>K meziročně vyššímu výběru spotřebních daní přispělo rozhodující měrou zvýšení sazeb daně z tabákových výrobků</w:t>
            </w:r>
          </w:p>
          <w:p w:rsidR="007A4048" w:rsidRPr="00D02B7C" w:rsidRDefault="007A4048" w:rsidP="0002434F">
            <w:pPr>
              <w:spacing w:line="240" w:lineRule="auto"/>
              <w:rPr>
                <w:rFonts w:cs="Arial"/>
                <w:bCs/>
                <w:iCs/>
                <w:color w:val="0D0D0D" w:themeColor="text1" w:themeTint="F2"/>
                <w:sz w:val="16"/>
                <w:szCs w:val="16"/>
              </w:rPr>
            </w:pPr>
            <w:r>
              <w:rPr>
                <w:rFonts w:cs="Arial"/>
                <w:bCs/>
                <w:iCs/>
                <w:color w:val="0D0D0D" w:themeColor="text1" w:themeTint="F2"/>
                <w:sz w:val="16"/>
                <w:szCs w:val="16"/>
              </w:rPr>
              <w:t>(od 1.</w:t>
            </w:r>
            <w:r w:rsidR="00A517C1">
              <w:rPr>
                <w:rFonts w:cs="Arial"/>
                <w:bCs/>
                <w:iCs/>
                <w:color w:val="0D0D0D" w:themeColor="text1" w:themeTint="F2"/>
                <w:sz w:val="16"/>
                <w:szCs w:val="16"/>
              </w:rPr>
              <w:t xml:space="preserve"> </w:t>
            </w:r>
            <w:r>
              <w:rPr>
                <w:rFonts w:cs="Arial"/>
                <w:bCs/>
                <w:iCs/>
                <w:color w:val="0D0D0D" w:themeColor="text1" w:themeTint="F2"/>
                <w:sz w:val="16"/>
                <w:szCs w:val="16"/>
              </w:rPr>
              <w:t>1.</w:t>
            </w:r>
            <w:r w:rsidR="00A517C1">
              <w:rPr>
                <w:rFonts w:cs="Arial"/>
                <w:bCs/>
                <w:iCs/>
                <w:color w:val="0D0D0D" w:themeColor="text1" w:themeTint="F2"/>
                <w:sz w:val="16"/>
                <w:szCs w:val="16"/>
              </w:rPr>
              <w:t xml:space="preserve"> </w:t>
            </w:r>
            <w:r>
              <w:rPr>
                <w:rFonts w:cs="Arial"/>
                <w:bCs/>
                <w:iCs/>
                <w:color w:val="0D0D0D" w:themeColor="text1" w:themeTint="F2"/>
                <w:sz w:val="16"/>
                <w:szCs w:val="16"/>
              </w:rPr>
              <w:t>2016)</w:t>
            </w:r>
          </w:p>
        </w:tc>
        <w:tc>
          <w:tcPr>
            <w:tcW w:w="140" w:type="pct"/>
          </w:tcPr>
          <w:p w:rsidR="007A4048" w:rsidRPr="00A90EFD" w:rsidRDefault="007A4048" w:rsidP="0002434F">
            <w:pPr>
              <w:pStyle w:val="Textpoznpodarou"/>
              <w:jc w:val="both"/>
              <w:rPr>
                <w:rFonts w:cs="Arial"/>
                <w:color w:val="0D0D0D" w:themeColor="text1" w:themeTint="F2"/>
              </w:rPr>
            </w:pPr>
          </w:p>
        </w:tc>
        <w:tc>
          <w:tcPr>
            <w:tcW w:w="3757" w:type="pct"/>
            <w:gridSpan w:val="3"/>
          </w:tcPr>
          <w:p w:rsidR="007A4048" w:rsidRPr="00E26A48" w:rsidRDefault="007A4048" w:rsidP="0002434F">
            <w:pPr>
              <w:pStyle w:val="Textpoznpodarou"/>
              <w:jc w:val="both"/>
              <w:rPr>
                <w:rFonts w:cs="Arial"/>
                <w:color w:val="0D0D0D" w:themeColor="text1" w:themeTint="F2"/>
                <w:spacing w:val="-2"/>
              </w:rPr>
            </w:pPr>
            <w:r w:rsidRPr="00E26A48">
              <w:rPr>
                <w:rFonts w:cs="Arial"/>
                <w:color w:val="0D0D0D" w:themeColor="text1" w:themeTint="F2"/>
                <w:spacing w:val="-2"/>
              </w:rPr>
              <w:t>SR inkasoval více i ze spotřebních daní (+8,4 % meziročně), jejich výběr se po delší době opět vrátil k běžné sezónnosti. Nejvyšší inkaso zaznamenala tradičně daň z minerálních olejů, a to navzdory relativně slabšímu tempu (+4,0 %). Příznivé spotřebitelské ceny</w:t>
            </w:r>
            <w:r w:rsidR="00A517C1">
              <w:rPr>
                <w:rFonts w:cs="Arial"/>
                <w:color w:val="0D0D0D" w:themeColor="text1" w:themeTint="F2"/>
                <w:spacing w:val="-2"/>
              </w:rPr>
              <w:t xml:space="preserve"> pohonných hmot</w:t>
            </w:r>
            <w:r w:rsidRPr="00E26A48">
              <w:rPr>
                <w:rFonts w:cs="Arial"/>
                <w:color w:val="0D0D0D" w:themeColor="text1" w:themeTint="F2"/>
                <w:spacing w:val="-2"/>
              </w:rPr>
              <w:t xml:space="preserve"> </w:t>
            </w:r>
            <w:r w:rsidR="00A517C1">
              <w:rPr>
                <w:rFonts w:cs="Arial"/>
                <w:color w:val="0D0D0D" w:themeColor="text1" w:themeTint="F2"/>
                <w:spacing w:val="-2"/>
              </w:rPr>
              <w:t>(</w:t>
            </w:r>
            <w:r w:rsidRPr="00E26A48">
              <w:rPr>
                <w:rFonts w:cs="Arial"/>
                <w:color w:val="0D0D0D" w:themeColor="text1" w:themeTint="F2"/>
                <w:spacing w:val="-2"/>
              </w:rPr>
              <w:t>PHM</w:t>
            </w:r>
            <w:r w:rsidR="00A517C1">
              <w:rPr>
                <w:rFonts w:cs="Arial"/>
                <w:color w:val="0D0D0D" w:themeColor="text1" w:themeTint="F2"/>
                <w:spacing w:val="-2"/>
              </w:rPr>
              <w:t>)</w:t>
            </w:r>
            <w:r w:rsidRPr="00E26A48">
              <w:rPr>
                <w:rFonts w:cs="Arial"/>
                <w:color w:val="0D0D0D" w:themeColor="text1" w:themeTint="F2"/>
                <w:spacing w:val="-2"/>
              </w:rPr>
              <w:t xml:space="preserve"> doprovázené růstem poptávky po dopravě v souvislosti s ekonomickým růstem vyústily ve zvýšení spotřeby PHM. O</w:t>
            </w:r>
            <w:r w:rsidR="00A517C1">
              <w:rPr>
                <w:rFonts w:cs="Arial"/>
                <w:color w:val="0D0D0D" w:themeColor="text1" w:themeTint="F2"/>
                <w:spacing w:val="-2"/>
              </w:rPr>
              <w:t> </w:t>
            </w:r>
            <w:r w:rsidRPr="00E26A48">
              <w:rPr>
                <w:rFonts w:cs="Arial"/>
                <w:color w:val="0D0D0D" w:themeColor="text1" w:themeTint="F2"/>
                <w:spacing w:val="-2"/>
              </w:rPr>
              <w:t xml:space="preserve">šestinu více získal SR na dani z tabákových výrobků. Její inkaso reflektovalo navýšení sazeb daně, mohlo signalizovat i návrat k rostoucí spotřebě cigaret. </w:t>
            </w:r>
            <w:r>
              <w:rPr>
                <w:rFonts w:cs="Arial"/>
                <w:color w:val="0D0D0D" w:themeColor="text1" w:themeTint="F2"/>
                <w:spacing w:val="-2"/>
              </w:rPr>
              <w:t>Mírně posílilo inkaso také</w:t>
            </w:r>
            <w:r w:rsidRPr="00E26A48">
              <w:rPr>
                <w:rFonts w:cs="Arial"/>
                <w:color w:val="0D0D0D" w:themeColor="text1" w:themeTint="F2"/>
                <w:spacing w:val="-2"/>
              </w:rPr>
              <w:t xml:space="preserve"> </w:t>
            </w:r>
            <w:r>
              <w:rPr>
                <w:rFonts w:cs="Arial"/>
                <w:color w:val="0D0D0D" w:themeColor="text1" w:themeTint="F2"/>
                <w:spacing w:val="-2"/>
              </w:rPr>
              <w:t>u</w:t>
            </w:r>
            <w:r w:rsidRPr="00E26A48">
              <w:rPr>
                <w:rFonts w:cs="Arial"/>
                <w:color w:val="0D0D0D" w:themeColor="text1" w:themeTint="F2"/>
                <w:spacing w:val="-2"/>
              </w:rPr>
              <w:t> většiny ostatních druhů spotřebních daní (vč. energetických daní), pokles se objevil jen u</w:t>
            </w:r>
            <w:r w:rsidR="00F44E1B">
              <w:rPr>
                <w:rFonts w:cs="Arial"/>
                <w:color w:val="0D0D0D" w:themeColor="text1" w:themeTint="F2"/>
                <w:spacing w:val="-2"/>
              </w:rPr>
              <w:t> </w:t>
            </w:r>
            <w:r w:rsidRPr="00E26A48">
              <w:rPr>
                <w:rFonts w:cs="Arial"/>
                <w:color w:val="0D0D0D" w:themeColor="text1" w:themeTint="F2"/>
                <w:spacing w:val="-2"/>
              </w:rPr>
              <w:t xml:space="preserve">výběru daně z piva. </w:t>
            </w:r>
          </w:p>
          <w:p w:rsidR="007A4048" w:rsidRPr="002C493D" w:rsidRDefault="007A4048" w:rsidP="0002434F">
            <w:pPr>
              <w:pStyle w:val="Textpoznpodarou"/>
              <w:jc w:val="both"/>
              <w:rPr>
                <w:rFonts w:cs="Arial"/>
                <w:color w:val="0D0D0D" w:themeColor="text1" w:themeTint="F2"/>
                <w:spacing w:val="-2"/>
                <w:sz w:val="16"/>
                <w:szCs w:val="16"/>
              </w:rPr>
            </w:pPr>
          </w:p>
        </w:tc>
      </w:tr>
      <w:tr w:rsidR="007A4048" w:rsidRPr="00A90EFD" w:rsidTr="002C0FF4">
        <w:trPr>
          <w:gridAfter w:val="1"/>
          <w:wAfter w:w="62" w:type="pct"/>
        </w:trPr>
        <w:tc>
          <w:tcPr>
            <w:tcW w:w="1041" w:type="pct"/>
            <w:gridSpan w:val="2"/>
          </w:tcPr>
          <w:p w:rsidR="007A4048" w:rsidRDefault="007A4048" w:rsidP="0002434F">
            <w:pPr>
              <w:spacing w:line="240" w:lineRule="auto"/>
              <w:rPr>
                <w:rFonts w:cs="Arial"/>
                <w:bCs/>
                <w:iCs/>
                <w:color w:val="0D0D0D" w:themeColor="text1" w:themeTint="F2"/>
                <w:sz w:val="16"/>
                <w:szCs w:val="16"/>
              </w:rPr>
            </w:pPr>
            <w:r w:rsidRPr="00F55C6A">
              <w:rPr>
                <w:rFonts w:cs="Arial"/>
                <w:bCs/>
                <w:iCs/>
                <w:color w:val="0D0D0D" w:themeColor="text1" w:themeTint="F2"/>
                <w:sz w:val="16"/>
                <w:szCs w:val="16"/>
              </w:rPr>
              <w:t xml:space="preserve">Nejvyšší počet zaměstnaných </w:t>
            </w:r>
            <w:r>
              <w:rPr>
                <w:rFonts w:cs="Arial"/>
                <w:bCs/>
                <w:iCs/>
                <w:color w:val="0D0D0D" w:themeColor="text1" w:themeTint="F2"/>
                <w:sz w:val="16"/>
                <w:szCs w:val="16"/>
              </w:rPr>
              <w:t xml:space="preserve">osob </w:t>
            </w:r>
            <w:r w:rsidRPr="00F55C6A">
              <w:rPr>
                <w:rFonts w:cs="Arial"/>
                <w:bCs/>
                <w:iCs/>
                <w:color w:val="0D0D0D" w:themeColor="text1" w:themeTint="F2"/>
                <w:sz w:val="16"/>
                <w:szCs w:val="16"/>
              </w:rPr>
              <w:t xml:space="preserve">v novodobé </w:t>
            </w:r>
            <w:r>
              <w:rPr>
                <w:rFonts w:cs="Arial"/>
                <w:bCs/>
                <w:iCs/>
                <w:color w:val="0D0D0D" w:themeColor="text1" w:themeTint="F2"/>
                <w:sz w:val="16"/>
                <w:szCs w:val="16"/>
              </w:rPr>
              <w:t>historii v kombinaci se sílícím růstem průměrných mezd</w:t>
            </w:r>
            <w:r w:rsidRPr="00F55C6A">
              <w:rPr>
                <w:rFonts w:cs="Arial"/>
                <w:bCs/>
                <w:iCs/>
                <w:color w:val="0D0D0D" w:themeColor="text1" w:themeTint="F2"/>
                <w:sz w:val="16"/>
                <w:szCs w:val="16"/>
              </w:rPr>
              <w:t xml:space="preserve"> </w:t>
            </w:r>
            <w:r>
              <w:rPr>
                <w:rFonts w:cs="Arial"/>
                <w:bCs/>
                <w:iCs/>
                <w:color w:val="0D0D0D" w:themeColor="text1" w:themeTint="F2"/>
                <w:sz w:val="16"/>
                <w:szCs w:val="16"/>
              </w:rPr>
              <w:t xml:space="preserve">(napříč drtivou většinou odvětví) vyústily ve vysoký výběr daně z příjmu od zaměstnanců, jehož dynamika převýšila </w:t>
            </w:r>
          </w:p>
          <w:p w:rsidR="007A4048" w:rsidRPr="00F55C6A" w:rsidRDefault="007A4048" w:rsidP="0002434F">
            <w:pPr>
              <w:spacing w:line="240" w:lineRule="auto"/>
              <w:rPr>
                <w:rFonts w:cs="Arial"/>
                <w:bCs/>
                <w:iCs/>
                <w:color w:val="0D0D0D" w:themeColor="text1" w:themeTint="F2"/>
                <w:sz w:val="16"/>
                <w:szCs w:val="16"/>
              </w:rPr>
            </w:pPr>
            <w:r>
              <w:rPr>
                <w:rFonts w:cs="Arial"/>
                <w:bCs/>
                <w:iCs/>
                <w:color w:val="0D0D0D" w:themeColor="text1" w:themeTint="F2"/>
                <w:sz w:val="16"/>
                <w:szCs w:val="16"/>
              </w:rPr>
              <w:t>i rozpočtová očekávání</w:t>
            </w:r>
          </w:p>
        </w:tc>
        <w:tc>
          <w:tcPr>
            <w:tcW w:w="140" w:type="pct"/>
          </w:tcPr>
          <w:p w:rsidR="007A4048" w:rsidRPr="00807B25" w:rsidRDefault="007A4048" w:rsidP="0002434F">
            <w:pPr>
              <w:pStyle w:val="Textpoznpodarou"/>
              <w:jc w:val="both"/>
              <w:rPr>
                <w:rFonts w:cs="Arial"/>
                <w:color w:val="0D0D0D" w:themeColor="text1" w:themeTint="F2"/>
                <w:spacing w:val="-4"/>
              </w:rPr>
            </w:pPr>
          </w:p>
        </w:tc>
        <w:tc>
          <w:tcPr>
            <w:tcW w:w="3757" w:type="pct"/>
            <w:gridSpan w:val="3"/>
          </w:tcPr>
          <w:p w:rsidR="007A4048" w:rsidRPr="00741F3C" w:rsidRDefault="007A4048" w:rsidP="0002434F">
            <w:pPr>
              <w:pStyle w:val="Textpoznpodarou"/>
              <w:jc w:val="both"/>
              <w:rPr>
                <w:rFonts w:cs="Arial"/>
                <w:spacing w:val="-4"/>
              </w:rPr>
            </w:pPr>
            <w:r w:rsidRPr="00741F3C">
              <w:rPr>
                <w:rFonts w:cs="Arial"/>
                <w:spacing w:val="-4"/>
              </w:rPr>
              <w:t>Velmi dobrá kondice pracovního trhu vyjádřená plynulým zvyšováním zaměstnanosti a sílícími růstovými tempy průměrných mezd se v 1. čtvrtletí projevila vysokou dynamikou celostátního inkasa daně z příjmu fyzických osob (DPFO) ze závislé činnosti (+8,3</w:t>
            </w:r>
            <w:r w:rsidRPr="00741F3C">
              <w:rPr>
                <w:rFonts w:cs="Arial"/>
                <w:color w:val="0D0D0D" w:themeColor="text1" w:themeTint="F2"/>
                <w:spacing w:val="-4"/>
              </w:rPr>
              <w:t> </w:t>
            </w:r>
            <w:r w:rsidRPr="00741F3C">
              <w:rPr>
                <w:rFonts w:cs="Arial"/>
                <w:spacing w:val="-4"/>
              </w:rPr>
              <w:t xml:space="preserve">%, třetí nejvyšší za posledních 18 čtvrtletí). I na úrovni SR jeho tempo převyšovalo rozpočtová očekávání, v dalších měsících bude ale postupně negativně ovlivňováno zvýšením daňového zvýhodnění pro rodiny s větším počtem dětí. Vývoj ekonomiky podpořil i výběr DPFO placené na základě přiznání, na konci května (po zohlednění pravidelných vratek) byl výsledek meziročně o 3,5 mld. korun příznivější. Naopak DPFO z kapitálových výnosů se překvapivě pohyboval pod loňskou úrovní. </w:t>
            </w:r>
          </w:p>
          <w:p w:rsidR="007A4048" w:rsidRPr="002C493D" w:rsidRDefault="007A4048" w:rsidP="0002434F">
            <w:pPr>
              <w:pStyle w:val="Textpoznpodarou"/>
              <w:jc w:val="both"/>
              <w:rPr>
                <w:rFonts w:cs="Arial"/>
                <w:spacing w:val="-2"/>
                <w:sz w:val="16"/>
                <w:szCs w:val="16"/>
              </w:rPr>
            </w:pPr>
          </w:p>
        </w:tc>
      </w:tr>
      <w:tr w:rsidR="007A4048" w:rsidRPr="00A90EFD" w:rsidTr="002C0FF4">
        <w:trPr>
          <w:gridAfter w:val="1"/>
          <w:wAfter w:w="62" w:type="pct"/>
        </w:trPr>
        <w:tc>
          <w:tcPr>
            <w:tcW w:w="1041" w:type="pct"/>
            <w:gridSpan w:val="2"/>
          </w:tcPr>
          <w:p w:rsidR="007A4048" w:rsidRDefault="007A4048" w:rsidP="0002434F">
            <w:pPr>
              <w:spacing w:line="240" w:lineRule="auto"/>
              <w:rPr>
                <w:rFonts w:cs="Arial"/>
                <w:bCs/>
                <w:iCs/>
                <w:color w:val="0D0D0D" w:themeColor="text1" w:themeTint="F2"/>
                <w:spacing w:val="-2"/>
                <w:sz w:val="16"/>
                <w:szCs w:val="16"/>
              </w:rPr>
            </w:pPr>
            <w:r w:rsidRPr="002879E3">
              <w:rPr>
                <w:rFonts w:cs="Arial"/>
                <w:bCs/>
                <w:iCs/>
                <w:color w:val="0D0D0D" w:themeColor="text1" w:themeTint="F2"/>
                <w:spacing w:val="-2"/>
                <w:sz w:val="16"/>
                <w:szCs w:val="16"/>
              </w:rPr>
              <w:t xml:space="preserve">Meziroční tempo růstu inkasa </w:t>
            </w:r>
            <w:proofErr w:type="spellStart"/>
            <w:r w:rsidRPr="002879E3">
              <w:rPr>
                <w:rFonts w:cs="Arial"/>
                <w:bCs/>
                <w:iCs/>
                <w:color w:val="0D0D0D" w:themeColor="text1" w:themeTint="F2"/>
                <w:spacing w:val="-2"/>
                <w:sz w:val="16"/>
                <w:szCs w:val="16"/>
              </w:rPr>
              <w:t>korporátní</w:t>
            </w:r>
            <w:proofErr w:type="spellEnd"/>
            <w:r w:rsidRPr="002879E3">
              <w:rPr>
                <w:rFonts w:cs="Arial"/>
                <w:bCs/>
                <w:iCs/>
                <w:color w:val="0D0D0D" w:themeColor="text1" w:themeTint="F2"/>
                <w:spacing w:val="-2"/>
                <w:sz w:val="16"/>
                <w:szCs w:val="16"/>
              </w:rPr>
              <w:t xml:space="preserve"> daně atakovalo dvouciferné hodnoty již osm čtvrtletí </w:t>
            </w:r>
          </w:p>
          <w:p w:rsidR="007A4048" w:rsidRPr="002879E3" w:rsidRDefault="007A4048" w:rsidP="0002434F">
            <w:pPr>
              <w:spacing w:line="240" w:lineRule="auto"/>
              <w:rPr>
                <w:rFonts w:cs="Arial"/>
                <w:bCs/>
                <w:iCs/>
                <w:color w:val="0D0D0D" w:themeColor="text1" w:themeTint="F2"/>
                <w:spacing w:val="-2"/>
                <w:sz w:val="16"/>
                <w:szCs w:val="16"/>
              </w:rPr>
            </w:pPr>
            <w:r w:rsidRPr="002879E3">
              <w:rPr>
                <w:rFonts w:cs="Arial"/>
                <w:bCs/>
                <w:iCs/>
                <w:color w:val="0D0D0D" w:themeColor="text1" w:themeTint="F2"/>
                <w:spacing w:val="-2"/>
                <w:sz w:val="16"/>
                <w:szCs w:val="16"/>
              </w:rPr>
              <w:t>v řadě</w:t>
            </w:r>
          </w:p>
          <w:p w:rsidR="007A4048" w:rsidRPr="00A90EFD" w:rsidRDefault="007A4048" w:rsidP="0002434F">
            <w:pPr>
              <w:spacing w:line="240" w:lineRule="auto"/>
              <w:rPr>
                <w:rFonts w:cs="Arial"/>
                <w:bCs/>
                <w:iCs/>
                <w:color w:val="0D0D0D" w:themeColor="text1" w:themeTint="F2"/>
                <w:szCs w:val="20"/>
              </w:rPr>
            </w:pPr>
          </w:p>
        </w:tc>
        <w:tc>
          <w:tcPr>
            <w:tcW w:w="140" w:type="pct"/>
          </w:tcPr>
          <w:p w:rsidR="007A4048" w:rsidRPr="00807B25" w:rsidRDefault="007A4048" w:rsidP="0002434F">
            <w:pPr>
              <w:pStyle w:val="Textpoznpodarou"/>
              <w:jc w:val="both"/>
              <w:rPr>
                <w:rFonts w:cs="Arial"/>
                <w:color w:val="0D0D0D" w:themeColor="text1" w:themeTint="F2"/>
                <w:spacing w:val="-4"/>
              </w:rPr>
            </w:pPr>
          </w:p>
        </w:tc>
        <w:tc>
          <w:tcPr>
            <w:tcW w:w="3757" w:type="pct"/>
            <w:gridSpan w:val="3"/>
          </w:tcPr>
          <w:p w:rsidR="007A4048" w:rsidRPr="002C0FF4" w:rsidRDefault="007A4048" w:rsidP="0002434F">
            <w:pPr>
              <w:pStyle w:val="Textpoznpodarou"/>
              <w:jc w:val="both"/>
              <w:rPr>
                <w:rFonts w:cs="Arial"/>
                <w:color w:val="0D0D0D" w:themeColor="text1" w:themeTint="F2"/>
              </w:rPr>
            </w:pPr>
            <w:r w:rsidRPr="002C0FF4">
              <w:rPr>
                <w:rFonts w:cs="Arial"/>
                <w:color w:val="0D0D0D" w:themeColor="text1" w:themeTint="F2"/>
              </w:rPr>
              <w:t xml:space="preserve">Sílící zisky podniků stále více prosakují do celostátního výběru </w:t>
            </w:r>
            <w:proofErr w:type="spellStart"/>
            <w:r w:rsidRPr="002C0FF4">
              <w:rPr>
                <w:rFonts w:cs="Arial"/>
                <w:color w:val="0D0D0D" w:themeColor="text1" w:themeTint="F2"/>
              </w:rPr>
              <w:t>korporátních</w:t>
            </w:r>
            <w:proofErr w:type="spellEnd"/>
            <w:r w:rsidRPr="002C0FF4">
              <w:rPr>
                <w:rFonts w:cs="Arial"/>
                <w:color w:val="0D0D0D" w:themeColor="text1" w:themeTint="F2"/>
              </w:rPr>
              <w:t xml:space="preserve"> daní, jenž byl v 1. čtvrtletí meziročně o osminu vyšší. Zároveň se již téměř dostal na</w:t>
            </w:r>
            <w:r w:rsidR="002C0FF4" w:rsidRPr="002C0FF4">
              <w:rPr>
                <w:rFonts w:cs="Arial"/>
                <w:color w:val="0D0D0D" w:themeColor="text1" w:themeTint="F2"/>
              </w:rPr>
              <w:t> </w:t>
            </w:r>
            <w:r w:rsidRPr="002C0FF4">
              <w:rPr>
                <w:rFonts w:cs="Arial"/>
                <w:color w:val="0D0D0D" w:themeColor="text1" w:themeTint="F2"/>
              </w:rPr>
              <w:t xml:space="preserve">úroveň svého dosavadního maxima (1. čtvrtletí 2008, u DPFO ze závislé činnosti byl proti obdobné předkrizové úrovni již o šestinu vyšší). Větší vypovídací hodnotu vzhledem k roku 2016 však bude mít až údaj za 2. čtvrtletí, ve kterém již budou zahrnuty i výsledky přiznání největších plátců daně. </w:t>
            </w:r>
          </w:p>
          <w:p w:rsidR="007A4048" w:rsidRPr="0014428D" w:rsidRDefault="007A4048" w:rsidP="0002434F">
            <w:pPr>
              <w:pStyle w:val="Textpoznpodarou"/>
              <w:jc w:val="both"/>
              <w:rPr>
                <w:rFonts w:cs="Arial"/>
                <w:color w:val="0D0D0D" w:themeColor="text1" w:themeTint="F2"/>
                <w:spacing w:val="-2"/>
                <w:sz w:val="14"/>
                <w:szCs w:val="14"/>
              </w:rPr>
            </w:pPr>
          </w:p>
        </w:tc>
      </w:tr>
      <w:tr w:rsidR="007A4048" w:rsidRPr="00A90EFD" w:rsidTr="002C0FF4">
        <w:trPr>
          <w:gridAfter w:val="1"/>
          <w:wAfter w:w="62" w:type="pct"/>
        </w:trPr>
        <w:tc>
          <w:tcPr>
            <w:tcW w:w="1041" w:type="pct"/>
            <w:gridSpan w:val="2"/>
          </w:tcPr>
          <w:p w:rsidR="007A4048" w:rsidRDefault="007A4048" w:rsidP="0002434F">
            <w:pPr>
              <w:spacing w:line="240" w:lineRule="auto"/>
              <w:rPr>
                <w:rFonts w:cs="Arial"/>
                <w:bCs/>
                <w:iCs/>
                <w:color w:val="0D0D0D" w:themeColor="text1" w:themeTint="F2"/>
                <w:spacing w:val="-4"/>
                <w:sz w:val="16"/>
                <w:szCs w:val="16"/>
              </w:rPr>
            </w:pPr>
            <w:r w:rsidRPr="00F745A4">
              <w:rPr>
                <w:rFonts w:cs="Arial"/>
                <w:bCs/>
                <w:iCs/>
                <w:color w:val="0D0D0D" w:themeColor="text1" w:themeTint="F2"/>
                <w:spacing w:val="-4"/>
                <w:sz w:val="16"/>
                <w:szCs w:val="16"/>
              </w:rPr>
              <w:t xml:space="preserve">Výrazné zpomalení </w:t>
            </w:r>
            <w:r>
              <w:rPr>
                <w:rFonts w:cs="Arial"/>
                <w:bCs/>
                <w:iCs/>
                <w:color w:val="0D0D0D" w:themeColor="text1" w:themeTint="F2"/>
                <w:spacing w:val="-4"/>
                <w:sz w:val="16"/>
                <w:szCs w:val="16"/>
              </w:rPr>
              <w:t>tempa růstu výdajů SR</w:t>
            </w:r>
          </w:p>
          <w:p w:rsidR="007A4048" w:rsidRDefault="007A4048" w:rsidP="0002434F">
            <w:pPr>
              <w:spacing w:line="240" w:lineRule="auto"/>
              <w:rPr>
                <w:rFonts w:cs="Arial"/>
                <w:bCs/>
                <w:iCs/>
                <w:color w:val="0D0D0D" w:themeColor="text1" w:themeTint="F2"/>
                <w:spacing w:val="-4"/>
                <w:sz w:val="16"/>
                <w:szCs w:val="16"/>
              </w:rPr>
            </w:pPr>
          </w:p>
          <w:p w:rsidR="007A4048" w:rsidRDefault="007A4048" w:rsidP="0002434F">
            <w:pPr>
              <w:spacing w:line="240" w:lineRule="auto"/>
              <w:rPr>
                <w:rFonts w:cs="Arial"/>
                <w:bCs/>
                <w:iCs/>
                <w:color w:val="0D0D0D" w:themeColor="text1" w:themeTint="F2"/>
                <w:spacing w:val="-4"/>
                <w:sz w:val="16"/>
                <w:szCs w:val="16"/>
              </w:rPr>
            </w:pPr>
          </w:p>
          <w:p w:rsidR="007A4048" w:rsidRDefault="007A4048" w:rsidP="0002434F">
            <w:pPr>
              <w:spacing w:line="240" w:lineRule="auto"/>
              <w:rPr>
                <w:rFonts w:cs="Arial"/>
                <w:bCs/>
                <w:iCs/>
                <w:color w:val="0D0D0D" w:themeColor="text1" w:themeTint="F2"/>
                <w:spacing w:val="-4"/>
                <w:sz w:val="16"/>
                <w:szCs w:val="16"/>
              </w:rPr>
            </w:pPr>
          </w:p>
          <w:p w:rsidR="007A4048" w:rsidRDefault="007A4048" w:rsidP="0002434F">
            <w:pPr>
              <w:spacing w:line="240" w:lineRule="auto"/>
              <w:rPr>
                <w:rFonts w:cs="Arial"/>
                <w:bCs/>
                <w:iCs/>
                <w:color w:val="0D0D0D" w:themeColor="text1" w:themeTint="F2"/>
                <w:spacing w:val="-4"/>
                <w:sz w:val="16"/>
                <w:szCs w:val="16"/>
              </w:rPr>
            </w:pPr>
          </w:p>
          <w:p w:rsidR="007A4048" w:rsidRDefault="007A4048" w:rsidP="0002434F">
            <w:pPr>
              <w:spacing w:line="240" w:lineRule="auto"/>
              <w:rPr>
                <w:rFonts w:cs="Arial"/>
                <w:bCs/>
                <w:iCs/>
                <w:color w:val="0D0D0D" w:themeColor="text1" w:themeTint="F2"/>
                <w:spacing w:val="-4"/>
                <w:sz w:val="16"/>
                <w:szCs w:val="16"/>
              </w:rPr>
            </w:pPr>
          </w:p>
          <w:p w:rsidR="007A4048" w:rsidRPr="00F745A4" w:rsidRDefault="007A4048" w:rsidP="0002434F">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lastRenderedPageBreak/>
              <w:t xml:space="preserve">Dosud velmi nízká alokace investic SR určených na rozvojové projekty v novém programovacím období </w:t>
            </w:r>
          </w:p>
        </w:tc>
        <w:tc>
          <w:tcPr>
            <w:tcW w:w="140" w:type="pct"/>
          </w:tcPr>
          <w:p w:rsidR="007A4048" w:rsidRPr="00782BA5" w:rsidRDefault="007A4048" w:rsidP="0002434F">
            <w:pPr>
              <w:pStyle w:val="Textpoznpodarou"/>
              <w:jc w:val="both"/>
              <w:rPr>
                <w:rFonts w:cs="Arial"/>
                <w:color w:val="000000" w:themeColor="text1"/>
                <w:spacing w:val="-4"/>
              </w:rPr>
            </w:pPr>
          </w:p>
        </w:tc>
        <w:tc>
          <w:tcPr>
            <w:tcW w:w="3757" w:type="pct"/>
            <w:gridSpan w:val="3"/>
          </w:tcPr>
          <w:p w:rsidR="007A4048" w:rsidRPr="00E26A48" w:rsidRDefault="007A4048" w:rsidP="0002434F">
            <w:pPr>
              <w:pStyle w:val="Textpoznpodarou"/>
              <w:jc w:val="both"/>
              <w:rPr>
                <w:rFonts w:cs="Arial"/>
                <w:color w:val="000000" w:themeColor="text1"/>
                <w:spacing w:val="-2"/>
              </w:rPr>
            </w:pPr>
            <w:r w:rsidRPr="00E26A48">
              <w:rPr>
                <w:rFonts w:cs="Arial"/>
                <w:color w:val="000000" w:themeColor="text1"/>
                <w:spacing w:val="-2"/>
              </w:rPr>
              <w:t xml:space="preserve">Růst celkových výdajů SR meziročně zpomalil na </w:t>
            </w:r>
            <w:proofErr w:type="gramStart"/>
            <w:r w:rsidRPr="00E26A48">
              <w:rPr>
                <w:rFonts w:cs="Arial"/>
                <w:color w:val="000000" w:themeColor="text1"/>
                <w:spacing w:val="-2"/>
              </w:rPr>
              <w:t>1,3 % (z 4,9</w:t>
            </w:r>
            <w:proofErr w:type="gramEnd"/>
            <w:r w:rsidRPr="00E26A48">
              <w:rPr>
                <w:rFonts w:cs="Arial"/>
                <w:color w:val="000000" w:themeColor="text1"/>
                <w:spacing w:val="-2"/>
              </w:rPr>
              <w:t xml:space="preserve"> % v 1. čtvrtletí 2015), i tak šlo o druhé nejvyšší tempo za posledních šest let. Téměř shodným umírněným tempem se navýšily jak běžné, tak i kapitálové výdaje. Z dílčích položek k růstu všech výdajů citelněji přispěly jen prostředky na důchody (+6,5 mld. korun), platy státních zaměstnanců (+1 mld. korun) a neinvestiční transfery územním rozpočtům (zejména na regionální školství). Celkové investice byly naopak meziročně jen </w:t>
            </w:r>
            <w:r w:rsidRPr="00E26A48">
              <w:rPr>
                <w:rFonts w:cs="Arial"/>
                <w:color w:val="000000" w:themeColor="text1"/>
                <w:spacing w:val="-2"/>
              </w:rPr>
              <w:lastRenderedPageBreak/>
              <w:t>o</w:t>
            </w:r>
            <w:r w:rsidR="002C0FF4">
              <w:rPr>
                <w:rFonts w:cs="Arial"/>
                <w:color w:val="000000" w:themeColor="text1"/>
                <w:spacing w:val="-2"/>
              </w:rPr>
              <w:t> </w:t>
            </w:r>
            <w:r w:rsidRPr="00E26A48">
              <w:rPr>
                <w:rFonts w:cs="Arial"/>
                <w:color w:val="000000" w:themeColor="text1"/>
                <w:spacing w:val="-2"/>
              </w:rPr>
              <w:t>0,2</w:t>
            </w:r>
            <w:r w:rsidR="002C0FF4">
              <w:rPr>
                <w:rFonts w:cs="Arial"/>
                <w:color w:val="000000" w:themeColor="text1"/>
                <w:spacing w:val="-2"/>
              </w:rPr>
              <w:t> </w:t>
            </w:r>
            <w:r w:rsidRPr="00E26A48">
              <w:rPr>
                <w:rFonts w:cs="Arial"/>
                <w:color w:val="000000" w:themeColor="text1"/>
                <w:spacing w:val="-2"/>
              </w:rPr>
              <w:t>mld. vyšší. Čtyři pětiny směřovalo na společné programy ČR a EU. Drtivá většina z toho se však ještě týkala programovacího období 2007</w:t>
            </w:r>
            <w:r w:rsidRPr="00E26A48">
              <w:rPr>
                <w:rFonts w:cs="Arial"/>
                <w:color w:val="0D0D0D" w:themeColor="text1" w:themeTint="F2"/>
                <w:spacing w:val="-2"/>
              </w:rPr>
              <w:t>–</w:t>
            </w:r>
            <w:r w:rsidRPr="00E26A48">
              <w:rPr>
                <w:rFonts w:cs="Arial"/>
                <w:color w:val="000000" w:themeColor="text1"/>
                <w:spacing w:val="-2"/>
              </w:rPr>
              <w:t>2013, což jen potvrzuje očekávaný předpoklad, že náběh nového období čerpání bude s ohledem na celkově nižší připravenost projektů pomalejší</w:t>
            </w:r>
            <w:r w:rsidRPr="00E26A48">
              <w:rPr>
                <w:rStyle w:val="Znakapoznpodarou"/>
                <w:color w:val="000000" w:themeColor="text1"/>
                <w:spacing w:val="-2"/>
              </w:rPr>
              <w:footnoteReference w:id="2"/>
            </w:r>
            <w:r w:rsidRPr="00E26A48">
              <w:rPr>
                <w:rFonts w:cs="Arial"/>
                <w:color w:val="000000" w:themeColor="text1"/>
                <w:spacing w:val="-2"/>
              </w:rPr>
              <w:t>. Podíl investic na</w:t>
            </w:r>
            <w:r w:rsidR="002C0FF4">
              <w:rPr>
                <w:rFonts w:cs="Arial"/>
                <w:color w:val="000000" w:themeColor="text1"/>
                <w:spacing w:val="-2"/>
              </w:rPr>
              <w:t> </w:t>
            </w:r>
            <w:r w:rsidRPr="00E26A48">
              <w:rPr>
                <w:rFonts w:cs="Arial"/>
                <w:color w:val="000000" w:themeColor="text1"/>
                <w:spacing w:val="-2"/>
              </w:rPr>
              <w:t>celkových výdajích SR meziročně stagnoval na 6,7 %, v prvních měsících let 2008</w:t>
            </w:r>
            <w:r w:rsidR="00380E6C">
              <w:rPr>
                <w:rFonts w:cs="Arial"/>
                <w:color w:val="0D0D0D" w:themeColor="text1" w:themeTint="F2"/>
                <w:spacing w:val="-2"/>
              </w:rPr>
              <w:t>–</w:t>
            </w:r>
            <w:r w:rsidRPr="00E26A48">
              <w:rPr>
                <w:rFonts w:cs="Arial"/>
                <w:color w:val="0D0D0D" w:themeColor="text1" w:themeTint="F2"/>
                <w:spacing w:val="-2"/>
              </w:rPr>
              <w:t>2</w:t>
            </w:r>
            <w:r w:rsidRPr="00E26A48">
              <w:rPr>
                <w:rFonts w:cs="Arial"/>
                <w:color w:val="000000" w:themeColor="text1"/>
                <w:spacing w:val="-2"/>
              </w:rPr>
              <w:t>010 byl však o téměř 5 </w:t>
            </w:r>
            <w:proofErr w:type="spellStart"/>
            <w:proofErr w:type="gramStart"/>
            <w:r w:rsidRPr="00E26A48">
              <w:rPr>
                <w:rFonts w:cs="Arial"/>
                <w:color w:val="000000" w:themeColor="text1"/>
                <w:spacing w:val="-2"/>
              </w:rPr>
              <w:t>p.b</w:t>
            </w:r>
            <w:proofErr w:type="spellEnd"/>
            <w:r w:rsidRPr="00E26A48">
              <w:rPr>
                <w:rFonts w:cs="Arial"/>
                <w:color w:val="000000" w:themeColor="text1"/>
                <w:spacing w:val="-2"/>
              </w:rPr>
              <w:t>. vyšší</w:t>
            </w:r>
            <w:proofErr w:type="gramEnd"/>
            <w:r w:rsidRPr="00E26A48">
              <w:rPr>
                <w:rFonts w:cs="Arial"/>
                <w:color w:val="000000" w:themeColor="text1"/>
                <w:spacing w:val="-2"/>
              </w:rPr>
              <w:t>.</w:t>
            </w:r>
          </w:p>
          <w:p w:rsidR="007A4048" w:rsidRPr="0014428D" w:rsidRDefault="007A4048" w:rsidP="0002434F">
            <w:pPr>
              <w:pStyle w:val="Textpoznpodarou"/>
              <w:jc w:val="both"/>
              <w:rPr>
                <w:rFonts w:cs="Arial"/>
                <w:color w:val="000000" w:themeColor="text1"/>
                <w:spacing w:val="-2"/>
                <w:sz w:val="16"/>
                <w:szCs w:val="16"/>
              </w:rPr>
            </w:pPr>
          </w:p>
        </w:tc>
      </w:tr>
      <w:tr w:rsidR="007A4048" w:rsidRPr="00A90EFD" w:rsidTr="002C0FF4">
        <w:trPr>
          <w:gridAfter w:val="1"/>
          <w:wAfter w:w="62" w:type="pct"/>
        </w:trPr>
        <w:tc>
          <w:tcPr>
            <w:tcW w:w="1041" w:type="pct"/>
            <w:gridSpan w:val="2"/>
          </w:tcPr>
          <w:p w:rsidR="007A4048" w:rsidRPr="006E7FAA" w:rsidRDefault="007A4048" w:rsidP="0002434F">
            <w:pPr>
              <w:spacing w:line="240" w:lineRule="auto"/>
              <w:rPr>
                <w:rFonts w:cs="Arial"/>
                <w:color w:val="0D0D0D" w:themeColor="text1" w:themeTint="F2"/>
                <w:spacing w:val="-2"/>
                <w:sz w:val="16"/>
                <w:szCs w:val="16"/>
              </w:rPr>
            </w:pPr>
            <w:r w:rsidRPr="006E7FAA">
              <w:rPr>
                <w:rFonts w:cs="Arial"/>
                <w:color w:val="0D0D0D" w:themeColor="text1" w:themeTint="F2"/>
                <w:spacing w:val="-2"/>
                <w:sz w:val="16"/>
                <w:szCs w:val="16"/>
              </w:rPr>
              <w:lastRenderedPageBreak/>
              <w:t xml:space="preserve">Deficit salda důchodového účtu se poprvé po čtyřech letech opět prohloubil, výhradně vlivem </w:t>
            </w:r>
            <w:r>
              <w:rPr>
                <w:rFonts w:cs="Arial"/>
                <w:color w:val="0D0D0D" w:themeColor="text1" w:themeTint="F2"/>
                <w:spacing w:val="-2"/>
                <w:sz w:val="16"/>
                <w:szCs w:val="16"/>
              </w:rPr>
              <w:t>jednorázového příspěvku vyplaceného k důchodům nad rámec běžné valorizace</w:t>
            </w:r>
          </w:p>
        </w:tc>
        <w:tc>
          <w:tcPr>
            <w:tcW w:w="140" w:type="pct"/>
          </w:tcPr>
          <w:p w:rsidR="007A4048" w:rsidRPr="00A90EFD" w:rsidRDefault="007A4048" w:rsidP="0002434F">
            <w:pPr>
              <w:pStyle w:val="Textpoznpodarou"/>
              <w:jc w:val="both"/>
              <w:rPr>
                <w:rFonts w:cs="Arial"/>
                <w:color w:val="0D0D0D" w:themeColor="text1" w:themeTint="F2"/>
              </w:rPr>
            </w:pPr>
          </w:p>
        </w:tc>
        <w:tc>
          <w:tcPr>
            <w:tcW w:w="3757" w:type="pct"/>
            <w:gridSpan w:val="3"/>
          </w:tcPr>
          <w:p w:rsidR="007A4048" w:rsidRPr="002C0FF4" w:rsidRDefault="007A4048" w:rsidP="0002434F">
            <w:pPr>
              <w:pStyle w:val="Textpoznpodarou"/>
              <w:jc w:val="both"/>
              <w:rPr>
                <w:rFonts w:cs="Arial"/>
                <w:color w:val="0D0D0D" w:themeColor="text1" w:themeTint="F2"/>
              </w:rPr>
            </w:pPr>
            <w:r w:rsidRPr="002C0FF4">
              <w:rPr>
                <w:rFonts w:cs="Arial"/>
                <w:color w:val="0D0D0D" w:themeColor="text1" w:themeTint="F2"/>
              </w:rPr>
              <w:t xml:space="preserve">Plných 77 % prostředků ze sociálních dávek šlo na důchody, na nichž bylo vyplaceno meziročně o 7,2 % více, především zásluhou jednorázového únorového </w:t>
            </w:r>
            <w:r w:rsidRPr="002C0FF4">
              <w:rPr>
                <w:rFonts w:cs="Arial"/>
                <w:color w:val="0D0D0D" w:themeColor="text1" w:themeTint="F2"/>
                <w:spacing w:val="-2"/>
              </w:rPr>
              <w:t>příspěvku (1</w:t>
            </w:r>
            <w:r w:rsidRPr="002C0FF4">
              <w:rPr>
                <w:rFonts w:cs="Arial"/>
                <w:color w:val="000000" w:themeColor="text1"/>
                <w:spacing w:val="-2"/>
              </w:rPr>
              <w:t> </w:t>
            </w:r>
            <w:r w:rsidRPr="002C0FF4">
              <w:rPr>
                <w:rFonts w:cs="Arial"/>
                <w:color w:val="0D0D0D" w:themeColor="text1" w:themeTint="F2"/>
                <w:spacing w:val="-2"/>
              </w:rPr>
              <w:t>200 korun) nad rámec standardní valorizace (opětovně platné od</w:t>
            </w:r>
            <w:r w:rsidRPr="002C0FF4">
              <w:rPr>
                <w:rFonts w:cs="Arial"/>
                <w:color w:val="0D0D0D" w:themeColor="text1" w:themeTint="F2"/>
              </w:rPr>
              <w:t xml:space="preserve"> ledna 2015). Na</w:t>
            </w:r>
            <w:r w:rsidR="002C0FF4" w:rsidRPr="002C0FF4">
              <w:rPr>
                <w:rFonts w:cs="Arial"/>
                <w:color w:val="0D0D0D" w:themeColor="text1" w:themeTint="F2"/>
              </w:rPr>
              <w:t> </w:t>
            </w:r>
            <w:r w:rsidRPr="002C0FF4">
              <w:rPr>
                <w:rFonts w:cs="Arial"/>
                <w:color w:val="0D0D0D" w:themeColor="text1" w:themeTint="F2"/>
              </w:rPr>
              <w:t xml:space="preserve">růst výdajů na důchody působil i rostoucí počet příjemců (+0,4 %, výhradně vlivem vyššího počtu starobních </w:t>
            </w:r>
            <w:r w:rsidRPr="002C0FF4">
              <w:rPr>
                <w:rFonts w:cs="Arial"/>
                <w:color w:val="000000" w:themeColor="text1"/>
              </w:rPr>
              <w:t xml:space="preserve">důchodců). Deficit salda důchodového účtu (rozdíl mezi příjmy a výdaji na důchody ze SR) se poprvé po čtyřech letech opět meziročně prohloubil (na 5,3 mld. korun), avšak pouze vlivem vyplaceného jednorázového únorového příspěvku. Za prvních pět měsíců činil deficit 7,7 mld. korun a byl již meziročně opět příznivější, neboť zrychlovalo tempo výběru pojistného (na 6,2 % meziročně). </w:t>
            </w:r>
          </w:p>
          <w:p w:rsidR="007A4048" w:rsidRPr="0014428D" w:rsidRDefault="007A4048" w:rsidP="0002434F">
            <w:pPr>
              <w:pStyle w:val="Textpoznpodarou"/>
              <w:jc w:val="both"/>
              <w:rPr>
                <w:rFonts w:cs="Arial"/>
                <w:color w:val="0D0D0D" w:themeColor="text1" w:themeTint="F2"/>
                <w:spacing w:val="-2"/>
                <w:sz w:val="16"/>
                <w:szCs w:val="16"/>
              </w:rPr>
            </w:pPr>
          </w:p>
        </w:tc>
      </w:tr>
      <w:tr w:rsidR="007A4048" w:rsidRPr="00A90EFD" w:rsidTr="002C0FF4">
        <w:trPr>
          <w:gridAfter w:val="1"/>
          <w:wAfter w:w="62" w:type="pct"/>
        </w:trPr>
        <w:tc>
          <w:tcPr>
            <w:tcW w:w="1041" w:type="pct"/>
            <w:gridSpan w:val="2"/>
          </w:tcPr>
          <w:p w:rsidR="007A4048" w:rsidRDefault="007A4048" w:rsidP="0002434F">
            <w:pPr>
              <w:spacing w:line="240" w:lineRule="auto"/>
              <w:rPr>
                <w:rFonts w:cs="Arial"/>
                <w:bCs/>
                <w:iCs/>
                <w:color w:val="0D0D0D" w:themeColor="text1" w:themeTint="F2"/>
                <w:sz w:val="16"/>
                <w:szCs w:val="16"/>
              </w:rPr>
            </w:pPr>
            <w:r w:rsidRPr="00906D15">
              <w:rPr>
                <w:rFonts w:cs="Arial"/>
                <w:bCs/>
                <w:iCs/>
                <w:color w:val="0D0D0D" w:themeColor="text1" w:themeTint="F2"/>
                <w:sz w:val="16"/>
                <w:szCs w:val="16"/>
              </w:rPr>
              <w:t>Ostatní sociální dávky</w:t>
            </w:r>
          </w:p>
          <w:p w:rsidR="007A4048" w:rsidRDefault="007A4048" w:rsidP="0002434F">
            <w:pPr>
              <w:spacing w:line="240" w:lineRule="auto"/>
              <w:rPr>
                <w:rFonts w:cs="Arial"/>
                <w:bCs/>
                <w:iCs/>
                <w:color w:val="0D0D0D" w:themeColor="text1" w:themeTint="F2"/>
                <w:sz w:val="16"/>
                <w:szCs w:val="16"/>
              </w:rPr>
            </w:pPr>
            <w:r w:rsidRPr="00906D15">
              <w:rPr>
                <w:rFonts w:cs="Arial"/>
                <w:bCs/>
                <w:iCs/>
                <w:color w:val="0D0D0D" w:themeColor="text1" w:themeTint="F2"/>
                <w:sz w:val="16"/>
                <w:szCs w:val="16"/>
              </w:rPr>
              <w:t>(tj. bez důchodů) rostly nejnižším tempem za poslední čtyři roky</w:t>
            </w:r>
          </w:p>
          <w:p w:rsidR="007A4048" w:rsidRDefault="007A4048" w:rsidP="0002434F">
            <w:pPr>
              <w:spacing w:line="240" w:lineRule="auto"/>
              <w:rPr>
                <w:rFonts w:cs="Arial"/>
                <w:bCs/>
                <w:iCs/>
                <w:color w:val="0D0D0D" w:themeColor="text1" w:themeTint="F2"/>
                <w:sz w:val="16"/>
                <w:szCs w:val="16"/>
              </w:rPr>
            </w:pPr>
          </w:p>
          <w:p w:rsidR="007A4048" w:rsidRDefault="007A4048" w:rsidP="0002434F">
            <w:pPr>
              <w:spacing w:line="240" w:lineRule="auto"/>
              <w:rPr>
                <w:rFonts w:cs="Arial"/>
                <w:bCs/>
                <w:iCs/>
                <w:color w:val="0D0D0D" w:themeColor="text1" w:themeTint="F2"/>
                <w:sz w:val="16"/>
                <w:szCs w:val="16"/>
              </w:rPr>
            </w:pPr>
          </w:p>
          <w:p w:rsidR="007A4048" w:rsidRDefault="007A4048" w:rsidP="0002434F">
            <w:pPr>
              <w:spacing w:line="240" w:lineRule="auto"/>
              <w:rPr>
                <w:rFonts w:cs="Arial"/>
                <w:bCs/>
                <w:iCs/>
                <w:color w:val="0D0D0D" w:themeColor="text1" w:themeTint="F2"/>
                <w:sz w:val="16"/>
                <w:szCs w:val="16"/>
              </w:rPr>
            </w:pPr>
          </w:p>
          <w:p w:rsidR="007A4048" w:rsidRPr="00BA3B5F" w:rsidRDefault="007A4048" w:rsidP="0002434F">
            <w:pPr>
              <w:spacing w:line="240" w:lineRule="auto"/>
              <w:rPr>
                <w:rFonts w:cs="Arial"/>
                <w:bCs/>
                <w:iCs/>
                <w:color w:val="000000" w:themeColor="text1"/>
                <w:spacing w:val="-4"/>
                <w:sz w:val="16"/>
                <w:szCs w:val="16"/>
              </w:rPr>
            </w:pPr>
            <w:r w:rsidRPr="00BA3B5F">
              <w:rPr>
                <w:rFonts w:cs="Arial"/>
                <w:bCs/>
                <w:iCs/>
                <w:color w:val="000000" w:themeColor="text1"/>
                <w:spacing w:val="-4"/>
                <w:sz w:val="16"/>
                <w:szCs w:val="16"/>
              </w:rPr>
              <w:t>Výdaje na dávky nemocenského pojištění dosáhly nejvyšší absolutní výše po roce 2009, přesto byly stále o téměř 300 mil. korun nižší než objem vybraného pojistného</w:t>
            </w:r>
          </w:p>
          <w:p w:rsidR="007A4048" w:rsidRPr="00A90EFD" w:rsidRDefault="007A4048" w:rsidP="0002434F">
            <w:pPr>
              <w:spacing w:line="240" w:lineRule="auto"/>
              <w:rPr>
                <w:rFonts w:cs="Arial"/>
                <w:bCs/>
                <w:iCs/>
                <w:color w:val="0D0D0D" w:themeColor="text1" w:themeTint="F2"/>
                <w:szCs w:val="20"/>
              </w:rPr>
            </w:pPr>
          </w:p>
        </w:tc>
        <w:tc>
          <w:tcPr>
            <w:tcW w:w="140" w:type="pct"/>
          </w:tcPr>
          <w:p w:rsidR="007A4048" w:rsidRPr="00A90EFD" w:rsidRDefault="007A4048" w:rsidP="0002434F">
            <w:pPr>
              <w:pStyle w:val="Textpoznpodarou"/>
              <w:jc w:val="both"/>
              <w:rPr>
                <w:rFonts w:cs="Arial"/>
                <w:color w:val="0D0D0D" w:themeColor="text1" w:themeTint="F2"/>
              </w:rPr>
            </w:pPr>
          </w:p>
        </w:tc>
        <w:tc>
          <w:tcPr>
            <w:tcW w:w="3757" w:type="pct"/>
            <w:gridSpan w:val="3"/>
          </w:tcPr>
          <w:p w:rsidR="007A4048" w:rsidRPr="002C0FF4" w:rsidRDefault="007A4048" w:rsidP="0002434F">
            <w:pPr>
              <w:pStyle w:val="Textpoznpodarou"/>
              <w:jc w:val="both"/>
              <w:rPr>
                <w:rFonts w:cs="Arial"/>
                <w:color w:val="000000" w:themeColor="text1"/>
              </w:rPr>
            </w:pPr>
            <w:r w:rsidRPr="002C0FF4">
              <w:rPr>
                <w:rFonts w:cs="Arial"/>
                <w:color w:val="0D0D0D" w:themeColor="text1" w:themeTint="F2"/>
              </w:rPr>
              <w:t>Tempo růstu ostatních sociálních dávek zpomalovalo (na 1,1 %), a to především zásluhou faktické stagnace výše objemově nejvýznamnější státní sociální podpory (v</w:t>
            </w:r>
            <w:r w:rsidR="002C0FF4" w:rsidRPr="002C0FF4">
              <w:rPr>
                <w:rFonts w:cs="Arial"/>
                <w:color w:val="0D0D0D" w:themeColor="text1" w:themeTint="F2"/>
              </w:rPr>
              <w:t> </w:t>
            </w:r>
            <w:r w:rsidRPr="002C0FF4">
              <w:rPr>
                <w:rFonts w:cs="Arial"/>
                <w:color w:val="0D0D0D" w:themeColor="text1" w:themeTint="F2"/>
              </w:rPr>
              <w:t xml:space="preserve">rámci ní významněji rostly jen dávky pěstounské péče). Stagnovaly i dávky sociální péče </w:t>
            </w:r>
            <w:r w:rsidRPr="002C0FF4">
              <w:rPr>
                <w:rFonts w:cs="Arial"/>
                <w:color w:val="000000" w:themeColor="text1"/>
              </w:rPr>
              <w:t>(kde vyšší výdaje na péči dle zákona o sociálních službách byly kompenzovány 11% poklesem výdajů na dávky v hmotné nouzi).</w:t>
            </w:r>
            <w:r w:rsidRPr="002C0FF4">
              <w:rPr>
                <w:rFonts w:cs="Arial"/>
                <w:color w:val="0D0D0D" w:themeColor="text1" w:themeTint="F2"/>
              </w:rPr>
              <w:t xml:space="preserve"> Celá 4 % ušetřil stát meziročně na podporách v nezaměstnanosti, když se počet nezaměstnaných osob v evidenci ÚP na konci března 2016 meziročně snížil o 82 tis. osob, současně však mírně narostl podíl uchazečů s nárokem na podporu (z 22,1 na</w:t>
            </w:r>
            <w:r w:rsidR="002C0FF4">
              <w:rPr>
                <w:rFonts w:cs="Arial"/>
                <w:color w:val="0D0D0D" w:themeColor="text1" w:themeTint="F2"/>
              </w:rPr>
              <w:t> </w:t>
            </w:r>
            <w:r w:rsidRPr="002C0FF4">
              <w:rPr>
                <w:rFonts w:cs="Arial"/>
                <w:color w:val="000000" w:themeColor="text1"/>
              </w:rPr>
              <w:t>24,5 %). Již třetí rok v řadě naopak zásluhou podpory z EU sílily výdaje na aktivní politiku zaměstnanosti. Ze sociálních dávek (bez důchodů) viditelně rostly jen výdaje na dávky nemocenského pojištění (za</w:t>
            </w:r>
            <w:r w:rsidR="002C0FF4" w:rsidRPr="002C0FF4">
              <w:rPr>
                <w:rFonts w:cs="Arial"/>
                <w:color w:val="000000" w:themeColor="text1"/>
              </w:rPr>
              <w:t> </w:t>
            </w:r>
            <w:r w:rsidRPr="002C0FF4">
              <w:rPr>
                <w:rFonts w:cs="Arial"/>
                <w:color w:val="000000" w:themeColor="text1"/>
              </w:rPr>
              <w:t xml:space="preserve">poslední dva roky o více než pětinu) a to vlivem legislativních opatření (opětovného vyplácení nemocenské již od 15. dne) a také růstu pracovní neschopnosti. </w:t>
            </w:r>
          </w:p>
          <w:p w:rsidR="007A4048" w:rsidRPr="0014428D" w:rsidRDefault="007A4048" w:rsidP="0002434F">
            <w:pPr>
              <w:pStyle w:val="Textpoznpodarou"/>
              <w:jc w:val="both"/>
              <w:rPr>
                <w:rFonts w:cs="Arial"/>
                <w:color w:val="0D0D0D" w:themeColor="text1" w:themeTint="F2"/>
                <w:spacing w:val="-4"/>
                <w:sz w:val="16"/>
                <w:szCs w:val="16"/>
              </w:rPr>
            </w:pPr>
          </w:p>
        </w:tc>
      </w:tr>
      <w:tr w:rsidR="007A4048" w:rsidRPr="00A90EFD" w:rsidTr="002C0FF4">
        <w:trPr>
          <w:gridAfter w:val="1"/>
          <w:wAfter w:w="62" w:type="pct"/>
        </w:trPr>
        <w:tc>
          <w:tcPr>
            <w:tcW w:w="1041" w:type="pct"/>
            <w:gridSpan w:val="2"/>
          </w:tcPr>
          <w:p w:rsidR="007A4048" w:rsidRPr="00584441" w:rsidRDefault="007A4048" w:rsidP="0002434F">
            <w:pPr>
              <w:spacing w:line="240" w:lineRule="auto"/>
              <w:rPr>
                <w:rFonts w:cs="Arial"/>
                <w:bCs/>
                <w:iCs/>
                <w:color w:val="000000" w:themeColor="text1"/>
                <w:sz w:val="16"/>
                <w:szCs w:val="16"/>
              </w:rPr>
            </w:pPr>
            <w:r w:rsidRPr="00584441">
              <w:rPr>
                <w:rFonts w:cs="Arial"/>
                <w:bCs/>
                <w:iCs/>
                <w:color w:val="000000" w:themeColor="text1"/>
                <w:sz w:val="16"/>
                <w:szCs w:val="16"/>
              </w:rPr>
              <w:t xml:space="preserve">Výdaje na státní dluh klesaly již druhý rok v řadě, </w:t>
            </w:r>
          </w:p>
          <w:p w:rsidR="007A4048" w:rsidRDefault="007A4048" w:rsidP="0002434F">
            <w:pPr>
              <w:spacing w:line="240" w:lineRule="auto"/>
              <w:rPr>
                <w:rFonts w:cs="Arial"/>
                <w:bCs/>
                <w:iCs/>
                <w:color w:val="000000" w:themeColor="text1"/>
                <w:sz w:val="16"/>
                <w:szCs w:val="16"/>
              </w:rPr>
            </w:pPr>
            <w:r w:rsidRPr="00584441">
              <w:rPr>
                <w:rFonts w:cs="Arial"/>
                <w:bCs/>
                <w:iCs/>
                <w:color w:val="000000" w:themeColor="text1"/>
                <w:sz w:val="16"/>
                <w:szCs w:val="16"/>
              </w:rPr>
              <w:t>v úhrnu o téměř 55 %</w:t>
            </w:r>
          </w:p>
          <w:p w:rsidR="007A4048" w:rsidRDefault="007A4048" w:rsidP="0002434F">
            <w:pPr>
              <w:spacing w:line="240" w:lineRule="auto"/>
              <w:rPr>
                <w:rFonts w:cs="Arial"/>
                <w:bCs/>
                <w:iCs/>
                <w:color w:val="000000" w:themeColor="text1"/>
                <w:sz w:val="16"/>
                <w:szCs w:val="16"/>
              </w:rPr>
            </w:pPr>
          </w:p>
          <w:p w:rsidR="007A4048" w:rsidRDefault="007A4048" w:rsidP="0002434F">
            <w:pPr>
              <w:spacing w:line="240" w:lineRule="auto"/>
              <w:rPr>
                <w:rFonts w:cs="Arial"/>
                <w:bCs/>
                <w:iCs/>
                <w:color w:val="000000" w:themeColor="text1"/>
                <w:sz w:val="16"/>
                <w:szCs w:val="16"/>
              </w:rPr>
            </w:pPr>
          </w:p>
          <w:p w:rsidR="007A4048" w:rsidRPr="00A90EFD" w:rsidRDefault="007A4048" w:rsidP="0002434F">
            <w:pPr>
              <w:spacing w:line="240" w:lineRule="auto"/>
              <w:rPr>
                <w:rFonts w:cs="Arial"/>
                <w:bCs/>
                <w:iCs/>
                <w:color w:val="000000" w:themeColor="text1"/>
                <w:szCs w:val="20"/>
              </w:rPr>
            </w:pPr>
            <w:r>
              <w:rPr>
                <w:rFonts w:cs="Arial"/>
                <w:bCs/>
                <w:iCs/>
                <w:color w:val="000000" w:themeColor="text1"/>
                <w:sz w:val="16"/>
                <w:szCs w:val="16"/>
              </w:rPr>
              <w:t xml:space="preserve">Mírný růst státního dluhu pokračoval již druhé čtvrtletí </w:t>
            </w:r>
          </w:p>
        </w:tc>
        <w:tc>
          <w:tcPr>
            <w:tcW w:w="140" w:type="pct"/>
          </w:tcPr>
          <w:p w:rsidR="007A4048" w:rsidRPr="00A90EFD" w:rsidRDefault="007A4048" w:rsidP="0002434F">
            <w:pPr>
              <w:pStyle w:val="Textpoznpodarou"/>
              <w:jc w:val="both"/>
              <w:rPr>
                <w:rFonts w:cs="Arial"/>
                <w:color w:val="0D0D0D" w:themeColor="text1" w:themeTint="F2"/>
              </w:rPr>
            </w:pPr>
          </w:p>
        </w:tc>
        <w:tc>
          <w:tcPr>
            <w:tcW w:w="3757" w:type="pct"/>
            <w:gridSpan w:val="3"/>
          </w:tcPr>
          <w:p w:rsidR="007A4048" w:rsidRPr="002C0FF4" w:rsidRDefault="007A4048" w:rsidP="0002434F">
            <w:pPr>
              <w:pStyle w:val="Textpoznpodarou"/>
              <w:jc w:val="both"/>
              <w:rPr>
                <w:rFonts w:cs="Arial"/>
                <w:color w:val="000000" w:themeColor="text1"/>
              </w:rPr>
            </w:pPr>
            <w:r w:rsidRPr="002C0FF4">
              <w:rPr>
                <w:rFonts w:cs="Arial"/>
                <w:color w:val="000000" w:themeColor="text1"/>
              </w:rPr>
              <w:t xml:space="preserve">Podobně jako loni SR ušetřil na odvodech do rozpočtu EU </w:t>
            </w:r>
            <w:r w:rsidRPr="002C0FF4">
              <w:rPr>
                <w:rFonts w:cs="Arial"/>
                <w:color w:val="0D0D0D" w:themeColor="text1" w:themeTint="F2"/>
              </w:rPr>
              <w:t>–</w:t>
            </w:r>
            <w:r w:rsidRPr="002C0FF4">
              <w:rPr>
                <w:rFonts w:cs="Arial"/>
                <w:color w:val="000000" w:themeColor="text1"/>
              </w:rPr>
              <w:t xml:space="preserve"> v 1. čtvrtletí 2016 o</w:t>
            </w:r>
            <w:r w:rsidR="002C0FF4">
              <w:rPr>
                <w:rFonts w:cs="Arial"/>
                <w:color w:val="000000" w:themeColor="text1"/>
              </w:rPr>
              <w:t> </w:t>
            </w:r>
            <w:r w:rsidRPr="002C0FF4">
              <w:rPr>
                <w:rFonts w:cs="Arial"/>
                <w:color w:val="000000" w:themeColor="text1"/>
              </w:rPr>
              <w:t>1,7 mld. korun meziročně, v obdobné výši pak i na výdajích na státní dluh, kterým pomáhá prostředí nízkých úrokových sazeb.</w:t>
            </w:r>
            <w:r w:rsidRPr="002C0FF4">
              <w:rPr>
                <w:rFonts w:cs="Arial"/>
                <w:color w:val="0D0D0D" w:themeColor="text1" w:themeTint="F2"/>
              </w:rPr>
              <w:t xml:space="preserve"> Výše celkového státního dluhu mírně vzrostla již druhé </w:t>
            </w:r>
            <w:r w:rsidRPr="002C0FF4">
              <w:rPr>
                <w:rFonts w:cs="Arial"/>
                <w:color w:val="000000" w:themeColor="text1"/>
              </w:rPr>
              <w:t>čtvrtletí v řadě a na konci března činila 1 695 mld. korun (meziročně o 1,9 %). S</w:t>
            </w:r>
            <w:r w:rsidRPr="002C0FF4">
              <w:rPr>
                <w:color w:val="000000" w:themeColor="text1"/>
              </w:rPr>
              <w:t xml:space="preserve">tát využil příznivé situace na finančních trzích, kdy si půjčoval se záporným výnosem. Vnější dluh se na celkové zadluženosti státu </w:t>
            </w:r>
            <w:r w:rsidRPr="002C0FF4">
              <w:rPr>
                <w:color w:val="000000" w:themeColor="text1"/>
                <w:spacing w:val="-2"/>
              </w:rPr>
              <w:t>na</w:t>
            </w:r>
            <w:r w:rsidR="002C0FF4" w:rsidRPr="002C0FF4">
              <w:rPr>
                <w:color w:val="000000" w:themeColor="text1"/>
                <w:spacing w:val="-2"/>
              </w:rPr>
              <w:t> </w:t>
            </w:r>
            <w:r w:rsidRPr="002C0FF4">
              <w:rPr>
                <w:color w:val="000000" w:themeColor="text1"/>
                <w:spacing w:val="-2"/>
              </w:rPr>
              <w:t>konci 1.</w:t>
            </w:r>
            <w:r w:rsidRPr="002C0FF4">
              <w:rPr>
                <w:rFonts w:cs="Arial"/>
                <w:color w:val="0D0D0D" w:themeColor="text1" w:themeTint="F2"/>
                <w:spacing w:val="-2"/>
              </w:rPr>
              <w:t> </w:t>
            </w:r>
            <w:r w:rsidRPr="002C0FF4">
              <w:rPr>
                <w:color w:val="000000" w:themeColor="text1"/>
                <w:spacing w:val="-2"/>
              </w:rPr>
              <w:t>čtvrtletí podílel 16,7</w:t>
            </w:r>
            <w:r w:rsidRPr="002C0FF4">
              <w:rPr>
                <w:rFonts w:cs="Arial"/>
                <w:color w:val="000000" w:themeColor="text1"/>
                <w:spacing w:val="-2"/>
              </w:rPr>
              <w:t> </w:t>
            </w:r>
            <w:r w:rsidRPr="002C0FF4">
              <w:rPr>
                <w:color w:val="000000" w:themeColor="text1"/>
                <w:spacing w:val="-2"/>
              </w:rPr>
              <w:t>% (nejméně od počátku roku 2008).</w:t>
            </w:r>
            <w:r w:rsidRPr="002C0FF4">
              <w:rPr>
                <w:color w:val="FF0000"/>
                <w:spacing w:val="-2"/>
              </w:rPr>
              <w:t xml:space="preserve"> </w:t>
            </w:r>
            <w:r w:rsidRPr="002C0FF4">
              <w:rPr>
                <w:color w:val="000000" w:themeColor="text1"/>
                <w:spacing w:val="-2"/>
              </w:rPr>
              <w:t>Ve</w:t>
            </w:r>
            <w:r w:rsidRPr="002C0FF4">
              <w:rPr>
                <w:color w:val="000000" w:themeColor="text1"/>
              </w:rPr>
              <w:t xml:space="preserve"> zrychleném tempu pokračoval růst objemu českých dluhopisů v držbě zahraničních investorů. Zatímco ti na konci roku vlastnili korunové dluhopisy v hodnotě 295 mld. korun, o</w:t>
            </w:r>
            <w:r w:rsidR="002C0FF4">
              <w:rPr>
                <w:color w:val="000000" w:themeColor="text1"/>
              </w:rPr>
              <w:t> </w:t>
            </w:r>
            <w:r w:rsidRPr="002C0FF4">
              <w:rPr>
                <w:color w:val="000000" w:themeColor="text1"/>
              </w:rPr>
              <w:t>tři měsíce později již za 348 mld. korun.</w:t>
            </w:r>
          </w:p>
          <w:p w:rsidR="007A4048" w:rsidRPr="0014428D" w:rsidRDefault="007A4048" w:rsidP="0002434F">
            <w:pPr>
              <w:pStyle w:val="Textpoznpodarou"/>
              <w:jc w:val="both"/>
              <w:rPr>
                <w:rFonts w:cs="Arial"/>
                <w:color w:val="0D0D0D" w:themeColor="text1" w:themeTint="F2"/>
                <w:spacing w:val="-4"/>
                <w:sz w:val="16"/>
                <w:szCs w:val="16"/>
              </w:rPr>
            </w:pPr>
          </w:p>
        </w:tc>
      </w:tr>
      <w:tr w:rsidR="007A4048" w:rsidRPr="00A90EFD" w:rsidTr="002C0FF4">
        <w:trPr>
          <w:gridAfter w:val="1"/>
          <w:wAfter w:w="62" w:type="pct"/>
        </w:trPr>
        <w:tc>
          <w:tcPr>
            <w:tcW w:w="1041" w:type="pct"/>
            <w:gridSpan w:val="2"/>
          </w:tcPr>
          <w:p w:rsidR="007A4048" w:rsidRDefault="007A4048" w:rsidP="0002434F">
            <w:pPr>
              <w:spacing w:line="240" w:lineRule="auto"/>
              <w:rPr>
                <w:rFonts w:cs="Arial"/>
                <w:bCs/>
                <w:iCs/>
                <w:color w:val="0D0D0D" w:themeColor="text1" w:themeTint="F2"/>
                <w:sz w:val="16"/>
                <w:szCs w:val="16"/>
              </w:rPr>
            </w:pPr>
            <w:r>
              <w:rPr>
                <w:rFonts w:cs="Arial"/>
                <w:bCs/>
                <w:iCs/>
                <w:color w:val="0D0D0D" w:themeColor="text1" w:themeTint="F2"/>
                <w:sz w:val="16"/>
                <w:szCs w:val="16"/>
              </w:rPr>
              <w:t>Relativní výše dluhu sektoru vládních institucí klesla výhradně vlivem silného růstu HDP</w:t>
            </w:r>
          </w:p>
          <w:p w:rsidR="007A4048" w:rsidRDefault="007A4048" w:rsidP="0002434F">
            <w:pPr>
              <w:spacing w:line="240" w:lineRule="auto"/>
              <w:rPr>
                <w:rFonts w:cs="Arial"/>
                <w:bCs/>
                <w:iCs/>
                <w:color w:val="0D0D0D" w:themeColor="text1" w:themeTint="F2"/>
                <w:sz w:val="16"/>
                <w:szCs w:val="16"/>
              </w:rPr>
            </w:pPr>
          </w:p>
          <w:p w:rsidR="007A4048" w:rsidRPr="00DB3D34" w:rsidRDefault="007A4048" w:rsidP="0002434F">
            <w:pPr>
              <w:spacing w:line="240" w:lineRule="auto"/>
              <w:rPr>
                <w:rFonts w:cs="Arial"/>
                <w:bCs/>
                <w:iCs/>
                <w:color w:val="0D0D0D" w:themeColor="text1" w:themeTint="F2"/>
                <w:sz w:val="16"/>
                <w:szCs w:val="16"/>
              </w:rPr>
            </w:pPr>
          </w:p>
          <w:p w:rsidR="007A4048" w:rsidRPr="00DB3D34" w:rsidRDefault="007A4048" w:rsidP="0002434F">
            <w:pPr>
              <w:spacing w:line="240" w:lineRule="auto"/>
              <w:rPr>
                <w:rFonts w:cs="Arial"/>
                <w:bCs/>
                <w:iCs/>
                <w:color w:val="0D0D0D" w:themeColor="text1" w:themeTint="F2"/>
                <w:sz w:val="16"/>
                <w:szCs w:val="16"/>
              </w:rPr>
            </w:pPr>
          </w:p>
          <w:p w:rsidR="007A4048" w:rsidRDefault="007A4048" w:rsidP="0002434F">
            <w:pPr>
              <w:spacing w:line="240" w:lineRule="auto"/>
              <w:rPr>
                <w:rFonts w:cs="Arial"/>
                <w:bCs/>
                <w:iCs/>
                <w:color w:val="0D0D0D" w:themeColor="text1" w:themeTint="F2"/>
                <w:sz w:val="16"/>
                <w:szCs w:val="16"/>
              </w:rPr>
            </w:pPr>
          </w:p>
          <w:p w:rsidR="007A4048" w:rsidRDefault="007A4048" w:rsidP="0002434F">
            <w:pPr>
              <w:spacing w:line="240" w:lineRule="auto"/>
              <w:rPr>
                <w:rFonts w:cs="Arial"/>
                <w:bCs/>
                <w:iCs/>
                <w:color w:val="0D0D0D" w:themeColor="text1" w:themeTint="F2"/>
                <w:sz w:val="16"/>
                <w:szCs w:val="16"/>
              </w:rPr>
            </w:pPr>
          </w:p>
          <w:p w:rsidR="007A4048" w:rsidRDefault="007A4048" w:rsidP="0002434F">
            <w:pPr>
              <w:spacing w:line="240" w:lineRule="auto"/>
              <w:rPr>
                <w:rFonts w:cs="Arial"/>
                <w:bCs/>
                <w:iCs/>
                <w:color w:val="0D0D0D" w:themeColor="text1" w:themeTint="F2"/>
                <w:sz w:val="16"/>
                <w:szCs w:val="16"/>
              </w:rPr>
            </w:pPr>
          </w:p>
          <w:p w:rsidR="007A4048" w:rsidRDefault="007A4048" w:rsidP="0002434F">
            <w:pPr>
              <w:spacing w:line="240" w:lineRule="auto"/>
              <w:rPr>
                <w:rFonts w:cs="Arial"/>
                <w:bCs/>
                <w:iCs/>
                <w:color w:val="0D0D0D" w:themeColor="text1" w:themeTint="F2"/>
                <w:sz w:val="16"/>
                <w:szCs w:val="16"/>
              </w:rPr>
            </w:pPr>
          </w:p>
          <w:p w:rsidR="007A4048" w:rsidRDefault="007A4048" w:rsidP="0002434F">
            <w:pPr>
              <w:spacing w:line="240" w:lineRule="auto"/>
              <w:rPr>
                <w:rFonts w:cs="Arial"/>
                <w:bCs/>
                <w:iCs/>
                <w:color w:val="0D0D0D" w:themeColor="text1" w:themeTint="F2"/>
                <w:sz w:val="16"/>
                <w:szCs w:val="16"/>
              </w:rPr>
            </w:pPr>
            <w:r>
              <w:rPr>
                <w:rFonts w:cs="Arial"/>
                <w:bCs/>
                <w:iCs/>
                <w:color w:val="0D0D0D" w:themeColor="text1" w:themeTint="F2"/>
                <w:sz w:val="16"/>
                <w:szCs w:val="16"/>
              </w:rPr>
              <w:t>Saldo hospodaření</w:t>
            </w:r>
            <w:r w:rsidR="00380E6C">
              <w:rPr>
                <w:rFonts w:cs="Arial"/>
                <w:bCs/>
                <w:iCs/>
                <w:color w:val="0D0D0D" w:themeColor="text1" w:themeTint="F2"/>
                <w:sz w:val="16"/>
                <w:szCs w:val="16"/>
              </w:rPr>
              <w:t xml:space="preserve"> k HDP</w:t>
            </w:r>
            <w:r>
              <w:rPr>
                <w:rFonts w:cs="Arial"/>
                <w:bCs/>
                <w:iCs/>
                <w:color w:val="0D0D0D" w:themeColor="text1" w:themeTint="F2"/>
                <w:sz w:val="16"/>
                <w:szCs w:val="16"/>
              </w:rPr>
              <w:t xml:space="preserve"> i</w:t>
            </w:r>
            <w:r w:rsidR="00380E6C">
              <w:rPr>
                <w:rFonts w:cs="Arial"/>
                <w:bCs/>
                <w:iCs/>
                <w:color w:val="0D0D0D" w:themeColor="text1" w:themeTint="F2"/>
                <w:sz w:val="16"/>
                <w:szCs w:val="16"/>
              </w:rPr>
              <w:t> relativní</w:t>
            </w:r>
            <w:r>
              <w:rPr>
                <w:rFonts w:cs="Arial"/>
                <w:bCs/>
                <w:iCs/>
                <w:color w:val="0D0D0D" w:themeColor="text1" w:themeTint="F2"/>
                <w:sz w:val="16"/>
                <w:szCs w:val="16"/>
              </w:rPr>
              <w:t xml:space="preserve"> výše dluhu se meziročně zlepšovaly nejen</w:t>
            </w:r>
            <w:r w:rsidR="00380E6C">
              <w:rPr>
                <w:rFonts w:cs="Arial"/>
                <w:bCs/>
                <w:iCs/>
                <w:color w:val="0D0D0D" w:themeColor="text1" w:themeTint="F2"/>
                <w:sz w:val="16"/>
                <w:szCs w:val="16"/>
              </w:rPr>
              <w:t> </w:t>
            </w:r>
            <w:r>
              <w:rPr>
                <w:rFonts w:cs="Arial"/>
                <w:bCs/>
                <w:iCs/>
                <w:color w:val="0D0D0D" w:themeColor="text1" w:themeTint="F2"/>
                <w:sz w:val="16"/>
                <w:szCs w:val="16"/>
              </w:rPr>
              <w:t>v ČR,</w:t>
            </w:r>
          </w:p>
          <w:p w:rsidR="007A4048" w:rsidRPr="00DB3D34" w:rsidRDefault="007A4048" w:rsidP="0002434F">
            <w:pPr>
              <w:spacing w:line="240" w:lineRule="auto"/>
              <w:rPr>
                <w:rFonts w:cs="Arial"/>
                <w:bCs/>
                <w:iCs/>
                <w:color w:val="0D0D0D" w:themeColor="text1" w:themeTint="F2"/>
                <w:sz w:val="16"/>
                <w:szCs w:val="16"/>
              </w:rPr>
            </w:pPr>
            <w:r>
              <w:rPr>
                <w:rFonts w:cs="Arial"/>
                <w:bCs/>
                <w:iCs/>
                <w:color w:val="0D0D0D" w:themeColor="text1" w:themeTint="F2"/>
                <w:sz w:val="16"/>
                <w:szCs w:val="16"/>
              </w:rPr>
              <w:t>ale i ve většině států EU</w:t>
            </w:r>
          </w:p>
          <w:p w:rsidR="007A4048" w:rsidRPr="00DB3D34" w:rsidRDefault="007A4048" w:rsidP="0002434F">
            <w:pPr>
              <w:spacing w:line="240" w:lineRule="auto"/>
              <w:rPr>
                <w:rFonts w:cs="Arial"/>
                <w:bCs/>
                <w:iCs/>
                <w:color w:val="0D0D0D" w:themeColor="text1" w:themeTint="F2"/>
                <w:sz w:val="16"/>
                <w:szCs w:val="16"/>
              </w:rPr>
            </w:pPr>
          </w:p>
          <w:p w:rsidR="007A4048" w:rsidRPr="00DB3D34" w:rsidRDefault="007A4048" w:rsidP="0002434F">
            <w:pPr>
              <w:spacing w:line="240" w:lineRule="auto"/>
              <w:rPr>
                <w:rFonts w:cs="Arial"/>
                <w:bCs/>
                <w:iCs/>
                <w:color w:val="0D0D0D" w:themeColor="text1" w:themeTint="F2"/>
                <w:sz w:val="16"/>
                <w:szCs w:val="16"/>
              </w:rPr>
            </w:pPr>
          </w:p>
        </w:tc>
        <w:tc>
          <w:tcPr>
            <w:tcW w:w="140" w:type="pct"/>
          </w:tcPr>
          <w:p w:rsidR="007A4048" w:rsidRPr="00A90EFD" w:rsidRDefault="007A4048" w:rsidP="0002434F">
            <w:pPr>
              <w:pStyle w:val="Textpoznpodarou"/>
              <w:jc w:val="both"/>
              <w:rPr>
                <w:rFonts w:cs="Arial"/>
                <w:color w:val="0D0D0D" w:themeColor="text1" w:themeTint="F2"/>
              </w:rPr>
            </w:pPr>
          </w:p>
        </w:tc>
        <w:tc>
          <w:tcPr>
            <w:tcW w:w="3757" w:type="pct"/>
            <w:gridSpan w:val="3"/>
          </w:tcPr>
          <w:p w:rsidR="007A4048" w:rsidRPr="002D7255" w:rsidRDefault="007A4048" w:rsidP="00CE2756">
            <w:pPr>
              <w:pStyle w:val="Textpoznpodarou"/>
              <w:jc w:val="both"/>
              <w:rPr>
                <w:spacing w:val="-4"/>
              </w:rPr>
            </w:pPr>
            <w:r w:rsidRPr="00741F3C">
              <w:rPr>
                <w:color w:val="000000" w:themeColor="text1"/>
                <w:spacing w:val="-4"/>
              </w:rPr>
              <w:t>Dluh celého sektoru vládních institucí (zohledňující mj. i hospodaření územně správních celků či fondů sociálního zabezpečení) dosáhl dle aktuálních dat ČSÚ na konci 4. čtvrtletí 2015</w:t>
            </w:r>
            <w:r w:rsidRPr="00741F3C">
              <w:rPr>
                <w:rStyle w:val="Znakapoznpodarou"/>
                <w:color w:val="000000" w:themeColor="text1"/>
                <w:spacing w:val="-4"/>
              </w:rPr>
              <w:footnoteReference w:id="3"/>
            </w:r>
            <w:r w:rsidRPr="00741F3C">
              <w:rPr>
                <w:color w:val="000000" w:themeColor="text1"/>
                <w:spacing w:val="-4"/>
              </w:rPr>
              <w:t xml:space="preserve"> výše 1 836,2 mld. korun a ve vztahu k HDP činil 41,06 % (ve stejném období předchozího roku byl o 1,63 </w:t>
            </w:r>
            <w:proofErr w:type="spellStart"/>
            <w:proofErr w:type="gramStart"/>
            <w:r w:rsidRPr="00741F3C">
              <w:rPr>
                <w:color w:val="000000" w:themeColor="text1"/>
                <w:spacing w:val="-4"/>
              </w:rPr>
              <w:t>p.b</w:t>
            </w:r>
            <w:proofErr w:type="spellEnd"/>
            <w:r w:rsidRPr="00741F3C">
              <w:rPr>
                <w:color w:val="000000" w:themeColor="text1"/>
                <w:spacing w:val="-4"/>
              </w:rPr>
              <w:t>. vyšší</w:t>
            </w:r>
            <w:proofErr w:type="gramEnd"/>
            <w:r w:rsidRPr="00741F3C">
              <w:rPr>
                <w:color w:val="000000" w:themeColor="text1"/>
                <w:spacing w:val="-4"/>
              </w:rPr>
              <w:t>).</w:t>
            </w:r>
            <w:r w:rsidRPr="00741F3C">
              <w:rPr>
                <w:spacing w:val="-4"/>
              </w:rPr>
              <w:t xml:space="preserve"> Pokles relativní úrovně dluhu vládních i</w:t>
            </w:r>
            <w:r>
              <w:rPr>
                <w:spacing w:val="-4"/>
              </w:rPr>
              <w:t>nstitucí byl výsledkem výhradně</w:t>
            </w:r>
            <w:r w:rsidRPr="00741F3C">
              <w:rPr>
                <w:spacing w:val="-4"/>
              </w:rPr>
              <w:t xml:space="preserve"> silného růstu n</w:t>
            </w:r>
            <w:r>
              <w:rPr>
                <w:spacing w:val="-4"/>
              </w:rPr>
              <w:t>ominálního HDP, neboť</w:t>
            </w:r>
            <w:r w:rsidRPr="00741F3C">
              <w:rPr>
                <w:spacing w:val="-4"/>
              </w:rPr>
              <w:t xml:space="preserve"> absolutní </w:t>
            </w:r>
            <w:r>
              <w:rPr>
                <w:spacing w:val="-4"/>
              </w:rPr>
              <w:t>úroveň</w:t>
            </w:r>
            <w:r w:rsidRPr="00741F3C">
              <w:rPr>
                <w:spacing w:val="-4"/>
              </w:rPr>
              <w:t xml:space="preserve"> zadlužení </w:t>
            </w:r>
            <w:r>
              <w:rPr>
                <w:spacing w:val="-4"/>
              </w:rPr>
              <w:t xml:space="preserve">vzrostla </w:t>
            </w:r>
            <w:r w:rsidRPr="00741F3C">
              <w:rPr>
                <w:spacing w:val="-4"/>
              </w:rPr>
              <w:t xml:space="preserve">(o 17,1 mld. korun). Saldo hospodaření vládních institucí bylo za celý rok 2015 (oproti výsledku státního rozpočtu) výrazně </w:t>
            </w:r>
            <w:r w:rsidRPr="002C0FF4">
              <w:rPr>
                <w:spacing w:val="6"/>
              </w:rPr>
              <w:t>příznivější a</w:t>
            </w:r>
            <w:r w:rsidRPr="002C0FF4">
              <w:rPr>
                <w:color w:val="000000" w:themeColor="text1"/>
                <w:spacing w:val="6"/>
              </w:rPr>
              <w:t> </w:t>
            </w:r>
            <w:r w:rsidRPr="002C0FF4">
              <w:rPr>
                <w:spacing w:val="6"/>
              </w:rPr>
              <w:t>dosáhlo -18,7 mld</w:t>
            </w:r>
            <w:r w:rsidR="00380E6C">
              <w:rPr>
                <w:spacing w:val="6"/>
              </w:rPr>
              <w:t>.</w:t>
            </w:r>
            <w:r w:rsidRPr="002C0FF4">
              <w:rPr>
                <w:spacing w:val="6"/>
              </w:rPr>
              <w:t xml:space="preserve"> korun, v relaci k HDP pak -0,42 % (o rok dříve -</w:t>
            </w:r>
            <w:r w:rsidRPr="00185894">
              <w:rPr>
                <w:spacing w:val="-4"/>
              </w:rPr>
              <w:t>1,95</w:t>
            </w:r>
            <w:r w:rsidRPr="00185894">
              <w:rPr>
                <w:color w:val="000000" w:themeColor="text1"/>
                <w:spacing w:val="-4"/>
              </w:rPr>
              <w:t> </w:t>
            </w:r>
            <w:r w:rsidRPr="00185894">
              <w:rPr>
                <w:spacing w:val="-4"/>
              </w:rPr>
              <w:t>%).</w:t>
            </w:r>
            <w:r w:rsidRPr="00E76562">
              <w:rPr>
                <w:spacing w:val="-5"/>
              </w:rPr>
              <w:t xml:space="preserve"> </w:t>
            </w:r>
            <w:r>
              <w:rPr>
                <w:spacing w:val="-4"/>
              </w:rPr>
              <w:t>Relativní výše salda hospodaření</w:t>
            </w:r>
            <w:r w:rsidRPr="00741F3C">
              <w:rPr>
                <w:spacing w:val="-4"/>
              </w:rPr>
              <w:t xml:space="preserve"> sektoru vládních institucí v</w:t>
            </w:r>
            <w:r>
              <w:rPr>
                <w:spacing w:val="-4"/>
              </w:rPr>
              <w:t> Česku byla v roce 2015 mezi státy EU šestá nejpříznivější, když s přebytkem hospodařily jen t</w:t>
            </w:r>
            <w:r w:rsidR="00380E6C">
              <w:rPr>
                <w:spacing w:val="-4"/>
              </w:rPr>
              <w:t>ři země (vč. Německa). Meziročně</w:t>
            </w:r>
            <w:r>
              <w:rPr>
                <w:spacing w:val="-4"/>
              </w:rPr>
              <w:t xml:space="preserve"> příznivějších výsledků dosáhlo 23 členů EU. Výše</w:t>
            </w:r>
            <w:r w:rsidR="00CE2756">
              <w:rPr>
                <w:spacing w:val="-4"/>
              </w:rPr>
              <w:t> </w:t>
            </w:r>
            <w:r>
              <w:rPr>
                <w:spacing w:val="-4"/>
              </w:rPr>
              <w:t>celkového dluhu</w:t>
            </w:r>
            <w:r w:rsidRPr="00741F3C">
              <w:rPr>
                <w:spacing w:val="-4"/>
              </w:rPr>
              <w:t xml:space="preserve"> </w:t>
            </w:r>
            <w:r>
              <w:rPr>
                <w:spacing w:val="-4"/>
              </w:rPr>
              <w:t>k HDP (</w:t>
            </w:r>
            <w:r w:rsidRPr="00741F3C">
              <w:rPr>
                <w:spacing w:val="-4"/>
              </w:rPr>
              <w:t>na konci 4. čtvrtletí 2015</w:t>
            </w:r>
            <w:r>
              <w:rPr>
                <w:spacing w:val="-4"/>
              </w:rPr>
              <w:t>) v Česku byla v rámci EU sedmá nejnižší (podobné postavení</w:t>
            </w:r>
            <w:r w:rsidRPr="00741F3C">
              <w:rPr>
                <w:spacing w:val="-4"/>
              </w:rPr>
              <w:t xml:space="preserve"> měly např. také Dánsko, Švédsko či Rumunsko). Během roku 2015 se relativní zadluženost snížila v 18 zemích EU (nejvíce v Irsku – z</w:t>
            </w:r>
            <w:r w:rsidR="00CE2756">
              <w:rPr>
                <w:spacing w:val="-4"/>
              </w:rPr>
              <w:t> </w:t>
            </w:r>
            <w:r w:rsidRPr="00741F3C">
              <w:rPr>
                <w:spacing w:val="-4"/>
              </w:rPr>
              <w:t>107,5 % na 93,8 %). Naopak o téměř 4 </w:t>
            </w:r>
            <w:proofErr w:type="spellStart"/>
            <w:proofErr w:type="gramStart"/>
            <w:r w:rsidRPr="00741F3C">
              <w:rPr>
                <w:spacing w:val="-4"/>
              </w:rPr>
              <w:t>p.b</w:t>
            </w:r>
            <w:proofErr w:type="spellEnd"/>
            <w:r w:rsidRPr="00741F3C">
              <w:rPr>
                <w:spacing w:val="-4"/>
              </w:rPr>
              <w:t>. se</w:t>
            </w:r>
            <w:proofErr w:type="gramEnd"/>
            <w:r w:rsidRPr="00741F3C">
              <w:rPr>
                <w:spacing w:val="-4"/>
              </w:rPr>
              <w:t xml:space="preserve"> navýšila ve Finsku (na 63,1 %), z větších ekonomik </w:t>
            </w:r>
            <w:r w:rsidR="00380E6C">
              <w:rPr>
                <w:spacing w:val="-4"/>
              </w:rPr>
              <w:t>pak</w:t>
            </w:r>
            <w:r w:rsidRPr="00741F3C">
              <w:rPr>
                <w:spacing w:val="-4"/>
              </w:rPr>
              <w:t xml:space="preserve"> mírně narostla</w:t>
            </w:r>
            <w:r>
              <w:rPr>
                <w:spacing w:val="-4"/>
              </w:rPr>
              <w:t xml:space="preserve"> v Itálii, Francii</w:t>
            </w:r>
            <w:r w:rsidRPr="00741F3C">
              <w:rPr>
                <w:spacing w:val="-4"/>
              </w:rPr>
              <w:t xml:space="preserve"> a Velké Británii.</w:t>
            </w:r>
          </w:p>
        </w:tc>
      </w:tr>
      <w:tr w:rsidR="007A4048" w:rsidRPr="006F2BEE" w:rsidTr="002C0FF4">
        <w:tc>
          <w:tcPr>
            <w:tcW w:w="298" w:type="pct"/>
          </w:tcPr>
          <w:p w:rsidR="007A4048" w:rsidRDefault="007A4048" w:rsidP="0002434F">
            <w:pPr>
              <w:spacing w:line="240" w:lineRule="auto"/>
            </w:pPr>
            <w:r>
              <w:rPr>
                <w:sz w:val="14"/>
                <w:szCs w:val="14"/>
              </w:rPr>
              <w:lastRenderedPageBreak/>
              <w:br w:type="page"/>
            </w:r>
            <w:r>
              <w:t>Graf č. 19</w:t>
            </w:r>
          </w:p>
        </w:tc>
        <w:tc>
          <w:tcPr>
            <w:tcW w:w="2203" w:type="pct"/>
            <w:gridSpan w:val="3"/>
          </w:tcPr>
          <w:p w:rsidR="007A4048" w:rsidRPr="00E43BFF" w:rsidRDefault="007A4048" w:rsidP="0002434F">
            <w:pPr>
              <w:spacing w:line="240" w:lineRule="auto"/>
              <w:rPr>
                <w:rFonts w:cs="Arial"/>
                <w:b/>
                <w:bCs/>
              </w:rPr>
            </w:pPr>
            <w:r>
              <w:rPr>
                <w:rFonts w:cs="Arial"/>
                <w:b/>
                <w:bCs/>
              </w:rPr>
              <w:t xml:space="preserve">Celostátní inkasa daňových příjmů </w:t>
            </w:r>
            <w:r>
              <w:rPr>
                <w:rFonts w:cs="Arial"/>
                <w:bCs/>
              </w:rPr>
              <w:t>(y/y</w:t>
            </w:r>
            <w:r w:rsidRPr="008A3A85">
              <w:rPr>
                <w:rFonts w:cs="Arial"/>
                <w:bCs/>
              </w:rPr>
              <w:t xml:space="preserve"> v %)</w:t>
            </w:r>
            <w:r>
              <w:rPr>
                <w:rFonts w:cs="Arial"/>
                <w:bCs/>
              </w:rPr>
              <w:t xml:space="preserve"> </w:t>
            </w:r>
            <w:r>
              <w:rPr>
                <w:rFonts w:cs="Arial"/>
                <w:b/>
                <w:bCs/>
              </w:rPr>
              <w:t>a saldo státního rozpočtu</w:t>
            </w:r>
            <w:r>
              <w:t xml:space="preserve"> </w:t>
            </w:r>
            <w:r>
              <w:rPr>
                <w:rFonts w:cs="Arial"/>
                <w:bCs/>
              </w:rPr>
              <w:t>(v mld. korun)</w:t>
            </w:r>
          </w:p>
        </w:tc>
        <w:tc>
          <w:tcPr>
            <w:tcW w:w="362" w:type="pct"/>
          </w:tcPr>
          <w:p w:rsidR="007A4048" w:rsidRDefault="007A4048" w:rsidP="0002434F">
            <w:pPr>
              <w:spacing w:line="240" w:lineRule="auto"/>
            </w:pPr>
            <w:r>
              <w:t>Graf č. 20</w:t>
            </w:r>
          </w:p>
        </w:tc>
        <w:tc>
          <w:tcPr>
            <w:tcW w:w="2137" w:type="pct"/>
            <w:gridSpan w:val="2"/>
          </w:tcPr>
          <w:p w:rsidR="007A4048" w:rsidRDefault="007A4048" w:rsidP="0002434F">
            <w:pPr>
              <w:spacing w:line="240" w:lineRule="auto"/>
              <w:rPr>
                <w:rFonts w:cs="Arial"/>
                <w:b/>
                <w:bCs/>
              </w:rPr>
            </w:pPr>
            <w:r>
              <w:rPr>
                <w:rFonts w:cs="Arial"/>
                <w:b/>
                <w:bCs/>
              </w:rPr>
              <w:t>Vybrané výdaje státního rozpočtu</w:t>
            </w:r>
          </w:p>
          <w:p w:rsidR="007A4048" w:rsidRPr="006F2BEE" w:rsidRDefault="007A4048" w:rsidP="0002434F">
            <w:pPr>
              <w:spacing w:line="240" w:lineRule="auto"/>
              <w:rPr>
                <w:rFonts w:cs="Arial"/>
                <w:b/>
                <w:bCs/>
                <w:spacing w:val="-2"/>
              </w:rPr>
            </w:pPr>
            <w:r>
              <w:rPr>
                <w:rFonts w:cs="Arial"/>
                <w:bCs/>
              </w:rPr>
              <w:t>(</w:t>
            </w:r>
            <w:r w:rsidRPr="00DB06E9">
              <w:rPr>
                <w:rFonts w:cs="Arial"/>
                <w:bCs/>
              </w:rPr>
              <w:t>v mld. korun</w:t>
            </w:r>
            <w:r>
              <w:rPr>
                <w:rFonts w:cs="Arial"/>
                <w:bCs/>
              </w:rPr>
              <w:t>)</w:t>
            </w:r>
          </w:p>
        </w:tc>
      </w:tr>
      <w:tr w:rsidR="007A4048" w:rsidTr="002C0FF4">
        <w:tc>
          <w:tcPr>
            <w:tcW w:w="2501" w:type="pct"/>
            <w:gridSpan w:val="4"/>
          </w:tcPr>
          <w:p w:rsidR="007A4048" w:rsidRDefault="00DF2D9B" w:rsidP="0002434F">
            <w:pPr>
              <w:pStyle w:val="Textpoznpodarou"/>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2.3pt;height:185.95pt">
                  <v:imagedata r:id="rId8" o:title=""/>
                </v:shape>
              </w:pict>
            </w:r>
          </w:p>
        </w:tc>
        <w:tc>
          <w:tcPr>
            <w:tcW w:w="2499" w:type="pct"/>
            <w:gridSpan w:val="3"/>
          </w:tcPr>
          <w:p w:rsidR="007A4048" w:rsidRDefault="00DF2D9B" w:rsidP="0002434F">
            <w:pPr>
              <w:pStyle w:val="Textpoznpodarou"/>
              <w:jc w:val="both"/>
            </w:pPr>
            <w:r>
              <w:pict>
                <v:shape id="_x0000_i1044" type="#_x0000_t75" style="width:242.3pt;height:185.95pt">
                  <v:imagedata r:id="rId9" o:title=""/>
                </v:shape>
              </w:pict>
            </w:r>
          </w:p>
        </w:tc>
      </w:tr>
      <w:tr w:rsidR="007A4048" w:rsidRPr="009E6613" w:rsidTr="002C0FF4">
        <w:tc>
          <w:tcPr>
            <w:tcW w:w="5000" w:type="pct"/>
            <w:gridSpan w:val="7"/>
          </w:tcPr>
          <w:p w:rsidR="007A4048" w:rsidRDefault="007A4048" w:rsidP="0002434F">
            <w:pPr>
              <w:pStyle w:val="Textpoznpodarou"/>
              <w:spacing w:before="60"/>
              <w:rPr>
                <w:sz w:val="18"/>
                <w:szCs w:val="18"/>
              </w:rPr>
            </w:pPr>
            <w:r w:rsidRPr="004C5813">
              <w:rPr>
                <w:sz w:val="18"/>
                <w:szCs w:val="18"/>
              </w:rPr>
              <w:t>*vč. dávek pěstounské péče</w:t>
            </w:r>
          </w:p>
          <w:p w:rsidR="007A4048" w:rsidRDefault="007A4048" w:rsidP="0002434F">
            <w:pPr>
              <w:pStyle w:val="Textpoznpodarou"/>
              <w:rPr>
                <w:sz w:val="18"/>
                <w:szCs w:val="18"/>
              </w:rPr>
            </w:pPr>
            <w:r w:rsidRPr="004C5813">
              <w:rPr>
                <w:sz w:val="18"/>
                <w:szCs w:val="18"/>
              </w:rPr>
              <w:t>**dávky pomoci</w:t>
            </w:r>
            <w:r>
              <w:rPr>
                <w:sz w:val="18"/>
                <w:szCs w:val="18"/>
              </w:rPr>
              <w:t xml:space="preserve"> v hmotné</w:t>
            </w:r>
            <w:r w:rsidRPr="004C5813">
              <w:rPr>
                <w:sz w:val="18"/>
                <w:szCs w:val="18"/>
              </w:rPr>
              <w:t xml:space="preserve"> n</w:t>
            </w:r>
            <w:r>
              <w:rPr>
                <w:sz w:val="18"/>
                <w:szCs w:val="18"/>
              </w:rPr>
              <w:t>ouzi, dávky osobám se zdravotním</w:t>
            </w:r>
            <w:r w:rsidRPr="004C5813">
              <w:rPr>
                <w:sz w:val="18"/>
                <w:szCs w:val="18"/>
              </w:rPr>
              <w:t xml:space="preserve"> </w:t>
            </w:r>
            <w:r>
              <w:rPr>
                <w:sz w:val="18"/>
                <w:szCs w:val="18"/>
              </w:rPr>
              <w:t xml:space="preserve">postižením, příspěvek na péči </w:t>
            </w:r>
            <w:r w:rsidRPr="004C5813">
              <w:rPr>
                <w:sz w:val="18"/>
                <w:szCs w:val="18"/>
              </w:rPr>
              <w:t>dle zákona o sociálních službách</w:t>
            </w:r>
          </w:p>
          <w:p w:rsidR="007A4048" w:rsidRPr="009E6613" w:rsidRDefault="007A4048" w:rsidP="0002434F">
            <w:pPr>
              <w:pStyle w:val="Textpoznpodarou"/>
              <w:jc w:val="right"/>
              <w:rPr>
                <w:sz w:val="18"/>
                <w:szCs w:val="18"/>
              </w:rPr>
            </w:pPr>
            <w:r>
              <w:rPr>
                <w:rFonts w:cs="Arial"/>
                <w:sz w:val="18"/>
                <w:szCs w:val="18"/>
              </w:rPr>
              <w:t>Zdroj: MF ČR, MPSV</w:t>
            </w:r>
          </w:p>
        </w:tc>
      </w:tr>
    </w:tbl>
    <w:p w:rsidR="007A4048" w:rsidRDefault="007A4048" w:rsidP="003E7DCB">
      <w:pPr>
        <w:pStyle w:val="Textpoznpodarou"/>
        <w:jc w:val="both"/>
        <w:rPr>
          <w:rFonts w:cs="Arial"/>
          <w:color w:val="000000" w:themeColor="text1"/>
          <w:spacing w:val="-2"/>
        </w:rPr>
      </w:pPr>
    </w:p>
    <w:sectPr w:rsidR="007A4048" w:rsidSect="003E7DCB">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785" w:rsidRDefault="00270785" w:rsidP="00E71A58">
      <w:r>
        <w:separator/>
      </w:r>
    </w:p>
  </w:endnote>
  <w:endnote w:type="continuationSeparator" w:id="0">
    <w:p w:rsidR="00270785" w:rsidRDefault="00270785"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4F" w:rsidRDefault="00DF2D9B" w:rsidP="00357449">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Description: 3" style="position:absolute;margin-left:445.7pt;margin-top:-4.1pt;width:36.75pt;height:17.25pt;z-index:251657728;visibility:visible">
          <v:imagedata r:id="rId1" o:title=""/>
        </v:shape>
      </w:pict>
    </w:r>
    <w:r w:rsidRPr="005A21E0">
      <w:rPr>
        <w:rFonts w:ascii="Arial" w:hAnsi="Arial" w:cs="Arial"/>
        <w:sz w:val="16"/>
        <w:szCs w:val="16"/>
      </w:rPr>
      <w:fldChar w:fldCharType="begin"/>
    </w:r>
    <w:r w:rsidR="0002434F" w:rsidRPr="005A21E0">
      <w:rPr>
        <w:rFonts w:ascii="Arial" w:hAnsi="Arial" w:cs="Arial"/>
        <w:sz w:val="16"/>
        <w:szCs w:val="16"/>
      </w:rPr>
      <w:instrText>PAGE   \* MERGEFORMAT</w:instrText>
    </w:r>
    <w:r w:rsidRPr="005A21E0">
      <w:rPr>
        <w:rFonts w:ascii="Arial" w:hAnsi="Arial" w:cs="Arial"/>
        <w:sz w:val="16"/>
        <w:szCs w:val="16"/>
      </w:rPr>
      <w:fldChar w:fldCharType="separate"/>
    </w:r>
    <w:r w:rsidR="003E7DCB">
      <w:rPr>
        <w:rFonts w:ascii="Arial" w:hAnsi="Arial" w:cs="Arial"/>
        <w:noProof/>
        <w:sz w:val="16"/>
        <w:szCs w:val="16"/>
      </w:rPr>
      <w:t>22</w:t>
    </w:r>
    <w:r w:rsidRPr="005A21E0">
      <w:rPr>
        <w:rFonts w:ascii="Arial" w:hAnsi="Arial" w:cs="Arial"/>
        <w:sz w:val="16"/>
        <w:szCs w:val="16"/>
      </w:rPr>
      <w:fldChar w:fldCharType="end"/>
    </w:r>
    <w:r w:rsidR="0002434F">
      <w:rPr>
        <w:rFonts w:ascii="Arial" w:hAnsi="Arial" w:cs="Arial"/>
        <w:sz w:val="16"/>
        <w:szCs w:val="16"/>
      </w:rPr>
      <w:tab/>
      <w:t>2016</w:t>
    </w:r>
    <w:r w:rsidR="0002434F">
      <w:tab/>
    </w:r>
    <w:r w:rsidR="0002434F">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4F" w:rsidRDefault="00DF2D9B" w:rsidP="00357449">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Description: 3" style="position:absolute;margin-left:.3pt;margin-top:7.1pt;width:39pt;height:21pt;z-index:251658752;visibility:visible">
          <v:imagedata r:id="rId1" o:title=""/>
        </v:shape>
      </w:pict>
    </w:r>
    <w:r w:rsidR="0002434F">
      <w:tab/>
    </w:r>
    <w:r w:rsidR="0002434F">
      <w:tab/>
    </w:r>
    <w:r w:rsidR="0002434F" w:rsidRPr="00DC5B3B">
      <w:t xml:space="preserve">                              </w:t>
    </w:r>
  </w:p>
  <w:p w:rsidR="0002434F" w:rsidRPr="00223E00" w:rsidRDefault="0002434F"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DF2D9B"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DF2D9B" w:rsidRPr="00223E00">
      <w:rPr>
        <w:rFonts w:ascii="Arial" w:hAnsi="Arial" w:cs="Arial"/>
        <w:sz w:val="16"/>
        <w:szCs w:val="16"/>
      </w:rPr>
      <w:fldChar w:fldCharType="separate"/>
    </w:r>
    <w:r w:rsidR="003E7DCB">
      <w:rPr>
        <w:rFonts w:ascii="Arial" w:hAnsi="Arial" w:cs="Arial"/>
        <w:noProof/>
        <w:sz w:val="16"/>
        <w:szCs w:val="16"/>
      </w:rPr>
      <w:t>23</w:t>
    </w:r>
    <w:r w:rsidR="00DF2D9B"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785" w:rsidRDefault="00270785" w:rsidP="00E71A58">
      <w:r>
        <w:separator/>
      </w:r>
    </w:p>
  </w:footnote>
  <w:footnote w:type="continuationSeparator" w:id="0">
    <w:p w:rsidR="00270785" w:rsidRDefault="00270785" w:rsidP="00E71A58">
      <w:r>
        <w:continuationSeparator/>
      </w:r>
    </w:p>
  </w:footnote>
  <w:footnote w:id="1">
    <w:p w:rsidR="0002434F" w:rsidRDefault="0002434F" w:rsidP="00380E6C">
      <w:pPr>
        <w:pStyle w:val="Textpoznpodarou"/>
        <w:jc w:val="both"/>
      </w:pPr>
      <w:r w:rsidRPr="00470DE4">
        <w:rPr>
          <w:rStyle w:val="Znakapoznpodarou"/>
          <w:sz w:val="16"/>
          <w:szCs w:val="16"/>
        </w:rPr>
        <w:footnoteRef/>
      </w:r>
      <w:r>
        <w:t xml:space="preserve"> </w:t>
      </w:r>
      <w:r w:rsidRPr="00470DE4">
        <w:rPr>
          <w:sz w:val="16"/>
          <w:szCs w:val="16"/>
        </w:rPr>
        <w:t>Za prvních pět měsíců získal SR na DPH již o 4,7 %</w:t>
      </w:r>
      <w:r>
        <w:rPr>
          <w:sz w:val="16"/>
          <w:szCs w:val="16"/>
        </w:rPr>
        <w:t xml:space="preserve"> více</w:t>
      </w:r>
      <w:r w:rsidRPr="00470DE4">
        <w:rPr>
          <w:sz w:val="16"/>
          <w:szCs w:val="16"/>
        </w:rPr>
        <w:t xml:space="preserve"> a přiblížil se tak rozpočtem očekávané celoroční dynamice. Zrychlování růstových temp se však týkalo všech hlavních druhů daňových příjmů, nejvíce patrné bylo u daně z příjmu fyzických </w:t>
      </w:r>
      <w:r>
        <w:rPr>
          <w:sz w:val="16"/>
          <w:szCs w:val="16"/>
        </w:rPr>
        <w:t>osob ze závislé činnosti (za 1. čtvrtletí +6,7 %, z</w:t>
      </w:r>
      <w:r w:rsidRPr="00470DE4">
        <w:rPr>
          <w:sz w:val="16"/>
          <w:szCs w:val="16"/>
        </w:rPr>
        <w:t xml:space="preserve">a pět měsíců +9,9 %), nejméně pak u spotřební daně z minerálních </w:t>
      </w:r>
      <w:proofErr w:type="gramStart"/>
      <w:r w:rsidRPr="00470DE4">
        <w:rPr>
          <w:sz w:val="16"/>
          <w:szCs w:val="16"/>
        </w:rPr>
        <w:t>olejů (z 4,0</w:t>
      </w:r>
      <w:proofErr w:type="gramEnd"/>
      <w:r w:rsidRPr="00470DE4">
        <w:rPr>
          <w:sz w:val="16"/>
          <w:szCs w:val="16"/>
        </w:rPr>
        <w:t xml:space="preserve"> na 4,3 %).</w:t>
      </w:r>
    </w:p>
  </w:footnote>
  <w:footnote w:id="2">
    <w:p w:rsidR="0002434F" w:rsidRPr="0073136D" w:rsidRDefault="0002434F" w:rsidP="007A4048">
      <w:pPr>
        <w:pStyle w:val="Textpoznpodarou"/>
        <w:rPr>
          <w:sz w:val="16"/>
          <w:szCs w:val="16"/>
        </w:rPr>
      </w:pPr>
      <w:r w:rsidRPr="0073136D">
        <w:rPr>
          <w:rStyle w:val="Znakapoznpodarou"/>
          <w:sz w:val="16"/>
          <w:szCs w:val="16"/>
        </w:rPr>
        <w:footnoteRef/>
      </w:r>
      <w:r w:rsidRPr="0073136D">
        <w:rPr>
          <w:sz w:val="16"/>
          <w:szCs w:val="16"/>
        </w:rPr>
        <w:t xml:space="preserve"> Za prvních pět měsíc</w:t>
      </w:r>
      <w:r>
        <w:rPr>
          <w:sz w:val="16"/>
          <w:szCs w:val="16"/>
        </w:rPr>
        <w:t>ů</w:t>
      </w:r>
      <w:r w:rsidRPr="0073136D">
        <w:rPr>
          <w:sz w:val="16"/>
          <w:szCs w:val="16"/>
        </w:rPr>
        <w:t xml:space="preserve"> roku 2016 činily kapitálové výdaje SR 32,8 mld. korun, meziročně o 15 % méně. K novému programovacímu období se vázalo pouze 4,2 mld. korun.</w:t>
      </w:r>
    </w:p>
  </w:footnote>
  <w:footnote w:id="3">
    <w:p w:rsidR="0002434F" w:rsidRPr="00E90A4B" w:rsidRDefault="0002434F" w:rsidP="007A4048">
      <w:pPr>
        <w:pStyle w:val="Textpoznpodarou"/>
        <w:rPr>
          <w:sz w:val="16"/>
          <w:szCs w:val="16"/>
        </w:rPr>
      </w:pPr>
      <w:r w:rsidRPr="00E90A4B">
        <w:rPr>
          <w:rStyle w:val="Znakapoznpodarou"/>
          <w:sz w:val="16"/>
          <w:szCs w:val="16"/>
        </w:rPr>
        <w:footnoteRef/>
      </w:r>
      <w:r w:rsidRPr="00E90A4B">
        <w:rPr>
          <w:sz w:val="16"/>
          <w:szCs w:val="16"/>
        </w:rPr>
        <w:t xml:space="preserve"> </w:t>
      </w:r>
      <w:r>
        <w:rPr>
          <w:sz w:val="16"/>
          <w:szCs w:val="16"/>
        </w:rPr>
        <w:t>Předběžné ú</w:t>
      </w:r>
      <w:r w:rsidRPr="00E90A4B">
        <w:rPr>
          <w:sz w:val="16"/>
          <w:szCs w:val="16"/>
        </w:rPr>
        <w:t>daj</w:t>
      </w:r>
      <w:r>
        <w:rPr>
          <w:sz w:val="16"/>
          <w:szCs w:val="16"/>
        </w:rPr>
        <w:t>e</w:t>
      </w:r>
      <w:r w:rsidRPr="00E90A4B">
        <w:rPr>
          <w:sz w:val="16"/>
          <w:szCs w:val="16"/>
        </w:rPr>
        <w:t xml:space="preserve"> o dluhu a deficitu</w:t>
      </w:r>
      <w:r>
        <w:rPr>
          <w:sz w:val="16"/>
          <w:szCs w:val="16"/>
        </w:rPr>
        <w:t xml:space="preserve"> sektoru vládních institucí za 1. čtvrtletí 2016 zveřejní ČSÚ 4. července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4F" w:rsidRPr="00D766EF" w:rsidRDefault="0002434F"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čtvrtletí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4F" w:rsidRPr="00D766EF" w:rsidRDefault="0002434F"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čtvrtletí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029F7"/>
    <w:multiLevelType w:val="hybridMultilevel"/>
    <w:tmpl w:val="20D88918"/>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oNotTrackMoves/>
  <w:defaultTabStop w:val="708"/>
  <w:hyphenationZone w:val="425"/>
  <w:evenAndOddHeaders/>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BD"/>
    <w:rsid w:val="00000FA7"/>
    <w:rsid w:val="00001EFF"/>
    <w:rsid w:val="00003687"/>
    <w:rsid w:val="00003C43"/>
    <w:rsid w:val="00007498"/>
    <w:rsid w:val="0000767A"/>
    <w:rsid w:val="000101F5"/>
    <w:rsid w:val="000104B9"/>
    <w:rsid w:val="00010702"/>
    <w:rsid w:val="00011191"/>
    <w:rsid w:val="0001159B"/>
    <w:rsid w:val="00012986"/>
    <w:rsid w:val="00014028"/>
    <w:rsid w:val="00015195"/>
    <w:rsid w:val="0001519F"/>
    <w:rsid w:val="0001572B"/>
    <w:rsid w:val="0001573E"/>
    <w:rsid w:val="000157DA"/>
    <w:rsid w:val="000162DB"/>
    <w:rsid w:val="00017F05"/>
    <w:rsid w:val="000202C6"/>
    <w:rsid w:val="00020946"/>
    <w:rsid w:val="00022081"/>
    <w:rsid w:val="0002292C"/>
    <w:rsid w:val="00022B41"/>
    <w:rsid w:val="0002434F"/>
    <w:rsid w:val="00024887"/>
    <w:rsid w:val="00024CBA"/>
    <w:rsid w:val="00025501"/>
    <w:rsid w:val="00026998"/>
    <w:rsid w:val="000304C4"/>
    <w:rsid w:val="0003066A"/>
    <w:rsid w:val="00030F14"/>
    <w:rsid w:val="000311C5"/>
    <w:rsid w:val="00032838"/>
    <w:rsid w:val="00032C12"/>
    <w:rsid w:val="00032E0C"/>
    <w:rsid w:val="00035CCF"/>
    <w:rsid w:val="00035FC6"/>
    <w:rsid w:val="00037667"/>
    <w:rsid w:val="0004075D"/>
    <w:rsid w:val="000411E1"/>
    <w:rsid w:val="00043E05"/>
    <w:rsid w:val="0004694F"/>
    <w:rsid w:val="000500DC"/>
    <w:rsid w:val="00052052"/>
    <w:rsid w:val="00052172"/>
    <w:rsid w:val="00053CBA"/>
    <w:rsid w:val="00054E43"/>
    <w:rsid w:val="00055059"/>
    <w:rsid w:val="000553E4"/>
    <w:rsid w:val="000567FA"/>
    <w:rsid w:val="00056B26"/>
    <w:rsid w:val="00057C16"/>
    <w:rsid w:val="00060F26"/>
    <w:rsid w:val="00062D43"/>
    <w:rsid w:val="00062EC5"/>
    <w:rsid w:val="00064256"/>
    <w:rsid w:val="000706A4"/>
    <w:rsid w:val="00070A0C"/>
    <w:rsid w:val="00071F80"/>
    <w:rsid w:val="00072118"/>
    <w:rsid w:val="00073173"/>
    <w:rsid w:val="000779AC"/>
    <w:rsid w:val="00083803"/>
    <w:rsid w:val="00084393"/>
    <w:rsid w:val="0008716A"/>
    <w:rsid w:val="00087634"/>
    <w:rsid w:val="00091237"/>
    <w:rsid w:val="0009191B"/>
    <w:rsid w:val="000920EC"/>
    <w:rsid w:val="00092208"/>
    <w:rsid w:val="00092505"/>
    <w:rsid w:val="00092C9A"/>
    <w:rsid w:val="00097D02"/>
    <w:rsid w:val="000A1183"/>
    <w:rsid w:val="000A2121"/>
    <w:rsid w:val="000A2484"/>
    <w:rsid w:val="000A36CE"/>
    <w:rsid w:val="000A59BF"/>
    <w:rsid w:val="000A66C2"/>
    <w:rsid w:val="000B1CFE"/>
    <w:rsid w:val="000B210A"/>
    <w:rsid w:val="000B249B"/>
    <w:rsid w:val="000B3B01"/>
    <w:rsid w:val="000B3DB9"/>
    <w:rsid w:val="000B3F02"/>
    <w:rsid w:val="000B48A2"/>
    <w:rsid w:val="000B48E7"/>
    <w:rsid w:val="000B4F41"/>
    <w:rsid w:val="000B7663"/>
    <w:rsid w:val="000C11D3"/>
    <w:rsid w:val="000C12F5"/>
    <w:rsid w:val="000C3408"/>
    <w:rsid w:val="000C5C0F"/>
    <w:rsid w:val="000C5D56"/>
    <w:rsid w:val="000C6498"/>
    <w:rsid w:val="000D0D51"/>
    <w:rsid w:val="000D14B3"/>
    <w:rsid w:val="000D208B"/>
    <w:rsid w:val="000D2B8D"/>
    <w:rsid w:val="000D2E41"/>
    <w:rsid w:val="000D342A"/>
    <w:rsid w:val="000D5E7A"/>
    <w:rsid w:val="000D5FAA"/>
    <w:rsid w:val="000D65A4"/>
    <w:rsid w:val="000D6AEF"/>
    <w:rsid w:val="000E025B"/>
    <w:rsid w:val="000E0ECB"/>
    <w:rsid w:val="000E153A"/>
    <w:rsid w:val="000E19A8"/>
    <w:rsid w:val="000E1EEA"/>
    <w:rsid w:val="000E4A42"/>
    <w:rsid w:val="000E6476"/>
    <w:rsid w:val="000E78D2"/>
    <w:rsid w:val="000F3332"/>
    <w:rsid w:val="000F33EE"/>
    <w:rsid w:val="000F401E"/>
    <w:rsid w:val="000F5445"/>
    <w:rsid w:val="000F5673"/>
    <w:rsid w:val="000F67B2"/>
    <w:rsid w:val="000F790F"/>
    <w:rsid w:val="000F7E1B"/>
    <w:rsid w:val="00100014"/>
    <w:rsid w:val="0010039A"/>
    <w:rsid w:val="00101E94"/>
    <w:rsid w:val="00101FB2"/>
    <w:rsid w:val="00102CB8"/>
    <w:rsid w:val="00102F02"/>
    <w:rsid w:val="0010385D"/>
    <w:rsid w:val="00103E41"/>
    <w:rsid w:val="001041B6"/>
    <w:rsid w:val="001070EA"/>
    <w:rsid w:val="0011002A"/>
    <w:rsid w:val="001107CE"/>
    <w:rsid w:val="0011110A"/>
    <w:rsid w:val="001118AF"/>
    <w:rsid w:val="00111CA5"/>
    <w:rsid w:val="0011256E"/>
    <w:rsid w:val="0011352E"/>
    <w:rsid w:val="00114FC0"/>
    <w:rsid w:val="00115496"/>
    <w:rsid w:val="00116DB9"/>
    <w:rsid w:val="00116F28"/>
    <w:rsid w:val="00121C39"/>
    <w:rsid w:val="00123255"/>
    <w:rsid w:val="00124D2D"/>
    <w:rsid w:val="00124DA1"/>
    <w:rsid w:val="00125326"/>
    <w:rsid w:val="00125CB5"/>
    <w:rsid w:val="00127535"/>
    <w:rsid w:val="001307BE"/>
    <w:rsid w:val="00130C8F"/>
    <w:rsid w:val="001314F2"/>
    <w:rsid w:val="001317DA"/>
    <w:rsid w:val="001323BA"/>
    <w:rsid w:val="0013254D"/>
    <w:rsid w:val="00133AAC"/>
    <w:rsid w:val="00133FBD"/>
    <w:rsid w:val="00136561"/>
    <w:rsid w:val="001400E1"/>
    <w:rsid w:val="001405FA"/>
    <w:rsid w:val="001413B3"/>
    <w:rsid w:val="001425C3"/>
    <w:rsid w:val="00142F16"/>
    <w:rsid w:val="00143E03"/>
    <w:rsid w:val="00143E93"/>
    <w:rsid w:val="0014428D"/>
    <w:rsid w:val="001500FC"/>
    <w:rsid w:val="00151AC0"/>
    <w:rsid w:val="00151B27"/>
    <w:rsid w:val="00152046"/>
    <w:rsid w:val="00154147"/>
    <w:rsid w:val="00155746"/>
    <w:rsid w:val="00156318"/>
    <w:rsid w:val="0015639A"/>
    <w:rsid w:val="0016081D"/>
    <w:rsid w:val="00160CF3"/>
    <w:rsid w:val="00160E61"/>
    <w:rsid w:val="001620FA"/>
    <w:rsid w:val="00162853"/>
    <w:rsid w:val="00163793"/>
    <w:rsid w:val="00167FB2"/>
    <w:rsid w:val="001707DE"/>
    <w:rsid w:val="00170B04"/>
    <w:rsid w:val="00170F47"/>
    <w:rsid w:val="001714F2"/>
    <w:rsid w:val="00173642"/>
    <w:rsid w:val="00173AF4"/>
    <w:rsid w:val="00173CB0"/>
    <w:rsid w:val="00174CE8"/>
    <w:rsid w:val="00175351"/>
    <w:rsid w:val="00175F60"/>
    <w:rsid w:val="00176050"/>
    <w:rsid w:val="001764D8"/>
    <w:rsid w:val="00176A8F"/>
    <w:rsid w:val="00180D58"/>
    <w:rsid w:val="00182981"/>
    <w:rsid w:val="00184CF9"/>
    <w:rsid w:val="00185010"/>
    <w:rsid w:val="001852EC"/>
    <w:rsid w:val="00186447"/>
    <w:rsid w:val="001874CF"/>
    <w:rsid w:val="00190214"/>
    <w:rsid w:val="00190D9B"/>
    <w:rsid w:val="00191BAE"/>
    <w:rsid w:val="00193432"/>
    <w:rsid w:val="0019346C"/>
    <w:rsid w:val="00195444"/>
    <w:rsid w:val="001A199D"/>
    <w:rsid w:val="001A2BDB"/>
    <w:rsid w:val="001A30F4"/>
    <w:rsid w:val="001A4C0D"/>
    <w:rsid w:val="001A552F"/>
    <w:rsid w:val="001A56F3"/>
    <w:rsid w:val="001A737B"/>
    <w:rsid w:val="001A750C"/>
    <w:rsid w:val="001B1D89"/>
    <w:rsid w:val="001B3110"/>
    <w:rsid w:val="001B4198"/>
    <w:rsid w:val="001B44BC"/>
    <w:rsid w:val="001B5888"/>
    <w:rsid w:val="001B618F"/>
    <w:rsid w:val="001B6545"/>
    <w:rsid w:val="001B681B"/>
    <w:rsid w:val="001B6A49"/>
    <w:rsid w:val="001B7231"/>
    <w:rsid w:val="001B74FB"/>
    <w:rsid w:val="001B77A1"/>
    <w:rsid w:val="001C0422"/>
    <w:rsid w:val="001C0E0E"/>
    <w:rsid w:val="001C0EB9"/>
    <w:rsid w:val="001C1219"/>
    <w:rsid w:val="001C357A"/>
    <w:rsid w:val="001C3A37"/>
    <w:rsid w:val="001C4384"/>
    <w:rsid w:val="001C65FF"/>
    <w:rsid w:val="001D47E5"/>
    <w:rsid w:val="001D584C"/>
    <w:rsid w:val="001D5E1B"/>
    <w:rsid w:val="001D66C1"/>
    <w:rsid w:val="001D7C6F"/>
    <w:rsid w:val="001E0024"/>
    <w:rsid w:val="001E0C65"/>
    <w:rsid w:val="001E23E3"/>
    <w:rsid w:val="001E387A"/>
    <w:rsid w:val="001E3DA4"/>
    <w:rsid w:val="001E5830"/>
    <w:rsid w:val="001E684C"/>
    <w:rsid w:val="001E701C"/>
    <w:rsid w:val="001E7C03"/>
    <w:rsid w:val="001F02AF"/>
    <w:rsid w:val="001F0649"/>
    <w:rsid w:val="001F28F4"/>
    <w:rsid w:val="001F2CC6"/>
    <w:rsid w:val="001F3055"/>
    <w:rsid w:val="001F31BC"/>
    <w:rsid w:val="001F378E"/>
    <w:rsid w:val="001F3C79"/>
    <w:rsid w:val="001F3E68"/>
    <w:rsid w:val="001F4597"/>
    <w:rsid w:val="001F56A9"/>
    <w:rsid w:val="001F5C6A"/>
    <w:rsid w:val="001F670A"/>
    <w:rsid w:val="00200D15"/>
    <w:rsid w:val="0020223B"/>
    <w:rsid w:val="00203074"/>
    <w:rsid w:val="00203B46"/>
    <w:rsid w:val="002048E1"/>
    <w:rsid w:val="00207DB6"/>
    <w:rsid w:val="00210278"/>
    <w:rsid w:val="00210CC2"/>
    <w:rsid w:val="00210F5B"/>
    <w:rsid w:val="00210FFA"/>
    <w:rsid w:val="00211262"/>
    <w:rsid w:val="002115F5"/>
    <w:rsid w:val="00211AC9"/>
    <w:rsid w:val="0021355B"/>
    <w:rsid w:val="002179F9"/>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229C"/>
    <w:rsid w:val="0023355C"/>
    <w:rsid w:val="00234280"/>
    <w:rsid w:val="00235000"/>
    <w:rsid w:val="002350E3"/>
    <w:rsid w:val="00235330"/>
    <w:rsid w:val="00236443"/>
    <w:rsid w:val="00240773"/>
    <w:rsid w:val="00240815"/>
    <w:rsid w:val="00240A5B"/>
    <w:rsid w:val="00240C76"/>
    <w:rsid w:val="002411EF"/>
    <w:rsid w:val="00242730"/>
    <w:rsid w:val="002436BA"/>
    <w:rsid w:val="002444ED"/>
    <w:rsid w:val="00244A15"/>
    <w:rsid w:val="00244D40"/>
    <w:rsid w:val="00246AE9"/>
    <w:rsid w:val="0024799E"/>
    <w:rsid w:val="00250C59"/>
    <w:rsid w:val="00250E0D"/>
    <w:rsid w:val="00251D59"/>
    <w:rsid w:val="00252602"/>
    <w:rsid w:val="00252FDC"/>
    <w:rsid w:val="00257613"/>
    <w:rsid w:val="00261E5B"/>
    <w:rsid w:val="00262F34"/>
    <w:rsid w:val="00263470"/>
    <w:rsid w:val="00263733"/>
    <w:rsid w:val="00264676"/>
    <w:rsid w:val="00265536"/>
    <w:rsid w:val="00265E54"/>
    <w:rsid w:val="00266F3E"/>
    <w:rsid w:val="00270785"/>
    <w:rsid w:val="00272464"/>
    <w:rsid w:val="00273DCD"/>
    <w:rsid w:val="00274291"/>
    <w:rsid w:val="00276CFE"/>
    <w:rsid w:val="00277071"/>
    <w:rsid w:val="0027786C"/>
    <w:rsid w:val="00277BF7"/>
    <w:rsid w:val="00281416"/>
    <w:rsid w:val="00285CD3"/>
    <w:rsid w:val="0028686A"/>
    <w:rsid w:val="00286E66"/>
    <w:rsid w:val="002870B7"/>
    <w:rsid w:val="002919B5"/>
    <w:rsid w:val="00293441"/>
    <w:rsid w:val="00294238"/>
    <w:rsid w:val="0029493E"/>
    <w:rsid w:val="002962E0"/>
    <w:rsid w:val="00296C2E"/>
    <w:rsid w:val="002A1B05"/>
    <w:rsid w:val="002A267F"/>
    <w:rsid w:val="002A3354"/>
    <w:rsid w:val="002A35EA"/>
    <w:rsid w:val="002A37B6"/>
    <w:rsid w:val="002A3BD5"/>
    <w:rsid w:val="002A43A2"/>
    <w:rsid w:val="002A44ED"/>
    <w:rsid w:val="002A4612"/>
    <w:rsid w:val="002A4F70"/>
    <w:rsid w:val="002A5263"/>
    <w:rsid w:val="002A6821"/>
    <w:rsid w:val="002A74D2"/>
    <w:rsid w:val="002A7CDA"/>
    <w:rsid w:val="002A7F47"/>
    <w:rsid w:val="002B1544"/>
    <w:rsid w:val="002B36C8"/>
    <w:rsid w:val="002B71B4"/>
    <w:rsid w:val="002B7240"/>
    <w:rsid w:val="002C0FF4"/>
    <w:rsid w:val="002C125A"/>
    <w:rsid w:val="002C2668"/>
    <w:rsid w:val="002C43BD"/>
    <w:rsid w:val="002C493D"/>
    <w:rsid w:val="002C5261"/>
    <w:rsid w:val="002C6091"/>
    <w:rsid w:val="002D0562"/>
    <w:rsid w:val="002D1B5A"/>
    <w:rsid w:val="002D2500"/>
    <w:rsid w:val="002D338A"/>
    <w:rsid w:val="002D3F00"/>
    <w:rsid w:val="002D4D59"/>
    <w:rsid w:val="002D54BF"/>
    <w:rsid w:val="002D5E94"/>
    <w:rsid w:val="002D632D"/>
    <w:rsid w:val="002E02A1"/>
    <w:rsid w:val="002E0982"/>
    <w:rsid w:val="002E0DB9"/>
    <w:rsid w:val="002E2CE4"/>
    <w:rsid w:val="002E34F3"/>
    <w:rsid w:val="002E435E"/>
    <w:rsid w:val="002E73F2"/>
    <w:rsid w:val="002F33FB"/>
    <w:rsid w:val="002F663A"/>
    <w:rsid w:val="002F68A4"/>
    <w:rsid w:val="002F7594"/>
    <w:rsid w:val="00300D6F"/>
    <w:rsid w:val="00301357"/>
    <w:rsid w:val="00301D04"/>
    <w:rsid w:val="003035D4"/>
    <w:rsid w:val="00303DCB"/>
    <w:rsid w:val="00304771"/>
    <w:rsid w:val="00305736"/>
    <w:rsid w:val="00306C5B"/>
    <w:rsid w:val="00306E3B"/>
    <w:rsid w:val="003119B6"/>
    <w:rsid w:val="00312C3D"/>
    <w:rsid w:val="00314331"/>
    <w:rsid w:val="00317E31"/>
    <w:rsid w:val="00320214"/>
    <w:rsid w:val="003209D6"/>
    <w:rsid w:val="0032109A"/>
    <w:rsid w:val="0032214F"/>
    <w:rsid w:val="00322164"/>
    <w:rsid w:val="00323CF7"/>
    <w:rsid w:val="00323E61"/>
    <w:rsid w:val="0032513D"/>
    <w:rsid w:val="00326251"/>
    <w:rsid w:val="0032739C"/>
    <w:rsid w:val="00327DEE"/>
    <w:rsid w:val="003302DA"/>
    <w:rsid w:val="00330EB0"/>
    <w:rsid w:val="003329F3"/>
    <w:rsid w:val="0033352E"/>
    <w:rsid w:val="00333690"/>
    <w:rsid w:val="00333D20"/>
    <w:rsid w:val="00333F53"/>
    <w:rsid w:val="003340EF"/>
    <w:rsid w:val="00334A49"/>
    <w:rsid w:val="0033536F"/>
    <w:rsid w:val="00335BB0"/>
    <w:rsid w:val="0033627B"/>
    <w:rsid w:val="003406BD"/>
    <w:rsid w:val="00343474"/>
    <w:rsid w:val="00343F84"/>
    <w:rsid w:val="00344135"/>
    <w:rsid w:val="003450E2"/>
    <w:rsid w:val="00351B63"/>
    <w:rsid w:val="00352E57"/>
    <w:rsid w:val="003541B0"/>
    <w:rsid w:val="0035457E"/>
    <w:rsid w:val="00355885"/>
    <w:rsid w:val="0035605E"/>
    <w:rsid w:val="00357449"/>
    <w:rsid w:val="0036238B"/>
    <w:rsid w:val="003651A4"/>
    <w:rsid w:val="00365680"/>
    <w:rsid w:val="003657F3"/>
    <w:rsid w:val="00366D4D"/>
    <w:rsid w:val="00367038"/>
    <w:rsid w:val="00370963"/>
    <w:rsid w:val="0037144E"/>
    <w:rsid w:val="003736B5"/>
    <w:rsid w:val="00374F1E"/>
    <w:rsid w:val="00376DEC"/>
    <w:rsid w:val="00377200"/>
    <w:rsid w:val="0038034A"/>
    <w:rsid w:val="00380E04"/>
    <w:rsid w:val="00380E6C"/>
    <w:rsid w:val="00383227"/>
    <w:rsid w:val="00384D8F"/>
    <w:rsid w:val="00385D98"/>
    <w:rsid w:val="00385EC5"/>
    <w:rsid w:val="0038658E"/>
    <w:rsid w:val="0039066E"/>
    <w:rsid w:val="00391C95"/>
    <w:rsid w:val="00394D49"/>
    <w:rsid w:val="00396DAC"/>
    <w:rsid w:val="003A0214"/>
    <w:rsid w:val="003A027D"/>
    <w:rsid w:val="003A1D74"/>
    <w:rsid w:val="003A2B4D"/>
    <w:rsid w:val="003A2D2B"/>
    <w:rsid w:val="003A2DD4"/>
    <w:rsid w:val="003A3B1C"/>
    <w:rsid w:val="003A4088"/>
    <w:rsid w:val="003A478C"/>
    <w:rsid w:val="003A4F82"/>
    <w:rsid w:val="003A5525"/>
    <w:rsid w:val="003A6B38"/>
    <w:rsid w:val="003B2580"/>
    <w:rsid w:val="003B2E63"/>
    <w:rsid w:val="003B3189"/>
    <w:rsid w:val="003B3A9D"/>
    <w:rsid w:val="003B3DDD"/>
    <w:rsid w:val="003B5031"/>
    <w:rsid w:val="003B5A32"/>
    <w:rsid w:val="003B6105"/>
    <w:rsid w:val="003C03CC"/>
    <w:rsid w:val="003C04C4"/>
    <w:rsid w:val="003C26F4"/>
    <w:rsid w:val="003C3686"/>
    <w:rsid w:val="003C4852"/>
    <w:rsid w:val="003C5BC7"/>
    <w:rsid w:val="003C601E"/>
    <w:rsid w:val="003C66C4"/>
    <w:rsid w:val="003D2C4E"/>
    <w:rsid w:val="003D3600"/>
    <w:rsid w:val="003D3825"/>
    <w:rsid w:val="003D3EC4"/>
    <w:rsid w:val="003D4760"/>
    <w:rsid w:val="003D49DC"/>
    <w:rsid w:val="003D4DD9"/>
    <w:rsid w:val="003D5D7A"/>
    <w:rsid w:val="003E0663"/>
    <w:rsid w:val="003E133F"/>
    <w:rsid w:val="003E49F6"/>
    <w:rsid w:val="003E699C"/>
    <w:rsid w:val="003E69F3"/>
    <w:rsid w:val="003E782E"/>
    <w:rsid w:val="003E7A0B"/>
    <w:rsid w:val="003E7B2B"/>
    <w:rsid w:val="003E7DCB"/>
    <w:rsid w:val="003F181F"/>
    <w:rsid w:val="003F1A48"/>
    <w:rsid w:val="003F1E23"/>
    <w:rsid w:val="003F2B0A"/>
    <w:rsid w:val="003F313C"/>
    <w:rsid w:val="003F341B"/>
    <w:rsid w:val="003F37FC"/>
    <w:rsid w:val="003F3A26"/>
    <w:rsid w:val="003F49A6"/>
    <w:rsid w:val="003F5098"/>
    <w:rsid w:val="003F5568"/>
    <w:rsid w:val="003F5A95"/>
    <w:rsid w:val="003F6D19"/>
    <w:rsid w:val="004000D5"/>
    <w:rsid w:val="00400244"/>
    <w:rsid w:val="004005C1"/>
    <w:rsid w:val="00401716"/>
    <w:rsid w:val="00401A09"/>
    <w:rsid w:val="0040273A"/>
    <w:rsid w:val="00402C25"/>
    <w:rsid w:val="004050D7"/>
    <w:rsid w:val="004078BD"/>
    <w:rsid w:val="00410132"/>
    <w:rsid w:val="00410BCD"/>
    <w:rsid w:val="00410DE5"/>
    <w:rsid w:val="0041175D"/>
    <w:rsid w:val="004123BE"/>
    <w:rsid w:val="00414CE5"/>
    <w:rsid w:val="00416673"/>
    <w:rsid w:val="0042160D"/>
    <w:rsid w:val="00423A3C"/>
    <w:rsid w:val="0042681B"/>
    <w:rsid w:val="00427193"/>
    <w:rsid w:val="0043068A"/>
    <w:rsid w:val="004306E0"/>
    <w:rsid w:val="00431D54"/>
    <w:rsid w:val="004329BE"/>
    <w:rsid w:val="00432C38"/>
    <w:rsid w:val="004342EC"/>
    <w:rsid w:val="00437C76"/>
    <w:rsid w:val="0044105C"/>
    <w:rsid w:val="00443E95"/>
    <w:rsid w:val="004441A0"/>
    <w:rsid w:val="00444268"/>
    <w:rsid w:val="00444326"/>
    <w:rsid w:val="004443BF"/>
    <w:rsid w:val="00444C19"/>
    <w:rsid w:val="00445218"/>
    <w:rsid w:val="00445CDD"/>
    <w:rsid w:val="00446892"/>
    <w:rsid w:val="00447E36"/>
    <w:rsid w:val="00450700"/>
    <w:rsid w:val="00450C30"/>
    <w:rsid w:val="004529C7"/>
    <w:rsid w:val="004540FF"/>
    <w:rsid w:val="004541F1"/>
    <w:rsid w:val="00455ECA"/>
    <w:rsid w:val="00457296"/>
    <w:rsid w:val="00457320"/>
    <w:rsid w:val="00460164"/>
    <w:rsid w:val="0046039A"/>
    <w:rsid w:val="00460A6B"/>
    <w:rsid w:val="00461977"/>
    <w:rsid w:val="00461A3F"/>
    <w:rsid w:val="004629FD"/>
    <w:rsid w:val="00462AD2"/>
    <w:rsid w:val="00463B4B"/>
    <w:rsid w:val="00463F4D"/>
    <w:rsid w:val="0046471F"/>
    <w:rsid w:val="00464BE8"/>
    <w:rsid w:val="00465019"/>
    <w:rsid w:val="00465FA4"/>
    <w:rsid w:val="0046613F"/>
    <w:rsid w:val="0046655D"/>
    <w:rsid w:val="0046765E"/>
    <w:rsid w:val="004676E2"/>
    <w:rsid w:val="00471EDD"/>
    <w:rsid w:val="00473E94"/>
    <w:rsid w:val="0047400C"/>
    <w:rsid w:val="004745D9"/>
    <w:rsid w:val="004762D8"/>
    <w:rsid w:val="004765B3"/>
    <w:rsid w:val="00476D29"/>
    <w:rsid w:val="00477241"/>
    <w:rsid w:val="00477EAF"/>
    <w:rsid w:val="00477EE0"/>
    <w:rsid w:val="00480AB8"/>
    <w:rsid w:val="0048139F"/>
    <w:rsid w:val="00481C00"/>
    <w:rsid w:val="00483053"/>
    <w:rsid w:val="00484874"/>
    <w:rsid w:val="00485230"/>
    <w:rsid w:val="004879E9"/>
    <w:rsid w:val="00487F81"/>
    <w:rsid w:val="00490247"/>
    <w:rsid w:val="0049104F"/>
    <w:rsid w:val="00491218"/>
    <w:rsid w:val="00491CFD"/>
    <w:rsid w:val="00493362"/>
    <w:rsid w:val="00494343"/>
    <w:rsid w:val="00496C2F"/>
    <w:rsid w:val="0049740D"/>
    <w:rsid w:val="004978D3"/>
    <w:rsid w:val="004A11F8"/>
    <w:rsid w:val="004A22BD"/>
    <w:rsid w:val="004A22FA"/>
    <w:rsid w:val="004A269A"/>
    <w:rsid w:val="004A30FB"/>
    <w:rsid w:val="004A35DD"/>
    <w:rsid w:val="004A37D3"/>
    <w:rsid w:val="004A3AD6"/>
    <w:rsid w:val="004A5865"/>
    <w:rsid w:val="004A77DF"/>
    <w:rsid w:val="004B0295"/>
    <w:rsid w:val="004B0803"/>
    <w:rsid w:val="004B10A8"/>
    <w:rsid w:val="004B22DA"/>
    <w:rsid w:val="004B3CB7"/>
    <w:rsid w:val="004B3D55"/>
    <w:rsid w:val="004B55B7"/>
    <w:rsid w:val="004B5836"/>
    <w:rsid w:val="004C00A6"/>
    <w:rsid w:val="004C0BBB"/>
    <w:rsid w:val="004C1AD6"/>
    <w:rsid w:val="004C1B86"/>
    <w:rsid w:val="004C3382"/>
    <w:rsid w:val="004C3867"/>
    <w:rsid w:val="004C4AB7"/>
    <w:rsid w:val="004C4CD0"/>
    <w:rsid w:val="004C57B5"/>
    <w:rsid w:val="004C5C25"/>
    <w:rsid w:val="004C6717"/>
    <w:rsid w:val="004C6CFF"/>
    <w:rsid w:val="004C70DC"/>
    <w:rsid w:val="004C7268"/>
    <w:rsid w:val="004D0211"/>
    <w:rsid w:val="004D1C9C"/>
    <w:rsid w:val="004D458D"/>
    <w:rsid w:val="004D504B"/>
    <w:rsid w:val="004D536E"/>
    <w:rsid w:val="004D76CC"/>
    <w:rsid w:val="004E1839"/>
    <w:rsid w:val="004E4A75"/>
    <w:rsid w:val="004E541A"/>
    <w:rsid w:val="004E5A5C"/>
    <w:rsid w:val="004E7007"/>
    <w:rsid w:val="004E76D6"/>
    <w:rsid w:val="004E7F57"/>
    <w:rsid w:val="004F06F5"/>
    <w:rsid w:val="004F191F"/>
    <w:rsid w:val="004F2A73"/>
    <w:rsid w:val="004F33A0"/>
    <w:rsid w:val="004F4353"/>
    <w:rsid w:val="004F447D"/>
    <w:rsid w:val="004F4C28"/>
    <w:rsid w:val="004F4E82"/>
    <w:rsid w:val="004F5CC5"/>
    <w:rsid w:val="004F6350"/>
    <w:rsid w:val="005028E1"/>
    <w:rsid w:val="0050692E"/>
    <w:rsid w:val="00507040"/>
    <w:rsid w:val="005079F8"/>
    <w:rsid w:val="00510189"/>
    <w:rsid w:val="005108C0"/>
    <w:rsid w:val="00511873"/>
    <w:rsid w:val="0051367B"/>
    <w:rsid w:val="00513B7E"/>
    <w:rsid w:val="005140DE"/>
    <w:rsid w:val="00514474"/>
    <w:rsid w:val="005147E9"/>
    <w:rsid w:val="0051778E"/>
    <w:rsid w:val="005215EF"/>
    <w:rsid w:val="00524637"/>
    <w:rsid w:val="00524FDD"/>
    <w:rsid w:val="00525137"/>
    <w:rsid w:val="005251DD"/>
    <w:rsid w:val="00526DB6"/>
    <w:rsid w:val="0053017A"/>
    <w:rsid w:val="00530492"/>
    <w:rsid w:val="00532854"/>
    <w:rsid w:val="005350F2"/>
    <w:rsid w:val="00535152"/>
    <w:rsid w:val="00535359"/>
    <w:rsid w:val="005357A2"/>
    <w:rsid w:val="005359E3"/>
    <w:rsid w:val="00535D87"/>
    <w:rsid w:val="00535EF0"/>
    <w:rsid w:val="005363DF"/>
    <w:rsid w:val="0053734B"/>
    <w:rsid w:val="005375B1"/>
    <w:rsid w:val="00537AFD"/>
    <w:rsid w:val="00537CB4"/>
    <w:rsid w:val="0054516B"/>
    <w:rsid w:val="0054559E"/>
    <w:rsid w:val="005513D5"/>
    <w:rsid w:val="005523B9"/>
    <w:rsid w:val="005545E0"/>
    <w:rsid w:val="00554865"/>
    <w:rsid w:val="00554E57"/>
    <w:rsid w:val="00562749"/>
    <w:rsid w:val="00562DE9"/>
    <w:rsid w:val="005638A5"/>
    <w:rsid w:val="00566381"/>
    <w:rsid w:val="00566A03"/>
    <w:rsid w:val="00571932"/>
    <w:rsid w:val="00573C97"/>
    <w:rsid w:val="00574240"/>
    <w:rsid w:val="00575CDC"/>
    <w:rsid w:val="005765D5"/>
    <w:rsid w:val="00576A3E"/>
    <w:rsid w:val="0057703D"/>
    <w:rsid w:val="0058366F"/>
    <w:rsid w:val="00583D5B"/>
    <w:rsid w:val="00583FFD"/>
    <w:rsid w:val="00587CCD"/>
    <w:rsid w:val="005908AE"/>
    <w:rsid w:val="0059176E"/>
    <w:rsid w:val="00592854"/>
    <w:rsid w:val="00593152"/>
    <w:rsid w:val="00593CA3"/>
    <w:rsid w:val="00594161"/>
    <w:rsid w:val="00594969"/>
    <w:rsid w:val="00596C5E"/>
    <w:rsid w:val="005A2194"/>
    <w:rsid w:val="005A21E0"/>
    <w:rsid w:val="005A33A1"/>
    <w:rsid w:val="005A54EE"/>
    <w:rsid w:val="005A563B"/>
    <w:rsid w:val="005A7500"/>
    <w:rsid w:val="005A77E4"/>
    <w:rsid w:val="005B1BDB"/>
    <w:rsid w:val="005B2BAA"/>
    <w:rsid w:val="005B2D53"/>
    <w:rsid w:val="005B3247"/>
    <w:rsid w:val="005B3409"/>
    <w:rsid w:val="005B498A"/>
    <w:rsid w:val="005B7B12"/>
    <w:rsid w:val="005C16CB"/>
    <w:rsid w:val="005C21D6"/>
    <w:rsid w:val="005C3F9F"/>
    <w:rsid w:val="005C406F"/>
    <w:rsid w:val="005C4A23"/>
    <w:rsid w:val="005C562C"/>
    <w:rsid w:val="005C5812"/>
    <w:rsid w:val="005C6400"/>
    <w:rsid w:val="005C7F1E"/>
    <w:rsid w:val="005D374F"/>
    <w:rsid w:val="005D5802"/>
    <w:rsid w:val="005D6CFC"/>
    <w:rsid w:val="005D73E2"/>
    <w:rsid w:val="005D757A"/>
    <w:rsid w:val="005D7C4B"/>
    <w:rsid w:val="005E1E4B"/>
    <w:rsid w:val="005E362D"/>
    <w:rsid w:val="005E3A0C"/>
    <w:rsid w:val="005E3FAC"/>
    <w:rsid w:val="005E492C"/>
    <w:rsid w:val="005E4BAA"/>
    <w:rsid w:val="005E52EF"/>
    <w:rsid w:val="005E5B56"/>
    <w:rsid w:val="005E6088"/>
    <w:rsid w:val="005E61DF"/>
    <w:rsid w:val="005E6B65"/>
    <w:rsid w:val="005E6B78"/>
    <w:rsid w:val="005E75B8"/>
    <w:rsid w:val="005F0976"/>
    <w:rsid w:val="005F26CE"/>
    <w:rsid w:val="005F4057"/>
    <w:rsid w:val="005F4088"/>
    <w:rsid w:val="005F601D"/>
    <w:rsid w:val="005F6119"/>
    <w:rsid w:val="005F7940"/>
    <w:rsid w:val="0060107A"/>
    <w:rsid w:val="00601AFF"/>
    <w:rsid w:val="00602D1D"/>
    <w:rsid w:val="00604307"/>
    <w:rsid w:val="0060487F"/>
    <w:rsid w:val="00605814"/>
    <w:rsid w:val="00606B93"/>
    <w:rsid w:val="00607727"/>
    <w:rsid w:val="00610BD5"/>
    <w:rsid w:val="00611531"/>
    <w:rsid w:val="006118AA"/>
    <w:rsid w:val="006139C7"/>
    <w:rsid w:val="006153E3"/>
    <w:rsid w:val="006167AB"/>
    <w:rsid w:val="00617D2D"/>
    <w:rsid w:val="00617D83"/>
    <w:rsid w:val="00620430"/>
    <w:rsid w:val="00620AC5"/>
    <w:rsid w:val="00621575"/>
    <w:rsid w:val="006215FC"/>
    <w:rsid w:val="00624093"/>
    <w:rsid w:val="00630F66"/>
    <w:rsid w:val="00631FC2"/>
    <w:rsid w:val="00632171"/>
    <w:rsid w:val="0063332A"/>
    <w:rsid w:val="006347F9"/>
    <w:rsid w:val="0063494E"/>
    <w:rsid w:val="00634C90"/>
    <w:rsid w:val="00635E79"/>
    <w:rsid w:val="00636E5E"/>
    <w:rsid w:val="006379E0"/>
    <w:rsid w:val="006404A7"/>
    <w:rsid w:val="006407F3"/>
    <w:rsid w:val="006408EC"/>
    <w:rsid w:val="0064129B"/>
    <w:rsid w:val="00641DF7"/>
    <w:rsid w:val="00643A80"/>
    <w:rsid w:val="00644DFC"/>
    <w:rsid w:val="006451E4"/>
    <w:rsid w:val="006454B4"/>
    <w:rsid w:val="00645A9C"/>
    <w:rsid w:val="006460B8"/>
    <w:rsid w:val="006504A0"/>
    <w:rsid w:val="006520C7"/>
    <w:rsid w:val="006520D5"/>
    <w:rsid w:val="00652CBB"/>
    <w:rsid w:val="006530B8"/>
    <w:rsid w:val="006535D6"/>
    <w:rsid w:val="00656716"/>
    <w:rsid w:val="006572ED"/>
    <w:rsid w:val="00657E87"/>
    <w:rsid w:val="00660457"/>
    <w:rsid w:val="00660E1E"/>
    <w:rsid w:val="006637B1"/>
    <w:rsid w:val="00664B64"/>
    <w:rsid w:val="00665D67"/>
    <w:rsid w:val="00665D77"/>
    <w:rsid w:val="006660CD"/>
    <w:rsid w:val="00666EC8"/>
    <w:rsid w:val="00666F4B"/>
    <w:rsid w:val="006676D0"/>
    <w:rsid w:val="0066796E"/>
    <w:rsid w:val="00670FAC"/>
    <w:rsid w:val="006710C9"/>
    <w:rsid w:val="006716A5"/>
    <w:rsid w:val="00675E37"/>
    <w:rsid w:val="00676AFC"/>
    <w:rsid w:val="00676F11"/>
    <w:rsid w:val="00680079"/>
    <w:rsid w:val="00680F68"/>
    <w:rsid w:val="0068260E"/>
    <w:rsid w:val="0068373D"/>
    <w:rsid w:val="00683BFE"/>
    <w:rsid w:val="0068437D"/>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568F"/>
    <w:rsid w:val="006A65EF"/>
    <w:rsid w:val="006A672B"/>
    <w:rsid w:val="006B23A9"/>
    <w:rsid w:val="006B281D"/>
    <w:rsid w:val="006B3F8A"/>
    <w:rsid w:val="006B5CA3"/>
    <w:rsid w:val="006B6B3B"/>
    <w:rsid w:val="006B7248"/>
    <w:rsid w:val="006B7714"/>
    <w:rsid w:val="006B78D8"/>
    <w:rsid w:val="006C090F"/>
    <w:rsid w:val="006C0935"/>
    <w:rsid w:val="006C0BCE"/>
    <w:rsid w:val="006C113F"/>
    <w:rsid w:val="006C2AED"/>
    <w:rsid w:val="006C38DD"/>
    <w:rsid w:val="006C53C7"/>
    <w:rsid w:val="006C5577"/>
    <w:rsid w:val="006C559A"/>
    <w:rsid w:val="006C58FA"/>
    <w:rsid w:val="006D042D"/>
    <w:rsid w:val="006D06EF"/>
    <w:rsid w:val="006D142E"/>
    <w:rsid w:val="006D4497"/>
    <w:rsid w:val="006D4E6F"/>
    <w:rsid w:val="006D61F6"/>
    <w:rsid w:val="006E0EB0"/>
    <w:rsid w:val="006E1F4C"/>
    <w:rsid w:val="006E22C8"/>
    <w:rsid w:val="006E279A"/>
    <w:rsid w:val="006E2F3F"/>
    <w:rsid w:val="006E313B"/>
    <w:rsid w:val="006E442A"/>
    <w:rsid w:val="006E4434"/>
    <w:rsid w:val="006E59FC"/>
    <w:rsid w:val="006E5CFD"/>
    <w:rsid w:val="006E7E2C"/>
    <w:rsid w:val="006F1326"/>
    <w:rsid w:val="006F2BEE"/>
    <w:rsid w:val="006F3708"/>
    <w:rsid w:val="006F3E6B"/>
    <w:rsid w:val="006F4619"/>
    <w:rsid w:val="006F4A59"/>
    <w:rsid w:val="00700232"/>
    <w:rsid w:val="007014C7"/>
    <w:rsid w:val="00702D6F"/>
    <w:rsid w:val="00703B6C"/>
    <w:rsid w:val="00703C6B"/>
    <w:rsid w:val="007047D5"/>
    <w:rsid w:val="00705D98"/>
    <w:rsid w:val="00707891"/>
    <w:rsid w:val="00707D43"/>
    <w:rsid w:val="00711EF1"/>
    <w:rsid w:val="0071229A"/>
    <w:rsid w:val="00712572"/>
    <w:rsid w:val="00713495"/>
    <w:rsid w:val="00713EEB"/>
    <w:rsid w:val="007159D2"/>
    <w:rsid w:val="0072050E"/>
    <w:rsid w:val="00720FA2"/>
    <w:rsid w:val="007211F5"/>
    <w:rsid w:val="00724666"/>
    <w:rsid w:val="00725492"/>
    <w:rsid w:val="00726043"/>
    <w:rsid w:val="0072704A"/>
    <w:rsid w:val="00730AE8"/>
    <w:rsid w:val="007315DA"/>
    <w:rsid w:val="00731963"/>
    <w:rsid w:val="00734321"/>
    <w:rsid w:val="0073532E"/>
    <w:rsid w:val="00740310"/>
    <w:rsid w:val="00740652"/>
    <w:rsid w:val="00740F02"/>
    <w:rsid w:val="00740FEC"/>
    <w:rsid w:val="0074132E"/>
    <w:rsid w:val="00741493"/>
    <w:rsid w:val="007426B3"/>
    <w:rsid w:val="007426FD"/>
    <w:rsid w:val="0074329D"/>
    <w:rsid w:val="00744376"/>
    <w:rsid w:val="007449EA"/>
    <w:rsid w:val="00744D00"/>
    <w:rsid w:val="00745273"/>
    <w:rsid w:val="00746DD9"/>
    <w:rsid w:val="0075057A"/>
    <w:rsid w:val="00751771"/>
    <w:rsid w:val="00751C1C"/>
    <w:rsid w:val="00752180"/>
    <w:rsid w:val="007521A1"/>
    <w:rsid w:val="00752BC3"/>
    <w:rsid w:val="0075315D"/>
    <w:rsid w:val="007538F9"/>
    <w:rsid w:val="00754253"/>
    <w:rsid w:val="007552BB"/>
    <w:rsid w:val="007558D3"/>
    <w:rsid w:val="007559D7"/>
    <w:rsid w:val="00755D3A"/>
    <w:rsid w:val="00760141"/>
    <w:rsid w:val="007609C6"/>
    <w:rsid w:val="007610A0"/>
    <w:rsid w:val="00762036"/>
    <w:rsid w:val="007620F2"/>
    <w:rsid w:val="00762EBA"/>
    <w:rsid w:val="0076359D"/>
    <w:rsid w:val="0077058D"/>
    <w:rsid w:val="00772536"/>
    <w:rsid w:val="00773613"/>
    <w:rsid w:val="00774782"/>
    <w:rsid w:val="00776476"/>
    <w:rsid w:val="00776527"/>
    <w:rsid w:val="007805E1"/>
    <w:rsid w:val="0078113E"/>
    <w:rsid w:val="00781834"/>
    <w:rsid w:val="007821DB"/>
    <w:rsid w:val="00782818"/>
    <w:rsid w:val="007838F1"/>
    <w:rsid w:val="00784C4A"/>
    <w:rsid w:val="00787432"/>
    <w:rsid w:val="00787507"/>
    <w:rsid w:val="007879F2"/>
    <w:rsid w:val="00791CF8"/>
    <w:rsid w:val="00791EF9"/>
    <w:rsid w:val="00792262"/>
    <w:rsid w:val="00793387"/>
    <w:rsid w:val="00793BAE"/>
    <w:rsid w:val="00794E0A"/>
    <w:rsid w:val="00796642"/>
    <w:rsid w:val="007A11D9"/>
    <w:rsid w:val="007A327B"/>
    <w:rsid w:val="007A4048"/>
    <w:rsid w:val="007A45B1"/>
    <w:rsid w:val="007A4606"/>
    <w:rsid w:val="007B0D67"/>
    <w:rsid w:val="007B1966"/>
    <w:rsid w:val="007B2779"/>
    <w:rsid w:val="007B3DCC"/>
    <w:rsid w:val="007B4518"/>
    <w:rsid w:val="007B5031"/>
    <w:rsid w:val="007B573F"/>
    <w:rsid w:val="007B78F8"/>
    <w:rsid w:val="007C0065"/>
    <w:rsid w:val="007C010B"/>
    <w:rsid w:val="007C3AE3"/>
    <w:rsid w:val="007C605B"/>
    <w:rsid w:val="007D2A5A"/>
    <w:rsid w:val="007D2AD8"/>
    <w:rsid w:val="007D2C47"/>
    <w:rsid w:val="007D2F81"/>
    <w:rsid w:val="007D3167"/>
    <w:rsid w:val="007D4128"/>
    <w:rsid w:val="007D4281"/>
    <w:rsid w:val="007D42F5"/>
    <w:rsid w:val="007D44C3"/>
    <w:rsid w:val="007D5947"/>
    <w:rsid w:val="007D65C1"/>
    <w:rsid w:val="007E030F"/>
    <w:rsid w:val="007E0E59"/>
    <w:rsid w:val="007E0F4B"/>
    <w:rsid w:val="007E3715"/>
    <w:rsid w:val="007E7E61"/>
    <w:rsid w:val="007F0845"/>
    <w:rsid w:val="007F16F9"/>
    <w:rsid w:val="007F3E3E"/>
    <w:rsid w:val="007F42E0"/>
    <w:rsid w:val="007F500D"/>
    <w:rsid w:val="007F5F14"/>
    <w:rsid w:val="007F7B54"/>
    <w:rsid w:val="00800073"/>
    <w:rsid w:val="008005D7"/>
    <w:rsid w:val="00801FDD"/>
    <w:rsid w:val="008020C2"/>
    <w:rsid w:val="0080255C"/>
    <w:rsid w:val="00806D07"/>
    <w:rsid w:val="0081187C"/>
    <w:rsid w:val="00811E24"/>
    <w:rsid w:val="00812386"/>
    <w:rsid w:val="00812E2B"/>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ED1"/>
    <w:rsid w:val="00827181"/>
    <w:rsid w:val="0082733C"/>
    <w:rsid w:val="00827746"/>
    <w:rsid w:val="0083102D"/>
    <w:rsid w:val="0083143E"/>
    <w:rsid w:val="0083159D"/>
    <w:rsid w:val="008318FF"/>
    <w:rsid w:val="00832187"/>
    <w:rsid w:val="00832493"/>
    <w:rsid w:val="008329BD"/>
    <w:rsid w:val="008336D8"/>
    <w:rsid w:val="008339C4"/>
    <w:rsid w:val="00834F0A"/>
    <w:rsid w:val="00834FAA"/>
    <w:rsid w:val="00835181"/>
    <w:rsid w:val="00835991"/>
    <w:rsid w:val="00836086"/>
    <w:rsid w:val="00840699"/>
    <w:rsid w:val="00841D9F"/>
    <w:rsid w:val="00842604"/>
    <w:rsid w:val="00843ECF"/>
    <w:rsid w:val="00845AB1"/>
    <w:rsid w:val="00846673"/>
    <w:rsid w:val="0085281A"/>
    <w:rsid w:val="008559FE"/>
    <w:rsid w:val="00857339"/>
    <w:rsid w:val="00860706"/>
    <w:rsid w:val="00862A7A"/>
    <w:rsid w:val="00863104"/>
    <w:rsid w:val="008636CD"/>
    <w:rsid w:val="00863D9E"/>
    <w:rsid w:val="00863FDC"/>
    <w:rsid w:val="008642AF"/>
    <w:rsid w:val="00865729"/>
    <w:rsid w:val="00865ED4"/>
    <w:rsid w:val="008669A7"/>
    <w:rsid w:val="00867E29"/>
    <w:rsid w:val="00870F2B"/>
    <w:rsid w:val="008746E6"/>
    <w:rsid w:val="0087594C"/>
    <w:rsid w:val="00876086"/>
    <w:rsid w:val="008765FA"/>
    <w:rsid w:val="008768D6"/>
    <w:rsid w:val="008775D1"/>
    <w:rsid w:val="008777BB"/>
    <w:rsid w:val="00877D68"/>
    <w:rsid w:val="00877E5D"/>
    <w:rsid w:val="00880150"/>
    <w:rsid w:val="00880ABA"/>
    <w:rsid w:val="00883A67"/>
    <w:rsid w:val="00883D45"/>
    <w:rsid w:val="00884D69"/>
    <w:rsid w:val="0088503D"/>
    <w:rsid w:val="00886A8F"/>
    <w:rsid w:val="0088733A"/>
    <w:rsid w:val="00891BE0"/>
    <w:rsid w:val="00893302"/>
    <w:rsid w:val="00893648"/>
    <w:rsid w:val="00893F3C"/>
    <w:rsid w:val="008945A1"/>
    <w:rsid w:val="00894A63"/>
    <w:rsid w:val="00895A54"/>
    <w:rsid w:val="00896916"/>
    <w:rsid w:val="00896BDE"/>
    <w:rsid w:val="008A0861"/>
    <w:rsid w:val="008A0BB2"/>
    <w:rsid w:val="008A1AB3"/>
    <w:rsid w:val="008A1D5C"/>
    <w:rsid w:val="008A3292"/>
    <w:rsid w:val="008A3A85"/>
    <w:rsid w:val="008A43E9"/>
    <w:rsid w:val="008A4CB1"/>
    <w:rsid w:val="008A615E"/>
    <w:rsid w:val="008A632B"/>
    <w:rsid w:val="008A6BFE"/>
    <w:rsid w:val="008B00C2"/>
    <w:rsid w:val="008B07EF"/>
    <w:rsid w:val="008B16DE"/>
    <w:rsid w:val="008B190E"/>
    <w:rsid w:val="008B1A8A"/>
    <w:rsid w:val="008B1FC9"/>
    <w:rsid w:val="008B531F"/>
    <w:rsid w:val="008B6B67"/>
    <w:rsid w:val="008B7306"/>
    <w:rsid w:val="008B775F"/>
    <w:rsid w:val="008B7C02"/>
    <w:rsid w:val="008B7D13"/>
    <w:rsid w:val="008B7F9E"/>
    <w:rsid w:val="008C034E"/>
    <w:rsid w:val="008C0E88"/>
    <w:rsid w:val="008C1399"/>
    <w:rsid w:val="008C1AA8"/>
    <w:rsid w:val="008C22A8"/>
    <w:rsid w:val="008C5B43"/>
    <w:rsid w:val="008C63FD"/>
    <w:rsid w:val="008C6CB8"/>
    <w:rsid w:val="008C7815"/>
    <w:rsid w:val="008C7A07"/>
    <w:rsid w:val="008D0171"/>
    <w:rsid w:val="008D13EA"/>
    <w:rsid w:val="008D2671"/>
    <w:rsid w:val="008D2A16"/>
    <w:rsid w:val="008D2ECF"/>
    <w:rsid w:val="008D347D"/>
    <w:rsid w:val="008D3F3D"/>
    <w:rsid w:val="008E0367"/>
    <w:rsid w:val="008E308D"/>
    <w:rsid w:val="008E31FF"/>
    <w:rsid w:val="008E46A3"/>
    <w:rsid w:val="008E5DE6"/>
    <w:rsid w:val="008E6113"/>
    <w:rsid w:val="008E6AB3"/>
    <w:rsid w:val="008E6AD3"/>
    <w:rsid w:val="008E71A6"/>
    <w:rsid w:val="008E77B6"/>
    <w:rsid w:val="008E7C55"/>
    <w:rsid w:val="008F032E"/>
    <w:rsid w:val="008F0F14"/>
    <w:rsid w:val="008F4FCE"/>
    <w:rsid w:val="008F5301"/>
    <w:rsid w:val="008F6967"/>
    <w:rsid w:val="008F6A0C"/>
    <w:rsid w:val="008F6F38"/>
    <w:rsid w:val="008F7721"/>
    <w:rsid w:val="008F7D28"/>
    <w:rsid w:val="009003A8"/>
    <w:rsid w:val="009010A7"/>
    <w:rsid w:val="00901AF3"/>
    <w:rsid w:val="00902CBE"/>
    <w:rsid w:val="00902D74"/>
    <w:rsid w:val="00902EFF"/>
    <w:rsid w:val="00903E06"/>
    <w:rsid w:val="00904B9D"/>
    <w:rsid w:val="00905A11"/>
    <w:rsid w:val="009066E1"/>
    <w:rsid w:val="00907A41"/>
    <w:rsid w:val="009102BD"/>
    <w:rsid w:val="00910F93"/>
    <w:rsid w:val="0091255A"/>
    <w:rsid w:val="00914426"/>
    <w:rsid w:val="0091675F"/>
    <w:rsid w:val="00917709"/>
    <w:rsid w:val="00917918"/>
    <w:rsid w:val="00920874"/>
    <w:rsid w:val="00921F14"/>
    <w:rsid w:val="00923750"/>
    <w:rsid w:val="009243A5"/>
    <w:rsid w:val="0092500F"/>
    <w:rsid w:val="009250D2"/>
    <w:rsid w:val="0092540B"/>
    <w:rsid w:val="009256C5"/>
    <w:rsid w:val="00926283"/>
    <w:rsid w:val="009306BE"/>
    <w:rsid w:val="00937B11"/>
    <w:rsid w:val="00940F1F"/>
    <w:rsid w:val="00941250"/>
    <w:rsid w:val="0094427A"/>
    <w:rsid w:val="00944380"/>
    <w:rsid w:val="009459C5"/>
    <w:rsid w:val="0094626C"/>
    <w:rsid w:val="0095013A"/>
    <w:rsid w:val="00953AEF"/>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63EB"/>
    <w:rsid w:val="0096650F"/>
    <w:rsid w:val="00967801"/>
    <w:rsid w:val="00967AD2"/>
    <w:rsid w:val="009700DB"/>
    <w:rsid w:val="00971DC6"/>
    <w:rsid w:val="00972263"/>
    <w:rsid w:val="00972502"/>
    <w:rsid w:val="00972D8D"/>
    <w:rsid w:val="00973AAE"/>
    <w:rsid w:val="0097476C"/>
    <w:rsid w:val="00974923"/>
    <w:rsid w:val="00974D48"/>
    <w:rsid w:val="00974D5F"/>
    <w:rsid w:val="00975017"/>
    <w:rsid w:val="009759DF"/>
    <w:rsid w:val="00980373"/>
    <w:rsid w:val="00980621"/>
    <w:rsid w:val="0098095B"/>
    <w:rsid w:val="00982072"/>
    <w:rsid w:val="009833FA"/>
    <w:rsid w:val="00983DBB"/>
    <w:rsid w:val="00983ECF"/>
    <w:rsid w:val="00986745"/>
    <w:rsid w:val="009867BC"/>
    <w:rsid w:val="00987109"/>
    <w:rsid w:val="00987309"/>
    <w:rsid w:val="0099012D"/>
    <w:rsid w:val="00990363"/>
    <w:rsid w:val="009954FF"/>
    <w:rsid w:val="00995E2F"/>
    <w:rsid w:val="009961BC"/>
    <w:rsid w:val="00996355"/>
    <w:rsid w:val="009A2014"/>
    <w:rsid w:val="009A3A87"/>
    <w:rsid w:val="009A4E12"/>
    <w:rsid w:val="009A5C68"/>
    <w:rsid w:val="009A6EF7"/>
    <w:rsid w:val="009B04D0"/>
    <w:rsid w:val="009B052C"/>
    <w:rsid w:val="009B0EF2"/>
    <w:rsid w:val="009B23A3"/>
    <w:rsid w:val="009B4925"/>
    <w:rsid w:val="009B4B4B"/>
    <w:rsid w:val="009B6FD3"/>
    <w:rsid w:val="009B70BD"/>
    <w:rsid w:val="009C07A5"/>
    <w:rsid w:val="009C3705"/>
    <w:rsid w:val="009C7388"/>
    <w:rsid w:val="009D0CFF"/>
    <w:rsid w:val="009D1551"/>
    <w:rsid w:val="009D2859"/>
    <w:rsid w:val="009D36EC"/>
    <w:rsid w:val="009D4173"/>
    <w:rsid w:val="009D6095"/>
    <w:rsid w:val="009D6306"/>
    <w:rsid w:val="009E048A"/>
    <w:rsid w:val="009E1FBA"/>
    <w:rsid w:val="009E2C54"/>
    <w:rsid w:val="009E3710"/>
    <w:rsid w:val="009E6F65"/>
    <w:rsid w:val="009E7340"/>
    <w:rsid w:val="009E7B1F"/>
    <w:rsid w:val="009F3FC3"/>
    <w:rsid w:val="009F41C4"/>
    <w:rsid w:val="009F5846"/>
    <w:rsid w:val="009F7B52"/>
    <w:rsid w:val="009F7D77"/>
    <w:rsid w:val="00A004D2"/>
    <w:rsid w:val="00A015EA"/>
    <w:rsid w:val="00A10D66"/>
    <w:rsid w:val="00A12BA8"/>
    <w:rsid w:val="00A1420C"/>
    <w:rsid w:val="00A1456C"/>
    <w:rsid w:val="00A14821"/>
    <w:rsid w:val="00A17754"/>
    <w:rsid w:val="00A2055B"/>
    <w:rsid w:val="00A2253C"/>
    <w:rsid w:val="00A23545"/>
    <w:rsid w:val="00A23A55"/>
    <w:rsid w:val="00A23E43"/>
    <w:rsid w:val="00A24F8C"/>
    <w:rsid w:val="00A262BF"/>
    <w:rsid w:val="00A271AD"/>
    <w:rsid w:val="00A276D5"/>
    <w:rsid w:val="00A30336"/>
    <w:rsid w:val="00A30BB5"/>
    <w:rsid w:val="00A3128F"/>
    <w:rsid w:val="00A326D0"/>
    <w:rsid w:val="00A35287"/>
    <w:rsid w:val="00A378F8"/>
    <w:rsid w:val="00A40B19"/>
    <w:rsid w:val="00A41D07"/>
    <w:rsid w:val="00A424F8"/>
    <w:rsid w:val="00A42883"/>
    <w:rsid w:val="00A437B7"/>
    <w:rsid w:val="00A46D48"/>
    <w:rsid w:val="00A46DE0"/>
    <w:rsid w:val="00A4778A"/>
    <w:rsid w:val="00A47C94"/>
    <w:rsid w:val="00A504C0"/>
    <w:rsid w:val="00A5067F"/>
    <w:rsid w:val="00A517C1"/>
    <w:rsid w:val="00A55301"/>
    <w:rsid w:val="00A572FB"/>
    <w:rsid w:val="00A57B3C"/>
    <w:rsid w:val="00A57F1B"/>
    <w:rsid w:val="00A6128E"/>
    <w:rsid w:val="00A62CE1"/>
    <w:rsid w:val="00A631FA"/>
    <w:rsid w:val="00A64203"/>
    <w:rsid w:val="00A64348"/>
    <w:rsid w:val="00A644E1"/>
    <w:rsid w:val="00A711B0"/>
    <w:rsid w:val="00A721FB"/>
    <w:rsid w:val="00A727BA"/>
    <w:rsid w:val="00A72D4B"/>
    <w:rsid w:val="00A732AE"/>
    <w:rsid w:val="00A75E40"/>
    <w:rsid w:val="00A77EB2"/>
    <w:rsid w:val="00A81094"/>
    <w:rsid w:val="00A82B66"/>
    <w:rsid w:val="00A83B58"/>
    <w:rsid w:val="00A84FAF"/>
    <w:rsid w:val="00A851B6"/>
    <w:rsid w:val="00A85729"/>
    <w:rsid w:val="00A8574B"/>
    <w:rsid w:val="00A857C0"/>
    <w:rsid w:val="00A90343"/>
    <w:rsid w:val="00A91336"/>
    <w:rsid w:val="00A9221C"/>
    <w:rsid w:val="00A94628"/>
    <w:rsid w:val="00A94954"/>
    <w:rsid w:val="00A96463"/>
    <w:rsid w:val="00A97E3F"/>
    <w:rsid w:val="00AA09D3"/>
    <w:rsid w:val="00AA23FB"/>
    <w:rsid w:val="00AA42AB"/>
    <w:rsid w:val="00AA559A"/>
    <w:rsid w:val="00AA5F10"/>
    <w:rsid w:val="00AB104D"/>
    <w:rsid w:val="00AB1441"/>
    <w:rsid w:val="00AB2AF1"/>
    <w:rsid w:val="00AB440B"/>
    <w:rsid w:val="00AB47E3"/>
    <w:rsid w:val="00AB74C5"/>
    <w:rsid w:val="00AB7BEE"/>
    <w:rsid w:val="00AB7DF2"/>
    <w:rsid w:val="00AC1E3F"/>
    <w:rsid w:val="00AC219A"/>
    <w:rsid w:val="00AC4F18"/>
    <w:rsid w:val="00AD0B46"/>
    <w:rsid w:val="00AD1094"/>
    <w:rsid w:val="00AD2565"/>
    <w:rsid w:val="00AD306C"/>
    <w:rsid w:val="00AD3424"/>
    <w:rsid w:val="00AD50D1"/>
    <w:rsid w:val="00AD59BB"/>
    <w:rsid w:val="00AD5D68"/>
    <w:rsid w:val="00AD6C73"/>
    <w:rsid w:val="00AD7D49"/>
    <w:rsid w:val="00AE06D0"/>
    <w:rsid w:val="00AE1B8A"/>
    <w:rsid w:val="00AE39DC"/>
    <w:rsid w:val="00AE3CDA"/>
    <w:rsid w:val="00AE7968"/>
    <w:rsid w:val="00AE7DFF"/>
    <w:rsid w:val="00AF128B"/>
    <w:rsid w:val="00AF1AEA"/>
    <w:rsid w:val="00AF2852"/>
    <w:rsid w:val="00AF3225"/>
    <w:rsid w:val="00AF4983"/>
    <w:rsid w:val="00AF518B"/>
    <w:rsid w:val="00AF5275"/>
    <w:rsid w:val="00AF6367"/>
    <w:rsid w:val="00AF6A79"/>
    <w:rsid w:val="00AF724E"/>
    <w:rsid w:val="00AF73A9"/>
    <w:rsid w:val="00B01436"/>
    <w:rsid w:val="00B01C2C"/>
    <w:rsid w:val="00B0231C"/>
    <w:rsid w:val="00B07C2A"/>
    <w:rsid w:val="00B13681"/>
    <w:rsid w:val="00B15DCD"/>
    <w:rsid w:val="00B17E71"/>
    <w:rsid w:val="00B17FDE"/>
    <w:rsid w:val="00B208FC"/>
    <w:rsid w:val="00B20C65"/>
    <w:rsid w:val="00B22E17"/>
    <w:rsid w:val="00B25567"/>
    <w:rsid w:val="00B266C5"/>
    <w:rsid w:val="00B27293"/>
    <w:rsid w:val="00B301BB"/>
    <w:rsid w:val="00B3229E"/>
    <w:rsid w:val="00B32DDB"/>
    <w:rsid w:val="00B34931"/>
    <w:rsid w:val="00B35174"/>
    <w:rsid w:val="00B35BEA"/>
    <w:rsid w:val="00B37915"/>
    <w:rsid w:val="00B3793D"/>
    <w:rsid w:val="00B41BE6"/>
    <w:rsid w:val="00B428A4"/>
    <w:rsid w:val="00B457E7"/>
    <w:rsid w:val="00B45D1B"/>
    <w:rsid w:val="00B46D25"/>
    <w:rsid w:val="00B47430"/>
    <w:rsid w:val="00B52D2D"/>
    <w:rsid w:val="00B534EF"/>
    <w:rsid w:val="00B55BA8"/>
    <w:rsid w:val="00B55F15"/>
    <w:rsid w:val="00B561A6"/>
    <w:rsid w:val="00B60062"/>
    <w:rsid w:val="00B62960"/>
    <w:rsid w:val="00B63A11"/>
    <w:rsid w:val="00B63FD0"/>
    <w:rsid w:val="00B65C84"/>
    <w:rsid w:val="00B6608F"/>
    <w:rsid w:val="00B74317"/>
    <w:rsid w:val="00B76D1E"/>
    <w:rsid w:val="00B77BC8"/>
    <w:rsid w:val="00B800EB"/>
    <w:rsid w:val="00B822D2"/>
    <w:rsid w:val="00B83D46"/>
    <w:rsid w:val="00B848B8"/>
    <w:rsid w:val="00B84A41"/>
    <w:rsid w:val="00B84D57"/>
    <w:rsid w:val="00B8504B"/>
    <w:rsid w:val="00B85689"/>
    <w:rsid w:val="00B86748"/>
    <w:rsid w:val="00B907EA"/>
    <w:rsid w:val="00B91EC9"/>
    <w:rsid w:val="00B924CA"/>
    <w:rsid w:val="00B92A4B"/>
    <w:rsid w:val="00B93384"/>
    <w:rsid w:val="00B94417"/>
    <w:rsid w:val="00B95566"/>
    <w:rsid w:val="00B95940"/>
    <w:rsid w:val="00B95EF8"/>
    <w:rsid w:val="00B95F50"/>
    <w:rsid w:val="00B96BD9"/>
    <w:rsid w:val="00BB0274"/>
    <w:rsid w:val="00BB1CFD"/>
    <w:rsid w:val="00BB2C53"/>
    <w:rsid w:val="00BB32DA"/>
    <w:rsid w:val="00BB3A54"/>
    <w:rsid w:val="00BB4D26"/>
    <w:rsid w:val="00BB4E21"/>
    <w:rsid w:val="00BB7746"/>
    <w:rsid w:val="00BC22EB"/>
    <w:rsid w:val="00BC682B"/>
    <w:rsid w:val="00BC6B04"/>
    <w:rsid w:val="00BC6D27"/>
    <w:rsid w:val="00BD186B"/>
    <w:rsid w:val="00BD1EAC"/>
    <w:rsid w:val="00BD254C"/>
    <w:rsid w:val="00BD3428"/>
    <w:rsid w:val="00BD366B"/>
    <w:rsid w:val="00BD534C"/>
    <w:rsid w:val="00BD55A9"/>
    <w:rsid w:val="00BD56BC"/>
    <w:rsid w:val="00BD5D91"/>
    <w:rsid w:val="00BD6445"/>
    <w:rsid w:val="00BD6615"/>
    <w:rsid w:val="00BD6D50"/>
    <w:rsid w:val="00BE0D79"/>
    <w:rsid w:val="00BE0DB0"/>
    <w:rsid w:val="00BE3381"/>
    <w:rsid w:val="00BE3F09"/>
    <w:rsid w:val="00BE670A"/>
    <w:rsid w:val="00BE6906"/>
    <w:rsid w:val="00BF18F4"/>
    <w:rsid w:val="00BF1A69"/>
    <w:rsid w:val="00BF3BC8"/>
    <w:rsid w:val="00BF3DF1"/>
    <w:rsid w:val="00BF4C31"/>
    <w:rsid w:val="00BF4E57"/>
    <w:rsid w:val="00BF53B8"/>
    <w:rsid w:val="00BF786A"/>
    <w:rsid w:val="00BF7CB8"/>
    <w:rsid w:val="00C00F20"/>
    <w:rsid w:val="00C01700"/>
    <w:rsid w:val="00C034E6"/>
    <w:rsid w:val="00C05715"/>
    <w:rsid w:val="00C05926"/>
    <w:rsid w:val="00C0784A"/>
    <w:rsid w:val="00C10B28"/>
    <w:rsid w:val="00C10D62"/>
    <w:rsid w:val="00C10FAE"/>
    <w:rsid w:val="00C11DAF"/>
    <w:rsid w:val="00C123B4"/>
    <w:rsid w:val="00C12A69"/>
    <w:rsid w:val="00C13737"/>
    <w:rsid w:val="00C150BE"/>
    <w:rsid w:val="00C158B0"/>
    <w:rsid w:val="00C15A0C"/>
    <w:rsid w:val="00C15DCB"/>
    <w:rsid w:val="00C16208"/>
    <w:rsid w:val="00C1711F"/>
    <w:rsid w:val="00C17E38"/>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422D"/>
    <w:rsid w:val="00C476C5"/>
    <w:rsid w:val="00C503B0"/>
    <w:rsid w:val="00C511C2"/>
    <w:rsid w:val="00C53CDB"/>
    <w:rsid w:val="00C53D82"/>
    <w:rsid w:val="00C54748"/>
    <w:rsid w:val="00C575FB"/>
    <w:rsid w:val="00C60696"/>
    <w:rsid w:val="00C60943"/>
    <w:rsid w:val="00C60EEF"/>
    <w:rsid w:val="00C6121D"/>
    <w:rsid w:val="00C615F1"/>
    <w:rsid w:val="00C61627"/>
    <w:rsid w:val="00C64E60"/>
    <w:rsid w:val="00C657A4"/>
    <w:rsid w:val="00C6736C"/>
    <w:rsid w:val="00C71A1D"/>
    <w:rsid w:val="00C71EC4"/>
    <w:rsid w:val="00C7591E"/>
    <w:rsid w:val="00C75C7E"/>
    <w:rsid w:val="00C75C9B"/>
    <w:rsid w:val="00C76D8E"/>
    <w:rsid w:val="00C77833"/>
    <w:rsid w:val="00C80C9B"/>
    <w:rsid w:val="00C8335E"/>
    <w:rsid w:val="00C83F9C"/>
    <w:rsid w:val="00C84CE3"/>
    <w:rsid w:val="00C85614"/>
    <w:rsid w:val="00C86127"/>
    <w:rsid w:val="00C90CF4"/>
    <w:rsid w:val="00C91C19"/>
    <w:rsid w:val="00C929A0"/>
    <w:rsid w:val="00C93389"/>
    <w:rsid w:val="00C937DB"/>
    <w:rsid w:val="00C94519"/>
    <w:rsid w:val="00C94E83"/>
    <w:rsid w:val="00C97038"/>
    <w:rsid w:val="00CA02B2"/>
    <w:rsid w:val="00CA0883"/>
    <w:rsid w:val="00CA1085"/>
    <w:rsid w:val="00CA140F"/>
    <w:rsid w:val="00CA25C2"/>
    <w:rsid w:val="00CA37BB"/>
    <w:rsid w:val="00CA37CA"/>
    <w:rsid w:val="00CA5724"/>
    <w:rsid w:val="00CA6508"/>
    <w:rsid w:val="00CA6BA1"/>
    <w:rsid w:val="00CA6CD5"/>
    <w:rsid w:val="00CB1910"/>
    <w:rsid w:val="00CB2150"/>
    <w:rsid w:val="00CB28EE"/>
    <w:rsid w:val="00CB43A7"/>
    <w:rsid w:val="00CB4DF1"/>
    <w:rsid w:val="00CB5996"/>
    <w:rsid w:val="00CB6809"/>
    <w:rsid w:val="00CB7452"/>
    <w:rsid w:val="00CC0E10"/>
    <w:rsid w:val="00CC1DAF"/>
    <w:rsid w:val="00CC2642"/>
    <w:rsid w:val="00CC2967"/>
    <w:rsid w:val="00CC2A36"/>
    <w:rsid w:val="00CC2E15"/>
    <w:rsid w:val="00CC3440"/>
    <w:rsid w:val="00CC3908"/>
    <w:rsid w:val="00CC62AD"/>
    <w:rsid w:val="00CC6CA2"/>
    <w:rsid w:val="00CC7B80"/>
    <w:rsid w:val="00CD2B3C"/>
    <w:rsid w:val="00CD30F6"/>
    <w:rsid w:val="00CD4B29"/>
    <w:rsid w:val="00CD6954"/>
    <w:rsid w:val="00CD6DA3"/>
    <w:rsid w:val="00CD6EF1"/>
    <w:rsid w:val="00CD7E35"/>
    <w:rsid w:val="00CE21C7"/>
    <w:rsid w:val="00CE2682"/>
    <w:rsid w:val="00CE2756"/>
    <w:rsid w:val="00CE442A"/>
    <w:rsid w:val="00CE57D8"/>
    <w:rsid w:val="00CE617A"/>
    <w:rsid w:val="00CE6E3C"/>
    <w:rsid w:val="00CF25D2"/>
    <w:rsid w:val="00CF28C2"/>
    <w:rsid w:val="00CF42BD"/>
    <w:rsid w:val="00CF51EC"/>
    <w:rsid w:val="00CF6A9D"/>
    <w:rsid w:val="00CF6CD7"/>
    <w:rsid w:val="00CF75EC"/>
    <w:rsid w:val="00D0037A"/>
    <w:rsid w:val="00D0061E"/>
    <w:rsid w:val="00D00DAF"/>
    <w:rsid w:val="00D017EC"/>
    <w:rsid w:val="00D01CDA"/>
    <w:rsid w:val="00D040DD"/>
    <w:rsid w:val="00D04E1B"/>
    <w:rsid w:val="00D0547B"/>
    <w:rsid w:val="00D076DB"/>
    <w:rsid w:val="00D07EFF"/>
    <w:rsid w:val="00D1067C"/>
    <w:rsid w:val="00D136D4"/>
    <w:rsid w:val="00D13830"/>
    <w:rsid w:val="00D13ECF"/>
    <w:rsid w:val="00D142E5"/>
    <w:rsid w:val="00D148CD"/>
    <w:rsid w:val="00D1611E"/>
    <w:rsid w:val="00D16E69"/>
    <w:rsid w:val="00D17F4A"/>
    <w:rsid w:val="00D205A9"/>
    <w:rsid w:val="00D217EE"/>
    <w:rsid w:val="00D245BA"/>
    <w:rsid w:val="00D26923"/>
    <w:rsid w:val="00D27856"/>
    <w:rsid w:val="00D27D34"/>
    <w:rsid w:val="00D3006B"/>
    <w:rsid w:val="00D301CA"/>
    <w:rsid w:val="00D30740"/>
    <w:rsid w:val="00D31075"/>
    <w:rsid w:val="00D31445"/>
    <w:rsid w:val="00D31932"/>
    <w:rsid w:val="00D32AE0"/>
    <w:rsid w:val="00D360DA"/>
    <w:rsid w:val="00D37689"/>
    <w:rsid w:val="00D378CC"/>
    <w:rsid w:val="00D4042C"/>
    <w:rsid w:val="00D40B9E"/>
    <w:rsid w:val="00D41281"/>
    <w:rsid w:val="00D42312"/>
    <w:rsid w:val="00D433F5"/>
    <w:rsid w:val="00D43998"/>
    <w:rsid w:val="00D451E0"/>
    <w:rsid w:val="00D45A1D"/>
    <w:rsid w:val="00D4615E"/>
    <w:rsid w:val="00D478E2"/>
    <w:rsid w:val="00D5264C"/>
    <w:rsid w:val="00D547BA"/>
    <w:rsid w:val="00D55626"/>
    <w:rsid w:val="00D556BC"/>
    <w:rsid w:val="00D5626D"/>
    <w:rsid w:val="00D56631"/>
    <w:rsid w:val="00D60277"/>
    <w:rsid w:val="00D60336"/>
    <w:rsid w:val="00D61F88"/>
    <w:rsid w:val="00D62901"/>
    <w:rsid w:val="00D6470C"/>
    <w:rsid w:val="00D64853"/>
    <w:rsid w:val="00D64CB5"/>
    <w:rsid w:val="00D66D48"/>
    <w:rsid w:val="00D7162F"/>
    <w:rsid w:val="00D72897"/>
    <w:rsid w:val="00D73256"/>
    <w:rsid w:val="00D73A30"/>
    <w:rsid w:val="00D74C65"/>
    <w:rsid w:val="00D75DC2"/>
    <w:rsid w:val="00D766EF"/>
    <w:rsid w:val="00D76C03"/>
    <w:rsid w:val="00D77F8D"/>
    <w:rsid w:val="00D8119B"/>
    <w:rsid w:val="00D82462"/>
    <w:rsid w:val="00D868CE"/>
    <w:rsid w:val="00D86DAE"/>
    <w:rsid w:val="00D90116"/>
    <w:rsid w:val="00D90C1E"/>
    <w:rsid w:val="00D91BDF"/>
    <w:rsid w:val="00D91F2C"/>
    <w:rsid w:val="00D93F09"/>
    <w:rsid w:val="00D954C2"/>
    <w:rsid w:val="00D97BB8"/>
    <w:rsid w:val="00DA1318"/>
    <w:rsid w:val="00DA1382"/>
    <w:rsid w:val="00DA28B7"/>
    <w:rsid w:val="00DA2FE8"/>
    <w:rsid w:val="00DA4AF6"/>
    <w:rsid w:val="00DB016E"/>
    <w:rsid w:val="00DB06E9"/>
    <w:rsid w:val="00DB19BD"/>
    <w:rsid w:val="00DB1D55"/>
    <w:rsid w:val="00DB378E"/>
    <w:rsid w:val="00DB3E9D"/>
    <w:rsid w:val="00DB47B9"/>
    <w:rsid w:val="00DB4FB8"/>
    <w:rsid w:val="00DB53CE"/>
    <w:rsid w:val="00DB549D"/>
    <w:rsid w:val="00DB5792"/>
    <w:rsid w:val="00DB6A88"/>
    <w:rsid w:val="00DB7BA4"/>
    <w:rsid w:val="00DC226A"/>
    <w:rsid w:val="00DC257F"/>
    <w:rsid w:val="00DC350B"/>
    <w:rsid w:val="00DC3790"/>
    <w:rsid w:val="00DC408A"/>
    <w:rsid w:val="00DC436D"/>
    <w:rsid w:val="00DC519B"/>
    <w:rsid w:val="00DC5B3B"/>
    <w:rsid w:val="00DC6796"/>
    <w:rsid w:val="00DC78DF"/>
    <w:rsid w:val="00DC7D4C"/>
    <w:rsid w:val="00DD0821"/>
    <w:rsid w:val="00DD0E32"/>
    <w:rsid w:val="00DD2872"/>
    <w:rsid w:val="00DD2BFE"/>
    <w:rsid w:val="00DD373E"/>
    <w:rsid w:val="00DD57AD"/>
    <w:rsid w:val="00DE009B"/>
    <w:rsid w:val="00DE0C31"/>
    <w:rsid w:val="00DE2ED9"/>
    <w:rsid w:val="00DE319A"/>
    <w:rsid w:val="00DF0615"/>
    <w:rsid w:val="00DF0DC3"/>
    <w:rsid w:val="00DF21FD"/>
    <w:rsid w:val="00DF2873"/>
    <w:rsid w:val="00DF293C"/>
    <w:rsid w:val="00DF2D9B"/>
    <w:rsid w:val="00DF4C74"/>
    <w:rsid w:val="00DF5578"/>
    <w:rsid w:val="00DF78DD"/>
    <w:rsid w:val="00DF7FEC"/>
    <w:rsid w:val="00E01C0E"/>
    <w:rsid w:val="00E02086"/>
    <w:rsid w:val="00E02740"/>
    <w:rsid w:val="00E03B27"/>
    <w:rsid w:val="00E04694"/>
    <w:rsid w:val="00E049F6"/>
    <w:rsid w:val="00E04CA9"/>
    <w:rsid w:val="00E05B2B"/>
    <w:rsid w:val="00E06A2A"/>
    <w:rsid w:val="00E07F05"/>
    <w:rsid w:val="00E127E1"/>
    <w:rsid w:val="00E144D2"/>
    <w:rsid w:val="00E144D6"/>
    <w:rsid w:val="00E15346"/>
    <w:rsid w:val="00E15B7D"/>
    <w:rsid w:val="00E2097E"/>
    <w:rsid w:val="00E215EA"/>
    <w:rsid w:val="00E21CAB"/>
    <w:rsid w:val="00E221FC"/>
    <w:rsid w:val="00E22E78"/>
    <w:rsid w:val="00E24619"/>
    <w:rsid w:val="00E25223"/>
    <w:rsid w:val="00E263A8"/>
    <w:rsid w:val="00E30BEA"/>
    <w:rsid w:val="00E31764"/>
    <w:rsid w:val="00E32BC2"/>
    <w:rsid w:val="00E34985"/>
    <w:rsid w:val="00E34E4A"/>
    <w:rsid w:val="00E365B3"/>
    <w:rsid w:val="00E366BB"/>
    <w:rsid w:val="00E37C45"/>
    <w:rsid w:val="00E40AAA"/>
    <w:rsid w:val="00E42444"/>
    <w:rsid w:val="00E438CF"/>
    <w:rsid w:val="00E43B06"/>
    <w:rsid w:val="00E43C41"/>
    <w:rsid w:val="00E4500E"/>
    <w:rsid w:val="00E450CE"/>
    <w:rsid w:val="00E45A00"/>
    <w:rsid w:val="00E45CE7"/>
    <w:rsid w:val="00E4631F"/>
    <w:rsid w:val="00E46A4A"/>
    <w:rsid w:val="00E47CB8"/>
    <w:rsid w:val="00E522BB"/>
    <w:rsid w:val="00E539E4"/>
    <w:rsid w:val="00E569C7"/>
    <w:rsid w:val="00E571F2"/>
    <w:rsid w:val="00E57429"/>
    <w:rsid w:val="00E61EA8"/>
    <w:rsid w:val="00E64EA1"/>
    <w:rsid w:val="00E669C7"/>
    <w:rsid w:val="00E70510"/>
    <w:rsid w:val="00E71262"/>
    <w:rsid w:val="00E71A58"/>
    <w:rsid w:val="00E737F6"/>
    <w:rsid w:val="00E7568F"/>
    <w:rsid w:val="00E764AE"/>
    <w:rsid w:val="00E7724B"/>
    <w:rsid w:val="00E84F21"/>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AF3"/>
    <w:rsid w:val="00EA0C68"/>
    <w:rsid w:val="00EA19E2"/>
    <w:rsid w:val="00EA3EBE"/>
    <w:rsid w:val="00EA3FAC"/>
    <w:rsid w:val="00EA4153"/>
    <w:rsid w:val="00EA5CD6"/>
    <w:rsid w:val="00EA76FD"/>
    <w:rsid w:val="00EB03D4"/>
    <w:rsid w:val="00EB0555"/>
    <w:rsid w:val="00EB20A0"/>
    <w:rsid w:val="00EB30B6"/>
    <w:rsid w:val="00EB4FA4"/>
    <w:rsid w:val="00EB5146"/>
    <w:rsid w:val="00EB522B"/>
    <w:rsid w:val="00EB55E9"/>
    <w:rsid w:val="00EB5641"/>
    <w:rsid w:val="00EB5CA9"/>
    <w:rsid w:val="00EB5ED4"/>
    <w:rsid w:val="00EB6537"/>
    <w:rsid w:val="00EB70E1"/>
    <w:rsid w:val="00EB7EB5"/>
    <w:rsid w:val="00EC0860"/>
    <w:rsid w:val="00EC424C"/>
    <w:rsid w:val="00EC454B"/>
    <w:rsid w:val="00EC6153"/>
    <w:rsid w:val="00EC7F92"/>
    <w:rsid w:val="00ED00A8"/>
    <w:rsid w:val="00ED0A79"/>
    <w:rsid w:val="00ED2989"/>
    <w:rsid w:val="00ED2CA5"/>
    <w:rsid w:val="00ED336F"/>
    <w:rsid w:val="00ED3A94"/>
    <w:rsid w:val="00ED40F0"/>
    <w:rsid w:val="00ED4AC0"/>
    <w:rsid w:val="00ED54D6"/>
    <w:rsid w:val="00ED5726"/>
    <w:rsid w:val="00EE0113"/>
    <w:rsid w:val="00EE0298"/>
    <w:rsid w:val="00EE0384"/>
    <w:rsid w:val="00EE10AA"/>
    <w:rsid w:val="00EE1637"/>
    <w:rsid w:val="00EE3B7A"/>
    <w:rsid w:val="00EE3E78"/>
    <w:rsid w:val="00EE495A"/>
    <w:rsid w:val="00EE5E02"/>
    <w:rsid w:val="00EE617D"/>
    <w:rsid w:val="00EE61BF"/>
    <w:rsid w:val="00EE6538"/>
    <w:rsid w:val="00EE6748"/>
    <w:rsid w:val="00EE6C6B"/>
    <w:rsid w:val="00EF0E75"/>
    <w:rsid w:val="00EF1F5A"/>
    <w:rsid w:val="00EF4685"/>
    <w:rsid w:val="00EF5397"/>
    <w:rsid w:val="00EF6BE3"/>
    <w:rsid w:val="00F00D0E"/>
    <w:rsid w:val="00F00D3C"/>
    <w:rsid w:val="00F04811"/>
    <w:rsid w:val="00F0488C"/>
    <w:rsid w:val="00F0496E"/>
    <w:rsid w:val="00F04D10"/>
    <w:rsid w:val="00F053EA"/>
    <w:rsid w:val="00F0625B"/>
    <w:rsid w:val="00F101FF"/>
    <w:rsid w:val="00F104DF"/>
    <w:rsid w:val="00F10A33"/>
    <w:rsid w:val="00F10B64"/>
    <w:rsid w:val="00F1186C"/>
    <w:rsid w:val="00F14ACD"/>
    <w:rsid w:val="00F15BEF"/>
    <w:rsid w:val="00F172BE"/>
    <w:rsid w:val="00F1776C"/>
    <w:rsid w:val="00F2037E"/>
    <w:rsid w:val="00F20D17"/>
    <w:rsid w:val="00F2103E"/>
    <w:rsid w:val="00F214FC"/>
    <w:rsid w:val="00F21C31"/>
    <w:rsid w:val="00F23825"/>
    <w:rsid w:val="00F23FFF"/>
    <w:rsid w:val="00F2441D"/>
    <w:rsid w:val="00F24FAA"/>
    <w:rsid w:val="00F26197"/>
    <w:rsid w:val="00F273D4"/>
    <w:rsid w:val="00F307DD"/>
    <w:rsid w:val="00F318FC"/>
    <w:rsid w:val="00F31F76"/>
    <w:rsid w:val="00F325A3"/>
    <w:rsid w:val="00F3364D"/>
    <w:rsid w:val="00F35ACD"/>
    <w:rsid w:val="00F365BF"/>
    <w:rsid w:val="00F36BF8"/>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3243"/>
    <w:rsid w:val="00F541ED"/>
    <w:rsid w:val="00F54B31"/>
    <w:rsid w:val="00F54FD3"/>
    <w:rsid w:val="00F55605"/>
    <w:rsid w:val="00F57CD7"/>
    <w:rsid w:val="00F62F02"/>
    <w:rsid w:val="00F6339F"/>
    <w:rsid w:val="00F63DDE"/>
    <w:rsid w:val="00F63FB7"/>
    <w:rsid w:val="00F64726"/>
    <w:rsid w:val="00F6561A"/>
    <w:rsid w:val="00F70309"/>
    <w:rsid w:val="00F7078A"/>
    <w:rsid w:val="00F70E45"/>
    <w:rsid w:val="00F727D5"/>
    <w:rsid w:val="00F72F44"/>
    <w:rsid w:val="00F73A0C"/>
    <w:rsid w:val="00F759DC"/>
    <w:rsid w:val="00F7717C"/>
    <w:rsid w:val="00F771A5"/>
    <w:rsid w:val="00F817A4"/>
    <w:rsid w:val="00F81C3A"/>
    <w:rsid w:val="00F835FC"/>
    <w:rsid w:val="00F8373A"/>
    <w:rsid w:val="00F83E21"/>
    <w:rsid w:val="00F83FA4"/>
    <w:rsid w:val="00F84E18"/>
    <w:rsid w:val="00F852E5"/>
    <w:rsid w:val="00F9310A"/>
    <w:rsid w:val="00F95117"/>
    <w:rsid w:val="00F97ED2"/>
    <w:rsid w:val="00FA05D7"/>
    <w:rsid w:val="00FA1C6C"/>
    <w:rsid w:val="00FA2447"/>
    <w:rsid w:val="00FA2C2A"/>
    <w:rsid w:val="00FA309A"/>
    <w:rsid w:val="00FA7644"/>
    <w:rsid w:val="00FB0A9A"/>
    <w:rsid w:val="00FB16AD"/>
    <w:rsid w:val="00FB483B"/>
    <w:rsid w:val="00FB56F1"/>
    <w:rsid w:val="00FB5FD4"/>
    <w:rsid w:val="00FB67F3"/>
    <w:rsid w:val="00FC0D8A"/>
    <w:rsid w:val="00FC0E5F"/>
    <w:rsid w:val="00FC135D"/>
    <w:rsid w:val="00FC3C84"/>
    <w:rsid w:val="00FC4660"/>
    <w:rsid w:val="00FC56DE"/>
    <w:rsid w:val="00FC5E01"/>
    <w:rsid w:val="00FD1261"/>
    <w:rsid w:val="00FD1627"/>
    <w:rsid w:val="00FD1BBD"/>
    <w:rsid w:val="00FD473D"/>
    <w:rsid w:val="00FD61C8"/>
    <w:rsid w:val="00FD63CE"/>
    <w:rsid w:val="00FD7D49"/>
    <w:rsid w:val="00FE1251"/>
    <w:rsid w:val="00FE16E6"/>
    <w:rsid w:val="00FE2F78"/>
    <w:rsid w:val="00FE3510"/>
    <w:rsid w:val="00FE371D"/>
    <w:rsid w:val="00FE375F"/>
    <w:rsid w:val="00FE3D8B"/>
    <w:rsid w:val="00FE4FCB"/>
    <w:rsid w:val="00FE688F"/>
    <w:rsid w:val="00FE705E"/>
    <w:rsid w:val="00FF02E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A4094-761C-4AF5-8B53-415FB862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1048</TotalTime>
  <Pages>3</Pages>
  <Words>1596</Words>
  <Characters>8716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403</cp:revision>
  <cp:lastPrinted>2015-06-19T06:21:00Z</cp:lastPrinted>
  <dcterms:created xsi:type="dcterms:W3CDTF">2015-12-16T13:30:00Z</dcterms:created>
  <dcterms:modified xsi:type="dcterms:W3CDTF">2016-06-20T11:04:00Z</dcterms:modified>
</cp:coreProperties>
</file>