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9C" w:rsidRPr="00841D9F" w:rsidRDefault="00710089" w:rsidP="00E3559C">
      <w:pPr>
        <w:pStyle w:val="Styl1"/>
        <w:jc w:val="center"/>
        <w:rPr>
          <w:rFonts w:cs="Arial"/>
          <w:b/>
          <w:bCs/>
          <w:sz w:val="20"/>
        </w:rPr>
      </w:pPr>
      <w:r w:rsidRPr="00710089">
        <w:rPr>
          <w:noProof/>
        </w:rPr>
        <w:pict>
          <v:line id="Přímá spojnice 2" o:spid="_x0000_s2050" style="position:absolute;left:0;text-align:left;z-index:251660288;visibility:visible;mso-position-horizontal:center" from="0,4.55pt" to="481.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" strokeweight=".35mm">
            <v:stroke joinstyle="miter"/>
          </v:line>
        </w:pict>
      </w:r>
    </w:p>
    <w:p w:rsidR="00E3559C" w:rsidRDefault="00E3559C" w:rsidP="00E3559C">
      <w:pPr>
        <w:pStyle w:val="Styl1"/>
        <w:jc w:val="center"/>
        <w:rPr>
          <w:rFonts w:cs="Arial"/>
          <w:b/>
          <w:bCs/>
        </w:rPr>
      </w:pPr>
    </w:p>
    <w:tbl>
      <w:tblPr>
        <w:tblW w:w="0" w:type="auto"/>
        <w:tblLook w:val="04A0"/>
      </w:tblPr>
      <w:tblGrid>
        <w:gridCol w:w="3259"/>
        <w:gridCol w:w="3259"/>
        <w:gridCol w:w="3260"/>
      </w:tblGrid>
      <w:tr w:rsidR="00E3559C" w:rsidRPr="00E53687" w:rsidTr="003727E0">
        <w:tc>
          <w:tcPr>
            <w:tcW w:w="3259" w:type="dxa"/>
          </w:tcPr>
          <w:p w:rsidR="00E3559C" w:rsidRPr="00E53687" w:rsidRDefault="00E3559C" w:rsidP="003727E0">
            <w:pPr>
              <w:pStyle w:val="Styl1"/>
              <w:rPr>
                <w:rFonts w:cs="Arial"/>
                <w:b/>
                <w:bCs/>
              </w:rPr>
            </w:pPr>
          </w:p>
        </w:tc>
        <w:tc>
          <w:tcPr>
            <w:tcW w:w="3259" w:type="dxa"/>
          </w:tcPr>
          <w:p w:rsidR="00E3559C" w:rsidRPr="00E53687" w:rsidRDefault="00E3559C" w:rsidP="003727E0">
            <w:pPr>
              <w:pStyle w:val="Styl1"/>
              <w:jc w:val="center"/>
              <w:rPr>
                <w:rFonts w:cs="Arial"/>
                <w:sz w:val="22"/>
              </w:rPr>
            </w:pPr>
            <w:r w:rsidRPr="00E53687">
              <w:rPr>
                <w:rFonts w:cs="Arial"/>
                <w:sz w:val="22"/>
              </w:rPr>
              <w:t>Ročník 201</w:t>
            </w:r>
            <w:r>
              <w:rPr>
                <w:rFonts w:cs="Arial"/>
                <w:sz w:val="22"/>
              </w:rPr>
              <w:t>4</w:t>
            </w:r>
          </w:p>
          <w:p w:rsidR="00E3559C" w:rsidRPr="00E53687" w:rsidRDefault="00E3559C" w:rsidP="003727E0">
            <w:pPr>
              <w:pStyle w:val="Styl1"/>
              <w:jc w:val="center"/>
              <w:rPr>
                <w:rFonts w:cs="Arial"/>
                <w:b/>
                <w:bCs/>
              </w:rPr>
            </w:pPr>
          </w:p>
        </w:tc>
        <w:tc>
          <w:tcPr>
            <w:tcW w:w="3260" w:type="dxa"/>
          </w:tcPr>
          <w:p w:rsidR="00E3559C" w:rsidRPr="00E53687" w:rsidRDefault="00E3559C" w:rsidP="003727E0">
            <w:pPr>
              <w:pStyle w:val="Styl1"/>
              <w:jc w:val="right"/>
              <w:rPr>
                <w:rFonts w:cs="Arial"/>
                <w:b/>
                <w:bCs/>
              </w:rPr>
            </w:pPr>
          </w:p>
        </w:tc>
      </w:tr>
      <w:tr w:rsidR="00E3559C" w:rsidRPr="00E53687" w:rsidTr="003727E0">
        <w:tc>
          <w:tcPr>
            <w:tcW w:w="3259" w:type="dxa"/>
          </w:tcPr>
          <w:p w:rsidR="00E3559C" w:rsidRPr="00E53687" w:rsidRDefault="00E3559C" w:rsidP="003727E0">
            <w:pPr>
              <w:pStyle w:val="Styl1"/>
              <w:rPr>
                <w:rFonts w:cs="Arial"/>
                <w:sz w:val="22"/>
              </w:rPr>
            </w:pPr>
            <w:r w:rsidRPr="00E53687">
              <w:rPr>
                <w:rFonts w:cs="Arial"/>
                <w:sz w:val="22"/>
              </w:rPr>
              <w:t>Souborné informace</w:t>
            </w:r>
            <w:r w:rsidRPr="00E53687">
              <w:rPr>
                <w:rFonts w:cs="Arial"/>
                <w:sz w:val="22"/>
              </w:rPr>
              <w:tab/>
            </w:r>
          </w:p>
        </w:tc>
        <w:tc>
          <w:tcPr>
            <w:tcW w:w="3259" w:type="dxa"/>
          </w:tcPr>
          <w:p w:rsidR="00E3559C" w:rsidRPr="00E53687" w:rsidRDefault="00E3559C" w:rsidP="003727E0">
            <w:pPr>
              <w:pStyle w:val="Styl1"/>
              <w:jc w:val="center"/>
              <w:rPr>
                <w:rFonts w:cs="Arial"/>
                <w:sz w:val="22"/>
              </w:rPr>
            </w:pPr>
          </w:p>
        </w:tc>
        <w:tc>
          <w:tcPr>
            <w:tcW w:w="3260" w:type="dxa"/>
          </w:tcPr>
          <w:p w:rsidR="00E3559C" w:rsidRPr="00E53687" w:rsidRDefault="00E3559C" w:rsidP="00E53894">
            <w:pPr>
              <w:pStyle w:val="Styl1"/>
              <w:jc w:val="right"/>
              <w:rPr>
                <w:rFonts w:eastAsia="Calibri" w:cs="Arial"/>
                <w:sz w:val="22"/>
                <w:szCs w:val="22"/>
              </w:rPr>
            </w:pPr>
            <w:r>
              <w:rPr>
                <w:rFonts w:eastAsia="Calibri" w:cs="Arial"/>
                <w:sz w:val="22"/>
                <w:szCs w:val="22"/>
              </w:rPr>
              <w:t xml:space="preserve">V Praze dne </w:t>
            </w:r>
            <w:r w:rsidR="00E53894">
              <w:rPr>
                <w:rFonts w:cs="Arial"/>
                <w:sz w:val="22"/>
                <w:szCs w:val="22"/>
              </w:rPr>
              <w:t>9. 4. 2014</w:t>
            </w:r>
          </w:p>
        </w:tc>
      </w:tr>
      <w:tr w:rsidR="00E3559C" w:rsidRPr="00E53687" w:rsidTr="003727E0">
        <w:tc>
          <w:tcPr>
            <w:tcW w:w="3259" w:type="dxa"/>
          </w:tcPr>
          <w:p w:rsidR="00E3559C" w:rsidRPr="00E53687" w:rsidRDefault="00E3559C" w:rsidP="00155BDA">
            <w:pPr>
              <w:pStyle w:val="Styl1"/>
              <w:rPr>
                <w:rFonts w:cs="Arial"/>
                <w:sz w:val="22"/>
              </w:rPr>
            </w:pPr>
            <w:r w:rsidRPr="00E53687">
              <w:rPr>
                <w:rFonts w:cs="Arial"/>
                <w:sz w:val="22"/>
                <w:szCs w:val="22"/>
              </w:rPr>
              <w:t xml:space="preserve">Kód publikace: </w:t>
            </w:r>
            <w:r w:rsidR="00155BDA" w:rsidRPr="00155BDA">
              <w:rPr>
                <w:rFonts w:cs="Arial"/>
                <w:sz w:val="22"/>
                <w:szCs w:val="20"/>
              </w:rPr>
              <w:t>320180-14</w:t>
            </w:r>
          </w:p>
        </w:tc>
        <w:tc>
          <w:tcPr>
            <w:tcW w:w="3259" w:type="dxa"/>
          </w:tcPr>
          <w:p w:rsidR="00E3559C" w:rsidRPr="00E53687" w:rsidRDefault="00E3559C" w:rsidP="003727E0">
            <w:pPr>
              <w:pStyle w:val="Styl1"/>
              <w:jc w:val="center"/>
              <w:rPr>
                <w:rFonts w:cs="Arial"/>
                <w:sz w:val="22"/>
              </w:rPr>
            </w:pPr>
          </w:p>
        </w:tc>
        <w:tc>
          <w:tcPr>
            <w:tcW w:w="3260" w:type="dxa"/>
          </w:tcPr>
          <w:p w:rsidR="00E3559C" w:rsidRPr="00E53894" w:rsidRDefault="00E3559C" w:rsidP="003727E0">
            <w:pPr>
              <w:pStyle w:val="Styl1"/>
              <w:jc w:val="right"/>
              <w:rPr>
                <w:rFonts w:eastAsia="Calibri" w:cs="Arial"/>
                <w:sz w:val="20"/>
                <w:szCs w:val="20"/>
              </w:rPr>
            </w:pPr>
            <w:r w:rsidRPr="00E53894">
              <w:rPr>
                <w:rFonts w:cs="Arial"/>
                <w:sz w:val="22"/>
                <w:szCs w:val="20"/>
              </w:rPr>
              <w:t>Č. j.:</w:t>
            </w:r>
            <w:r w:rsidR="00E53894" w:rsidRPr="00E53894">
              <w:rPr>
                <w:rFonts w:cs="Arial"/>
                <w:sz w:val="22"/>
                <w:szCs w:val="20"/>
              </w:rPr>
              <w:t xml:space="preserve"> 502/2014 - 01</w:t>
            </w:r>
            <w:r w:rsidRPr="00E53894">
              <w:rPr>
                <w:rFonts w:cs="Arial"/>
                <w:sz w:val="22"/>
                <w:szCs w:val="20"/>
              </w:rPr>
              <w:t xml:space="preserve"> </w:t>
            </w:r>
          </w:p>
        </w:tc>
      </w:tr>
      <w:tr w:rsidR="00E3559C" w:rsidRPr="00E53687" w:rsidTr="003727E0">
        <w:tc>
          <w:tcPr>
            <w:tcW w:w="3259" w:type="dxa"/>
          </w:tcPr>
          <w:p w:rsidR="00E3559C" w:rsidRPr="00E53687" w:rsidRDefault="00E3559C" w:rsidP="003727E0">
            <w:pPr>
              <w:pStyle w:val="Styl1"/>
              <w:rPr>
                <w:rFonts w:cs="Arial"/>
                <w:sz w:val="22"/>
              </w:rPr>
            </w:pPr>
          </w:p>
        </w:tc>
        <w:tc>
          <w:tcPr>
            <w:tcW w:w="3259" w:type="dxa"/>
          </w:tcPr>
          <w:p w:rsidR="00E3559C" w:rsidRPr="00E53687" w:rsidRDefault="00E3559C" w:rsidP="003727E0">
            <w:pPr>
              <w:pStyle w:val="Styl1"/>
              <w:jc w:val="center"/>
              <w:rPr>
                <w:rFonts w:cs="Arial"/>
                <w:sz w:val="22"/>
              </w:rPr>
            </w:pPr>
          </w:p>
        </w:tc>
        <w:tc>
          <w:tcPr>
            <w:tcW w:w="3260" w:type="dxa"/>
          </w:tcPr>
          <w:p w:rsidR="00E3559C" w:rsidRPr="00E53687" w:rsidRDefault="00E3559C" w:rsidP="003727E0">
            <w:pPr>
              <w:pStyle w:val="Styl1"/>
              <w:jc w:val="right"/>
              <w:rPr>
                <w:rFonts w:eastAsia="Calibri" w:cs="Arial"/>
                <w:sz w:val="22"/>
                <w:szCs w:val="22"/>
              </w:rPr>
            </w:pPr>
          </w:p>
        </w:tc>
      </w:tr>
    </w:tbl>
    <w:p w:rsidR="00E3559C" w:rsidRPr="00A21682" w:rsidRDefault="00E3559C" w:rsidP="00E3559C">
      <w:pPr>
        <w:pStyle w:val="Styl1"/>
        <w:jc w:val="center"/>
        <w:rPr>
          <w:rFonts w:cs="Arial"/>
          <w:b/>
          <w:bCs/>
        </w:rPr>
      </w:pPr>
    </w:p>
    <w:p w:rsidR="00E3559C" w:rsidRPr="00A21682" w:rsidRDefault="00E3559C" w:rsidP="00E3559C">
      <w:pPr>
        <w:pStyle w:val="Styl1"/>
        <w:jc w:val="center"/>
        <w:rPr>
          <w:rFonts w:cs="Arial"/>
          <w:b/>
          <w:bCs/>
        </w:rPr>
      </w:pPr>
    </w:p>
    <w:p w:rsidR="00E3559C" w:rsidRPr="00A21682" w:rsidRDefault="00E3559C" w:rsidP="00E3559C">
      <w:pPr>
        <w:pStyle w:val="Styl1"/>
        <w:jc w:val="center"/>
        <w:rPr>
          <w:rFonts w:cs="Arial"/>
          <w:b/>
          <w:bCs/>
        </w:rPr>
      </w:pPr>
    </w:p>
    <w:p w:rsidR="00E3559C" w:rsidRPr="00A21682" w:rsidRDefault="00E3559C" w:rsidP="00E3559C">
      <w:pPr>
        <w:pStyle w:val="Styl1"/>
        <w:jc w:val="center"/>
        <w:rPr>
          <w:rFonts w:cs="Arial"/>
        </w:rPr>
      </w:pPr>
    </w:p>
    <w:p w:rsidR="00E3559C" w:rsidRPr="00A21682" w:rsidRDefault="00E3559C" w:rsidP="00E3559C">
      <w:pPr>
        <w:pStyle w:val="Styl1"/>
        <w:jc w:val="center"/>
        <w:rPr>
          <w:rFonts w:cs="Arial"/>
        </w:rPr>
      </w:pPr>
    </w:p>
    <w:p w:rsidR="00E3559C" w:rsidRPr="00A21682" w:rsidRDefault="00E3559C" w:rsidP="00E3559C">
      <w:pPr>
        <w:pStyle w:val="Styl1"/>
        <w:jc w:val="center"/>
        <w:rPr>
          <w:rFonts w:cs="Arial"/>
        </w:rPr>
      </w:pPr>
    </w:p>
    <w:p w:rsidR="00E3559C" w:rsidRPr="00A21682" w:rsidRDefault="00E3559C" w:rsidP="00E3559C">
      <w:pPr>
        <w:pStyle w:val="Styl1"/>
        <w:jc w:val="center"/>
        <w:rPr>
          <w:rFonts w:cs="Arial"/>
        </w:rPr>
      </w:pPr>
    </w:p>
    <w:p w:rsidR="00E3559C" w:rsidRPr="00A21682" w:rsidRDefault="00E3559C" w:rsidP="00E3559C">
      <w:pPr>
        <w:pStyle w:val="Styl1"/>
        <w:jc w:val="center"/>
        <w:rPr>
          <w:rFonts w:cs="Arial"/>
        </w:rPr>
      </w:pPr>
    </w:p>
    <w:p w:rsidR="00E3559C" w:rsidRPr="00A21682" w:rsidRDefault="00E3559C" w:rsidP="00E3559C">
      <w:pPr>
        <w:pStyle w:val="Styl1"/>
        <w:jc w:val="center"/>
        <w:rPr>
          <w:rFonts w:cs="Arial"/>
          <w:b/>
          <w:bCs/>
        </w:rPr>
      </w:pPr>
    </w:p>
    <w:p w:rsidR="00E3559C" w:rsidRPr="00A21682" w:rsidRDefault="00E3559C" w:rsidP="00E3559C">
      <w:pPr>
        <w:pStyle w:val="Styl1"/>
        <w:jc w:val="center"/>
        <w:rPr>
          <w:rFonts w:cs="Arial"/>
          <w:b/>
          <w:bCs/>
        </w:rPr>
      </w:pPr>
    </w:p>
    <w:p w:rsidR="00E3559C" w:rsidRPr="00A21682" w:rsidRDefault="00E3559C" w:rsidP="00E3559C">
      <w:pPr>
        <w:pStyle w:val="Styl1"/>
        <w:jc w:val="center"/>
        <w:rPr>
          <w:rFonts w:cs="Arial"/>
          <w:b/>
          <w:bCs/>
        </w:rPr>
      </w:pPr>
    </w:p>
    <w:p w:rsidR="00E3559C" w:rsidRPr="00A21682" w:rsidRDefault="00E3559C" w:rsidP="00E3559C">
      <w:pPr>
        <w:pStyle w:val="Styl1"/>
        <w:jc w:val="center"/>
        <w:rPr>
          <w:rFonts w:cs="Arial"/>
          <w:b/>
          <w:bCs/>
        </w:rPr>
      </w:pPr>
    </w:p>
    <w:p w:rsidR="00E3559C" w:rsidRPr="00D81CCA" w:rsidRDefault="00E3559C" w:rsidP="00E3559C">
      <w:pPr>
        <w:pStyle w:val="Styl1"/>
        <w:jc w:val="center"/>
        <w:rPr>
          <w:rFonts w:cs="Arial"/>
          <w:b/>
          <w:sz w:val="48"/>
          <w:szCs w:val="48"/>
        </w:rPr>
      </w:pPr>
      <w:r>
        <w:rPr>
          <w:rFonts w:cs="Arial"/>
          <w:b/>
          <w:sz w:val="44"/>
          <w:szCs w:val="44"/>
        </w:rPr>
        <w:t>Socio-demografická homogamie sezdaných a nesezdaných párů</w:t>
      </w:r>
    </w:p>
    <w:p w:rsidR="00E3559C" w:rsidRPr="00841D9F" w:rsidRDefault="00E3559C" w:rsidP="00E3559C">
      <w:pPr>
        <w:pStyle w:val="Styl1"/>
        <w:jc w:val="center"/>
        <w:rPr>
          <w:rFonts w:cs="Arial"/>
          <w:sz w:val="20"/>
        </w:rPr>
      </w:pPr>
    </w:p>
    <w:p w:rsidR="00E3559C" w:rsidRPr="00841D9F" w:rsidRDefault="00E3559C" w:rsidP="00E3559C">
      <w:pPr>
        <w:pStyle w:val="Styl1"/>
        <w:jc w:val="center"/>
        <w:rPr>
          <w:rFonts w:cs="Arial"/>
          <w:sz w:val="20"/>
        </w:rPr>
      </w:pPr>
    </w:p>
    <w:p w:rsidR="00E3559C" w:rsidRPr="00841D9F" w:rsidRDefault="00E3559C" w:rsidP="00E3559C">
      <w:pPr>
        <w:pStyle w:val="Styl1"/>
        <w:jc w:val="center"/>
        <w:rPr>
          <w:rFonts w:cs="Arial"/>
          <w:sz w:val="20"/>
        </w:rPr>
      </w:pPr>
    </w:p>
    <w:p w:rsidR="00E3559C" w:rsidRPr="00841D9F" w:rsidRDefault="00E3559C" w:rsidP="00E3559C">
      <w:pPr>
        <w:pStyle w:val="Styl1"/>
        <w:jc w:val="center"/>
        <w:rPr>
          <w:rFonts w:cs="Arial"/>
          <w:sz w:val="20"/>
        </w:rPr>
      </w:pPr>
    </w:p>
    <w:p w:rsidR="00E3559C" w:rsidRDefault="00E3559C" w:rsidP="00E3559C">
      <w:pPr>
        <w:pStyle w:val="Styl1"/>
        <w:jc w:val="center"/>
        <w:rPr>
          <w:rFonts w:cs="Arial"/>
          <w:sz w:val="20"/>
        </w:rPr>
      </w:pPr>
    </w:p>
    <w:p w:rsidR="00E3559C" w:rsidRPr="00841D9F" w:rsidRDefault="00E3559C" w:rsidP="00E3559C">
      <w:pPr>
        <w:pStyle w:val="Styl1"/>
        <w:jc w:val="center"/>
        <w:rPr>
          <w:rFonts w:cs="Arial"/>
          <w:sz w:val="20"/>
        </w:rPr>
      </w:pPr>
    </w:p>
    <w:p w:rsidR="00E3559C" w:rsidRPr="00841D9F" w:rsidRDefault="00E3559C" w:rsidP="00E3559C">
      <w:pPr>
        <w:pStyle w:val="Styl1"/>
        <w:jc w:val="center"/>
        <w:rPr>
          <w:rFonts w:cs="Arial"/>
          <w:sz w:val="20"/>
        </w:rPr>
      </w:pPr>
    </w:p>
    <w:p w:rsidR="00E3559C" w:rsidRPr="00841D9F" w:rsidRDefault="00E3559C" w:rsidP="00E3559C">
      <w:pPr>
        <w:pStyle w:val="Styl1"/>
        <w:jc w:val="center"/>
        <w:rPr>
          <w:rFonts w:cs="Arial"/>
          <w:sz w:val="20"/>
        </w:rPr>
      </w:pPr>
    </w:p>
    <w:p w:rsidR="00E3559C" w:rsidRPr="00841D9F" w:rsidRDefault="00E3559C" w:rsidP="00E3559C">
      <w:pPr>
        <w:pStyle w:val="Styl1"/>
        <w:jc w:val="center"/>
        <w:rPr>
          <w:rFonts w:cs="Arial"/>
          <w:sz w:val="20"/>
        </w:rPr>
      </w:pPr>
    </w:p>
    <w:p w:rsidR="00E3559C" w:rsidRPr="00841D9F" w:rsidRDefault="00E3559C" w:rsidP="00E3559C">
      <w:pPr>
        <w:pStyle w:val="Styl1"/>
        <w:jc w:val="center"/>
        <w:rPr>
          <w:rFonts w:cs="Arial"/>
          <w:sz w:val="20"/>
        </w:rPr>
      </w:pPr>
    </w:p>
    <w:p w:rsidR="00E3559C" w:rsidRDefault="00E3559C" w:rsidP="00E3559C">
      <w:pPr>
        <w:pStyle w:val="Styl1"/>
        <w:jc w:val="center"/>
        <w:rPr>
          <w:rFonts w:cs="Arial"/>
          <w:sz w:val="20"/>
        </w:rPr>
      </w:pPr>
    </w:p>
    <w:p w:rsidR="00E3559C" w:rsidRDefault="00E3559C" w:rsidP="00E3559C">
      <w:pPr>
        <w:pStyle w:val="Styl1"/>
        <w:jc w:val="center"/>
        <w:rPr>
          <w:rFonts w:cs="Arial"/>
          <w:sz w:val="20"/>
        </w:rPr>
      </w:pPr>
    </w:p>
    <w:p w:rsidR="00E3559C" w:rsidRDefault="00E3559C" w:rsidP="00E3559C">
      <w:pPr>
        <w:pStyle w:val="Styl1"/>
        <w:jc w:val="center"/>
        <w:rPr>
          <w:rFonts w:cs="Arial"/>
          <w:sz w:val="20"/>
        </w:rPr>
      </w:pPr>
    </w:p>
    <w:p w:rsidR="00E3559C" w:rsidRDefault="00E3559C" w:rsidP="00E3559C">
      <w:pPr>
        <w:pStyle w:val="Styl1"/>
        <w:jc w:val="center"/>
        <w:rPr>
          <w:rFonts w:cs="Arial"/>
          <w:sz w:val="20"/>
        </w:rPr>
      </w:pPr>
    </w:p>
    <w:p w:rsidR="00E3559C" w:rsidRDefault="00E3559C" w:rsidP="00E3559C">
      <w:pPr>
        <w:pStyle w:val="Styl1"/>
        <w:jc w:val="center"/>
        <w:rPr>
          <w:rFonts w:cs="Arial"/>
          <w:sz w:val="20"/>
        </w:rPr>
      </w:pPr>
    </w:p>
    <w:p w:rsidR="00E3559C" w:rsidRDefault="00E3559C" w:rsidP="00E3559C">
      <w:pPr>
        <w:pStyle w:val="Styl1"/>
        <w:jc w:val="center"/>
        <w:rPr>
          <w:rFonts w:cs="Arial"/>
          <w:sz w:val="20"/>
        </w:rPr>
      </w:pPr>
    </w:p>
    <w:p w:rsidR="00E3559C" w:rsidRDefault="00E3559C" w:rsidP="00E3559C">
      <w:pPr>
        <w:pStyle w:val="Styl1"/>
        <w:jc w:val="center"/>
        <w:rPr>
          <w:rFonts w:cs="Arial"/>
          <w:sz w:val="20"/>
        </w:rPr>
      </w:pPr>
    </w:p>
    <w:p w:rsidR="00E3559C" w:rsidRDefault="00E3559C" w:rsidP="00E3559C">
      <w:pPr>
        <w:pStyle w:val="Styl1"/>
        <w:rPr>
          <w:rFonts w:cs="Arial"/>
          <w:sz w:val="20"/>
        </w:rPr>
      </w:pPr>
    </w:p>
    <w:p w:rsidR="00E3559C" w:rsidRDefault="00E3559C" w:rsidP="00E3559C">
      <w:pPr>
        <w:pStyle w:val="Styl1"/>
        <w:jc w:val="center"/>
        <w:rPr>
          <w:rFonts w:cs="Arial"/>
          <w:sz w:val="20"/>
        </w:rPr>
      </w:pPr>
    </w:p>
    <w:p w:rsidR="00E3559C" w:rsidRDefault="00E3559C" w:rsidP="00E3559C">
      <w:pPr>
        <w:pStyle w:val="Styl1"/>
        <w:jc w:val="center"/>
        <w:rPr>
          <w:rFonts w:cs="Arial"/>
          <w:sz w:val="20"/>
        </w:rPr>
      </w:pPr>
    </w:p>
    <w:p w:rsidR="00E3559C" w:rsidRDefault="00E3559C" w:rsidP="00E3559C">
      <w:pPr>
        <w:pStyle w:val="Styl1"/>
        <w:jc w:val="center"/>
        <w:rPr>
          <w:rFonts w:cs="Arial"/>
          <w:sz w:val="20"/>
        </w:rPr>
      </w:pPr>
    </w:p>
    <w:p w:rsidR="00E3559C" w:rsidRDefault="00E3559C" w:rsidP="00E3559C">
      <w:pPr>
        <w:pStyle w:val="Styl1"/>
        <w:jc w:val="center"/>
        <w:rPr>
          <w:rFonts w:cs="Arial"/>
          <w:sz w:val="20"/>
        </w:rPr>
      </w:pPr>
    </w:p>
    <w:tbl>
      <w:tblPr>
        <w:tblW w:w="0" w:type="auto"/>
        <w:tblLook w:val="04A0"/>
      </w:tblPr>
      <w:tblGrid>
        <w:gridCol w:w="2518"/>
        <w:gridCol w:w="7260"/>
      </w:tblGrid>
      <w:tr w:rsidR="00E3559C" w:rsidRPr="00E53687" w:rsidTr="003727E0">
        <w:tc>
          <w:tcPr>
            <w:tcW w:w="2518" w:type="dxa"/>
          </w:tcPr>
          <w:p w:rsidR="00E3559C" w:rsidRPr="00E53687" w:rsidRDefault="00E3559C" w:rsidP="003727E0">
            <w:pPr>
              <w:pStyle w:val="Styl1"/>
              <w:rPr>
                <w:rFonts w:cs="Arial"/>
                <w:sz w:val="20"/>
              </w:rPr>
            </w:pPr>
            <w:r w:rsidRPr="00E53687">
              <w:rPr>
                <w:rFonts w:cs="Arial"/>
                <w:sz w:val="20"/>
              </w:rPr>
              <w:t xml:space="preserve">Zpracovalo: </w:t>
            </w:r>
          </w:p>
        </w:tc>
        <w:tc>
          <w:tcPr>
            <w:tcW w:w="7260" w:type="dxa"/>
          </w:tcPr>
          <w:p w:rsidR="00E3559C" w:rsidRPr="00E53687" w:rsidRDefault="00E3559C" w:rsidP="003727E0">
            <w:pPr>
              <w:pStyle w:val="Styl1"/>
              <w:rPr>
                <w:rFonts w:cs="Arial"/>
                <w:sz w:val="20"/>
              </w:rPr>
            </w:pPr>
            <w:r w:rsidRPr="00E53687">
              <w:rPr>
                <w:rFonts w:cs="Arial"/>
                <w:sz w:val="20"/>
              </w:rPr>
              <w:t xml:space="preserve">Oddělení svodných analýz </w:t>
            </w:r>
            <w:r>
              <w:rPr>
                <w:rFonts w:cs="Arial"/>
                <w:sz w:val="20"/>
              </w:rPr>
              <w:t>ČSÚ</w:t>
            </w:r>
          </w:p>
        </w:tc>
      </w:tr>
      <w:tr w:rsidR="00E3559C" w:rsidRPr="00E53687" w:rsidTr="003727E0">
        <w:tc>
          <w:tcPr>
            <w:tcW w:w="2518" w:type="dxa"/>
          </w:tcPr>
          <w:p w:rsidR="00E3559C" w:rsidRPr="00E53687" w:rsidRDefault="00E3559C" w:rsidP="003727E0">
            <w:pPr>
              <w:pStyle w:val="Styl1"/>
              <w:rPr>
                <w:rFonts w:cs="Arial"/>
                <w:sz w:val="20"/>
              </w:rPr>
            </w:pPr>
            <w:r>
              <w:rPr>
                <w:rFonts w:cs="Arial"/>
                <w:sz w:val="20"/>
              </w:rPr>
              <w:t>Autor</w:t>
            </w:r>
            <w:r w:rsidRPr="00E53687">
              <w:rPr>
                <w:rFonts w:cs="Arial"/>
                <w:sz w:val="20"/>
              </w:rPr>
              <w:t>:</w:t>
            </w:r>
          </w:p>
        </w:tc>
        <w:tc>
          <w:tcPr>
            <w:tcW w:w="7260" w:type="dxa"/>
          </w:tcPr>
          <w:p w:rsidR="00E3559C" w:rsidRPr="00E53687" w:rsidRDefault="00E3559C" w:rsidP="003727E0">
            <w:pPr>
              <w:pStyle w:val="Styl1"/>
              <w:rPr>
                <w:rFonts w:cs="Arial"/>
                <w:sz w:val="20"/>
              </w:rPr>
            </w:pPr>
            <w:r>
              <w:rPr>
                <w:rFonts w:cs="Arial"/>
                <w:sz w:val="20"/>
              </w:rPr>
              <w:t>Mgr. Iva Kohoutová</w:t>
            </w:r>
          </w:p>
        </w:tc>
      </w:tr>
      <w:tr w:rsidR="00E3559C" w:rsidRPr="00E53687" w:rsidTr="003727E0">
        <w:tc>
          <w:tcPr>
            <w:tcW w:w="2518" w:type="dxa"/>
          </w:tcPr>
          <w:p w:rsidR="00E3559C" w:rsidRPr="00E53687" w:rsidRDefault="00E3559C" w:rsidP="003727E0">
            <w:pPr>
              <w:pStyle w:val="Styl1"/>
              <w:rPr>
                <w:rFonts w:cs="Arial"/>
                <w:sz w:val="20"/>
              </w:rPr>
            </w:pPr>
          </w:p>
        </w:tc>
        <w:tc>
          <w:tcPr>
            <w:tcW w:w="7260" w:type="dxa"/>
          </w:tcPr>
          <w:p w:rsidR="00E3559C" w:rsidRPr="00E53687" w:rsidRDefault="00E3559C" w:rsidP="003727E0">
            <w:pPr>
              <w:pStyle w:val="Styl1"/>
              <w:rPr>
                <w:rFonts w:cs="Arial"/>
                <w:sz w:val="20"/>
              </w:rPr>
            </w:pPr>
          </w:p>
        </w:tc>
      </w:tr>
      <w:tr w:rsidR="00E3559C" w:rsidRPr="00E53687" w:rsidTr="003727E0">
        <w:tc>
          <w:tcPr>
            <w:tcW w:w="2518" w:type="dxa"/>
          </w:tcPr>
          <w:p w:rsidR="00E3559C" w:rsidRPr="00BC1B79" w:rsidRDefault="00E3559C" w:rsidP="003727E0">
            <w:pPr>
              <w:pStyle w:val="Styl1"/>
              <w:rPr>
                <w:rFonts w:cs="Arial"/>
                <w:sz w:val="20"/>
              </w:rPr>
            </w:pPr>
            <w:r w:rsidRPr="00BC1B79">
              <w:rPr>
                <w:rFonts w:cs="Arial"/>
                <w:sz w:val="20"/>
              </w:rPr>
              <w:t>Telefon:</w:t>
            </w:r>
          </w:p>
        </w:tc>
        <w:tc>
          <w:tcPr>
            <w:tcW w:w="7260" w:type="dxa"/>
          </w:tcPr>
          <w:p w:rsidR="00E3559C" w:rsidRPr="00BC1B79" w:rsidRDefault="00E3559C" w:rsidP="003727E0">
            <w:pPr>
              <w:pStyle w:val="Styl1"/>
              <w:rPr>
                <w:rFonts w:cs="Arial"/>
                <w:sz w:val="20"/>
              </w:rPr>
            </w:pPr>
            <w:r w:rsidRPr="00BC1B79">
              <w:rPr>
                <w:rFonts w:cs="Arial"/>
                <w:bCs/>
                <w:sz w:val="20"/>
              </w:rPr>
              <w:t>274 053 119</w:t>
            </w:r>
          </w:p>
        </w:tc>
      </w:tr>
      <w:tr w:rsidR="00E3559C" w:rsidRPr="00E53687" w:rsidTr="003727E0">
        <w:tc>
          <w:tcPr>
            <w:tcW w:w="2518" w:type="dxa"/>
          </w:tcPr>
          <w:p w:rsidR="00E3559C" w:rsidRPr="00E53687" w:rsidRDefault="00E3559C" w:rsidP="003727E0">
            <w:pPr>
              <w:pStyle w:val="Styl1"/>
              <w:rPr>
                <w:rFonts w:cs="Arial"/>
                <w:sz w:val="20"/>
              </w:rPr>
            </w:pPr>
            <w:r w:rsidRPr="00E53687">
              <w:rPr>
                <w:rFonts w:cs="Arial"/>
                <w:sz w:val="20"/>
              </w:rPr>
              <w:t>E-mail:</w:t>
            </w:r>
          </w:p>
        </w:tc>
        <w:tc>
          <w:tcPr>
            <w:tcW w:w="7260" w:type="dxa"/>
          </w:tcPr>
          <w:p w:rsidR="00E3559C" w:rsidRPr="00E53687" w:rsidRDefault="00E3559C" w:rsidP="003727E0">
            <w:pPr>
              <w:pStyle w:val="Styl1"/>
              <w:rPr>
                <w:rFonts w:cs="Arial"/>
                <w:sz w:val="20"/>
              </w:rPr>
            </w:pPr>
            <w:r>
              <w:rPr>
                <w:rFonts w:cs="Arial"/>
                <w:sz w:val="20"/>
              </w:rPr>
              <w:t>iva.kohoutova@czso.cz</w:t>
            </w:r>
          </w:p>
        </w:tc>
      </w:tr>
      <w:tr w:rsidR="00E3559C" w:rsidRPr="00E53687" w:rsidTr="003727E0">
        <w:tc>
          <w:tcPr>
            <w:tcW w:w="2518" w:type="dxa"/>
          </w:tcPr>
          <w:p w:rsidR="00E3559C" w:rsidRPr="00E53687" w:rsidRDefault="00E3559C" w:rsidP="003727E0">
            <w:pPr>
              <w:pStyle w:val="Styl1"/>
              <w:rPr>
                <w:rFonts w:cs="Arial"/>
                <w:sz w:val="20"/>
              </w:rPr>
            </w:pPr>
          </w:p>
        </w:tc>
        <w:tc>
          <w:tcPr>
            <w:tcW w:w="7260" w:type="dxa"/>
          </w:tcPr>
          <w:p w:rsidR="00E3559C" w:rsidRPr="00E53687" w:rsidRDefault="00E3559C" w:rsidP="003727E0">
            <w:pPr>
              <w:pStyle w:val="Styl1"/>
              <w:rPr>
                <w:rFonts w:cs="Arial"/>
                <w:sz w:val="20"/>
              </w:rPr>
            </w:pPr>
          </w:p>
        </w:tc>
      </w:tr>
    </w:tbl>
    <w:p w:rsidR="00E3559C" w:rsidRPr="00397148" w:rsidRDefault="00710089" w:rsidP="00E3559C">
      <w:pPr>
        <w:pStyle w:val="Styl1"/>
        <w:jc w:val="center"/>
        <w:rPr>
          <w:rFonts w:cs="Arial"/>
          <w:sz w:val="20"/>
        </w:rPr>
      </w:pPr>
      <w:r>
        <w:rPr>
          <w:rFonts w:cs="Arial"/>
          <w:sz w:val="20"/>
        </w:rPr>
        <w:pict>
          <v:line id="Přímá spojnice 1" o:spid="_x0000_s2051" style="position:absolute;left:0;text-align:left;z-index:251661312;visibility:visible;mso-position-horizontal-relative:text;mso-position-vertical-relative:text" from="0,7.25pt" to="481.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" strokeweight=".35mm">
            <v:stroke joinstyle="miter"/>
          </v:line>
        </w:pict>
      </w:r>
    </w:p>
    <w:p w:rsidR="00E3559C" w:rsidRPr="00F24495" w:rsidRDefault="00E3559C" w:rsidP="00E3559C">
      <w:pPr>
        <w:pStyle w:val="Styl1"/>
        <w:jc w:val="center"/>
        <w:rPr>
          <w:rFonts w:cs="Arial"/>
          <w:sz w:val="20"/>
          <w:szCs w:val="20"/>
        </w:rPr>
      </w:pPr>
      <w:r w:rsidRPr="00F24495">
        <w:rPr>
          <w:rFonts w:cs="Arial"/>
          <w:sz w:val="20"/>
          <w:szCs w:val="20"/>
        </w:rPr>
        <w:t>Český statistický úřad</w:t>
      </w:r>
    </w:p>
    <w:p w:rsidR="00E3559C" w:rsidRPr="00F24495" w:rsidRDefault="00E3559C" w:rsidP="00E3559C">
      <w:pPr>
        <w:pStyle w:val="Styl1"/>
        <w:jc w:val="center"/>
        <w:rPr>
          <w:rFonts w:cs="Arial"/>
          <w:sz w:val="20"/>
          <w:szCs w:val="20"/>
        </w:rPr>
      </w:pPr>
      <w:r w:rsidRPr="00F24495">
        <w:rPr>
          <w:rFonts w:cs="Arial"/>
          <w:sz w:val="20"/>
          <w:szCs w:val="20"/>
        </w:rPr>
        <w:t>Rok</w:t>
      </w:r>
      <w:r>
        <w:rPr>
          <w:rFonts w:cs="Arial"/>
          <w:sz w:val="20"/>
          <w:szCs w:val="20"/>
        </w:rPr>
        <w:t xml:space="preserve"> 2014</w:t>
      </w:r>
    </w:p>
    <w:p w:rsidR="00E3559C" w:rsidRDefault="00E3559C">
      <w:pPr>
        <w:spacing w:after="200" w:line="276" w:lineRule="auto"/>
        <w:jc w:val="left"/>
        <w:rPr>
          <w:rFonts w:cs="Arial"/>
          <w:b/>
          <w:sz w:val="28"/>
          <w:szCs w:val="28"/>
        </w:rPr>
      </w:pPr>
      <w:r>
        <w:br w:type="page"/>
      </w:r>
    </w:p>
    <w:p w:rsidR="00421EA1" w:rsidRPr="00415A39" w:rsidRDefault="00421EA1" w:rsidP="00415A39">
      <w:pPr>
        <w:pStyle w:val="Obsah1"/>
      </w:pPr>
      <w:r w:rsidRPr="00415A39">
        <w:lastRenderedPageBreak/>
        <w:t>Obsah</w:t>
      </w:r>
    </w:p>
    <w:p w:rsidR="00421EA1" w:rsidRPr="00415A39" w:rsidRDefault="00421EA1" w:rsidP="006666D5">
      <w:pPr>
        <w:tabs>
          <w:tab w:val="right" w:pos="9781"/>
        </w:tabs>
        <w:rPr>
          <w:rFonts w:cs="Arial"/>
          <w:szCs w:val="20"/>
        </w:rPr>
      </w:pPr>
    </w:p>
    <w:p w:rsidR="00415A39" w:rsidRPr="00415A39" w:rsidRDefault="00710089" w:rsidP="00415A39">
      <w:pPr>
        <w:pStyle w:val="Obsah1"/>
        <w:spacing w:line="276" w:lineRule="auto"/>
        <w:rPr>
          <w:rFonts w:eastAsiaTheme="minorEastAsia"/>
          <w:noProof/>
          <w:sz w:val="20"/>
        </w:rPr>
      </w:pPr>
      <w:r w:rsidRPr="00710089">
        <w:rPr>
          <w:sz w:val="20"/>
        </w:rPr>
        <w:fldChar w:fldCharType="begin"/>
      </w:r>
      <w:r w:rsidR="00421EA1" w:rsidRPr="00415A39">
        <w:rPr>
          <w:sz w:val="20"/>
        </w:rPr>
        <w:instrText xml:space="preserve"> TOC \o "1-4" \h \z \u </w:instrText>
      </w:r>
      <w:r w:rsidRPr="00710089">
        <w:rPr>
          <w:sz w:val="20"/>
        </w:rPr>
        <w:fldChar w:fldCharType="separate"/>
      </w:r>
      <w:hyperlink w:anchor="_Toc384640696" w:history="1">
        <w:r w:rsidR="00415A39" w:rsidRPr="00415A39">
          <w:rPr>
            <w:rStyle w:val="Hypertextovodkaz"/>
            <w:noProof/>
            <w:sz w:val="20"/>
          </w:rPr>
          <w:t>Úvod</w:t>
        </w:r>
        <w:r w:rsidR="00415A39" w:rsidRPr="00415A39">
          <w:rPr>
            <w:noProof/>
            <w:webHidden/>
            <w:sz w:val="20"/>
          </w:rPr>
          <w:tab/>
        </w:r>
        <w:r w:rsidRPr="00415A39">
          <w:rPr>
            <w:noProof/>
            <w:webHidden/>
            <w:sz w:val="20"/>
          </w:rPr>
          <w:fldChar w:fldCharType="begin"/>
        </w:r>
        <w:r w:rsidR="00415A39" w:rsidRPr="00415A39">
          <w:rPr>
            <w:noProof/>
            <w:webHidden/>
            <w:sz w:val="20"/>
          </w:rPr>
          <w:instrText xml:space="preserve"> PAGEREF _Toc384640696 \h </w:instrText>
        </w:r>
        <w:r w:rsidRPr="00415A39">
          <w:rPr>
            <w:noProof/>
            <w:webHidden/>
            <w:sz w:val="20"/>
          </w:rPr>
        </w:r>
        <w:r w:rsidRPr="00415A39">
          <w:rPr>
            <w:noProof/>
            <w:webHidden/>
            <w:sz w:val="20"/>
          </w:rPr>
          <w:fldChar w:fldCharType="separate"/>
        </w:r>
        <w:r w:rsidR="00415A39" w:rsidRPr="00415A39">
          <w:rPr>
            <w:noProof/>
            <w:webHidden/>
            <w:sz w:val="20"/>
          </w:rPr>
          <w:t>3</w:t>
        </w:r>
        <w:r w:rsidRPr="00415A39">
          <w:rPr>
            <w:noProof/>
            <w:webHidden/>
            <w:sz w:val="20"/>
          </w:rPr>
          <w:fldChar w:fldCharType="end"/>
        </w:r>
      </w:hyperlink>
    </w:p>
    <w:p w:rsidR="00415A39" w:rsidRPr="00415A39" w:rsidRDefault="00710089" w:rsidP="00415A39">
      <w:pPr>
        <w:pStyle w:val="Obsah1"/>
        <w:spacing w:line="276" w:lineRule="auto"/>
        <w:rPr>
          <w:rFonts w:eastAsiaTheme="minorEastAsia"/>
          <w:noProof/>
          <w:sz w:val="20"/>
        </w:rPr>
      </w:pPr>
      <w:hyperlink w:anchor="_Toc384640697" w:history="1">
        <w:r w:rsidR="00415A39" w:rsidRPr="00415A39">
          <w:rPr>
            <w:rStyle w:val="Hypertextovodkaz"/>
            <w:noProof/>
            <w:sz w:val="20"/>
          </w:rPr>
          <w:t>Shrnutí</w:t>
        </w:r>
        <w:r w:rsidR="00415A39" w:rsidRPr="00415A39">
          <w:rPr>
            <w:noProof/>
            <w:webHidden/>
            <w:sz w:val="20"/>
          </w:rPr>
          <w:tab/>
        </w:r>
        <w:r w:rsidRPr="00415A39">
          <w:rPr>
            <w:noProof/>
            <w:webHidden/>
            <w:sz w:val="20"/>
          </w:rPr>
          <w:fldChar w:fldCharType="begin"/>
        </w:r>
        <w:r w:rsidR="00415A39" w:rsidRPr="00415A39">
          <w:rPr>
            <w:noProof/>
            <w:webHidden/>
            <w:sz w:val="20"/>
          </w:rPr>
          <w:instrText xml:space="preserve"> PAGEREF _Toc384640697 \h </w:instrText>
        </w:r>
        <w:r w:rsidRPr="00415A39">
          <w:rPr>
            <w:noProof/>
            <w:webHidden/>
            <w:sz w:val="20"/>
          </w:rPr>
        </w:r>
        <w:r w:rsidRPr="00415A39">
          <w:rPr>
            <w:noProof/>
            <w:webHidden/>
            <w:sz w:val="20"/>
          </w:rPr>
          <w:fldChar w:fldCharType="separate"/>
        </w:r>
        <w:r w:rsidR="00415A39" w:rsidRPr="00415A39">
          <w:rPr>
            <w:noProof/>
            <w:webHidden/>
            <w:sz w:val="20"/>
          </w:rPr>
          <w:t>4</w:t>
        </w:r>
        <w:r w:rsidRPr="00415A39">
          <w:rPr>
            <w:noProof/>
            <w:webHidden/>
            <w:sz w:val="20"/>
          </w:rPr>
          <w:fldChar w:fldCharType="end"/>
        </w:r>
      </w:hyperlink>
    </w:p>
    <w:p w:rsidR="00415A39" w:rsidRPr="00415A39" w:rsidRDefault="00710089" w:rsidP="00415A39">
      <w:pPr>
        <w:pStyle w:val="Obsah1"/>
        <w:spacing w:line="276" w:lineRule="auto"/>
        <w:rPr>
          <w:rFonts w:eastAsiaTheme="minorEastAsia"/>
          <w:noProof/>
          <w:sz w:val="20"/>
        </w:rPr>
      </w:pPr>
      <w:hyperlink w:anchor="_Toc384640698" w:history="1">
        <w:r w:rsidR="00415A39" w:rsidRPr="00415A39">
          <w:rPr>
            <w:rStyle w:val="Hypertextovodkaz"/>
            <w:noProof/>
            <w:sz w:val="20"/>
          </w:rPr>
          <w:t>Data a metodika</w:t>
        </w:r>
        <w:r w:rsidR="00415A39" w:rsidRPr="00415A39">
          <w:rPr>
            <w:noProof/>
            <w:webHidden/>
            <w:sz w:val="20"/>
          </w:rPr>
          <w:tab/>
        </w:r>
        <w:r w:rsidRPr="00415A39">
          <w:rPr>
            <w:noProof/>
            <w:webHidden/>
            <w:sz w:val="20"/>
          </w:rPr>
          <w:fldChar w:fldCharType="begin"/>
        </w:r>
        <w:r w:rsidR="00415A39" w:rsidRPr="00415A39">
          <w:rPr>
            <w:noProof/>
            <w:webHidden/>
            <w:sz w:val="20"/>
          </w:rPr>
          <w:instrText xml:space="preserve"> PAGEREF _Toc384640698 \h </w:instrText>
        </w:r>
        <w:r w:rsidRPr="00415A39">
          <w:rPr>
            <w:noProof/>
            <w:webHidden/>
            <w:sz w:val="20"/>
          </w:rPr>
        </w:r>
        <w:r w:rsidRPr="00415A39">
          <w:rPr>
            <w:noProof/>
            <w:webHidden/>
            <w:sz w:val="20"/>
          </w:rPr>
          <w:fldChar w:fldCharType="separate"/>
        </w:r>
        <w:r w:rsidR="00415A39" w:rsidRPr="00415A39">
          <w:rPr>
            <w:noProof/>
            <w:webHidden/>
            <w:sz w:val="20"/>
          </w:rPr>
          <w:t>5</w:t>
        </w:r>
        <w:r w:rsidRPr="00415A39">
          <w:rPr>
            <w:noProof/>
            <w:webHidden/>
            <w:sz w:val="20"/>
          </w:rPr>
          <w:fldChar w:fldCharType="end"/>
        </w:r>
      </w:hyperlink>
    </w:p>
    <w:p w:rsidR="00415A39" w:rsidRPr="00415A39" w:rsidRDefault="00710089" w:rsidP="00415A39">
      <w:pPr>
        <w:pStyle w:val="Obsah1"/>
        <w:spacing w:line="276" w:lineRule="auto"/>
        <w:rPr>
          <w:rFonts w:eastAsiaTheme="minorEastAsia"/>
          <w:noProof/>
          <w:sz w:val="20"/>
        </w:rPr>
      </w:pPr>
      <w:hyperlink w:anchor="_Toc384640699" w:history="1">
        <w:r w:rsidR="00415A39" w:rsidRPr="00415A39">
          <w:rPr>
            <w:rStyle w:val="Hypertextovodkaz"/>
            <w:noProof/>
            <w:sz w:val="20"/>
          </w:rPr>
          <w:t>1.</w:t>
        </w:r>
        <w:r w:rsidR="00415A39" w:rsidRPr="00415A39">
          <w:rPr>
            <w:rFonts w:eastAsiaTheme="minorEastAsia"/>
            <w:noProof/>
            <w:sz w:val="20"/>
          </w:rPr>
          <w:tab/>
        </w:r>
        <w:r w:rsidR="00415A39" w:rsidRPr="00415A39">
          <w:rPr>
            <w:rStyle w:val="Hypertextovodkaz"/>
            <w:noProof/>
            <w:sz w:val="20"/>
          </w:rPr>
          <w:t>Vzdělanostní a věková podobnost snoubenců</w:t>
        </w:r>
        <w:r w:rsidR="00415A39" w:rsidRPr="00415A39">
          <w:rPr>
            <w:noProof/>
            <w:webHidden/>
            <w:sz w:val="20"/>
          </w:rPr>
          <w:tab/>
        </w:r>
        <w:r w:rsidRPr="00415A39">
          <w:rPr>
            <w:noProof/>
            <w:webHidden/>
            <w:sz w:val="20"/>
          </w:rPr>
          <w:fldChar w:fldCharType="begin"/>
        </w:r>
        <w:r w:rsidR="00415A39" w:rsidRPr="00415A39">
          <w:rPr>
            <w:noProof/>
            <w:webHidden/>
            <w:sz w:val="20"/>
          </w:rPr>
          <w:instrText xml:space="preserve"> PAGEREF _Toc384640699 \h </w:instrText>
        </w:r>
        <w:r w:rsidRPr="00415A39">
          <w:rPr>
            <w:noProof/>
            <w:webHidden/>
            <w:sz w:val="20"/>
          </w:rPr>
        </w:r>
        <w:r w:rsidRPr="00415A39">
          <w:rPr>
            <w:noProof/>
            <w:webHidden/>
            <w:sz w:val="20"/>
          </w:rPr>
          <w:fldChar w:fldCharType="separate"/>
        </w:r>
        <w:r w:rsidR="00415A39" w:rsidRPr="00415A39">
          <w:rPr>
            <w:noProof/>
            <w:webHidden/>
            <w:sz w:val="20"/>
          </w:rPr>
          <w:t>6</w:t>
        </w:r>
        <w:r w:rsidRPr="00415A39">
          <w:rPr>
            <w:noProof/>
            <w:webHidden/>
            <w:sz w:val="20"/>
          </w:rPr>
          <w:fldChar w:fldCharType="end"/>
        </w:r>
      </w:hyperlink>
    </w:p>
    <w:p w:rsidR="00415A39" w:rsidRPr="00415A39" w:rsidRDefault="00710089" w:rsidP="00415A39">
      <w:pPr>
        <w:pStyle w:val="Obsah2"/>
        <w:spacing w:line="276" w:lineRule="auto"/>
        <w:rPr>
          <w:rFonts w:eastAsiaTheme="minorEastAsia"/>
          <w:noProof/>
          <w:sz w:val="20"/>
          <w:szCs w:val="20"/>
        </w:rPr>
      </w:pPr>
      <w:hyperlink w:anchor="_Toc384640700" w:history="1">
        <w:r w:rsidR="00415A39" w:rsidRPr="00415A39">
          <w:rPr>
            <w:rStyle w:val="Hypertextovodkaz"/>
            <w:rFonts w:ascii="Arial" w:hAnsi="Arial" w:cs="Arial"/>
            <w:noProof/>
            <w:sz w:val="20"/>
            <w:szCs w:val="20"/>
          </w:rPr>
          <w:t>1.1</w:t>
        </w:r>
        <w:r w:rsidR="00415A39" w:rsidRPr="00415A39">
          <w:rPr>
            <w:rFonts w:eastAsiaTheme="minorEastAsia"/>
            <w:noProof/>
            <w:sz w:val="20"/>
            <w:szCs w:val="20"/>
          </w:rPr>
          <w:tab/>
        </w:r>
        <w:r w:rsidR="00415A39" w:rsidRPr="00415A39">
          <w:rPr>
            <w:rStyle w:val="Hypertextovodkaz"/>
            <w:rFonts w:ascii="Arial" w:hAnsi="Arial" w:cs="Arial"/>
            <w:noProof/>
            <w:sz w:val="20"/>
            <w:szCs w:val="20"/>
          </w:rPr>
          <w:t>Vzdělanostní podobnost snoubenců</w:t>
        </w:r>
        <w:r w:rsidR="00415A39" w:rsidRPr="00415A39">
          <w:rPr>
            <w:noProof/>
            <w:webHidden/>
            <w:sz w:val="20"/>
            <w:szCs w:val="20"/>
          </w:rPr>
          <w:tab/>
        </w:r>
        <w:r w:rsidRPr="00415A39">
          <w:rPr>
            <w:noProof/>
            <w:webHidden/>
            <w:sz w:val="20"/>
            <w:szCs w:val="20"/>
          </w:rPr>
          <w:fldChar w:fldCharType="begin"/>
        </w:r>
        <w:r w:rsidR="00415A39" w:rsidRPr="00415A39">
          <w:rPr>
            <w:noProof/>
            <w:webHidden/>
            <w:sz w:val="20"/>
            <w:szCs w:val="20"/>
          </w:rPr>
          <w:instrText xml:space="preserve"> PAGEREF _Toc384640700 \h </w:instrText>
        </w:r>
        <w:r w:rsidRPr="00415A39">
          <w:rPr>
            <w:noProof/>
            <w:webHidden/>
            <w:sz w:val="20"/>
            <w:szCs w:val="20"/>
          </w:rPr>
        </w:r>
        <w:r w:rsidRPr="00415A39">
          <w:rPr>
            <w:noProof/>
            <w:webHidden/>
            <w:sz w:val="20"/>
            <w:szCs w:val="20"/>
          </w:rPr>
          <w:fldChar w:fldCharType="separate"/>
        </w:r>
        <w:r w:rsidR="00415A39" w:rsidRPr="00415A39">
          <w:rPr>
            <w:noProof/>
            <w:webHidden/>
            <w:sz w:val="20"/>
            <w:szCs w:val="20"/>
          </w:rPr>
          <w:t>6</w:t>
        </w:r>
        <w:r w:rsidRPr="00415A39">
          <w:rPr>
            <w:noProof/>
            <w:webHidden/>
            <w:sz w:val="20"/>
            <w:szCs w:val="20"/>
          </w:rPr>
          <w:fldChar w:fldCharType="end"/>
        </w:r>
      </w:hyperlink>
    </w:p>
    <w:p w:rsidR="00415A39" w:rsidRPr="00415A39" w:rsidRDefault="00710089" w:rsidP="00415A39">
      <w:pPr>
        <w:pStyle w:val="Obsah2"/>
        <w:spacing w:line="276" w:lineRule="auto"/>
        <w:rPr>
          <w:rFonts w:eastAsiaTheme="minorEastAsia"/>
          <w:noProof/>
          <w:sz w:val="20"/>
          <w:szCs w:val="20"/>
        </w:rPr>
      </w:pPr>
      <w:hyperlink w:anchor="_Toc384640701" w:history="1">
        <w:r w:rsidR="00415A39" w:rsidRPr="00415A39">
          <w:rPr>
            <w:rStyle w:val="Hypertextovodkaz"/>
            <w:rFonts w:ascii="Arial" w:hAnsi="Arial" w:cs="Arial"/>
            <w:noProof/>
            <w:sz w:val="20"/>
            <w:szCs w:val="20"/>
          </w:rPr>
          <w:t>1.2</w:t>
        </w:r>
        <w:r w:rsidR="00415A39" w:rsidRPr="00415A39">
          <w:rPr>
            <w:rFonts w:eastAsiaTheme="minorEastAsia"/>
            <w:noProof/>
            <w:sz w:val="20"/>
            <w:szCs w:val="20"/>
          </w:rPr>
          <w:tab/>
        </w:r>
        <w:r w:rsidR="00415A39" w:rsidRPr="00415A39">
          <w:rPr>
            <w:rStyle w:val="Hypertextovodkaz"/>
            <w:rFonts w:ascii="Arial" w:hAnsi="Arial" w:cs="Arial"/>
            <w:noProof/>
            <w:sz w:val="20"/>
            <w:szCs w:val="20"/>
          </w:rPr>
          <w:t>Věková podobnost snoubenců</w:t>
        </w:r>
        <w:r w:rsidR="00415A39" w:rsidRPr="00415A39">
          <w:rPr>
            <w:noProof/>
            <w:webHidden/>
            <w:sz w:val="20"/>
            <w:szCs w:val="20"/>
          </w:rPr>
          <w:tab/>
        </w:r>
        <w:r w:rsidRPr="00415A39">
          <w:rPr>
            <w:noProof/>
            <w:webHidden/>
            <w:sz w:val="20"/>
            <w:szCs w:val="20"/>
          </w:rPr>
          <w:fldChar w:fldCharType="begin"/>
        </w:r>
        <w:r w:rsidR="00415A39" w:rsidRPr="00415A39">
          <w:rPr>
            <w:noProof/>
            <w:webHidden/>
            <w:sz w:val="20"/>
            <w:szCs w:val="20"/>
          </w:rPr>
          <w:instrText xml:space="preserve"> PAGEREF _Toc384640701 \h </w:instrText>
        </w:r>
        <w:r w:rsidRPr="00415A39">
          <w:rPr>
            <w:noProof/>
            <w:webHidden/>
            <w:sz w:val="20"/>
            <w:szCs w:val="20"/>
          </w:rPr>
        </w:r>
        <w:r w:rsidRPr="00415A39">
          <w:rPr>
            <w:noProof/>
            <w:webHidden/>
            <w:sz w:val="20"/>
            <w:szCs w:val="20"/>
          </w:rPr>
          <w:fldChar w:fldCharType="separate"/>
        </w:r>
        <w:r w:rsidR="00415A39" w:rsidRPr="00415A39">
          <w:rPr>
            <w:noProof/>
            <w:webHidden/>
            <w:sz w:val="20"/>
            <w:szCs w:val="20"/>
          </w:rPr>
          <w:t>6</w:t>
        </w:r>
        <w:r w:rsidRPr="00415A39">
          <w:rPr>
            <w:noProof/>
            <w:webHidden/>
            <w:sz w:val="20"/>
            <w:szCs w:val="20"/>
          </w:rPr>
          <w:fldChar w:fldCharType="end"/>
        </w:r>
      </w:hyperlink>
    </w:p>
    <w:p w:rsidR="00415A39" w:rsidRPr="00415A39" w:rsidRDefault="00710089" w:rsidP="00415A39">
      <w:pPr>
        <w:pStyle w:val="Obsah1"/>
        <w:spacing w:line="276" w:lineRule="auto"/>
        <w:rPr>
          <w:rFonts w:eastAsiaTheme="minorEastAsia"/>
          <w:noProof/>
          <w:sz w:val="20"/>
        </w:rPr>
      </w:pPr>
      <w:hyperlink w:anchor="_Toc384640702" w:history="1">
        <w:r w:rsidR="00415A39" w:rsidRPr="00415A39">
          <w:rPr>
            <w:rStyle w:val="Hypertextovodkaz"/>
            <w:noProof/>
            <w:sz w:val="20"/>
          </w:rPr>
          <w:t>2.</w:t>
        </w:r>
        <w:r w:rsidR="00415A39" w:rsidRPr="00415A39">
          <w:rPr>
            <w:rFonts w:eastAsiaTheme="minorEastAsia"/>
            <w:noProof/>
            <w:sz w:val="20"/>
          </w:rPr>
          <w:tab/>
        </w:r>
        <w:r w:rsidR="00415A39" w:rsidRPr="00415A39">
          <w:rPr>
            <w:rStyle w:val="Hypertextovodkaz"/>
            <w:noProof/>
            <w:sz w:val="20"/>
          </w:rPr>
          <w:t>Věková a vzdělanostní  homogamie párů žijících v manželství a v nesezdaných soužitích</w:t>
        </w:r>
        <w:r w:rsidR="00415A39" w:rsidRPr="00415A39">
          <w:rPr>
            <w:noProof/>
            <w:webHidden/>
            <w:sz w:val="20"/>
          </w:rPr>
          <w:tab/>
        </w:r>
        <w:r w:rsidRPr="00415A39">
          <w:rPr>
            <w:noProof/>
            <w:webHidden/>
            <w:sz w:val="20"/>
          </w:rPr>
          <w:fldChar w:fldCharType="begin"/>
        </w:r>
        <w:r w:rsidR="00415A39" w:rsidRPr="00415A39">
          <w:rPr>
            <w:noProof/>
            <w:webHidden/>
            <w:sz w:val="20"/>
          </w:rPr>
          <w:instrText xml:space="preserve"> PAGEREF _Toc384640702 \h </w:instrText>
        </w:r>
        <w:r w:rsidRPr="00415A39">
          <w:rPr>
            <w:noProof/>
            <w:webHidden/>
            <w:sz w:val="20"/>
          </w:rPr>
        </w:r>
        <w:r w:rsidRPr="00415A39">
          <w:rPr>
            <w:noProof/>
            <w:webHidden/>
            <w:sz w:val="20"/>
          </w:rPr>
          <w:fldChar w:fldCharType="separate"/>
        </w:r>
        <w:r w:rsidR="00415A39" w:rsidRPr="00415A39">
          <w:rPr>
            <w:noProof/>
            <w:webHidden/>
            <w:sz w:val="20"/>
          </w:rPr>
          <w:t>10</w:t>
        </w:r>
        <w:r w:rsidRPr="00415A39">
          <w:rPr>
            <w:noProof/>
            <w:webHidden/>
            <w:sz w:val="20"/>
          </w:rPr>
          <w:fldChar w:fldCharType="end"/>
        </w:r>
      </w:hyperlink>
    </w:p>
    <w:p w:rsidR="00415A39" w:rsidRPr="00415A39" w:rsidRDefault="00710089" w:rsidP="00415A39">
      <w:pPr>
        <w:pStyle w:val="Obsah2"/>
        <w:spacing w:line="276" w:lineRule="auto"/>
        <w:rPr>
          <w:rFonts w:eastAsiaTheme="minorEastAsia"/>
          <w:noProof/>
          <w:sz w:val="20"/>
          <w:szCs w:val="20"/>
        </w:rPr>
      </w:pPr>
      <w:hyperlink w:anchor="_Toc384640704" w:history="1">
        <w:r w:rsidR="00415A39" w:rsidRPr="00415A39">
          <w:rPr>
            <w:rStyle w:val="Hypertextovodkaz"/>
            <w:rFonts w:ascii="Arial" w:hAnsi="Arial" w:cs="Arial"/>
            <w:noProof/>
            <w:sz w:val="20"/>
            <w:szCs w:val="20"/>
          </w:rPr>
          <w:t>2.1</w:t>
        </w:r>
        <w:r w:rsidR="00415A39" w:rsidRPr="00415A39">
          <w:rPr>
            <w:rFonts w:eastAsiaTheme="minorEastAsia"/>
            <w:noProof/>
            <w:sz w:val="20"/>
            <w:szCs w:val="20"/>
          </w:rPr>
          <w:tab/>
        </w:r>
        <w:r w:rsidR="00415A39" w:rsidRPr="00415A39">
          <w:rPr>
            <w:rStyle w:val="Hypertextovodkaz"/>
            <w:rFonts w:ascii="Arial" w:hAnsi="Arial" w:cs="Arial"/>
            <w:noProof/>
            <w:sz w:val="20"/>
            <w:szCs w:val="20"/>
          </w:rPr>
          <w:t>Vzdělanostní homogamie párů žijících v manželství a v nesezdaných soužitích</w:t>
        </w:r>
        <w:r w:rsidR="00415A39" w:rsidRPr="00415A39">
          <w:rPr>
            <w:noProof/>
            <w:webHidden/>
            <w:sz w:val="20"/>
            <w:szCs w:val="20"/>
          </w:rPr>
          <w:tab/>
        </w:r>
        <w:r w:rsidRPr="00415A39">
          <w:rPr>
            <w:noProof/>
            <w:webHidden/>
            <w:sz w:val="20"/>
            <w:szCs w:val="20"/>
          </w:rPr>
          <w:fldChar w:fldCharType="begin"/>
        </w:r>
        <w:r w:rsidR="00415A39" w:rsidRPr="00415A39">
          <w:rPr>
            <w:noProof/>
            <w:webHidden/>
            <w:sz w:val="20"/>
            <w:szCs w:val="20"/>
          </w:rPr>
          <w:instrText xml:space="preserve"> PAGEREF _Toc384640704 \h </w:instrText>
        </w:r>
        <w:r w:rsidRPr="00415A39">
          <w:rPr>
            <w:noProof/>
            <w:webHidden/>
            <w:sz w:val="20"/>
            <w:szCs w:val="20"/>
          </w:rPr>
        </w:r>
        <w:r w:rsidRPr="00415A39">
          <w:rPr>
            <w:noProof/>
            <w:webHidden/>
            <w:sz w:val="20"/>
            <w:szCs w:val="20"/>
          </w:rPr>
          <w:fldChar w:fldCharType="separate"/>
        </w:r>
        <w:r w:rsidR="00415A39" w:rsidRPr="00415A39">
          <w:rPr>
            <w:noProof/>
            <w:webHidden/>
            <w:sz w:val="20"/>
            <w:szCs w:val="20"/>
          </w:rPr>
          <w:t>10</w:t>
        </w:r>
        <w:r w:rsidRPr="00415A39">
          <w:rPr>
            <w:noProof/>
            <w:webHidden/>
            <w:sz w:val="20"/>
            <w:szCs w:val="20"/>
          </w:rPr>
          <w:fldChar w:fldCharType="end"/>
        </w:r>
      </w:hyperlink>
    </w:p>
    <w:p w:rsidR="00415A39" w:rsidRPr="00415A39" w:rsidRDefault="00710089" w:rsidP="00415A39">
      <w:pPr>
        <w:pStyle w:val="Obsah2"/>
        <w:spacing w:line="276" w:lineRule="auto"/>
        <w:rPr>
          <w:rFonts w:eastAsiaTheme="minorEastAsia"/>
          <w:noProof/>
          <w:sz w:val="20"/>
          <w:szCs w:val="20"/>
        </w:rPr>
      </w:pPr>
      <w:hyperlink w:anchor="_Toc384640705" w:history="1">
        <w:r w:rsidR="00415A39" w:rsidRPr="00415A39">
          <w:rPr>
            <w:rStyle w:val="Hypertextovodkaz"/>
            <w:rFonts w:ascii="Arial" w:hAnsi="Arial" w:cs="Arial"/>
            <w:noProof/>
            <w:sz w:val="20"/>
            <w:szCs w:val="20"/>
          </w:rPr>
          <w:t>2.2</w:t>
        </w:r>
        <w:r w:rsidR="00415A39" w:rsidRPr="00415A39">
          <w:rPr>
            <w:rFonts w:eastAsiaTheme="minorEastAsia"/>
            <w:noProof/>
            <w:sz w:val="20"/>
            <w:szCs w:val="20"/>
          </w:rPr>
          <w:tab/>
        </w:r>
        <w:r w:rsidR="00415A39" w:rsidRPr="00415A39">
          <w:rPr>
            <w:rStyle w:val="Hypertextovodkaz"/>
            <w:rFonts w:ascii="Arial" w:hAnsi="Arial" w:cs="Arial"/>
            <w:noProof/>
            <w:sz w:val="20"/>
            <w:szCs w:val="20"/>
          </w:rPr>
          <w:t>Věková homogamie párů žijících v manželství a v nesezdaných soužitích</w:t>
        </w:r>
        <w:r w:rsidR="00415A39" w:rsidRPr="00415A39">
          <w:rPr>
            <w:noProof/>
            <w:webHidden/>
            <w:sz w:val="20"/>
            <w:szCs w:val="20"/>
          </w:rPr>
          <w:tab/>
        </w:r>
        <w:r w:rsidRPr="00415A39">
          <w:rPr>
            <w:noProof/>
            <w:webHidden/>
            <w:sz w:val="20"/>
            <w:szCs w:val="20"/>
          </w:rPr>
          <w:fldChar w:fldCharType="begin"/>
        </w:r>
        <w:r w:rsidR="00415A39" w:rsidRPr="00415A39">
          <w:rPr>
            <w:noProof/>
            <w:webHidden/>
            <w:sz w:val="20"/>
            <w:szCs w:val="20"/>
          </w:rPr>
          <w:instrText xml:space="preserve"> PAGEREF _Toc384640705 \h </w:instrText>
        </w:r>
        <w:r w:rsidRPr="00415A39">
          <w:rPr>
            <w:noProof/>
            <w:webHidden/>
            <w:sz w:val="20"/>
            <w:szCs w:val="20"/>
          </w:rPr>
        </w:r>
        <w:r w:rsidRPr="00415A39">
          <w:rPr>
            <w:noProof/>
            <w:webHidden/>
            <w:sz w:val="20"/>
            <w:szCs w:val="20"/>
          </w:rPr>
          <w:fldChar w:fldCharType="separate"/>
        </w:r>
        <w:r w:rsidR="00415A39" w:rsidRPr="00415A39">
          <w:rPr>
            <w:noProof/>
            <w:webHidden/>
            <w:sz w:val="20"/>
            <w:szCs w:val="20"/>
          </w:rPr>
          <w:t>13</w:t>
        </w:r>
        <w:r w:rsidRPr="00415A39">
          <w:rPr>
            <w:noProof/>
            <w:webHidden/>
            <w:sz w:val="20"/>
            <w:szCs w:val="20"/>
          </w:rPr>
          <w:fldChar w:fldCharType="end"/>
        </w:r>
      </w:hyperlink>
    </w:p>
    <w:p w:rsidR="00415A39" w:rsidRPr="00415A39" w:rsidRDefault="00710089" w:rsidP="00415A39">
      <w:pPr>
        <w:pStyle w:val="Obsah1"/>
        <w:spacing w:line="276" w:lineRule="auto"/>
        <w:rPr>
          <w:rFonts w:eastAsiaTheme="minorEastAsia"/>
          <w:noProof/>
          <w:sz w:val="20"/>
        </w:rPr>
      </w:pPr>
      <w:hyperlink w:anchor="_Toc384640706" w:history="1">
        <w:r w:rsidR="00415A39" w:rsidRPr="00415A39">
          <w:rPr>
            <w:rStyle w:val="Hypertextovodkaz"/>
            <w:noProof/>
            <w:sz w:val="20"/>
          </w:rPr>
          <w:t>3.</w:t>
        </w:r>
        <w:r w:rsidR="00415A39" w:rsidRPr="00415A39">
          <w:rPr>
            <w:rFonts w:eastAsiaTheme="minorEastAsia"/>
            <w:noProof/>
            <w:sz w:val="20"/>
          </w:rPr>
          <w:tab/>
        </w:r>
        <w:r w:rsidR="00415A39" w:rsidRPr="00415A39">
          <w:rPr>
            <w:rStyle w:val="Hypertextovodkaz"/>
            <w:noProof/>
            <w:sz w:val="20"/>
          </w:rPr>
          <w:t>Národnostní a náboženská homogamie sezdaných a nesezdaných párů</w:t>
        </w:r>
        <w:r w:rsidR="00415A39" w:rsidRPr="00415A39">
          <w:rPr>
            <w:noProof/>
            <w:webHidden/>
            <w:sz w:val="20"/>
          </w:rPr>
          <w:tab/>
        </w:r>
        <w:r w:rsidRPr="00415A39">
          <w:rPr>
            <w:noProof/>
            <w:webHidden/>
            <w:sz w:val="20"/>
          </w:rPr>
          <w:fldChar w:fldCharType="begin"/>
        </w:r>
        <w:r w:rsidR="00415A39" w:rsidRPr="00415A39">
          <w:rPr>
            <w:noProof/>
            <w:webHidden/>
            <w:sz w:val="20"/>
          </w:rPr>
          <w:instrText xml:space="preserve"> PAGEREF _Toc384640706 \h </w:instrText>
        </w:r>
        <w:r w:rsidRPr="00415A39">
          <w:rPr>
            <w:noProof/>
            <w:webHidden/>
            <w:sz w:val="20"/>
          </w:rPr>
        </w:r>
        <w:r w:rsidRPr="00415A39">
          <w:rPr>
            <w:noProof/>
            <w:webHidden/>
            <w:sz w:val="20"/>
          </w:rPr>
          <w:fldChar w:fldCharType="separate"/>
        </w:r>
        <w:r w:rsidR="00415A39" w:rsidRPr="00415A39">
          <w:rPr>
            <w:noProof/>
            <w:webHidden/>
            <w:sz w:val="20"/>
          </w:rPr>
          <w:t>16</w:t>
        </w:r>
        <w:r w:rsidRPr="00415A39">
          <w:rPr>
            <w:noProof/>
            <w:webHidden/>
            <w:sz w:val="20"/>
          </w:rPr>
          <w:fldChar w:fldCharType="end"/>
        </w:r>
      </w:hyperlink>
    </w:p>
    <w:p w:rsidR="00415A39" w:rsidRPr="00415A39" w:rsidRDefault="00710089" w:rsidP="00415A39">
      <w:pPr>
        <w:pStyle w:val="Obsah1"/>
        <w:spacing w:line="276" w:lineRule="auto"/>
        <w:rPr>
          <w:rFonts w:eastAsiaTheme="minorEastAsia"/>
          <w:noProof/>
          <w:sz w:val="20"/>
        </w:rPr>
      </w:pPr>
      <w:hyperlink w:anchor="_Toc384640707" w:history="1">
        <w:r w:rsidR="00415A39" w:rsidRPr="00415A39">
          <w:rPr>
            <w:rStyle w:val="Hypertextovodkaz"/>
            <w:noProof/>
            <w:sz w:val="20"/>
          </w:rPr>
          <w:t>Literatura</w:t>
        </w:r>
        <w:r w:rsidR="00415A39" w:rsidRPr="00415A39">
          <w:rPr>
            <w:noProof/>
            <w:webHidden/>
            <w:sz w:val="20"/>
          </w:rPr>
          <w:tab/>
        </w:r>
        <w:r w:rsidRPr="00415A39">
          <w:rPr>
            <w:noProof/>
            <w:webHidden/>
            <w:sz w:val="20"/>
          </w:rPr>
          <w:fldChar w:fldCharType="begin"/>
        </w:r>
        <w:r w:rsidR="00415A39" w:rsidRPr="00415A39">
          <w:rPr>
            <w:noProof/>
            <w:webHidden/>
            <w:sz w:val="20"/>
          </w:rPr>
          <w:instrText xml:space="preserve"> PAGEREF _Toc384640707 \h </w:instrText>
        </w:r>
        <w:r w:rsidRPr="00415A39">
          <w:rPr>
            <w:noProof/>
            <w:webHidden/>
            <w:sz w:val="20"/>
          </w:rPr>
        </w:r>
        <w:r w:rsidRPr="00415A39">
          <w:rPr>
            <w:noProof/>
            <w:webHidden/>
            <w:sz w:val="20"/>
          </w:rPr>
          <w:fldChar w:fldCharType="separate"/>
        </w:r>
        <w:r w:rsidR="00415A39" w:rsidRPr="00415A39">
          <w:rPr>
            <w:noProof/>
            <w:webHidden/>
            <w:sz w:val="20"/>
          </w:rPr>
          <w:t>18</w:t>
        </w:r>
        <w:r w:rsidRPr="00415A39">
          <w:rPr>
            <w:noProof/>
            <w:webHidden/>
            <w:sz w:val="20"/>
          </w:rPr>
          <w:fldChar w:fldCharType="end"/>
        </w:r>
      </w:hyperlink>
    </w:p>
    <w:p w:rsidR="00421EA1" w:rsidRPr="00275862" w:rsidRDefault="00710089" w:rsidP="00415A39">
      <w:pPr>
        <w:pStyle w:val="Nadpis1"/>
        <w:numPr>
          <w:ilvl w:val="0"/>
          <w:numId w:val="0"/>
        </w:numPr>
        <w:spacing w:line="276" w:lineRule="auto"/>
      </w:pPr>
      <w:r w:rsidRPr="00415A39">
        <w:rPr>
          <w:rFonts w:cs="Arial"/>
          <w:sz w:val="20"/>
          <w:szCs w:val="20"/>
        </w:rPr>
        <w:fldChar w:fldCharType="end"/>
      </w:r>
      <w:r w:rsidR="00421EA1" w:rsidRPr="00275862">
        <w:rPr>
          <w:sz w:val="20"/>
          <w:szCs w:val="20"/>
        </w:rPr>
        <w:br w:type="column"/>
      </w:r>
      <w:bookmarkStart w:id="0" w:name="_Toc384640696"/>
      <w:bookmarkStart w:id="1" w:name="_Toc353430677"/>
      <w:r w:rsidR="00421EA1" w:rsidRPr="00275862">
        <w:lastRenderedPageBreak/>
        <w:t>Úvod</w:t>
      </w:r>
      <w:bookmarkEnd w:id="0"/>
    </w:p>
    <w:p w:rsidR="00BE6525" w:rsidRPr="00275862" w:rsidRDefault="00BE6525" w:rsidP="006666D5"/>
    <w:p w:rsidR="00080118" w:rsidRPr="00275862" w:rsidRDefault="00AC4FF2" w:rsidP="006666D5">
      <w:pPr>
        <w:spacing w:line="276" w:lineRule="auto"/>
      </w:pPr>
      <w:r w:rsidRPr="00275862">
        <w:t>Již delší dobu dochází k</w:t>
      </w:r>
      <w:r w:rsidR="00AB2ACC" w:rsidRPr="00275862">
        <w:t>e</w:t>
      </w:r>
      <w:r w:rsidRPr="00275862">
        <w:t xml:space="preserve"> změnám v rodinném chování. </w:t>
      </w:r>
      <w:r w:rsidR="00BE6525" w:rsidRPr="00275862">
        <w:t>Oddaluje se odchod mladých od rodičů a</w:t>
      </w:r>
      <w:r w:rsidR="00080118" w:rsidRPr="00275862">
        <w:t> </w:t>
      </w:r>
      <w:r w:rsidR="00BE6525" w:rsidRPr="00275862">
        <w:t>stále častěji sňatku předchází samostatné bydlení, nebo nesezdané soužití s</w:t>
      </w:r>
      <w:r w:rsidR="00143CE5" w:rsidRPr="00275862">
        <w:t> </w:t>
      </w:r>
      <w:r w:rsidR="00BE6525" w:rsidRPr="00275862">
        <w:t>partnerem</w:t>
      </w:r>
      <w:r w:rsidR="00143CE5" w:rsidRPr="00275862">
        <w:t>, případně obojí</w:t>
      </w:r>
      <w:r w:rsidR="00BE6525" w:rsidRPr="00275862">
        <w:t xml:space="preserve">. </w:t>
      </w:r>
      <w:r w:rsidR="00143CE5" w:rsidRPr="00275862">
        <w:t>Do roku</w:t>
      </w:r>
      <w:r w:rsidR="00BE6525" w:rsidRPr="00275862">
        <w:t xml:space="preserve"> 2012 </w:t>
      </w:r>
      <w:r w:rsidR="00143CE5" w:rsidRPr="00275862">
        <w:t>stoupl podíl domácností tvořených</w:t>
      </w:r>
      <w:r w:rsidR="00BE6525" w:rsidRPr="00275862">
        <w:t xml:space="preserve"> nesezdanými partnery </w:t>
      </w:r>
      <w:r w:rsidR="00143CE5" w:rsidRPr="00275862">
        <w:t xml:space="preserve">na </w:t>
      </w:r>
      <w:r w:rsidR="00BE6525" w:rsidRPr="00275862">
        <w:t>8,7 % z</w:t>
      </w:r>
      <w:r w:rsidR="00143CE5" w:rsidRPr="00275862">
        <w:t> 6,3 %</w:t>
      </w:r>
      <w:r w:rsidR="00ED3DF1" w:rsidRPr="00275862">
        <w:rPr>
          <w:rStyle w:val="Znakapoznpodarou"/>
        </w:rPr>
        <w:footnoteReference w:id="1"/>
      </w:r>
      <w:r w:rsidR="00143CE5" w:rsidRPr="00275862">
        <w:t xml:space="preserve"> v roce 2005</w:t>
      </w:r>
      <w:r w:rsidR="00AB2ACC" w:rsidRPr="00275862">
        <w:t xml:space="preserve"> z celkového počtu domácností</w:t>
      </w:r>
      <w:r w:rsidR="00BE6525" w:rsidRPr="00275862">
        <w:t xml:space="preserve">. </w:t>
      </w:r>
      <w:r w:rsidR="00080118" w:rsidRPr="00275862">
        <w:t>Čím dál tím více dětí také v těchto svazcích</w:t>
      </w:r>
      <w:r w:rsidR="00143CE5" w:rsidRPr="00275862">
        <w:t xml:space="preserve"> </w:t>
      </w:r>
      <w:r w:rsidR="00AB2ACC" w:rsidRPr="00275862">
        <w:t xml:space="preserve">vyrůstá </w:t>
      </w:r>
      <w:r w:rsidR="00143CE5" w:rsidRPr="00275862">
        <w:t>a kompenzuje se tak pokles podílu dětí vyrůstajících v manželství</w:t>
      </w:r>
      <w:r w:rsidR="00080118" w:rsidRPr="00275862">
        <w:t>. Zatím co v roce 2005 s </w:t>
      </w:r>
      <w:r w:rsidR="00E256DE">
        <w:t>nesezdanými</w:t>
      </w:r>
      <w:r w:rsidR="00080118" w:rsidRPr="00275862">
        <w:t xml:space="preserve"> rodiči vyrůstalo </w:t>
      </w:r>
      <w:r w:rsidR="00ED3DF1" w:rsidRPr="00275862">
        <w:t>5,7 % dětí do 18 </w:t>
      </w:r>
      <w:r w:rsidR="00080118" w:rsidRPr="00275862">
        <w:t>let, v roce 2012 to bylo již 14,7 %, tedy 2,6 krát více</w:t>
      </w:r>
      <w:r w:rsidR="00080118" w:rsidRPr="00275862">
        <w:rPr>
          <w:vertAlign w:val="superscript"/>
        </w:rPr>
        <w:t>1</w:t>
      </w:r>
      <w:r w:rsidR="00080118" w:rsidRPr="00275862">
        <w:t>. Otázkou je zda spolu s</w:t>
      </w:r>
      <w:r w:rsidR="00ED3DF1" w:rsidRPr="00275862">
        <w:t>e</w:t>
      </w:r>
      <w:r w:rsidR="00080118" w:rsidRPr="00275862">
        <w:t> </w:t>
      </w:r>
      <w:r w:rsidR="00ED3DF1" w:rsidRPr="00275862">
        <w:t xml:space="preserve">změnami rodinného chování </w:t>
      </w:r>
      <w:r w:rsidR="00AB2ACC" w:rsidRPr="00275862">
        <w:t xml:space="preserve">se </w:t>
      </w:r>
      <w:r w:rsidR="00080118" w:rsidRPr="00275862">
        <w:t>mění i to, jakého partnera si vybíráme.</w:t>
      </w:r>
    </w:p>
    <w:p w:rsidR="00AC4FF2" w:rsidRPr="00275862" w:rsidRDefault="00AC4FF2" w:rsidP="006666D5">
      <w:pPr>
        <w:spacing w:line="276" w:lineRule="auto"/>
      </w:pPr>
    </w:p>
    <w:p w:rsidR="00AC4FF2" w:rsidRPr="00275862" w:rsidRDefault="00AC4FF2" w:rsidP="006666D5">
      <w:pPr>
        <w:spacing w:line="276" w:lineRule="auto"/>
      </w:pPr>
      <w:r w:rsidRPr="00275862">
        <w:t xml:space="preserve">Cílem </w:t>
      </w:r>
      <w:r w:rsidR="00600F44">
        <w:t>práce</w:t>
      </w:r>
      <w:r w:rsidRPr="00275862">
        <w:t xml:space="preserve"> je </w:t>
      </w:r>
      <w:r w:rsidR="00BE6525" w:rsidRPr="00275862">
        <w:t xml:space="preserve">analyzovat vývoj vzdělanostní a věkové homogamie snoubenců při sňatku a zjistit, zda věkový rozdíl snoubenců může mít vliv na stabilitu manželství. Dále se pak studie zabývá </w:t>
      </w:r>
      <w:r w:rsidRPr="00275862">
        <w:t>mír</w:t>
      </w:r>
      <w:r w:rsidR="00BE6525" w:rsidRPr="00275862">
        <w:t>o</w:t>
      </w:r>
      <w:r w:rsidRPr="00275862">
        <w:t>u homogamie manželských a nesezdaných párů, tedy zda si jsou partneři v základních socio-demografických charakteristikách mezi sezdanými páry podobní více, nebo méně než ti, kteří žijí v nesezdaném soužití.</w:t>
      </w:r>
    </w:p>
    <w:p w:rsidR="00421EA1" w:rsidRPr="00275862" w:rsidRDefault="00421EA1" w:rsidP="006666D5">
      <w:pPr>
        <w:tabs>
          <w:tab w:val="right" w:pos="9781"/>
        </w:tabs>
      </w:pPr>
    </w:p>
    <w:p w:rsidR="00080118" w:rsidRPr="00275862" w:rsidRDefault="00080118" w:rsidP="006666D5">
      <w:pPr>
        <w:spacing w:line="276" w:lineRule="auto"/>
      </w:pPr>
    </w:p>
    <w:p w:rsidR="00421EA1" w:rsidRPr="00275862" w:rsidRDefault="00421EA1" w:rsidP="006666D5">
      <w:pPr>
        <w:tabs>
          <w:tab w:val="right" w:pos="9781"/>
        </w:tabs>
        <w:ind w:firstLine="708"/>
      </w:pPr>
    </w:p>
    <w:p w:rsidR="00421EA1" w:rsidRPr="00275862" w:rsidRDefault="00421EA1" w:rsidP="006666D5">
      <w:pPr>
        <w:tabs>
          <w:tab w:val="right" w:pos="9781"/>
        </w:tabs>
        <w:ind w:firstLine="708"/>
      </w:pPr>
      <w:r w:rsidRPr="00275862">
        <w:t xml:space="preserve">     </w:t>
      </w:r>
    </w:p>
    <w:p w:rsidR="00D33813" w:rsidRPr="00275862" w:rsidRDefault="00421EA1" w:rsidP="006666D5">
      <w:pPr>
        <w:pStyle w:val="Nadpis1"/>
        <w:numPr>
          <w:ilvl w:val="0"/>
          <w:numId w:val="0"/>
        </w:numPr>
        <w:tabs>
          <w:tab w:val="right" w:pos="9781"/>
        </w:tabs>
        <w:rPr>
          <w:rFonts w:cs="Arial"/>
          <w:sz w:val="8"/>
          <w:szCs w:val="8"/>
        </w:rPr>
      </w:pPr>
      <w:r w:rsidRPr="00275862">
        <w:br w:type="page"/>
      </w:r>
      <w:bookmarkEnd w:id="1"/>
    </w:p>
    <w:tbl>
      <w:tblPr>
        <w:tblW w:w="5744" w:type="pct"/>
        <w:tblLayout w:type="fixed"/>
        <w:tblCellMar>
          <w:left w:w="28" w:type="dxa"/>
          <w:right w:w="28" w:type="dxa"/>
        </w:tblCellMar>
        <w:tblLook w:val="04A0"/>
      </w:tblPr>
      <w:tblGrid>
        <w:gridCol w:w="76"/>
        <w:gridCol w:w="9590"/>
        <w:gridCol w:w="1470"/>
      </w:tblGrid>
      <w:tr w:rsidR="00415A39" w:rsidRPr="00275862" w:rsidTr="003F1B16">
        <w:tc>
          <w:tcPr>
            <w:tcW w:w="34" w:type="pct"/>
          </w:tcPr>
          <w:p w:rsidR="00415A39" w:rsidRPr="00275862" w:rsidRDefault="00415A39" w:rsidP="003F1B16">
            <w:pPr>
              <w:tabs>
                <w:tab w:val="right" w:pos="9781"/>
              </w:tabs>
              <w:jc w:val="left"/>
              <w:rPr>
                <w:sz w:val="16"/>
                <w:szCs w:val="16"/>
              </w:rPr>
            </w:pPr>
            <w:bookmarkStart w:id="2" w:name="_Toc353430678"/>
            <w:bookmarkStart w:id="3" w:name="_Toc353896480"/>
          </w:p>
        </w:tc>
        <w:tc>
          <w:tcPr>
            <w:tcW w:w="4306" w:type="pct"/>
          </w:tcPr>
          <w:p w:rsidR="00415A39" w:rsidRPr="00275862" w:rsidRDefault="00415A39" w:rsidP="003F1B16">
            <w:pPr>
              <w:pStyle w:val="Nadpis1"/>
              <w:numPr>
                <w:ilvl w:val="0"/>
                <w:numId w:val="0"/>
              </w:numPr>
              <w:tabs>
                <w:tab w:val="right" w:pos="9781"/>
              </w:tabs>
            </w:pPr>
            <w:bookmarkStart w:id="4" w:name="_Toc384640697"/>
            <w:r>
              <w:t>S</w:t>
            </w:r>
            <w:r w:rsidRPr="00275862">
              <w:t>hrnutí</w:t>
            </w:r>
            <w:bookmarkEnd w:id="4"/>
          </w:p>
          <w:p w:rsidR="00415A39" w:rsidRPr="00275862" w:rsidRDefault="00415A39" w:rsidP="003F1B16">
            <w:pPr>
              <w:tabs>
                <w:tab w:val="right" w:pos="9781"/>
              </w:tabs>
              <w:ind w:left="720"/>
              <w:rPr>
                <w:rFonts w:cs="Arial"/>
              </w:rPr>
            </w:pPr>
          </w:p>
          <w:p w:rsidR="00415A39" w:rsidRPr="00275862" w:rsidRDefault="00415A39" w:rsidP="003F1B16">
            <w:pPr>
              <w:pStyle w:val="Textpoznpodarou"/>
              <w:numPr>
                <w:ilvl w:val="0"/>
                <w:numId w:val="6"/>
              </w:numPr>
              <w:tabs>
                <w:tab w:val="right" w:pos="9781"/>
              </w:tabs>
              <w:ind w:left="426" w:right="-28" w:hanging="284"/>
              <w:jc w:val="both"/>
            </w:pPr>
            <w:r w:rsidRPr="00275862">
              <w:t>Postupem času čím dál tím více lidí, zejména žen, dosahuje vyššího vzdělání, a zvláště vysokoškolského. Také dochází k odkládání vstupu do manželství do vyššího věku. Oba tyto faktory pak ovlivňují míru podobnosti snoubenců z hlediska vzdělání a věku.</w:t>
            </w:r>
          </w:p>
          <w:p w:rsidR="00415A39" w:rsidRPr="00275862" w:rsidRDefault="00415A39" w:rsidP="003F1B16">
            <w:pPr>
              <w:pStyle w:val="Textpoznpodarou"/>
              <w:tabs>
                <w:tab w:val="right" w:pos="9781"/>
              </w:tabs>
              <w:ind w:right="-28"/>
              <w:jc w:val="both"/>
              <w:rPr>
                <w:sz w:val="8"/>
                <w:szCs w:val="8"/>
              </w:rPr>
            </w:pPr>
          </w:p>
          <w:p w:rsidR="00415A39" w:rsidRPr="00275862" w:rsidRDefault="00415A39" w:rsidP="003F1B16">
            <w:pPr>
              <w:numPr>
                <w:ilvl w:val="0"/>
                <w:numId w:val="6"/>
              </w:numPr>
              <w:tabs>
                <w:tab w:val="right" w:pos="9781"/>
              </w:tabs>
              <w:ind w:left="426" w:right="-28" w:hanging="284"/>
            </w:pPr>
            <w:r w:rsidRPr="00275862">
              <w:t>Z hlediska podobnosti vzdělání je vývoj téměř neměnný – stabilně více jak polovinu sňatků uzavírají snoubenci se stejným vzděláním. Ke změně pak dochází u rozložení sňatků, kde jeden ze snoubenců má vyšší vzdělání. Zatím co na přelomu 70. a 80. let minulého století bylo častější, že ženich měl vyšší vzdělání než nevěsta, od konce 90. let je již častější, že vyšší vzdělání má naopak žena. To je způsobeno rychlejším nárůstem podílů vysokoškolsky vzdělaných u žen v porovnání s muži.</w:t>
            </w:r>
          </w:p>
          <w:p w:rsidR="00415A39" w:rsidRPr="00275862" w:rsidRDefault="00415A39" w:rsidP="003F1B16">
            <w:pPr>
              <w:pStyle w:val="Textpoznpodarou"/>
              <w:tabs>
                <w:tab w:val="right" w:pos="9781"/>
              </w:tabs>
              <w:ind w:right="-28"/>
              <w:jc w:val="both"/>
              <w:rPr>
                <w:sz w:val="8"/>
                <w:szCs w:val="8"/>
              </w:rPr>
            </w:pPr>
          </w:p>
          <w:p w:rsidR="00415A39" w:rsidRPr="00275862" w:rsidRDefault="00415A39" w:rsidP="003F1B16">
            <w:pPr>
              <w:pStyle w:val="Textpoznpodarou"/>
              <w:numPr>
                <w:ilvl w:val="0"/>
                <w:numId w:val="6"/>
              </w:numPr>
              <w:tabs>
                <w:tab w:val="right" w:pos="9781"/>
              </w:tabs>
              <w:ind w:left="426" w:right="-28" w:hanging="284"/>
              <w:jc w:val="both"/>
            </w:pPr>
            <w:r w:rsidRPr="00275862">
              <w:t>Z hlediska věku jsou stabilně nejčastější sňatky, kde muž je starší, kterých je více jak polovina. Postupně však narůstá zastoupení, v minulosti spíše neobvyklých svazků s mladším mužem. Zároveň také roste podíl sňatků snoubenců, kteří mezi sebou mají výrazný věkový rozdíl (10 a více let). Otázkou je do jaké míry tyto změny budou mít vliv na rozvodovost, protože právě takové svazky vykazují nižší míru stability a větší část se jich rozvede v porovnání s těmi, kde jsou snoubenci stejně staří.</w:t>
            </w:r>
          </w:p>
          <w:p w:rsidR="00415A39" w:rsidRPr="00275862" w:rsidRDefault="00415A39" w:rsidP="003F1B16">
            <w:pPr>
              <w:pStyle w:val="Textpoznpodarou"/>
              <w:tabs>
                <w:tab w:val="right" w:pos="9563"/>
              </w:tabs>
              <w:ind w:right="-28"/>
              <w:jc w:val="both"/>
              <w:rPr>
                <w:sz w:val="8"/>
                <w:szCs w:val="8"/>
              </w:rPr>
            </w:pPr>
          </w:p>
          <w:p w:rsidR="00415A39" w:rsidRPr="00275862" w:rsidRDefault="00415A39" w:rsidP="003F1B16">
            <w:pPr>
              <w:pStyle w:val="Textpoznpodarou"/>
              <w:numPr>
                <w:ilvl w:val="0"/>
                <w:numId w:val="6"/>
              </w:numPr>
              <w:tabs>
                <w:tab w:val="right" w:pos="9563"/>
              </w:tabs>
              <w:ind w:left="426" w:right="-28" w:hanging="284"/>
              <w:jc w:val="both"/>
            </w:pPr>
            <w:r w:rsidRPr="00275862">
              <w:t xml:space="preserve">Překvapivě se podobnost sezdaných a nesezdaných svazků z hlediska zkoumaných socio-demografických charakteristik nijak dramaticky nelišila. Vždy ale platilo, že partneři žijící v nesezdaných soužití si byli o trochu méně podobní než manželé.   </w:t>
            </w:r>
          </w:p>
          <w:p w:rsidR="00415A39" w:rsidRPr="00275862" w:rsidRDefault="00415A39" w:rsidP="003F1B16">
            <w:pPr>
              <w:tabs>
                <w:tab w:val="right" w:pos="9781"/>
              </w:tabs>
              <w:ind w:right="-28"/>
              <w:rPr>
                <w:sz w:val="8"/>
                <w:szCs w:val="8"/>
              </w:rPr>
            </w:pPr>
          </w:p>
          <w:p w:rsidR="00415A39" w:rsidRPr="00275862" w:rsidRDefault="00415A39" w:rsidP="003F1B16">
            <w:pPr>
              <w:numPr>
                <w:ilvl w:val="0"/>
                <w:numId w:val="6"/>
              </w:numPr>
              <w:tabs>
                <w:tab w:val="right" w:pos="9781"/>
              </w:tabs>
              <w:ind w:left="426" w:right="-28" w:hanging="284"/>
            </w:pPr>
            <w:r w:rsidRPr="00275862">
              <w:t>U nesezdaných soužití pak byly častěji zastoupeny v minulosti spíše neobvyklé páry tj. páry s mladším mužem a vzdělanější ženou. Častěji se u kohabitujích objevovala kombinace žena vysokoškolačka a</w:t>
            </w:r>
            <w:r>
              <w:t> </w:t>
            </w:r>
            <w:r w:rsidRPr="00275862">
              <w:t>muž se základním vzděláním, opačná kombinace, kdy muž měl vyšší vzdělání o 3 stupně, se pak naopak častěji vyskytovala u manželských párů, ale tyto kombinace jsou stále velmi málo početné. Největší rozdíly v míře vzdělanostní podobnosti páru mezi partnery žijícími v nesezdaném soužití a v manželství se vyskytovaly u žen s vysokoškolským vzděláním a u mužů se základním vzděláním. Lidé v obou těchto skupinách výrazně častěji v manželství žili s partnerem/kou se stejným vzděláním, než ti v nesezdaných soužitích.</w:t>
            </w:r>
          </w:p>
          <w:p w:rsidR="00415A39" w:rsidRPr="00275862" w:rsidRDefault="00415A39" w:rsidP="003F1B16">
            <w:pPr>
              <w:pStyle w:val="Odstavecseseznamem"/>
              <w:tabs>
                <w:tab w:val="right" w:pos="9781"/>
              </w:tabs>
              <w:ind w:left="0" w:right="-28"/>
              <w:rPr>
                <w:sz w:val="8"/>
                <w:szCs w:val="8"/>
              </w:rPr>
            </w:pPr>
          </w:p>
          <w:p w:rsidR="00415A39" w:rsidRPr="00275862" w:rsidRDefault="00415A39" w:rsidP="003F1B16">
            <w:pPr>
              <w:numPr>
                <w:ilvl w:val="0"/>
                <w:numId w:val="6"/>
              </w:numPr>
              <w:tabs>
                <w:tab w:val="right" w:pos="9781"/>
              </w:tabs>
              <w:ind w:left="426" w:right="-28" w:hanging="284"/>
            </w:pPr>
            <w:r w:rsidRPr="00275862">
              <w:t>U nesezdaných párů se také častěji vyskytovaly výraznější věkové rozdíly a to jak u těch, kde byl muž mladší, ale i tam kde byl starší. Tato odlišnost se ale týká hlavně kohabitací, ve kterých alespoň jeden z partnerů již měl zkušenost s manželstvím. U nesezdaných soužití, ve kterých oba partneři byli svobodní, se struktura podle velikosti věkového rozdílu mnohem více podobala manželským párům.</w:t>
            </w:r>
          </w:p>
          <w:p w:rsidR="00415A39" w:rsidRPr="00275862" w:rsidRDefault="00415A39" w:rsidP="003F1B16">
            <w:pPr>
              <w:pStyle w:val="Odstavecseseznamem"/>
              <w:tabs>
                <w:tab w:val="right" w:pos="9781"/>
              </w:tabs>
              <w:ind w:left="0" w:right="-28"/>
              <w:rPr>
                <w:sz w:val="8"/>
                <w:szCs w:val="8"/>
              </w:rPr>
            </w:pPr>
          </w:p>
          <w:p w:rsidR="00415A39" w:rsidRPr="00275862" w:rsidRDefault="00415A39" w:rsidP="003F1B16">
            <w:pPr>
              <w:pStyle w:val="Textpoznpodarou"/>
              <w:numPr>
                <w:ilvl w:val="0"/>
                <w:numId w:val="6"/>
              </w:numPr>
              <w:tabs>
                <w:tab w:val="right" w:pos="9781"/>
              </w:tabs>
              <w:ind w:left="426" w:right="-28" w:hanging="284"/>
              <w:jc w:val="both"/>
            </w:pPr>
            <w:r w:rsidRPr="00275862">
              <w:t>Z hlediska náboženské víry se výrazné rozdíly mezi sezdaným</w:t>
            </w:r>
            <w:r>
              <w:t>i a nesezdanými svazky projevily</w:t>
            </w:r>
            <w:r w:rsidRPr="00275862">
              <w:t xml:space="preserve"> u lidí, kteří se přihlásili k některé z křesťanských církví. Muži i ženy hlásící se ke křesťanským církvím, kteří žili v nesezdaném soužití, měli výrazně méně často partnera, který se hlásil ke stejné církvi, než tomu bylo u těch žijících v manželství. Vzhledem k tomu, že nesezdaná soužití jsou u lidí hlásicích se ke křesťanským církvím méně obvyklá (podíl je zhruba poloviční oproti celkové populaci), dá se předpokládat, že pokud jsou oba partneři věřící, spíše uzavřou sňatek bez předchozího společného soužití.</w:t>
            </w:r>
          </w:p>
          <w:p w:rsidR="00415A39" w:rsidRPr="00275862" w:rsidRDefault="00415A39" w:rsidP="003F1B16">
            <w:pPr>
              <w:pStyle w:val="Textpoznpodarou"/>
              <w:tabs>
                <w:tab w:val="right" w:pos="9781"/>
              </w:tabs>
              <w:jc w:val="both"/>
            </w:pPr>
          </w:p>
          <w:p w:rsidR="00415A39" w:rsidRPr="00275862" w:rsidRDefault="00415A39" w:rsidP="003F1B16">
            <w:pPr>
              <w:pStyle w:val="Textpoznpodarou"/>
              <w:tabs>
                <w:tab w:val="right" w:pos="9781"/>
              </w:tabs>
              <w:jc w:val="both"/>
            </w:pPr>
          </w:p>
          <w:p w:rsidR="00415A39" w:rsidRPr="00275862" w:rsidRDefault="00415A39" w:rsidP="003F1B16">
            <w:pPr>
              <w:pStyle w:val="Textpoznpodarou"/>
              <w:tabs>
                <w:tab w:val="right" w:pos="9781"/>
              </w:tabs>
              <w:jc w:val="both"/>
            </w:pPr>
          </w:p>
          <w:p w:rsidR="00415A39" w:rsidRPr="00275862" w:rsidRDefault="00415A39" w:rsidP="003F1B16">
            <w:pPr>
              <w:pStyle w:val="Textpoznpodarou"/>
              <w:tabs>
                <w:tab w:val="right" w:pos="9781"/>
              </w:tabs>
              <w:jc w:val="both"/>
            </w:pPr>
          </w:p>
        </w:tc>
        <w:tc>
          <w:tcPr>
            <w:tcW w:w="660" w:type="pct"/>
          </w:tcPr>
          <w:p w:rsidR="00415A39" w:rsidRPr="00275862" w:rsidRDefault="00415A39" w:rsidP="003F1B16">
            <w:pPr>
              <w:pStyle w:val="Textpoznpodarou"/>
              <w:tabs>
                <w:tab w:val="right" w:pos="9781"/>
              </w:tabs>
              <w:jc w:val="both"/>
            </w:pPr>
          </w:p>
        </w:tc>
      </w:tr>
    </w:tbl>
    <w:p w:rsidR="00415A39" w:rsidRDefault="00415A39">
      <w:pPr>
        <w:spacing w:after="200" w:line="276" w:lineRule="auto"/>
        <w:jc w:val="left"/>
        <w:rPr>
          <w:b/>
          <w:bCs/>
          <w:sz w:val="28"/>
          <w:szCs w:val="28"/>
        </w:rPr>
      </w:pPr>
      <w:r>
        <w:br w:type="page"/>
      </w:r>
    </w:p>
    <w:p w:rsidR="00421EA1" w:rsidRPr="00275862" w:rsidRDefault="00AC4FF2" w:rsidP="006666D5">
      <w:pPr>
        <w:pStyle w:val="Nadpis1"/>
        <w:numPr>
          <w:ilvl w:val="0"/>
          <w:numId w:val="0"/>
        </w:numPr>
        <w:tabs>
          <w:tab w:val="right" w:pos="9781"/>
        </w:tabs>
        <w:ind w:left="431" w:hanging="431"/>
      </w:pPr>
      <w:bookmarkStart w:id="5" w:name="_Toc384640698"/>
      <w:r w:rsidRPr="00275862">
        <w:lastRenderedPageBreak/>
        <w:t>Da</w:t>
      </w:r>
      <w:r w:rsidR="00421EA1" w:rsidRPr="00275862">
        <w:t>ta a metodika</w:t>
      </w:r>
      <w:bookmarkEnd w:id="5"/>
    </w:p>
    <w:tbl>
      <w:tblPr>
        <w:tblW w:w="5744" w:type="pct"/>
        <w:tblLayout w:type="fixed"/>
        <w:tblCellMar>
          <w:left w:w="28" w:type="dxa"/>
          <w:right w:w="28" w:type="dxa"/>
        </w:tblCellMar>
        <w:tblLook w:val="04A0"/>
      </w:tblPr>
      <w:tblGrid>
        <w:gridCol w:w="76"/>
        <w:gridCol w:w="9590"/>
        <w:gridCol w:w="1470"/>
      </w:tblGrid>
      <w:tr w:rsidR="00421EA1" w:rsidRPr="00275862" w:rsidTr="00EB6C71">
        <w:tc>
          <w:tcPr>
            <w:tcW w:w="34" w:type="pct"/>
          </w:tcPr>
          <w:p w:rsidR="00421EA1" w:rsidRPr="00275862" w:rsidRDefault="00421EA1" w:rsidP="006666D5">
            <w:pPr>
              <w:tabs>
                <w:tab w:val="right" w:pos="9781"/>
              </w:tabs>
              <w:jc w:val="left"/>
              <w:rPr>
                <w:sz w:val="16"/>
                <w:szCs w:val="16"/>
              </w:rPr>
            </w:pPr>
          </w:p>
        </w:tc>
        <w:tc>
          <w:tcPr>
            <w:tcW w:w="4306" w:type="pct"/>
          </w:tcPr>
          <w:p w:rsidR="00421EA1" w:rsidRPr="00275862" w:rsidRDefault="00421EA1" w:rsidP="006666D5">
            <w:pPr>
              <w:tabs>
                <w:tab w:val="right" w:pos="9781"/>
              </w:tabs>
              <w:spacing w:after="200"/>
            </w:pPr>
            <w:r w:rsidRPr="00275862">
              <w:t>K analýze vzdělanostní a věkové podobnosti snoubenců a stability manželství byly využity údaje o sňatcích a rozvodech z demografické statistiky za období 1993-2012. Srovnání věkové, vzdělanostní, národnostní a náboženské podobnosti partnerů žijících v manželství a v nesezdaných soužitích bylo vytvořeno na základě údajů ze Sčítání lidu, domů a bytů z roku 2011 za domácnosti tvořené jednou rodinou. Za nesezdané soužití je považováno soužití partnerů, kteří svůj vzájemný vztah ve sčítacím formuláři označili jako „druh, družka“ (v analýze je pak jako synonymum pro nesezdané soužit</w:t>
            </w:r>
            <w:r w:rsidR="000E0843" w:rsidRPr="00275862">
              <w:t>í</w:t>
            </w:r>
            <w:r w:rsidRPr="00275862">
              <w:t xml:space="preserve"> používáno i faktické manželství nebo kohabitace). Do analýzy nebyly zahrnuty domácnosti tvořené partnery stejného pohlaví.</w:t>
            </w:r>
          </w:p>
          <w:p w:rsidR="00421EA1" w:rsidRPr="00275862" w:rsidRDefault="00346971" w:rsidP="006666D5">
            <w:pPr>
              <w:tabs>
                <w:tab w:val="right" w:pos="9781"/>
              </w:tabs>
              <w:spacing w:after="200"/>
            </w:pPr>
            <w:r>
              <w:t xml:space="preserve">Za homogamní svazky jsou považovány svazky, ve kterých oba partneři mají stejné znaky, v případě této analýzy pokud mají stejné vzdělání, jsou stejně staří a přihlásili se ke stejnému náboženskému vyznání nebo národnosti. Heterogamní svazky jsou pak ty, kde partneři mají odlišné charakteristiky. </w:t>
            </w:r>
            <w:r w:rsidR="00421EA1" w:rsidRPr="00275862">
              <w:t>Za stejně staré snoubence a partnery jsou v analýze považováni snoubenci a partneři, jejichž věkový rozdíl je nula nebo jeden rok a tím pádem za páry se starším mužem nebo ženou ty, u kterých věkový rozdíl představoval minimálně dva roky.</w:t>
            </w:r>
          </w:p>
          <w:p w:rsidR="00421EA1" w:rsidRPr="00275862" w:rsidRDefault="00421EA1" w:rsidP="00EB6C71">
            <w:pPr>
              <w:tabs>
                <w:tab w:val="right" w:pos="9563"/>
              </w:tabs>
            </w:pPr>
            <w:r w:rsidRPr="00275862">
              <w:t>V analýze vzdělanostní podobnosti jsou používány 4 vzdělanostní kategorie – vzdělání základní, střední bez maturity, střední s maturitou a vysokoškolské. Při využívání údajů ze sčítání byly do kategorie základní přiřazeny i osoby bez vzdělání a s neukončeným základním vzděláním, do kategorie střední s maturitou i nástavbové studium včetně pomaturitního studia a ke všem stupňům vysokoškolského vzdělání bylo připojeno i vyšší odborné vzdělání. Při analýze vzdělanostní podobnosti v sezdaných a nesezdaných soužití z dat ze sčítání byly do analýzy zahrnuty jen osoby, které uvedly svojí současnou ekonomickou aktivitu, ale zároveň nestudovaly (včetně pracujících studentů), protože u studentů se dá očekávat, že jejich vzdělání ještě není ukončené. Do analýzy byly zařazeny jen sňatky a svazky, kde byl údaj o vzdělání uveden u obou snoubenců/partnerů.</w:t>
            </w:r>
          </w:p>
          <w:p w:rsidR="00D33813" w:rsidRPr="00275862" w:rsidRDefault="00D33813" w:rsidP="006666D5">
            <w:pPr>
              <w:tabs>
                <w:tab w:val="right" w:pos="9781"/>
              </w:tabs>
            </w:pPr>
          </w:p>
          <w:p w:rsidR="00421EA1" w:rsidRPr="00275862" w:rsidRDefault="00421EA1" w:rsidP="00EB6C71">
            <w:pPr>
              <w:tabs>
                <w:tab w:val="right" w:pos="9781"/>
              </w:tabs>
              <w:spacing w:before="200" w:after="60"/>
              <w:rPr>
                <w:b/>
              </w:rPr>
            </w:pPr>
            <w:r w:rsidRPr="00275862">
              <w:t xml:space="preserve">Tabulka č. 1 </w:t>
            </w:r>
            <w:r w:rsidRPr="00275862">
              <w:rPr>
                <w:b/>
              </w:rPr>
              <w:t>Vývoj počtu sňatků v České republice v období 1993-2012</w:t>
            </w:r>
          </w:p>
          <w:tbl>
            <w:tblPr>
              <w:tblW w:w="9625" w:type="dxa"/>
              <w:tblInd w:w="55" w:type="dxa"/>
              <w:tblLayout w:type="fixed"/>
              <w:tblCellMar>
                <w:left w:w="70" w:type="dxa"/>
                <w:right w:w="70" w:type="dxa"/>
              </w:tblCellMar>
              <w:tblLook w:val="04A0"/>
            </w:tblPr>
            <w:tblGrid>
              <w:gridCol w:w="1569"/>
              <w:gridCol w:w="845"/>
              <w:gridCol w:w="845"/>
              <w:gridCol w:w="846"/>
              <w:gridCol w:w="845"/>
              <w:gridCol w:w="845"/>
              <w:gridCol w:w="708"/>
              <w:gridCol w:w="709"/>
              <w:gridCol w:w="709"/>
              <w:gridCol w:w="709"/>
              <w:gridCol w:w="995"/>
            </w:tblGrid>
            <w:tr w:rsidR="00421EA1" w:rsidRPr="00275862" w:rsidTr="00AC4FF2">
              <w:trPr>
                <w:trHeight w:val="240"/>
              </w:trPr>
              <w:tc>
                <w:tcPr>
                  <w:tcW w:w="1569" w:type="dxa"/>
                  <w:tcBorders>
                    <w:top w:val="double" w:sz="6" w:space="0" w:color="auto"/>
                    <w:left w:val="nil"/>
                    <w:bottom w:val="single" w:sz="12" w:space="0" w:color="auto"/>
                    <w:right w:val="single" w:sz="4" w:space="0" w:color="auto"/>
                  </w:tcBorders>
                  <w:shd w:val="clear" w:color="auto" w:fill="auto"/>
                  <w:noWrap/>
                  <w:vAlign w:val="center"/>
                  <w:hideMark/>
                </w:tcPr>
                <w:p w:rsidR="00421EA1" w:rsidRPr="00275862" w:rsidRDefault="00421EA1" w:rsidP="006666D5">
                  <w:pPr>
                    <w:tabs>
                      <w:tab w:val="right" w:pos="9781"/>
                    </w:tabs>
                    <w:jc w:val="center"/>
                    <w:rPr>
                      <w:rFonts w:cs="Arial"/>
                      <w:b/>
                      <w:sz w:val="18"/>
                      <w:szCs w:val="18"/>
                    </w:rPr>
                  </w:pPr>
                </w:p>
              </w:tc>
              <w:tc>
                <w:tcPr>
                  <w:tcW w:w="845" w:type="dxa"/>
                  <w:tcBorders>
                    <w:top w:val="double" w:sz="6"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1993</w:t>
                  </w:r>
                </w:p>
              </w:tc>
              <w:tc>
                <w:tcPr>
                  <w:tcW w:w="845" w:type="dxa"/>
                  <w:tcBorders>
                    <w:top w:val="double" w:sz="6"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1994</w:t>
                  </w:r>
                </w:p>
              </w:tc>
              <w:tc>
                <w:tcPr>
                  <w:tcW w:w="846" w:type="dxa"/>
                  <w:tcBorders>
                    <w:top w:val="double" w:sz="6"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1995</w:t>
                  </w:r>
                </w:p>
              </w:tc>
              <w:tc>
                <w:tcPr>
                  <w:tcW w:w="845" w:type="dxa"/>
                  <w:tcBorders>
                    <w:top w:val="double" w:sz="6"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1996</w:t>
                  </w:r>
                </w:p>
              </w:tc>
              <w:tc>
                <w:tcPr>
                  <w:tcW w:w="845" w:type="dxa"/>
                  <w:tcBorders>
                    <w:top w:val="double" w:sz="6"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1997</w:t>
                  </w:r>
                </w:p>
              </w:tc>
              <w:tc>
                <w:tcPr>
                  <w:tcW w:w="708" w:type="dxa"/>
                  <w:tcBorders>
                    <w:top w:val="double" w:sz="6"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1998</w:t>
                  </w:r>
                </w:p>
              </w:tc>
              <w:tc>
                <w:tcPr>
                  <w:tcW w:w="709" w:type="dxa"/>
                  <w:tcBorders>
                    <w:top w:val="double" w:sz="6"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1999</w:t>
                  </w:r>
                </w:p>
              </w:tc>
              <w:tc>
                <w:tcPr>
                  <w:tcW w:w="709" w:type="dxa"/>
                  <w:tcBorders>
                    <w:top w:val="double" w:sz="6"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2000</w:t>
                  </w:r>
                </w:p>
              </w:tc>
              <w:tc>
                <w:tcPr>
                  <w:tcW w:w="709" w:type="dxa"/>
                  <w:tcBorders>
                    <w:top w:val="double" w:sz="6"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2001</w:t>
                  </w:r>
                </w:p>
              </w:tc>
              <w:tc>
                <w:tcPr>
                  <w:tcW w:w="995" w:type="dxa"/>
                  <w:tcBorders>
                    <w:top w:val="double" w:sz="6"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2002</w:t>
                  </w:r>
                </w:p>
              </w:tc>
            </w:tr>
            <w:tr w:rsidR="00421EA1" w:rsidRPr="00275862" w:rsidTr="00AC4FF2">
              <w:trPr>
                <w:trHeight w:val="240"/>
              </w:trPr>
              <w:tc>
                <w:tcPr>
                  <w:tcW w:w="1569" w:type="dxa"/>
                  <w:tcBorders>
                    <w:top w:val="single" w:sz="12" w:space="0" w:color="auto"/>
                    <w:left w:val="nil"/>
                    <w:bottom w:val="double" w:sz="4" w:space="0" w:color="auto"/>
                    <w:right w:val="single" w:sz="4" w:space="0" w:color="auto"/>
                  </w:tcBorders>
                  <w:shd w:val="clear" w:color="auto" w:fill="auto"/>
                  <w:noWrap/>
                  <w:vAlign w:val="center"/>
                  <w:hideMark/>
                </w:tcPr>
                <w:p w:rsidR="00421EA1" w:rsidRPr="00275862" w:rsidRDefault="00421EA1" w:rsidP="006666D5">
                  <w:pPr>
                    <w:tabs>
                      <w:tab w:val="right" w:pos="9781"/>
                    </w:tabs>
                    <w:rPr>
                      <w:rFonts w:cs="Arial"/>
                      <w:sz w:val="18"/>
                      <w:szCs w:val="18"/>
                    </w:rPr>
                  </w:pPr>
                  <w:r w:rsidRPr="00275862">
                    <w:rPr>
                      <w:rFonts w:cs="Arial"/>
                      <w:sz w:val="18"/>
                      <w:szCs w:val="18"/>
                    </w:rPr>
                    <w:t>celkem sňatků</w:t>
                  </w:r>
                </w:p>
              </w:tc>
              <w:tc>
                <w:tcPr>
                  <w:tcW w:w="845" w:type="dxa"/>
                  <w:tcBorders>
                    <w:top w:val="single" w:sz="12" w:space="0" w:color="auto"/>
                    <w:left w:val="nil"/>
                    <w:bottom w:val="double" w:sz="4" w:space="0" w:color="auto"/>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66 033</w:t>
                  </w:r>
                </w:p>
              </w:tc>
              <w:tc>
                <w:tcPr>
                  <w:tcW w:w="845" w:type="dxa"/>
                  <w:tcBorders>
                    <w:top w:val="single" w:sz="12" w:space="0" w:color="auto"/>
                    <w:left w:val="nil"/>
                    <w:bottom w:val="double" w:sz="4" w:space="0" w:color="auto"/>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58 440</w:t>
                  </w:r>
                </w:p>
              </w:tc>
              <w:tc>
                <w:tcPr>
                  <w:tcW w:w="846" w:type="dxa"/>
                  <w:tcBorders>
                    <w:top w:val="single" w:sz="12" w:space="0" w:color="auto"/>
                    <w:left w:val="nil"/>
                    <w:bottom w:val="double" w:sz="4" w:space="0" w:color="auto"/>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54 956</w:t>
                  </w:r>
                </w:p>
              </w:tc>
              <w:tc>
                <w:tcPr>
                  <w:tcW w:w="845" w:type="dxa"/>
                  <w:tcBorders>
                    <w:top w:val="single" w:sz="12" w:space="0" w:color="auto"/>
                    <w:left w:val="nil"/>
                    <w:bottom w:val="double" w:sz="4" w:space="0" w:color="auto"/>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53 896</w:t>
                  </w:r>
                </w:p>
              </w:tc>
              <w:tc>
                <w:tcPr>
                  <w:tcW w:w="845" w:type="dxa"/>
                  <w:tcBorders>
                    <w:top w:val="single" w:sz="12" w:space="0" w:color="auto"/>
                    <w:left w:val="nil"/>
                    <w:bottom w:val="double" w:sz="4" w:space="0" w:color="auto"/>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57 804</w:t>
                  </w:r>
                </w:p>
              </w:tc>
              <w:tc>
                <w:tcPr>
                  <w:tcW w:w="708" w:type="dxa"/>
                  <w:tcBorders>
                    <w:top w:val="single" w:sz="12" w:space="0" w:color="auto"/>
                    <w:left w:val="nil"/>
                    <w:bottom w:val="double" w:sz="4" w:space="0" w:color="auto"/>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55 027</w:t>
                  </w:r>
                </w:p>
              </w:tc>
              <w:tc>
                <w:tcPr>
                  <w:tcW w:w="709" w:type="dxa"/>
                  <w:tcBorders>
                    <w:top w:val="single" w:sz="12" w:space="0" w:color="auto"/>
                    <w:left w:val="nil"/>
                    <w:bottom w:val="double" w:sz="4" w:space="0" w:color="auto"/>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53 523</w:t>
                  </w:r>
                </w:p>
              </w:tc>
              <w:tc>
                <w:tcPr>
                  <w:tcW w:w="709" w:type="dxa"/>
                  <w:tcBorders>
                    <w:top w:val="single" w:sz="12" w:space="0" w:color="auto"/>
                    <w:left w:val="nil"/>
                    <w:bottom w:val="double" w:sz="4" w:space="0" w:color="auto"/>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55 321</w:t>
                  </w:r>
                </w:p>
              </w:tc>
              <w:tc>
                <w:tcPr>
                  <w:tcW w:w="709" w:type="dxa"/>
                  <w:tcBorders>
                    <w:top w:val="single" w:sz="12" w:space="0" w:color="auto"/>
                    <w:left w:val="nil"/>
                    <w:bottom w:val="double" w:sz="4" w:space="0" w:color="auto"/>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52 374</w:t>
                  </w:r>
                </w:p>
              </w:tc>
              <w:tc>
                <w:tcPr>
                  <w:tcW w:w="995" w:type="dxa"/>
                  <w:tcBorders>
                    <w:top w:val="single" w:sz="12" w:space="0" w:color="auto"/>
                    <w:left w:val="nil"/>
                    <w:bottom w:val="double" w:sz="4" w:space="0" w:color="auto"/>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52 732</w:t>
                  </w:r>
                </w:p>
              </w:tc>
            </w:tr>
            <w:tr w:rsidR="00421EA1" w:rsidRPr="00275862" w:rsidTr="00AC4FF2">
              <w:trPr>
                <w:trHeight w:val="240"/>
              </w:trPr>
              <w:tc>
                <w:tcPr>
                  <w:tcW w:w="1569" w:type="dxa"/>
                  <w:tcBorders>
                    <w:top w:val="double" w:sz="4" w:space="0" w:color="auto"/>
                    <w:left w:val="nil"/>
                    <w:bottom w:val="single" w:sz="12" w:space="0" w:color="auto"/>
                    <w:right w:val="single" w:sz="4" w:space="0" w:color="auto"/>
                  </w:tcBorders>
                  <w:shd w:val="clear" w:color="auto" w:fill="auto"/>
                  <w:noWrap/>
                  <w:vAlign w:val="center"/>
                  <w:hideMark/>
                </w:tcPr>
                <w:p w:rsidR="00421EA1" w:rsidRPr="00275862" w:rsidRDefault="00421EA1" w:rsidP="006666D5">
                  <w:pPr>
                    <w:tabs>
                      <w:tab w:val="right" w:pos="9781"/>
                    </w:tabs>
                    <w:jc w:val="center"/>
                    <w:rPr>
                      <w:rFonts w:cs="Arial"/>
                      <w:b/>
                      <w:sz w:val="18"/>
                      <w:szCs w:val="18"/>
                    </w:rPr>
                  </w:pPr>
                </w:p>
              </w:tc>
              <w:tc>
                <w:tcPr>
                  <w:tcW w:w="845" w:type="dxa"/>
                  <w:tcBorders>
                    <w:top w:val="double" w:sz="4"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2003</w:t>
                  </w:r>
                </w:p>
              </w:tc>
              <w:tc>
                <w:tcPr>
                  <w:tcW w:w="845" w:type="dxa"/>
                  <w:tcBorders>
                    <w:top w:val="double" w:sz="4"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2004</w:t>
                  </w:r>
                </w:p>
              </w:tc>
              <w:tc>
                <w:tcPr>
                  <w:tcW w:w="846" w:type="dxa"/>
                  <w:tcBorders>
                    <w:top w:val="double" w:sz="4"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2005</w:t>
                  </w:r>
                </w:p>
              </w:tc>
              <w:tc>
                <w:tcPr>
                  <w:tcW w:w="845" w:type="dxa"/>
                  <w:tcBorders>
                    <w:top w:val="double" w:sz="4"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2006</w:t>
                  </w:r>
                </w:p>
              </w:tc>
              <w:tc>
                <w:tcPr>
                  <w:tcW w:w="845" w:type="dxa"/>
                  <w:tcBorders>
                    <w:top w:val="double" w:sz="4"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2007</w:t>
                  </w:r>
                </w:p>
              </w:tc>
              <w:tc>
                <w:tcPr>
                  <w:tcW w:w="708" w:type="dxa"/>
                  <w:tcBorders>
                    <w:top w:val="double" w:sz="4"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2008</w:t>
                  </w:r>
                </w:p>
              </w:tc>
              <w:tc>
                <w:tcPr>
                  <w:tcW w:w="709" w:type="dxa"/>
                  <w:tcBorders>
                    <w:top w:val="double" w:sz="4"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2009</w:t>
                  </w:r>
                </w:p>
              </w:tc>
              <w:tc>
                <w:tcPr>
                  <w:tcW w:w="709" w:type="dxa"/>
                  <w:tcBorders>
                    <w:top w:val="double" w:sz="4"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2010</w:t>
                  </w:r>
                </w:p>
              </w:tc>
              <w:tc>
                <w:tcPr>
                  <w:tcW w:w="709" w:type="dxa"/>
                  <w:tcBorders>
                    <w:top w:val="double" w:sz="4"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2011</w:t>
                  </w:r>
                </w:p>
              </w:tc>
              <w:tc>
                <w:tcPr>
                  <w:tcW w:w="995" w:type="dxa"/>
                  <w:tcBorders>
                    <w:top w:val="double" w:sz="4" w:space="0" w:color="auto"/>
                    <w:left w:val="nil"/>
                    <w:bottom w:val="single" w:sz="12" w:space="0" w:color="auto"/>
                    <w:right w:val="nil"/>
                  </w:tcBorders>
                  <w:shd w:val="clear" w:color="auto" w:fill="auto"/>
                  <w:noWrap/>
                  <w:vAlign w:val="center"/>
                  <w:hideMark/>
                </w:tcPr>
                <w:p w:rsidR="00421EA1" w:rsidRPr="00275862" w:rsidRDefault="00421EA1" w:rsidP="006666D5">
                  <w:pPr>
                    <w:tabs>
                      <w:tab w:val="right" w:pos="9781"/>
                    </w:tabs>
                    <w:jc w:val="center"/>
                    <w:rPr>
                      <w:rFonts w:cs="Arial"/>
                      <w:b/>
                      <w:sz w:val="18"/>
                      <w:szCs w:val="18"/>
                    </w:rPr>
                  </w:pPr>
                  <w:r w:rsidRPr="00275862">
                    <w:rPr>
                      <w:rFonts w:cs="Arial"/>
                      <w:b/>
                      <w:sz w:val="18"/>
                      <w:szCs w:val="18"/>
                    </w:rPr>
                    <w:t>2012</w:t>
                  </w:r>
                </w:p>
              </w:tc>
            </w:tr>
            <w:tr w:rsidR="00421EA1" w:rsidRPr="00275862" w:rsidTr="00AC4FF2">
              <w:trPr>
                <w:trHeight w:val="240"/>
              </w:trPr>
              <w:tc>
                <w:tcPr>
                  <w:tcW w:w="1569" w:type="dxa"/>
                  <w:tcBorders>
                    <w:top w:val="single" w:sz="12" w:space="0" w:color="auto"/>
                    <w:left w:val="nil"/>
                    <w:bottom w:val="nil"/>
                    <w:right w:val="single" w:sz="4" w:space="0" w:color="auto"/>
                  </w:tcBorders>
                  <w:shd w:val="clear" w:color="auto" w:fill="auto"/>
                  <w:noWrap/>
                  <w:vAlign w:val="center"/>
                  <w:hideMark/>
                </w:tcPr>
                <w:p w:rsidR="00421EA1" w:rsidRPr="00275862" w:rsidRDefault="00421EA1" w:rsidP="006666D5">
                  <w:pPr>
                    <w:tabs>
                      <w:tab w:val="right" w:pos="9781"/>
                    </w:tabs>
                    <w:rPr>
                      <w:rFonts w:cs="Arial"/>
                      <w:sz w:val="18"/>
                      <w:szCs w:val="18"/>
                    </w:rPr>
                  </w:pPr>
                  <w:r w:rsidRPr="00275862">
                    <w:rPr>
                      <w:rFonts w:cs="Arial"/>
                      <w:sz w:val="18"/>
                      <w:szCs w:val="18"/>
                    </w:rPr>
                    <w:t>celkem sňatků</w:t>
                  </w:r>
                </w:p>
              </w:tc>
              <w:tc>
                <w:tcPr>
                  <w:tcW w:w="845" w:type="dxa"/>
                  <w:tcBorders>
                    <w:top w:val="single" w:sz="12" w:space="0" w:color="auto"/>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48 943</w:t>
                  </w:r>
                </w:p>
              </w:tc>
              <w:tc>
                <w:tcPr>
                  <w:tcW w:w="845" w:type="dxa"/>
                  <w:tcBorders>
                    <w:top w:val="single" w:sz="12" w:space="0" w:color="auto"/>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51 447</w:t>
                  </w:r>
                </w:p>
              </w:tc>
              <w:tc>
                <w:tcPr>
                  <w:tcW w:w="846" w:type="dxa"/>
                  <w:tcBorders>
                    <w:top w:val="single" w:sz="12" w:space="0" w:color="auto"/>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51 829</w:t>
                  </w:r>
                </w:p>
              </w:tc>
              <w:tc>
                <w:tcPr>
                  <w:tcW w:w="845" w:type="dxa"/>
                  <w:tcBorders>
                    <w:top w:val="single" w:sz="12" w:space="0" w:color="auto"/>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52 860</w:t>
                  </w:r>
                </w:p>
              </w:tc>
              <w:tc>
                <w:tcPr>
                  <w:tcW w:w="845" w:type="dxa"/>
                  <w:tcBorders>
                    <w:top w:val="single" w:sz="12" w:space="0" w:color="auto"/>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57 157</w:t>
                  </w:r>
                </w:p>
              </w:tc>
              <w:tc>
                <w:tcPr>
                  <w:tcW w:w="708" w:type="dxa"/>
                  <w:tcBorders>
                    <w:top w:val="single" w:sz="12" w:space="0" w:color="auto"/>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52 457</w:t>
                  </w:r>
                </w:p>
              </w:tc>
              <w:tc>
                <w:tcPr>
                  <w:tcW w:w="709" w:type="dxa"/>
                  <w:tcBorders>
                    <w:top w:val="single" w:sz="12" w:space="0" w:color="auto"/>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47 862</w:t>
                  </w:r>
                </w:p>
              </w:tc>
              <w:tc>
                <w:tcPr>
                  <w:tcW w:w="709" w:type="dxa"/>
                  <w:tcBorders>
                    <w:top w:val="single" w:sz="12" w:space="0" w:color="auto"/>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46 746</w:t>
                  </w:r>
                </w:p>
              </w:tc>
              <w:tc>
                <w:tcPr>
                  <w:tcW w:w="709" w:type="dxa"/>
                  <w:tcBorders>
                    <w:top w:val="single" w:sz="12" w:space="0" w:color="auto"/>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45 137</w:t>
                  </w:r>
                </w:p>
              </w:tc>
              <w:tc>
                <w:tcPr>
                  <w:tcW w:w="995" w:type="dxa"/>
                  <w:tcBorders>
                    <w:top w:val="single" w:sz="12" w:space="0" w:color="auto"/>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sz w:val="18"/>
                      <w:szCs w:val="18"/>
                    </w:rPr>
                  </w:pPr>
                  <w:r w:rsidRPr="00275862">
                    <w:rPr>
                      <w:rFonts w:cs="Arial"/>
                      <w:sz w:val="18"/>
                      <w:szCs w:val="18"/>
                    </w:rPr>
                    <w:t>45 206</w:t>
                  </w:r>
                </w:p>
              </w:tc>
            </w:tr>
            <w:tr w:rsidR="00421EA1" w:rsidRPr="00275862" w:rsidTr="00AC4FF2">
              <w:trPr>
                <w:trHeight w:val="240"/>
              </w:trPr>
              <w:tc>
                <w:tcPr>
                  <w:tcW w:w="1569" w:type="dxa"/>
                  <w:tcBorders>
                    <w:top w:val="nil"/>
                    <w:left w:val="nil"/>
                    <w:bottom w:val="double" w:sz="6" w:space="0" w:color="auto"/>
                    <w:right w:val="single" w:sz="4" w:space="0" w:color="auto"/>
                  </w:tcBorders>
                  <w:shd w:val="clear" w:color="auto" w:fill="auto"/>
                  <w:noWrap/>
                  <w:vAlign w:val="center"/>
                  <w:hideMark/>
                </w:tcPr>
                <w:p w:rsidR="00421EA1" w:rsidRPr="00275862" w:rsidRDefault="00421EA1" w:rsidP="006666D5">
                  <w:pPr>
                    <w:tabs>
                      <w:tab w:val="right" w:pos="9781"/>
                    </w:tabs>
                    <w:jc w:val="right"/>
                    <w:rPr>
                      <w:rFonts w:cs="Arial"/>
                      <w:i/>
                      <w:sz w:val="18"/>
                      <w:szCs w:val="18"/>
                    </w:rPr>
                  </w:pPr>
                  <w:r w:rsidRPr="00275862">
                    <w:rPr>
                      <w:rFonts w:cs="Arial"/>
                      <w:i/>
                      <w:sz w:val="16"/>
                      <w:szCs w:val="18"/>
                    </w:rPr>
                    <w:t>z toho s údajem</w:t>
                  </w:r>
                  <w:r w:rsidRPr="00275862">
                    <w:rPr>
                      <w:rFonts w:cs="Arial"/>
                      <w:i/>
                      <w:sz w:val="16"/>
                      <w:szCs w:val="18"/>
                    </w:rPr>
                    <w:br/>
                    <w:t xml:space="preserve"> o vzdělání obou snoubenců</w:t>
                  </w:r>
                </w:p>
              </w:tc>
              <w:tc>
                <w:tcPr>
                  <w:tcW w:w="845"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sz w:val="18"/>
                      <w:szCs w:val="18"/>
                    </w:rPr>
                  </w:pPr>
                </w:p>
              </w:tc>
              <w:tc>
                <w:tcPr>
                  <w:tcW w:w="845"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sz w:val="18"/>
                      <w:szCs w:val="18"/>
                    </w:rPr>
                  </w:pPr>
                </w:p>
              </w:tc>
              <w:tc>
                <w:tcPr>
                  <w:tcW w:w="846"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sz w:val="18"/>
                      <w:szCs w:val="18"/>
                    </w:rPr>
                  </w:pPr>
                </w:p>
              </w:tc>
              <w:tc>
                <w:tcPr>
                  <w:tcW w:w="845"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sz w:val="18"/>
                      <w:szCs w:val="18"/>
                    </w:rPr>
                  </w:pPr>
                </w:p>
              </w:tc>
              <w:tc>
                <w:tcPr>
                  <w:tcW w:w="845"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sz w:val="18"/>
                      <w:szCs w:val="18"/>
                    </w:rPr>
                  </w:pPr>
                </w:p>
              </w:tc>
              <w:tc>
                <w:tcPr>
                  <w:tcW w:w="708"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sz w:val="18"/>
                      <w:szCs w:val="18"/>
                    </w:rPr>
                  </w:pPr>
                  <w:r w:rsidRPr="00275862">
                    <w:rPr>
                      <w:rFonts w:cs="Arial"/>
                      <w:i/>
                      <w:sz w:val="18"/>
                      <w:szCs w:val="18"/>
                    </w:rPr>
                    <w:t>51 648</w:t>
                  </w:r>
                </w:p>
              </w:tc>
              <w:tc>
                <w:tcPr>
                  <w:tcW w:w="709"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sz w:val="18"/>
                      <w:szCs w:val="18"/>
                    </w:rPr>
                  </w:pPr>
                  <w:r w:rsidRPr="00275862">
                    <w:rPr>
                      <w:rFonts w:cs="Arial"/>
                      <w:i/>
                      <w:sz w:val="18"/>
                      <w:szCs w:val="18"/>
                    </w:rPr>
                    <w:t>46 486</w:t>
                  </w:r>
                </w:p>
              </w:tc>
              <w:tc>
                <w:tcPr>
                  <w:tcW w:w="709"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sz w:val="18"/>
                      <w:szCs w:val="18"/>
                    </w:rPr>
                  </w:pPr>
                  <w:r w:rsidRPr="00275862">
                    <w:rPr>
                      <w:rFonts w:cs="Arial"/>
                      <w:i/>
                      <w:sz w:val="18"/>
                      <w:szCs w:val="18"/>
                    </w:rPr>
                    <w:t>43 407</w:t>
                  </w:r>
                </w:p>
              </w:tc>
              <w:tc>
                <w:tcPr>
                  <w:tcW w:w="709"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sz w:val="18"/>
                      <w:szCs w:val="18"/>
                    </w:rPr>
                  </w:pPr>
                  <w:r w:rsidRPr="00275862">
                    <w:rPr>
                      <w:rFonts w:cs="Arial"/>
                      <w:i/>
                      <w:sz w:val="18"/>
                      <w:szCs w:val="18"/>
                    </w:rPr>
                    <w:t>41 281</w:t>
                  </w:r>
                </w:p>
              </w:tc>
              <w:tc>
                <w:tcPr>
                  <w:tcW w:w="995"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sz w:val="18"/>
                      <w:szCs w:val="18"/>
                    </w:rPr>
                  </w:pPr>
                  <w:r w:rsidRPr="00275862">
                    <w:rPr>
                      <w:rFonts w:cs="Arial"/>
                      <w:i/>
                      <w:sz w:val="18"/>
                      <w:szCs w:val="18"/>
                    </w:rPr>
                    <w:t>41 434</w:t>
                  </w:r>
                </w:p>
              </w:tc>
            </w:tr>
          </w:tbl>
          <w:p w:rsidR="00421EA1" w:rsidRPr="00275862" w:rsidRDefault="00421EA1" w:rsidP="006666D5">
            <w:pPr>
              <w:tabs>
                <w:tab w:val="right" w:pos="9781"/>
              </w:tabs>
              <w:spacing w:after="200"/>
            </w:pPr>
            <w:r w:rsidRPr="00275862">
              <w:t>Zdroj: ČSÚ</w:t>
            </w:r>
            <w:r w:rsidR="009162F0" w:rsidRPr="00275862">
              <w:t xml:space="preserve"> (demografická statistika)</w:t>
            </w:r>
          </w:p>
          <w:p w:rsidR="00D33813" w:rsidRPr="00275862" w:rsidRDefault="00D33813" w:rsidP="006666D5">
            <w:pPr>
              <w:tabs>
                <w:tab w:val="right" w:pos="9781"/>
              </w:tabs>
              <w:spacing w:after="200"/>
            </w:pPr>
          </w:p>
          <w:p w:rsidR="00421EA1" w:rsidRPr="00275862" w:rsidRDefault="00421EA1" w:rsidP="00EB6C71">
            <w:pPr>
              <w:tabs>
                <w:tab w:val="right" w:pos="9781"/>
              </w:tabs>
              <w:spacing w:after="60"/>
              <w:rPr>
                <w:b/>
              </w:rPr>
            </w:pPr>
            <w:r w:rsidRPr="00275862">
              <w:t xml:space="preserve">Tabulka č. 2 </w:t>
            </w:r>
            <w:r w:rsidR="000E0843" w:rsidRPr="00275862">
              <w:rPr>
                <w:b/>
              </w:rPr>
              <w:t>Hospodařící domácnosti tvořené 1 úplnou rodinou</w:t>
            </w:r>
            <w:r w:rsidRPr="00275862">
              <w:rPr>
                <w:b/>
              </w:rPr>
              <w:t xml:space="preserve"> v roce 2011</w:t>
            </w:r>
          </w:p>
          <w:tbl>
            <w:tblPr>
              <w:tblW w:w="9649" w:type="dxa"/>
              <w:tblInd w:w="55" w:type="dxa"/>
              <w:tblLayout w:type="fixed"/>
              <w:tblCellMar>
                <w:left w:w="70" w:type="dxa"/>
                <w:right w:w="70" w:type="dxa"/>
              </w:tblCellMar>
              <w:tblLook w:val="04A0"/>
            </w:tblPr>
            <w:tblGrid>
              <w:gridCol w:w="2234"/>
              <w:gridCol w:w="943"/>
              <w:gridCol w:w="1378"/>
              <w:gridCol w:w="1692"/>
              <w:gridCol w:w="1701"/>
              <w:gridCol w:w="1701"/>
            </w:tblGrid>
            <w:tr w:rsidR="00421EA1" w:rsidRPr="00275862" w:rsidTr="00AC4FF2">
              <w:trPr>
                <w:trHeight w:val="315"/>
              </w:trPr>
              <w:tc>
                <w:tcPr>
                  <w:tcW w:w="2234" w:type="dxa"/>
                  <w:vMerge w:val="restart"/>
                  <w:tcBorders>
                    <w:top w:val="double" w:sz="6" w:space="0" w:color="auto"/>
                    <w:left w:val="nil"/>
                    <w:bottom w:val="double" w:sz="6" w:space="0" w:color="000000"/>
                    <w:right w:val="single" w:sz="4" w:space="0" w:color="auto"/>
                  </w:tcBorders>
                  <w:shd w:val="clear" w:color="auto" w:fill="auto"/>
                  <w:noWrap/>
                  <w:vAlign w:val="center"/>
                  <w:hideMark/>
                </w:tcPr>
                <w:p w:rsidR="00421EA1" w:rsidRPr="00275862" w:rsidRDefault="000E0843" w:rsidP="006666D5">
                  <w:pPr>
                    <w:tabs>
                      <w:tab w:val="right" w:pos="9781"/>
                    </w:tabs>
                    <w:jc w:val="center"/>
                    <w:rPr>
                      <w:rFonts w:cs="Arial"/>
                      <w:b/>
                      <w:color w:val="000000"/>
                      <w:sz w:val="18"/>
                    </w:rPr>
                  </w:pPr>
                  <w:r w:rsidRPr="00275862">
                    <w:rPr>
                      <w:rFonts w:cs="Arial"/>
                      <w:b/>
                      <w:color w:val="000000"/>
                      <w:sz w:val="18"/>
                    </w:rPr>
                    <w:t>Typ hospodařící domácnosti</w:t>
                  </w:r>
                </w:p>
              </w:tc>
              <w:tc>
                <w:tcPr>
                  <w:tcW w:w="943"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421EA1" w:rsidRPr="00275862" w:rsidRDefault="00421EA1" w:rsidP="006666D5">
                  <w:pPr>
                    <w:tabs>
                      <w:tab w:val="right" w:pos="9781"/>
                    </w:tabs>
                    <w:jc w:val="center"/>
                    <w:rPr>
                      <w:rFonts w:cs="Arial"/>
                      <w:b/>
                      <w:color w:val="000000"/>
                      <w:sz w:val="18"/>
                    </w:rPr>
                  </w:pPr>
                  <w:r w:rsidRPr="00275862">
                    <w:rPr>
                      <w:rFonts w:cs="Arial"/>
                      <w:b/>
                      <w:color w:val="000000"/>
                      <w:sz w:val="18"/>
                      <w:szCs w:val="22"/>
                    </w:rPr>
                    <w:t>celkem</w:t>
                  </w:r>
                </w:p>
              </w:tc>
              <w:tc>
                <w:tcPr>
                  <w:tcW w:w="6472" w:type="dxa"/>
                  <w:gridSpan w:val="4"/>
                  <w:tcBorders>
                    <w:top w:val="double" w:sz="4" w:space="0" w:color="auto"/>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i/>
                      <w:color w:val="000000"/>
                      <w:sz w:val="18"/>
                    </w:rPr>
                  </w:pPr>
                  <w:r w:rsidRPr="00275862">
                    <w:rPr>
                      <w:rFonts w:cs="Arial"/>
                      <w:i/>
                      <w:color w:val="000000"/>
                      <w:sz w:val="18"/>
                      <w:szCs w:val="22"/>
                    </w:rPr>
                    <w:t>z toho</w:t>
                  </w:r>
                  <w:r w:rsidRPr="00275862">
                    <w:rPr>
                      <w:rFonts w:cs="Arial"/>
                      <w:i/>
                      <w:color w:val="000000"/>
                      <w:sz w:val="18"/>
                    </w:rPr>
                    <w:t xml:space="preserve"> s</w:t>
                  </w:r>
                  <w:r w:rsidR="009162F0" w:rsidRPr="00275862">
                    <w:rPr>
                      <w:rFonts w:cs="Arial"/>
                      <w:i/>
                      <w:color w:val="000000"/>
                      <w:sz w:val="18"/>
                    </w:rPr>
                    <w:t xml:space="preserve"> uvedenými </w:t>
                  </w:r>
                  <w:r w:rsidRPr="00275862">
                    <w:rPr>
                      <w:rFonts w:cs="Arial"/>
                      <w:i/>
                      <w:color w:val="000000"/>
                      <w:sz w:val="18"/>
                    </w:rPr>
                    <w:t>údaji o</w:t>
                  </w:r>
                  <w:r w:rsidRPr="00275862">
                    <w:rPr>
                      <w:rFonts w:cs="Arial"/>
                      <w:i/>
                      <w:color w:val="000000"/>
                      <w:sz w:val="18"/>
                      <w:szCs w:val="22"/>
                    </w:rPr>
                    <w:t>:</w:t>
                  </w:r>
                </w:p>
              </w:tc>
            </w:tr>
            <w:tr w:rsidR="00421EA1" w:rsidRPr="00275862" w:rsidTr="00AC4FF2">
              <w:trPr>
                <w:trHeight w:val="315"/>
              </w:trPr>
              <w:tc>
                <w:tcPr>
                  <w:tcW w:w="2234" w:type="dxa"/>
                  <w:vMerge/>
                  <w:tcBorders>
                    <w:top w:val="double" w:sz="6" w:space="0" w:color="auto"/>
                    <w:left w:val="nil"/>
                    <w:bottom w:val="double" w:sz="6" w:space="0" w:color="000000"/>
                    <w:right w:val="single" w:sz="4" w:space="0" w:color="auto"/>
                  </w:tcBorders>
                  <w:vAlign w:val="center"/>
                  <w:hideMark/>
                </w:tcPr>
                <w:p w:rsidR="00421EA1" w:rsidRPr="00275862" w:rsidRDefault="00421EA1" w:rsidP="006666D5">
                  <w:pPr>
                    <w:tabs>
                      <w:tab w:val="right" w:pos="9781"/>
                    </w:tabs>
                    <w:jc w:val="center"/>
                    <w:rPr>
                      <w:rFonts w:cs="Arial"/>
                      <w:b/>
                      <w:color w:val="000000"/>
                      <w:sz w:val="18"/>
                    </w:rPr>
                  </w:pPr>
                </w:p>
              </w:tc>
              <w:tc>
                <w:tcPr>
                  <w:tcW w:w="943" w:type="dxa"/>
                  <w:vMerge/>
                  <w:tcBorders>
                    <w:top w:val="double" w:sz="6" w:space="0" w:color="auto"/>
                    <w:left w:val="single" w:sz="4" w:space="0" w:color="auto"/>
                    <w:bottom w:val="double" w:sz="6" w:space="0" w:color="000000"/>
                    <w:right w:val="single" w:sz="4" w:space="0" w:color="auto"/>
                  </w:tcBorders>
                  <w:vAlign w:val="center"/>
                  <w:hideMark/>
                </w:tcPr>
                <w:p w:rsidR="00421EA1" w:rsidRPr="00275862" w:rsidRDefault="00421EA1" w:rsidP="006666D5">
                  <w:pPr>
                    <w:tabs>
                      <w:tab w:val="right" w:pos="9781"/>
                    </w:tabs>
                    <w:jc w:val="center"/>
                    <w:rPr>
                      <w:rFonts w:cs="Arial"/>
                      <w:b/>
                      <w:color w:val="000000"/>
                      <w:sz w:val="18"/>
                    </w:rPr>
                  </w:pPr>
                </w:p>
              </w:tc>
              <w:tc>
                <w:tcPr>
                  <w:tcW w:w="1378"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color w:val="000000"/>
                      <w:sz w:val="18"/>
                    </w:rPr>
                  </w:pPr>
                  <w:r w:rsidRPr="00275862">
                    <w:rPr>
                      <w:rFonts w:cs="Arial"/>
                      <w:i/>
                      <w:color w:val="000000"/>
                      <w:sz w:val="18"/>
                      <w:szCs w:val="22"/>
                    </w:rPr>
                    <w:t>věku obou partnerů</w:t>
                  </w:r>
                </w:p>
              </w:tc>
              <w:tc>
                <w:tcPr>
                  <w:tcW w:w="1692"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color w:val="000000"/>
                      <w:sz w:val="18"/>
                    </w:rPr>
                  </w:pPr>
                  <w:r w:rsidRPr="00275862">
                    <w:rPr>
                      <w:rFonts w:cs="Arial"/>
                      <w:i/>
                      <w:color w:val="000000"/>
                      <w:sz w:val="18"/>
                      <w:szCs w:val="22"/>
                    </w:rPr>
                    <w:t>vzdělání obou partnerů</w:t>
                  </w:r>
                  <w:r w:rsidRPr="00275862">
                    <w:rPr>
                      <w:rStyle w:val="Znakapoznpodarou"/>
                      <w:rFonts w:cs="Arial"/>
                      <w:i/>
                      <w:color w:val="000000"/>
                      <w:sz w:val="18"/>
                    </w:rPr>
                    <w:footnoteReference w:id="2"/>
                  </w:r>
                </w:p>
              </w:tc>
              <w:tc>
                <w:tcPr>
                  <w:tcW w:w="1701"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color w:val="000000"/>
                      <w:sz w:val="18"/>
                    </w:rPr>
                  </w:pPr>
                  <w:r w:rsidRPr="00275862">
                    <w:rPr>
                      <w:rFonts w:cs="Arial"/>
                      <w:i/>
                      <w:color w:val="000000"/>
                      <w:sz w:val="18"/>
                      <w:szCs w:val="22"/>
                    </w:rPr>
                    <w:t>náboženství obou partnerů</w:t>
                  </w:r>
                </w:p>
              </w:tc>
              <w:tc>
                <w:tcPr>
                  <w:tcW w:w="1701"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i/>
                      <w:color w:val="000000"/>
                      <w:sz w:val="18"/>
                    </w:rPr>
                  </w:pPr>
                  <w:r w:rsidRPr="00275862">
                    <w:rPr>
                      <w:rFonts w:cs="Arial"/>
                      <w:i/>
                      <w:color w:val="000000"/>
                      <w:sz w:val="18"/>
                      <w:szCs w:val="22"/>
                    </w:rPr>
                    <w:t>národnosti obou partnerů</w:t>
                  </w:r>
                </w:p>
              </w:tc>
            </w:tr>
            <w:tr w:rsidR="00421EA1" w:rsidRPr="00275862" w:rsidTr="00AC4FF2">
              <w:trPr>
                <w:trHeight w:val="588"/>
              </w:trPr>
              <w:tc>
                <w:tcPr>
                  <w:tcW w:w="2234" w:type="dxa"/>
                  <w:tcBorders>
                    <w:top w:val="nil"/>
                    <w:left w:val="nil"/>
                    <w:bottom w:val="nil"/>
                    <w:right w:val="single" w:sz="4" w:space="0" w:color="auto"/>
                  </w:tcBorders>
                  <w:shd w:val="clear" w:color="auto" w:fill="auto"/>
                  <w:noWrap/>
                  <w:vAlign w:val="center"/>
                  <w:hideMark/>
                </w:tcPr>
                <w:p w:rsidR="00421EA1" w:rsidRPr="00275862" w:rsidRDefault="00421EA1" w:rsidP="006666D5">
                  <w:pPr>
                    <w:tabs>
                      <w:tab w:val="right" w:pos="9781"/>
                    </w:tabs>
                    <w:jc w:val="center"/>
                    <w:rPr>
                      <w:rFonts w:cs="Arial"/>
                      <w:b/>
                      <w:color w:val="000000"/>
                      <w:sz w:val="18"/>
                    </w:rPr>
                  </w:pPr>
                  <w:r w:rsidRPr="00275862">
                    <w:rPr>
                      <w:rFonts w:cs="Arial"/>
                      <w:b/>
                      <w:color w:val="000000"/>
                      <w:sz w:val="18"/>
                      <w:szCs w:val="22"/>
                    </w:rPr>
                    <w:t>manželské páry</w:t>
                  </w:r>
                </w:p>
              </w:tc>
              <w:tc>
                <w:tcPr>
                  <w:tcW w:w="943" w:type="dxa"/>
                  <w:tcBorders>
                    <w:top w:val="nil"/>
                    <w:left w:val="nil"/>
                    <w:bottom w:val="nil"/>
                    <w:right w:val="single" w:sz="4" w:space="0" w:color="auto"/>
                  </w:tcBorders>
                  <w:shd w:val="clear" w:color="auto" w:fill="auto"/>
                  <w:noWrap/>
                  <w:vAlign w:val="center"/>
                  <w:hideMark/>
                </w:tcPr>
                <w:p w:rsidR="00421EA1" w:rsidRPr="00275862" w:rsidRDefault="00421EA1" w:rsidP="006666D5">
                  <w:pPr>
                    <w:tabs>
                      <w:tab w:val="right" w:pos="9781"/>
                    </w:tabs>
                    <w:jc w:val="center"/>
                    <w:rPr>
                      <w:rFonts w:cs="Arial"/>
                      <w:b/>
                      <w:color w:val="000000"/>
                      <w:sz w:val="18"/>
                    </w:rPr>
                  </w:pPr>
                  <w:r w:rsidRPr="00275862">
                    <w:rPr>
                      <w:rFonts w:cs="Arial"/>
                      <w:b/>
                      <w:color w:val="000000"/>
                      <w:sz w:val="18"/>
                      <w:szCs w:val="22"/>
                    </w:rPr>
                    <w:t>1</w:t>
                  </w:r>
                  <w:r w:rsidRPr="00275862">
                    <w:rPr>
                      <w:rFonts w:cs="Arial"/>
                      <w:b/>
                      <w:color w:val="000000"/>
                      <w:sz w:val="18"/>
                    </w:rPr>
                    <w:t xml:space="preserve"> </w:t>
                  </w:r>
                  <w:r w:rsidRPr="00275862">
                    <w:rPr>
                      <w:rFonts w:cs="Arial"/>
                      <w:b/>
                      <w:color w:val="000000"/>
                      <w:sz w:val="18"/>
                      <w:szCs w:val="22"/>
                    </w:rPr>
                    <w:t>857</w:t>
                  </w:r>
                  <w:r w:rsidRPr="00275862">
                    <w:rPr>
                      <w:rFonts w:cs="Arial"/>
                      <w:b/>
                      <w:color w:val="000000"/>
                      <w:sz w:val="18"/>
                    </w:rPr>
                    <w:t xml:space="preserve"> </w:t>
                  </w:r>
                  <w:r w:rsidRPr="00275862">
                    <w:rPr>
                      <w:rFonts w:cs="Arial"/>
                      <w:b/>
                      <w:color w:val="000000"/>
                      <w:sz w:val="18"/>
                      <w:szCs w:val="22"/>
                    </w:rPr>
                    <w:t>997</w:t>
                  </w:r>
                </w:p>
              </w:tc>
              <w:tc>
                <w:tcPr>
                  <w:tcW w:w="1378" w:type="dxa"/>
                  <w:tcBorders>
                    <w:top w:val="nil"/>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color w:val="000000"/>
                      <w:sz w:val="18"/>
                    </w:rPr>
                  </w:pPr>
                  <w:r w:rsidRPr="00275862">
                    <w:rPr>
                      <w:rFonts w:cs="Arial"/>
                      <w:color w:val="000000"/>
                      <w:sz w:val="18"/>
                      <w:szCs w:val="22"/>
                    </w:rPr>
                    <w:t>1</w:t>
                  </w:r>
                  <w:r w:rsidRPr="00275862">
                    <w:rPr>
                      <w:rFonts w:cs="Arial"/>
                      <w:color w:val="000000"/>
                      <w:sz w:val="18"/>
                    </w:rPr>
                    <w:t xml:space="preserve"> </w:t>
                  </w:r>
                  <w:r w:rsidRPr="00275862">
                    <w:rPr>
                      <w:rFonts w:cs="Arial"/>
                      <w:color w:val="000000"/>
                      <w:sz w:val="18"/>
                      <w:szCs w:val="22"/>
                    </w:rPr>
                    <w:t>857</w:t>
                  </w:r>
                  <w:r w:rsidRPr="00275862">
                    <w:rPr>
                      <w:rFonts w:cs="Arial"/>
                      <w:color w:val="000000"/>
                      <w:sz w:val="18"/>
                    </w:rPr>
                    <w:t xml:space="preserve"> </w:t>
                  </w:r>
                  <w:r w:rsidRPr="00275862">
                    <w:rPr>
                      <w:rFonts w:cs="Arial"/>
                      <w:color w:val="000000"/>
                      <w:sz w:val="18"/>
                      <w:szCs w:val="22"/>
                    </w:rPr>
                    <w:t>928</w:t>
                  </w:r>
                </w:p>
              </w:tc>
              <w:tc>
                <w:tcPr>
                  <w:tcW w:w="1692" w:type="dxa"/>
                  <w:tcBorders>
                    <w:top w:val="nil"/>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color w:val="000000"/>
                      <w:sz w:val="18"/>
                    </w:rPr>
                  </w:pPr>
                  <w:r w:rsidRPr="00275862">
                    <w:rPr>
                      <w:rFonts w:cs="Arial"/>
                      <w:color w:val="000000"/>
                      <w:sz w:val="18"/>
                      <w:szCs w:val="22"/>
                    </w:rPr>
                    <w:t>1</w:t>
                  </w:r>
                  <w:r w:rsidRPr="00275862">
                    <w:rPr>
                      <w:rFonts w:cs="Arial"/>
                      <w:color w:val="000000"/>
                      <w:sz w:val="18"/>
                    </w:rPr>
                    <w:t xml:space="preserve"> </w:t>
                  </w:r>
                  <w:r w:rsidRPr="00275862">
                    <w:rPr>
                      <w:rFonts w:cs="Arial"/>
                      <w:color w:val="000000"/>
                      <w:sz w:val="18"/>
                      <w:szCs w:val="22"/>
                    </w:rPr>
                    <w:t>760</w:t>
                  </w:r>
                  <w:r w:rsidRPr="00275862">
                    <w:rPr>
                      <w:rFonts w:cs="Arial"/>
                      <w:color w:val="000000"/>
                      <w:sz w:val="18"/>
                    </w:rPr>
                    <w:t xml:space="preserve"> </w:t>
                  </w:r>
                  <w:r w:rsidRPr="00275862">
                    <w:rPr>
                      <w:rFonts w:cs="Arial"/>
                      <w:color w:val="000000"/>
                      <w:sz w:val="18"/>
                      <w:szCs w:val="22"/>
                    </w:rPr>
                    <w:t>686</w:t>
                  </w:r>
                </w:p>
              </w:tc>
              <w:tc>
                <w:tcPr>
                  <w:tcW w:w="1701" w:type="dxa"/>
                  <w:tcBorders>
                    <w:top w:val="nil"/>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color w:val="000000"/>
                      <w:sz w:val="18"/>
                    </w:rPr>
                  </w:pPr>
                  <w:r w:rsidRPr="00275862">
                    <w:rPr>
                      <w:rFonts w:cs="Arial"/>
                      <w:color w:val="000000"/>
                      <w:sz w:val="18"/>
                      <w:szCs w:val="22"/>
                    </w:rPr>
                    <w:t>977</w:t>
                  </w:r>
                  <w:r w:rsidRPr="00275862">
                    <w:rPr>
                      <w:rFonts w:cs="Arial"/>
                      <w:color w:val="000000"/>
                      <w:sz w:val="18"/>
                    </w:rPr>
                    <w:t xml:space="preserve"> </w:t>
                  </w:r>
                  <w:r w:rsidRPr="00275862">
                    <w:rPr>
                      <w:rFonts w:cs="Arial"/>
                      <w:color w:val="000000"/>
                      <w:sz w:val="18"/>
                      <w:szCs w:val="22"/>
                    </w:rPr>
                    <w:t>757</w:t>
                  </w:r>
                </w:p>
              </w:tc>
              <w:tc>
                <w:tcPr>
                  <w:tcW w:w="1701" w:type="dxa"/>
                  <w:tcBorders>
                    <w:top w:val="nil"/>
                    <w:left w:val="nil"/>
                    <w:bottom w:val="nil"/>
                    <w:right w:val="nil"/>
                  </w:tcBorders>
                  <w:shd w:val="clear" w:color="auto" w:fill="auto"/>
                  <w:noWrap/>
                  <w:vAlign w:val="center"/>
                  <w:hideMark/>
                </w:tcPr>
                <w:p w:rsidR="00421EA1" w:rsidRPr="00275862" w:rsidRDefault="00421EA1" w:rsidP="006666D5">
                  <w:pPr>
                    <w:tabs>
                      <w:tab w:val="right" w:pos="9781"/>
                    </w:tabs>
                    <w:jc w:val="center"/>
                    <w:rPr>
                      <w:rFonts w:cs="Arial"/>
                      <w:color w:val="000000"/>
                      <w:sz w:val="18"/>
                    </w:rPr>
                  </w:pPr>
                  <w:r w:rsidRPr="00275862">
                    <w:rPr>
                      <w:rFonts w:cs="Arial"/>
                      <w:color w:val="000000"/>
                      <w:sz w:val="18"/>
                      <w:szCs w:val="22"/>
                    </w:rPr>
                    <w:t>1</w:t>
                  </w:r>
                  <w:r w:rsidRPr="00275862">
                    <w:rPr>
                      <w:rFonts w:cs="Arial"/>
                      <w:color w:val="000000"/>
                      <w:sz w:val="18"/>
                    </w:rPr>
                    <w:t xml:space="preserve"> </w:t>
                  </w:r>
                  <w:r w:rsidRPr="00275862">
                    <w:rPr>
                      <w:rFonts w:cs="Arial"/>
                      <w:color w:val="000000"/>
                      <w:sz w:val="18"/>
                      <w:szCs w:val="22"/>
                    </w:rPr>
                    <w:t>425</w:t>
                  </w:r>
                  <w:r w:rsidRPr="00275862">
                    <w:rPr>
                      <w:rFonts w:cs="Arial"/>
                      <w:color w:val="000000"/>
                      <w:sz w:val="18"/>
                    </w:rPr>
                    <w:t xml:space="preserve"> </w:t>
                  </w:r>
                  <w:r w:rsidRPr="00275862">
                    <w:rPr>
                      <w:rFonts w:cs="Arial"/>
                      <w:color w:val="000000"/>
                      <w:sz w:val="18"/>
                      <w:szCs w:val="22"/>
                    </w:rPr>
                    <w:t>006</w:t>
                  </w:r>
                </w:p>
              </w:tc>
            </w:tr>
            <w:tr w:rsidR="00421EA1" w:rsidRPr="00275862" w:rsidTr="00AC4FF2">
              <w:trPr>
                <w:trHeight w:val="456"/>
              </w:trPr>
              <w:tc>
                <w:tcPr>
                  <w:tcW w:w="2234" w:type="dxa"/>
                  <w:tcBorders>
                    <w:top w:val="nil"/>
                    <w:left w:val="nil"/>
                    <w:bottom w:val="double" w:sz="6" w:space="0" w:color="auto"/>
                    <w:right w:val="single" w:sz="4" w:space="0" w:color="auto"/>
                  </w:tcBorders>
                  <w:shd w:val="clear" w:color="auto" w:fill="auto"/>
                  <w:noWrap/>
                  <w:vAlign w:val="center"/>
                  <w:hideMark/>
                </w:tcPr>
                <w:p w:rsidR="00421EA1" w:rsidRPr="00275862" w:rsidRDefault="00421EA1" w:rsidP="006666D5">
                  <w:pPr>
                    <w:tabs>
                      <w:tab w:val="right" w:pos="9781"/>
                    </w:tabs>
                    <w:jc w:val="center"/>
                    <w:rPr>
                      <w:rFonts w:cs="Arial"/>
                      <w:b/>
                      <w:color w:val="000000"/>
                      <w:sz w:val="18"/>
                    </w:rPr>
                  </w:pPr>
                  <w:r w:rsidRPr="00275862">
                    <w:rPr>
                      <w:rFonts w:cs="Arial"/>
                      <w:b/>
                      <w:color w:val="000000"/>
                      <w:sz w:val="18"/>
                      <w:szCs w:val="22"/>
                    </w:rPr>
                    <w:t>faktické ma</w:t>
                  </w:r>
                  <w:r w:rsidRPr="00275862">
                    <w:rPr>
                      <w:rFonts w:cs="Arial"/>
                      <w:b/>
                      <w:color w:val="000000"/>
                      <w:sz w:val="18"/>
                    </w:rPr>
                    <w:t>n</w:t>
                  </w:r>
                  <w:r w:rsidRPr="00275862">
                    <w:rPr>
                      <w:rFonts w:cs="Arial"/>
                      <w:b/>
                      <w:color w:val="000000"/>
                      <w:sz w:val="18"/>
                      <w:szCs w:val="22"/>
                    </w:rPr>
                    <w:t>želství</w:t>
                  </w:r>
                </w:p>
              </w:tc>
              <w:tc>
                <w:tcPr>
                  <w:tcW w:w="943" w:type="dxa"/>
                  <w:tcBorders>
                    <w:top w:val="nil"/>
                    <w:left w:val="nil"/>
                    <w:bottom w:val="double" w:sz="6" w:space="0" w:color="auto"/>
                    <w:right w:val="single" w:sz="4" w:space="0" w:color="auto"/>
                  </w:tcBorders>
                  <w:shd w:val="clear" w:color="auto" w:fill="auto"/>
                  <w:noWrap/>
                  <w:vAlign w:val="center"/>
                  <w:hideMark/>
                </w:tcPr>
                <w:p w:rsidR="00421EA1" w:rsidRPr="00275862" w:rsidRDefault="00421EA1" w:rsidP="006666D5">
                  <w:pPr>
                    <w:tabs>
                      <w:tab w:val="right" w:pos="9781"/>
                    </w:tabs>
                    <w:jc w:val="center"/>
                    <w:rPr>
                      <w:rFonts w:cs="Arial"/>
                      <w:b/>
                      <w:color w:val="000000"/>
                      <w:sz w:val="18"/>
                    </w:rPr>
                  </w:pPr>
                  <w:r w:rsidRPr="00275862">
                    <w:rPr>
                      <w:rFonts w:cs="Arial"/>
                      <w:b/>
                      <w:color w:val="000000"/>
                      <w:sz w:val="18"/>
                      <w:szCs w:val="22"/>
                    </w:rPr>
                    <w:t>234</w:t>
                  </w:r>
                  <w:r w:rsidRPr="00275862">
                    <w:rPr>
                      <w:rFonts w:cs="Arial"/>
                      <w:b/>
                      <w:color w:val="000000"/>
                      <w:sz w:val="18"/>
                    </w:rPr>
                    <w:t xml:space="preserve"> </w:t>
                  </w:r>
                  <w:r w:rsidRPr="00275862">
                    <w:rPr>
                      <w:rFonts w:cs="Arial"/>
                      <w:b/>
                      <w:color w:val="000000"/>
                      <w:sz w:val="18"/>
                      <w:szCs w:val="22"/>
                    </w:rPr>
                    <w:t>346</w:t>
                  </w:r>
                </w:p>
              </w:tc>
              <w:tc>
                <w:tcPr>
                  <w:tcW w:w="1378"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color w:val="000000"/>
                      <w:sz w:val="18"/>
                    </w:rPr>
                  </w:pPr>
                  <w:r w:rsidRPr="00275862">
                    <w:rPr>
                      <w:rFonts w:cs="Arial"/>
                      <w:color w:val="000000"/>
                      <w:sz w:val="18"/>
                      <w:szCs w:val="22"/>
                    </w:rPr>
                    <w:t>234</w:t>
                  </w:r>
                  <w:r w:rsidRPr="00275862">
                    <w:rPr>
                      <w:rFonts w:cs="Arial"/>
                      <w:color w:val="000000"/>
                      <w:sz w:val="18"/>
                    </w:rPr>
                    <w:t xml:space="preserve"> </w:t>
                  </w:r>
                  <w:r w:rsidRPr="00275862">
                    <w:rPr>
                      <w:rFonts w:cs="Arial"/>
                      <w:color w:val="000000"/>
                      <w:sz w:val="18"/>
                      <w:szCs w:val="22"/>
                    </w:rPr>
                    <w:t>335</w:t>
                  </w:r>
                </w:p>
              </w:tc>
              <w:tc>
                <w:tcPr>
                  <w:tcW w:w="1692"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color w:val="000000"/>
                      <w:sz w:val="18"/>
                    </w:rPr>
                  </w:pPr>
                  <w:r w:rsidRPr="00275862">
                    <w:rPr>
                      <w:rFonts w:cs="Arial"/>
                      <w:color w:val="000000"/>
                      <w:sz w:val="18"/>
                      <w:szCs w:val="22"/>
                    </w:rPr>
                    <w:t>217</w:t>
                  </w:r>
                  <w:r w:rsidRPr="00275862">
                    <w:rPr>
                      <w:rFonts w:cs="Arial"/>
                      <w:color w:val="000000"/>
                      <w:sz w:val="18"/>
                    </w:rPr>
                    <w:t xml:space="preserve"> </w:t>
                  </w:r>
                  <w:r w:rsidRPr="00275862">
                    <w:rPr>
                      <w:rFonts w:cs="Arial"/>
                      <w:color w:val="000000"/>
                      <w:sz w:val="18"/>
                      <w:szCs w:val="22"/>
                    </w:rPr>
                    <w:t>459</w:t>
                  </w:r>
                </w:p>
              </w:tc>
              <w:tc>
                <w:tcPr>
                  <w:tcW w:w="1701"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color w:val="000000"/>
                      <w:sz w:val="18"/>
                    </w:rPr>
                  </w:pPr>
                  <w:r w:rsidRPr="00275862">
                    <w:rPr>
                      <w:rFonts w:cs="Arial"/>
                      <w:color w:val="000000"/>
                      <w:sz w:val="18"/>
                      <w:szCs w:val="22"/>
                    </w:rPr>
                    <w:t>124</w:t>
                  </w:r>
                  <w:r w:rsidRPr="00275862">
                    <w:rPr>
                      <w:rFonts w:cs="Arial"/>
                      <w:color w:val="000000"/>
                      <w:sz w:val="18"/>
                    </w:rPr>
                    <w:t xml:space="preserve"> </w:t>
                  </w:r>
                  <w:r w:rsidRPr="00275862">
                    <w:rPr>
                      <w:rFonts w:cs="Arial"/>
                      <w:color w:val="000000"/>
                      <w:sz w:val="18"/>
                      <w:szCs w:val="22"/>
                    </w:rPr>
                    <w:t>537</w:t>
                  </w:r>
                </w:p>
              </w:tc>
              <w:tc>
                <w:tcPr>
                  <w:tcW w:w="1701" w:type="dxa"/>
                  <w:tcBorders>
                    <w:top w:val="nil"/>
                    <w:left w:val="nil"/>
                    <w:bottom w:val="double" w:sz="6" w:space="0" w:color="auto"/>
                    <w:right w:val="nil"/>
                  </w:tcBorders>
                  <w:shd w:val="clear" w:color="auto" w:fill="auto"/>
                  <w:noWrap/>
                  <w:vAlign w:val="center"/>
                  <w:hideMark/>
                </w:tcPr>
                <w:p w:rsidR="00421EA1" w:rsidRPr="00275862" w:rsidRDefault="00421EA1" w:rsidP="006666D5">
                  <w:pPr>
                    <w:tabs>
                      <w:tab w:val="right" w:pos="9781"/>
                    </w:tabs>
                    <w:jc w:val="center"/>
                    <w:rPr>
                      <w:rFonts w:cs="Arial"/>
                      <w:color w:val="000000"/>
                      <w:sz w:val="18"/>
                    </w:rPr>
                  </w:pPr>
                  <w:r w:rsidRPr="00275862">
                    <w:rPr>
                      <w:rFonts w:cs="Arial"/>
                      <w:color w:val="000000"/>
                      <w:sz w:val="18"/>
                      <w:szCs w:val="22"/>
                    </w:rPr>
                    <w:t>166</w:t>
                  </w:r>
                  <w:r w:rsidRPr="00275862">
                    <w:rPr>
                      <w:rFonts w:cs="Arial"/>
                      <w:color w:val="000000"/>
                      <w:sz w:val="18"/>
                    </w:rPr>
                    <w:t xml:space="preserve"> </w:t>
                  </w:r>
                  <w:r w:rsidRPr="00275862">
                    <w:rPr>
                      <w:rFonts w:cs="Arial"/>
                      <w:color w:val="000000"/>
                      <w:sz w:val="18"/>
                      <w:szCs w:val="22"/>
                    </w:rPr>
                    <w:t>399</w:t>
                  </w:r>
                </w:p>
              </w:tc>
            </w:tr>
          </w:tbl>
          <w:p w:rsidR="00421EA1" w:rsidRPr="00275862" w:rsidRDefault="00421EA1" w:rsidP="006666D5">
            <w:pPr>
              <w:tabs>
                <w:tab w:val="right" w:pos="9781"/>
              </w:tabs>
            </w:pPr>
            <w:r w:rsidRPr="00275862">
              <w:t>Zdroj: ČSÚ (SLDB 2011)</w:t>
            </w:r>
          </w:p>
          <w:p w:rsidR="00421EA1" w:rsidRPr="00275862" w:rsidRDefault="00421EA1" w:rsidP="006666D5">
            <w:pPr>
              <w:pStyle w:val="Textpoznpodarou"/>
              <w:tabs>
                <w:tab w:val="right" w:pos="9781"/>
              </w:tabs>
              <w:jc w:val="both"/>
            </w:pPr>
          </w:p>
        </w:tc>
        <w:tc>
          <w:tcPr>
            <w:tcW w:w="660" w:type="pct"/>
          </w:tcPr>
          <w:p w:rsidR="00421EA1" w:rsidRPr="00275862" w:rsidRDefault="00421EA1" w:rsidP="006666D5">
            <w:pPr>
              <w:pStyle w:val="Textpoznpodarou"/>
              <w:tabs>
                <w:tab w:val="right" w:pos="9781"/>
              </w:tabs>
              <w:jc w:val="both"/>
            </w:pPr>
          </w:p>
        </w:tc>
      </w:tr>
    </w:tbl>
    <w:p w:rsidR="00415A39" w:rsidRDefault="00415A39">
      <w:r>
        <w:br w:type="page"/>
      </w:r>
    </w:p>
    <w:p w:rsidR="00421EA1" w:rsidRPr="00275862" w:rsidRDefault="00421EA1" w:rsidP="006666D5">
      <w:pPr>
        <w:pStyle w:val="Nadpis1"/>
        <w:tabs>
          <w:tab w:val="right" w:pos="9781"/>
        </w:tabs>
      </w:pPr>
      <w:bookmarkStart w:id="6" w:name="_Toc384640699"/>
      <w:r w:rsidRPr="00275862">
        <w:lastRenderedPageBreak/>
        <w:t>Vzdělanostní a věková podobnost snoubenců</w:t>
      </w:r>
      <w:bookmarkEnd w:id="6"/>
    </w:p>
    <w:p w:rsidR="00421EA1" w:rsidRPr="00275862" w:rsidRDefault="00421EA1" w:rsidP="006666D5">
      <w:pPr>
        <w:pStyle w:val="Nadpis2"/>
        <w:tabs>
          <w:tab w:val="right" w:pos="9781"/>
        </w:tabs>
      </w:pPr>
      <w:bookmarkStart w:id="7" w:name="_Toc383676858"/>
      <w:bookmarkStart w:id="8" w:name="_Toc383679555"/>
      <w:bookmarkStart w:id="9" w:name="_Toc383681720"/>
      <w:bookmarkStart w:id="10" w:name="_Toc383681787"/>
      <w:bookmarkStart w:id="11" w:name="_Toc383681881"/>
      <w:bookmarkStart w:id="12" w:name="_Toc383682306"/>
      <w:bookmarkStart w:id="13" w:name="_Toc384640700"/>
      <w:bookmarkEnd w:id="7"/>
      <w:bookmarkEnd w:id="8"/>
      <w:bookmarkEnd w:id="9"/>
      <w:bookmarkEnd w:id="10"/>
      <w:bookmarkEnd w:id="11"/>
      <w:bookmarkEnd w:id="12"/>
      <w:r w:rsidRPr="00275862">
        <w:t>Vzdělanostní podobnost snoubenců</w:t>
      </w:r>
      <w:bookmarkEnd w:id="13"/>
    </w:p>
    <w:tbl>
      <w:tblPr>
        <w:tblW w:w="5000" w:type="pct"/>
        <w:tblCellMar>
          <w:left w:w="28" w:type="dxa"/>
          <w:right w:w="28" w:type="dxa"/>
        </w:tblCellMar>
        <w:tblLook w:val="04A0"/>
      </w:tblPr>
      <w:tblGrid>
        <w:gridCol w:w="2044"/>
        <w:gridCol w:w="275"/>
        <w:gridCol w:w="7375"/>
      </w:tblGrid>
      <w:tr w:rsidR="00421EA1" w:rsidRPr="00275862" w:rsidTr="00AC4FF2">
        <w:tc>
          <w:tcPr>
            <w:tcW w:w="1054" w:type="pct"/>
          </w:tcPr>
          <w:bookmarkEnd w:id="2"/>
          <w:bookmarkEnd w:id="3"/>
          <w:p w:rsidR="00421EA1" w:rsidRPr="00275862" w:rsidRDefault="00D33813" w:rsidP="006666D5">
            <w:pPr>
              <w:tabs>
                <w:tab w:val="right" w:pos="9781"/>
              </w:tabs>
              <w:jc w:val="left"/>
              <w:rPr>
                <w:sz w:val="16"/>
                <w:szCs w:val="16"/>
              </w:rPr>
            </w:pPr>
            <w:r w:rsidRPr="00275862">
              <w:rPr>
                <w:sz w:val="16"/>
                <w:szCs w:val="16"/>
              </w:rPr>
              <w:t>Stabilně přes polovinu sňatků uzavírají stejně vzdělaní snoubenci, roste však zastoupení párů, kde je žena vzdělanější</w:t>
            </w:r>
          </w:p>
          <w:p w:rsidR="00D33813" w:rsidRPr="00275862" w:rsidRDefault="00D33813" w:rsidP="006666D5">
            <w:pPr>
              <w:tabs>
                <w:tab w:val="right" w:pos="9781"/>
              </w:tabs>
              <w:jc w:val="left"/>
              <w:rPr>
                <w:sz w:val="16"/>
                <w:szCs w:val="16"/>
              </w:rPr>
            </w:pPr>
          </w:p>
          <w:p w:rsidR="00D33813" w:rsidRPr="00275862" w:rsidRDefault="00D33813" w:rsidP="006666D5">
            <w:pPr>
              <w:tabs>
                <w:tab w:val="right" w:pos="9781"/>
              </w:tabs>
              <w:jc w:val="left"/>
              <w:rPr>
                <w:sz w:val="16"/>
                <w:szCs w:val="16"/>
              </w:rPr>
            </w:pPr>
          </w:p>
        </w:tc>
        <w:tc>
          <w:tcPr>
            <w:tcW w:w="142" w:type="pct"/>
          </w:tcPr>
          <w:p w:rsidR="00421EA1" w:rsidRPr="00275862" w:rsidRDefault="00421EA1" w:rsidP="006666D5">
            <w:pPr>
              <w:pStyle w:val="Textpoznpodarou"/>
              <w:tabs>
                <w:tab w:val="right" w:pos="9781"/>
              </w:tabs>
              <w:jc w:val="both"/>
            </w:pPr>
          </w:p>
        </w:tc>
        <w:tc>
          <w:tcPr>
            <w:tcW w:w="3804" w:type="pct"/>
          </w:tcPr>
          <w:p w:rsidR="00421EA1" w:rsidRPr="00275862" w:rsidRDefault="00421EA1" w:rsidP="006666D5">
            <w:pPr>
              <w:pStyle w:val="Textpoznpodarou"/>
              <w:tabs>
                <w:tab w:val="right" w:pos="9781"/>
              </w:tabs>
              <w:jc w:val="both"/>
            </w:pPr>
            <w:r w:rsidRPr="00275862">
              <w:t>Podobnost snoubenců z hlediska dosaženého vzdělání se z dlouhodobého pohledu výrazněji nemění. Stabilně přes polovinu sňatků (z těch, kde oba snoubenci své vzdělání uvedli) uzavírají snoubenci, kteří mají stejné vzdělání (54,5 % v roce 2012). Dlouhodobě však dochází k nárůstu zastoupení sňatků, při kterých má nevěsta vyšší vzdělání než ženich, což je zapříčiněno měnící se strukturou obyvatelstva podle vzdělání. Roste zastoupení lidí, kteří mají alespoň středoškolské vzdělání s maturitou, především však vysokoškoláků – v roce 1995 představovali pouze 7,8 % celkové populace, ale do roku 2013 se jejich podíl více jak zdvojnásobil na 16,7 %</w:t>
            </w:r>
            <w:r w:rsidRPr="00275862">
              <w:rPr>
                <w:rStyle w:val="Znakapoznpodarou"/>
              </w:rPr>
              <w:footnoteReference w:id="3"/>
            </w:r>
            <w:r w:rsidRPr="00275862">
              <w:t>. Tyto změny jsou patrné jak u</w:t>
            </w:r>
            <w:r w:rsidR="000E0843" w:rsidRPr="00275862">
              <w:t> </w:t>
            </w:r>
            <w:r w:rsidRPr="00275862">
              <w:t xml:space="preserve">mužů, tak i u žen. U žen je ale nárůst vysokoškolsky vzdělaných výraznější a jejich podíl se od roku 1995 téměř ztrojnásobil z 5,8 % z roku 1995 na 16,2 % v roce 2013 (u mužů nárůst o 71 %). U mladších věkových skupin do 35 let se tento podíl u žen dokonce více jak zečtyřnásobil (u mužů více jak zdvojnásobil). Zvýšil se také rozdíl mezi muži a ženami – zatím co u mladých do 35 let ukončilo vysokou školu 22,8 % žen, u mužů to bylo pouze 15,7 %. Tyto změny potvrzují i data o genderovém složení absolventů (viz graf č. 1) - podíl žen na celkovém počtu absolventů vysokých škol se plynule zvyšuje a v roce 2012 představoval 63 %. </w:t>
            </w:r>
          </w:p>
          <w:p w:rsidR="00421EA1" w:rsidRPr="00275862" w:rsidRDefault="00421EA1" w:rsidP="006666D5">
            <w:pPr>
              <w:pStyle w:val="Textpoznpodarou"/>
              <w:tabs>
                <w:tab w:val="right" w:pos="9781"/>
              </w:tabs>
              <w:jc w:val="both"/>
            </w:pPr>
          </w:p>
        </w:tc>
      </w:tr>
      <w:tr w:rsidR="00421EA1" w:rsidRPr="00275862" w:rsidTr="00AC4FF2">
        <w:tc>
          <w:tcPr>
            <w:tcW w:w="1054" w:type="pct"/>
          </w:tcPr>
          <w:p w:rsidR="00421EA1" w:rsidRPr="00275862" w:rsidRDefault="00D33813" w:rsidP="006666D5">
            <w:pPr>
              <w:tabs>
                <w:tab w:val="right" w:pos="9781"/>
              </w:tabs>
              <w:jc w:val="left"/>
              <w:rPr>
                <w:sz w:val="16"/>
                <w:szCs w:val="16"/>
              </w:rPr>
            </w:pPr>
            <w:r w:rsidRPr="00275862">
              <w:rPr>
                <w:sz w:val="16"/>
                <w:szCs w:val="16"/>
              </w:rPr>
              <w:t>Opakované sňatky vykazují nižší míru podobnosti, než sňatky svobodných</w:t>
            </w:r>
            <w:r w:rsidR="00275862" w:rsidRPr="00275862">
              <w:rPr>
                <w:sz w:val="16"/>
                <w:szCs w:val="16"/>
              </w:rPr>
              <w:t>, ale rozdíl se postupem času změnšuje</w:t>
            </w:r>
          </w:p>
        </w:tc>
        <w:tc>
          <w:tcPr>
            <w:tcW w:w="142" w:type="pct"/>
          </w:tcPr>
          <w:p w:rsidR="00421EA1" w:rsidRPr="00275862" w:rsidRDefault="00421EA1" w:rsidP="006666D5">
            <w:pPr>
              <w:pStyle w:val="Textpoznpodarou"/>
              <w:tabs>
                <w:tab w:val="right" w:pos="9781"/>
              </w:tabs>
              <w:jc w:val="both"/>
            </w:pPr>
          </w:p>
        </w:tc>
        <w:tc>
          <w:tcPr>
            <w:tcW w:w="3804" w:type="pct"/>
          </w:tcPr>
          <w:p w:rsidR="00421EA1" w:rsidRPr="00275862" w:rsidRDefault="00421EA1" w:rsidP="006666D5">
            <w:pPr>
              <w:tabs>
                <w:tab w:val="right" w:pos="9781"/>
              </w:tabs>
              <w:rPr>
                <w:rFonts w:cs="Arial"/>
                <w:szCs w:val="20"/>
              </w:rPr>
            </w:pPr>
            <w:r w:rsidRPr="00275862">
              <w:t>U prvních sňatků je pak míra homogamie vyšší – v roce 1994 u vzájemně prvních sňatků podíl stejně vzdělaných snoubenců představoval 60,3 %, ale do roku 2012 klesl na 55,6 %. Naproti tomu u sňatků, kde alespoň u jednoho z páru se jednalo o opakovaný sňatek, se tento podíl téměř nezměnil a v roce 2012 představoval 52,4 %. Zmenšuje se tedy rozdíl v míře vzdělanostní homogamie u vzájemně prvních sňatků a u svateb, kde minimálně jeden ze snoubenců měl s manželstvím již zkušenost, tedy byl rozvedený, nebo ovdovělý.</w:t>
            </w:r>
          </w:p>
        </w:tc>
      </w:tr>
    </w:tbl>
    <w:p w:rsidR="00421EA1" w:rsidRPr="00275862" w:rsidRDefault="00421EA1" w:rsidP="006666D5">
      <w:pPr>
        <w:tabs>
          <w:tab w:val="right" w:pos="9781"/>
        </w:tabs>
      </w:pPr>
    </w:p>
    <w:tbl>
      <w:tblPr>
        <w:tblW w:w="10727" w:type="dxa"/>
        <w:jc w:val="center"/>
        <w:tblCellMar>
          <w:left w:w="28" w:type="dxa"/>
          <w:right w:w="28" w:type="dxa"/>
        </w:tblCellMar>
        <w:tblLook w:val="04A0"/>
      </w:tblPr>
      <w:tblGrid>
        <w:gridCol w:w="920"/>
        <w:gridCol w:w="9807"/>
      </w:tblGrid>
      <w:tr w:rsidR="00421EA1" w:rsidRPr="00275862" w:rsidTr="00E068F6">
        <w:trPr>
          <w:jc w:val="center"/>
        </w:trPr>
        <w:tc>
          <w:tcPr>
            <w:tcW w:w="429" w:type="pct"/>
          </w:tcPr>
          <w:p w:rsidR="00421EA1" w:rsidRPr="00275862" w:rsidRDefault="00421EA1" w:rsidP="006666D5">
            <w:pPr>
              <w:tabs>
                <w:tab w:val="right" w:pos="9781"/>
              </w:tabs>
              <w:jc w:val="left"/>
            </w:pPr>
            <w:r w:rsidRPr="00275862">
              <w:t>Graf č. 1</w:t>
            </w:r>
          </w:p>
        </w:tc>
        <w:tc>
          <w:tcPr>
            <w:tcW w:w="4571" w:type="pct"/>
          </w:tcPr>
          <w:p w:rsidR="00421EA1" w:rsidRPr="00275862" w:rsidRDefault="00421EA1" w:rsidP="006666D5">
            <w:pPr>
              <w:tabs>
                <w:tab w:val="right" w:pos="9781"/>
              </w:tabs>
              <w:ind w:left="9"/>
              <w:rPr>
                <w:b/>
              </w:rPr>
            </w:pPr>
            <w:r w:rsidRPr="00275862">
              <w:rPr>
                <w:b/>
              </w:rPr>
              <w:t>Vývoj vzdělanostní homogamie snoubenců v letech 1976-2012 a vývoj podílu žen mezi prvními absolventy vysokých škol v letech 2001-2012</w:t>
            </w:r>
          </w:p>
          <w:p w:rsidR="00275862" w:rsidRPr="00275862" w:rsidRDefault="00275862" w:rsidP="006666D5">
            <w:pPr>
              <w:tabs>
                <w:tab w:val="right" w:pos="9781"/>
              </w:tabs>
              <w:ind w:left="9"/>
            </w:pPr>
          </w:p>
          <w:p w:rsidR="00421EA1" w:rsidRPr="00275862" w:rsidRDefault="00421EA1" w:rsidP="006666D5">
            <w:pPr>
              <w:tabs>
                <w:tab w:val="right" w:pos="9781"/>
              </w:tabs>
              <w:jc w:val="left"/>
              <w:rPr>
                <w:b/>
              </w:rPr>
            </w:pPr>
            <w:r w:rsidRPr="00275862">
              <w:rPr>
                <w:b/>
                <w:noProof/>
              </w:rPr>
              <w:drawing>
                <wp:inline distT="0" distB="0" distL="0" distR="0">
                  <wp:extent cx="6155055" cy="2162175"/>
                  <wp:effectExtent l="19050" t="0" r="17145" b="0"/>
                  <wp:docPr id="10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421EA1" w:rsidRPr="00275862" w:rsidTr="00E068F6">
        <w:trPr>
          <w:jc w:val="center"/>
        </w:trPr>
        <w:tc>
          <w:tcPr>
            <w:tcW w:w="5000" w:type="pct"/>
            <w:gridSpan w:val="2"/>
          </w:tcPr>
          <w:p w:rsidR="00421EA1" w:rsidRPr="00275862" w:rsidRDefault="00421EA1" w:rsidP="006666D5">
            <w:pPr>
              <w:tabs>
                <w:tab w:val="right" w:pos="9781"/>
              </w:tabs>
              <w:jc w:val="right"/>
            </w:pPr>
            <w:r w:rsidRPr="00275862">
              <w:t>Zdroj dat: ČSÚ, MŠMT ČR, vlastní výpočty</w:t>
            </w:r>
          </w:p>
        </w:tc>
      </w:tr>
    </w:tbl>
    <w:p w:rsidR="00421EA1" w:rsidRPr="00275862" w:rsidRDefault="00421EA1" w:rsidP="006666D5">
      <w:pPr>
        <w:pStyle w:val="Nadpis2"/>
        <w:tabs>
          <w:tab w:val="right" w:pos="9781"/>
        </w:tabs>
      </w:pPr>
      <w:bookmarkStart w:id="14" w:name="_Toc384640701"/>
      <w:r w:rsidRPr="00275862">
        <w:t>Věková podobnost snoubenců</w:t>
      </w:r>
      <w:bookmarkEnd w:id="14"/>
    </w:p>
    <w:tbl>
      <w:tblPr>
        <w:tblW w:w="5000" w:type="pct"/>
        <w:tblCellMar>
          <w:left w:w="28" w:type="dxa"/>
          <w:right w:w="28" w:type="dxa"/>
        </w:tblCellMar>
        <w:tblLook w:val="04A0"/>
      </w:tblPr>
      <w:tblGrid>
        <w:gridCol w:w="2050"/>
        <w:gridCol w:w="276"/>
        <w:gridCol w:w="7368"/>
      </w:tblGrid>
      <w:tr w:rsidR="00421EA1" w:rsidRPr="00275862" w:rsidTr="00AC4FF2">
        <w:tc>
          <w:tcPr>
            <w:tcW w:w="1057" w:type="pct"/>
          </w:tcPr>
          <w:p w:rsidR="00421EA1" w:rsidRPr="00275862" w:rsidRDefault="004B0C94" w:rsidP="006666D5">
            <w:pPr>
              <w:tabs>
                <w:tab w:val="right" w:pos="9781"/>
              </w:tabs>
              <w:jc w:val="left"/>
              <w:rPr>
                <w:sz w:val="16"/>
                <w:szCs w:val="16"/>
              </w:rPr>
            </w:pPr>
            <w:r w:rsidRPr="00275862">
              <w:rPr>
                <w:sz w:val="16"/>
                <w:szCs w:val="16"/>
              </w:rPr>
              <w:t>U většiny sňatků je ženich starší, než nevěsta</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pStyle w:val="Textpoznpodarou"/>
              <w:tabs>
                <w:tab w:val="right" w:pos="9781"/>
              </w:tabs>
              <w:jc w:val="both"/>
            </w:pPr>
            <w:r w:rsidRPr="00275862">
              <w:t>Dlouhodobě nejčastěji uzavírají manželství páry, ve kterých je ženich starší než nevěsta, jejich podíl na celkovém počtu sňatků se od roku 1993 pohybuje stabilně okolo 54 %. Postupem času ale klesá podíl uzavíraných manželství, kde jsou snoubenci podobně staří (rozdíl ve věku ženicha a nevěsty je 0 nebo jeden rok</w:t>
            </w:r>
            <w:r w:rsidRPr="00275862">
              <w:rPr>
                <w:rStyle w:val="Znakapoznpodarou"/>
              </w:rPr>
              <w:footnoteReference w:id="4"/>
            </w:r>
            <w:r w:rsidRPr="00275862">
              <w:t xml:space="preserve">). </w:t>
            </w:r>
            <w:r w:rsidRPr="00275862">
              <w:lastRenderedPageBreak/>
              <w:t xml:space="preserve">Naopak roste zastoupení věkově spíše netradičních sňatků, kde muž je mladší než žena (viz graf č. 2). </w:t>
            </w:r>
          </w:p>
          <w:p w:rsidR="00275862" w:rsidRPr="00275862" w:rsidRDefault="00275862" w:rsidP="006666D5">
            <w:pPr>
              <w:pStyle w:val="Textpoznpodarou"/>
              <w:tabs>
                <w:tab w:val="right" w:pos="9781"/>
              </w:tabs>
              <w:jc w:val="both"/>
            </w:pPr>
          </w:p>
        </w:tc>
      </w:tr>
      <w:tr w:rsidR="00421EA1" w:rsidRPr="00275862" w:rsidTr="00AC4FF2">
        <w:tc>
          <w:tcPr>
            <w:tcW w:w="5000" w:type="pct"/>
            <w:gridSpan w:val="3"/>
          </w:tcPr>
          <w:p w:rsidR="00421EA1" w:rsidRPr="00275862" w:rsidRDefault="00421EA1" w:rsidP="006666D5">
            <w:pPr>
              <w:tabs>
                <w:tab w:val="right" w:pos="9781"/>
              </w:tabs>
            </w:pPr>
            <w:r w:rsidRPr="00275862">
              <w:lastRenderedPageBreak/>
              <w:t xml:space="preserve">Graf č. 2 </w:t>
            </w:r>
            <w:r w:rsidRPr="00275862">
              <w:rPr>
                <w:b/>
              </w:rPr>
              <w:t>Vývoj sňatků podle věkového rozdílu mezi snoubenci, 1993-2012</w:t>
            </w:r>
          </w:p>
          <w:p w:rsidR="00421EA1" w:rsidRPr="00275862" w:rsidRDefault="00421EA1" w:rsidP="006666D5">
            <w:pPr>
              <w:tabs>
                <w:tab w:val="right" w:pos="9781"/>
              </w:tabs>
              <w:rPr>
                <w:rFonts w:cs="Arial"/>
                <w:szCs w:val="20"/>
              </w:rPr>
            </w:pPr>
            <w:r w:rsidRPr="00275862">
              <w:rPr>
                <w:rFonts w:cs="Arial"/>
                <w:noProof/>
                <w:szCs w:val="20"/>
              </w:rPr>
              <w:drawing>
                <wp:inline distT="0" distB="0" distL="0" distR="0">
                  <wp:extent cx="6162675" cy="2447925"/>
                  <wp:effectExtent l="19050" t="0" r="9525" b="0"/>
                  <wp:docPr id="10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421EA1" w:rsidRPr="00275862" w:rsidTr="00AC4FF2">
        <w:tc>
          <w:tcPr>
            <w:tcW w:w="1057" w:type="pct"/>
          </w:tcPr>
          <w:p w:rsidR="00421EA1" w:rsidRPr="00275862" w:rsidRDefault="00421EA1" w:rsidP="006666D5">
            <w:pPr>
              <w:tabs>
                <w:tab w:val="right" w:pos="9781"/>
              </w:tabs>
              <w:jc w:val="left"/>
              <w:rPr>
                <w:rFonts w:cs="Arial"/>
                <w:sz w:val="16"/>
                <w:szCs w:val="16"/>
              </w:rPr>
            </w:pP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jc w:val="right"/>
              <w:rPr>
                <w:rFonts w:cs="Arial"/>
                <w:szCs w:val="20"/>
              </w:rPr>
            </w:pPr>
            <w:r w:rsidRPr="00275862">
              <w:t>Zdroj dat: ČSÚ, vlastní výpočty</w:t>
            </w:r>
          </w:p>
        </w:tc>
      </w:tr>
      <w:tr w:rsidR="004B0C94" w:rsidRPr="00275862" w:rsidTr="00AC4FF2">
        <w:tc>
          <w:tcPr>
            <w:tcW w:w="1057" w:type="pct"/>
          </w:tcPr>
          <w:p w:rsidR="004B0C94" w:rsidRPr="00275862" w:rsidRDefault="004B0C94" w:rsidP="006666D5">
            <w:pPr>
              <w:tabs>
                <w:tab w:val="right" w:pos="9781"/>
              </w:tabs>
              <w:jc w:val="left"/>
              <w:rPr>
                <w:rFonts w:cs="Arial"/>
                <w:sz w:val="16"/>
                <w:szCs w:val="16"/>
              </w:rPr>
            </w:pPr>
          </w:p>
        </w:tc>
        <w:tc>
          <w:tcPr>
            <w:tcW w:w="142" w:type="pct"/>
          </w:tcPr>
          <w:p w:rsidR="004B0C94" w:rsidRPr="00275862" w:rsidRDefault="004B0C94" w:rsidP="006666D5">
            <w:pPr>
              <w:pStyle w:val="Textpoznpodarou"/>
              <w:tabs>
                <w:tab w:val="right" w:pos="9781"/>
              </w:tabs>
              <w:jc w:val="both"/>
            </w:pPr>
          </w:p>
        </w:tc>
        <w:tc>
          <w:tcPr>
            <w:tcW w:w="3800" w:type="pct"/>
          </w:tcPr>
          <w:p w:rsidR="004B0C94" w:rsidRPr="00275862" w:rsidRDefault="004B0C94" w:rsidP="006666D5">
            <w:pPr>
              <w:tabs>
                <w:tab w:val="right" w:pos="9781"/>
              </w:tabs>
              <w:jc w:val="right"/>
            </w:pPr>
          </w:p>
        </w:tc>
      </w:tr>
      <w:tr w:rsidR="00421EA1" w:rsidRPr="00275862" w:rsidTr="00AC4FF2">
        <w:tc>
          <w:tcPr>
            <w:tcW w:w="1057" w:type="pct"/>
          </w:tcPr>
          <w:p w:rsidR="00421EA1" w:rsidRPr="00275862" w:rsidRDefault="004B0C94" w:rsidP="006666D5">
            <w:pPr>
              <w:tabs>
                <w:tab w:val="right" w:pos="9781"/>
              </w:tabs>
              <w:jc w:val="left"/>
              <w:rPr>
                <w:rFonts w:cs="Arial"/>
                <w:sz w:val="16"/>
                <w:szCs w:val="16"/>
              </w:rPr>
            </w:pPr>
            <w:r w:rsidRPr="00275862">
              <w:rPr>
                <w:rFonts w:cs="Arial"/>
                <w:sz w:val="16"/>
                <w:szCs w:val="16"/>
              </w:rPr>
              <w:t>Narůstá podíl sňatků snoubenců s výrazným věkovým rozdílem</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Z pohledu na strukturu uzavíraných manželství podle velikosti věkového rozdílu vyplývá, že k poklesu podílu na celkovém počtu sňatků dochází pouze u již zmiňovaných stejně starých snoubenců a u těch, kde je ženich starší o 2-5 let, u všech ostatních kategorií dochází k nárůstu jejich zastoupení. Nejvýraznější relativní změny se odehrály u sňatků, kde b</w:t>
            </w:r>
            <w:r w:rsidR="004B0C94" w:rsidRPr="00275862">
              <w:t>yl muž mladší o 10 a více let </w:t>
            </w:r>
            <w:r w:rsidR="004B0C94" w:rsidRPr="00275862">
              <w:br/>
              <w:t>a </w:t>
            </w:r>
            <w:r w:rsidRPr="00275862">
              <w:t>o</w:t>
            </w:r>
            <w:r w:rsidR="004B0C94" w:rsidRPr="00275862">
              <w:t xml:space="preserve"> </w:t>
            </w:r>
            <w:r w:rsidRPr="00275862">
              <w:t xml:space="preserve">6-9 let (nárůst podílu na sňatcích mezi lety 1993 a 2012 o 70,4 % resp. 63,1 %) a u těch, kde je ženich naopak starší o 10 a více let (nárůst o 37,3 %). Stále jsou to ale málo početné kategorie (dohromady představují necelých 15 % všech sňatků), což pak způsobuje tak výrazné rozdíly v čase. </w:t>
            </w:r>
          </w:p>
          <w:p w:rsidR="00421EA1" w:rsidRPr="00275862" w:rsidRDefault="00421EA1" w:rsidP="006666D5">
            <w:pPr>
              <w:pStyle w:val="Textpoznpodarou"/>
              <w:tabs>
                <w:tab w:val="right" w:pos="9781"/>
              </w:tabs>
              <w:jc w:val="both"/>
              <w:rPr>
                <w:rFonts w:cs="Arial"/>
              </w:rPr>
            </w:pPr>
          </w:p>
        </w:tc>
      </w:tr>
      <w:tr w:rsidR="00421EA1" w:rsidRPr="00275862" w:rsidTr="00AC4FF2">
        <w:tc>
          <w:tcPr>
            <w:tcW w:w="1057" w:type="pct"/>
          </w:tcPr>
          <w:p w:rsidR="00421EA1" w:rsidRPr="00275862" w:rsidRDefault="004B0C94" w:rsidP="006666D5">
            <w:pPr>
              <w:tabs>
                <w:tab w:val="right" w:pos="9781"/>
              </w:tabs>
              <w:jc w:val="left"/>
              <w:rPr>
                <w:rFonts w:cs="Arial"/>
                <w:sz w:val="16"/>
                <w:szCs w:val="16"/>
              </w:rPr>
            </w:pPr>
            <w:r w:rsidRPr="00275862">
              <w:rPr>
                <w:rFonts w:cs="Arial"/>
                <w:sz w:val="16"/>
                <w:szCs w:val="16"/>
              </w:rPr>
              <w:t>S věkem roste i podíl sňatků uzavíraných s mladším partnerem</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Struktura sňatků podle věkového rozdílu snoubenců se výrazně mění podle věku snoubenců (viz graf. č. 3). Jak u mužů, tak u žen platí, že čím uzavírají sňatek později, tím častěji si berou mladšího partnera nebo partnerku, s tím že u mužů je tato tendence výraznější. Současně s věkem klesá podíl sňatků uzavřených se starším partnerem, ale okolo 40 let se tento podíl začíná opět pozvolna zvyšovat, u žen je tento nárůst pak o něco výraznější než u mužů.</w:t>
            </w:r>
          </w:p>
          <w:p w:rsidR="00421EA1" w:rsidRPr="00275862" w:rsidRDefault="00421EA1" w:rsidP="006666D5">
            <w:pPr>
              <w:tabs>
                <w:tab w:val="right" w:pos="9781"/>
              </w:tabs>
              <w:rPr>
                <w:rFonts w:cs="Arial"/>
                <w:szCs w:val="20"/>
              </w:rPr>
            </w:pPr>
          </w:p>
        </w:tc>
      </w:tr>
      <w:tr w:rsidR="00421EA1" w:rsidRPr="00275862" w:rsidTr="00AC4FF2">
        <w:tc>
          <w:tcPr>
            <w:tcW w:w="5000" w:type="pct"/>
            <w:gridSpan w:val="3"/>
          </w:tcPr>
          <w:p w:rsidR="00421EA1" w:rsidRPr="00275862" w:rsidRDefault="00421EA1" w:rsidP="006666D5">
            <w:pPr>
              <w:tabs>
                <w:tab w:val="right" w:pos="9781"/>
              </w:tabs>
              <w:spacing w:after="60"/>
              <w:ind w:left="993" w:hanging="993"/>
            </w:pPr>
            <w:r w:rsidRPr="00275862">
              <w:t xml:space="preserve">Graf č. 3 </w:t>
            </w:r>
            <w:r w:rsidRPr="00275862">
              <w:rPr>
                <w:b/>
              </w:rPr>
              <w:t>Struktura sňatků podle věkového rozdílu snoubenců a věku ženicha a nevěsty, 2012</w:t>
            </w:r>
            <w:r w:rsidRPr="00275862">
              <w:rPr>
                <w:rStyle w:val="Znakapoznpodarou"/>
              </w:rPr>
              <w:footnoteReference w:id="5"/>
            </w:r>
          </w:p>
          <w:p w:rsidR="00421EA1" w:rsidRPr="00275862" w:rsidRDefault="00421EA1" w:rsidP="006666D5">
            <w:pPr>
              <w:pStyle w:val="Textpoznpodarou"/>
              <w:tabs>
                <w:tab w:val="right" w:pos="9781"/>
              </w:tabs>
              <w:jc w:val="both"/>
              <w:rPr>
                <w:rFonts w:cs="Arial"/>
              </w:rPr>
            </w:pPr>
            <w:r w:rsidRPr="00275862">
              <w:rPr>
                <w:rFonts w:cs="Arial"/>
                <w:noProof/>
              </w:rPr>
              <w:drawing>
                <wp:inline distT="0" distB="0" distL="0" distR="0">
                  <wp:extent cx="6162675" cy="2390775"/>
                  <wp:effectExtent l="19050" t="0" r="9525" b="0"/>
                  <wp:docPr id="10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21EA1" w:rsidRPr="00275862" w:rsidTr="00AC4FF2">
        <w:tc>
          <w:tcPr>
            <w:tcW w:w="5000" w:type="pct"/>
            <w:gridSpan w:val="3"/>
          </w:tcPr>
          <w:p w:rsidR="00421EA1" w:rsidRPr="00275862" w:rsidRDefault="00421EA1" w:rsidP="006666D5">
            <w:pPr>
              <w:tabs>
                <w:tab w:val="right" w:pos="9781"/>
              </w:tabs>
              <w:jc w:val="right"/>
            </w:pPr>
            <w:r w:rsidRPr="00275862">
              <w:t>Zdroj dat: ČSÚ, vlastní výpočty</w:t>
            </w:r>
          </w:p>
          <w:p w:rsidR="00421EA1" w:rsidRPr="00275862" w:rsidRDefault="00421EA1" w:rsidP="006666D5">
            <w:pPr>
              <w:tabs>
                <w:tab w:val="right" w:pos="9781"/>
              </w:tabs>
              <w:spacing w:after="60"/>
            </w:pPr>
          </w:p>
        </w:tc>
      </w:tr>
      <w:tr w:rsidR="00421EA1" w:rsidRPr="00275862" w:rsidTr="00AC4FF2">
        <w:tc>
          <w:tcPr>
            <w:tcW w:w="1057" w:type="pct"/>
          </w:tcPr>
          <w:p w:rsidR="00421EA1" w:rsidRPr="00275862" w:rsidRDefault="00275862" w:rsidP="006666D5">
            <w:pPr>
              <w:tabs>
                <w:tab w:val="right" w:pos="9781"/>
              </w:tabs>
              <w:jc w:val="left"/>
              <w:rPr>
                <w:sz w:val="16"/>
                <w:szCs w:val="16"/>
              </w:rPr>
            </w:pPr>
            <w:r>
              <w:rPr>
                <w:sz w:val="16"/>
                <w:szCs w:val="16"/>
              </w:rPr>
              <w:lastRenderedPageBreak/>
              <w:t>Průměrný věkový rozdíl mezi snoubenci se zvyšuje</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Změny ve struktuře sňatků podle velikosti věkového rozdílu snoubenců se projevily i na vývoji průměrného věkového rozdílu snoubenců, který se od roku 1993 plynule mírně zvyšuje. Na počátku sledovaného období, pokud si žena brala staršího muže, byl mezi nimi v průměru rozdíl 4,7 roku, do roku 2012 ale stoupl na 5,5 let. V případě sňatků, kde byl ženich mladší, byl průměrný věkový rozdíl nižší, ale mezi lety 1993 a 2012 se také zvýšil z 3,0</w:t>
            </w:r>
            <w:r w:rsidR="000E0843" w:rsidRPr="00275862">
              <w:t> let</w:t>
            </w:r>
            <w:r w:rsidRPr="00275862">
              <w:t xml:space="preserve"> na 3,6 let</w:t>
            </w:r>
            <w:r w:rsidRPr="00275862">
              <w:rPr>
                <w:rStyle w:val="Znakapoznpodarou"/>
              </w:rPr>
              <w:footnoteReference w:id="6"/>
            </w:r>
            <w:r w:rsidRPr="00275862">
              <w:t>. U vzájemně prvních sňatků pak byly věkové rozdíly nižší – v případě párů s mladším ženichem průměrný rozdíl v roce 2012 činil 2,7</w:t>
            </w:r>
            <w:r w:rsidR="000E0843" w:rsidRPr="00275862">
              <w:t> </w:t>
            </w:r>
            <w:r w:rsidRPr="00275862">
              <w:t xml:space="preserve">let a se starším 4,3 let což je o 0,6 resp. 0,7 roku více než v roce 1993. </w:t>
            </w:r>
          </w:p>
          <w:p w:rsidR="00421EA1" w:rsidRPr="00275862" w:rsidRDefault="00421EA1" w:rsidP="006666D5">
            <w:pPr>
              <w:pStyle w:val="Textpoznpodarou"/>
              <w:tabs>
                <w:tab w:val="right" w:pos="9781"/>
              </w:tabs>
              <w:jc w:val="both"/>
            </w:pPr>
          </w:p>
        </w:tc>
      </w:tr>
      <w:tr w:rsidR="00421EA1" w:rsidRPr="00275862" w:rsidTr="00AC4FF2">
        <w:tc>
          <w:tcPr>
            <w:tcW w:w="5000" w:type="pct"/>
            <w:gridSpan w:val="3"/>
          </w:tcPr>
          <w:p w:rsidR="00421EA1" w:rsidRPr="00275862" w:rsidRDefault="00421EA1" w:rsidP="006666D5">
            <w:pPr>
              <w:tabs>
                <w:tab w:val="right" w:pos="9781"/>
              </w:tabs>
              <w:spacing w:after="40"/>
              <w:rPr>
                <w:vertAlign w:val="superscript"/>
              </w:rPr>
            </w:pPr>
            <w:r w:rsidRPr="00275862">
              <w:t xml:space="preserve">Graf č. 4 </w:t>
            </w:r>
            <w:r w:rsidRPr="00275862">
              <w:rPr>
                <w:b/>
              </w:rPr>
              <w:t>Průměrný</w:t>
            </w:r>
            <w:r w:rsidRPr="00275862">
              <w:t xml:space="preserve"> </w:t>
            </w:r>
            <w:r w:rsidRPr="00275862">
              <w:rPr>
                <w:b/>
              </w:rPr>
              <w:t>věkový rozdíl mezi snoubenci podle věku ženicha a nevěsty, 2012</w:t>
            </w:r>
            <w:r w:rsidRPr="00275862">
              <w:rPr>
                <w:rStyle w:val="Znakapoznpodarou"/>
              </w:rPr>
              <w:footnoteReference w:id="7"/>
            </w:r>
          </w:p>
          <w:p w:rsidR="00421EA1" w:rsidRPr="00275862" w:rsidRDefault="00421EA1" w:rsidP="006666D5">
            <w:pPr>
              <w:pStyle w:val="Textpoznpodarou"/>
              <w:tabs>
                <w:tab w:val="right" w:pos="9781"/>
              </w:tabs>
              <w:jc w:val="both"/>
              <w:rPr>
                <w:rFonts w:cs="Arial"/>
              </w:rPr>
            </w:pPr>
            <w:r w:rsidRPr="00275862">
              <w:rPr>
                <w:rFonts w:cs="Arial"/>
                <w:noProof/>
              </w:rPr>
              <w:drawing>
                <wp:inline distT="0" distB="0" distL="0" distR="0">
                  <wp:extent cx="6162675" cy="2867025"/>
                  <wp:effectExtent l="19050" t="0" r="9525" b="0"/>
                  <wp:docPr id="10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421EA1" w:rsidRPr="00275862" w:rsidTr="00AC4FF2">
        <w:tc>
          <w:tcPr>
            <w:tcW w:w="5000" w:type="pct"/>
            <w:gridSpan w:val="3"/>
          </w:tcPr>
          <w:p w:rsidR="00421EA1" w:rsidRPr="00275862" w:rsidRDefault="00421EA1" w:rsidP="006666D5">
            <w:pPr>
              <w:tabs>
                <w:tab w:val="right" w:pos="9781"/>
              </w:tabs>
              <w:jc w:val="right"/>
            </w:pPr>
            <w:r w:rsidRPr="00275862">
              <w:t>Zdroj dat: ČSÚ, vlastní výpočty</w:t>
            </w:r>
          </w:p>
          <w:p w:rsidR="007A60AC" w:rsidRPr="00275862" w:rsidRDefault="007A60AC" w:rsidP="006666D5">
            <w:pPr>
              <w:tabs>
                <w:tab w:val="right" w:pos="9781"/>
              </w:tabs>
              <w:jc w:val="right"/>
            </w:pPr>
          </w:p>
        </w:tc>
      </w:tr>
      <w:tr w:rsidR="00421EA1" w:rsidRPr="00275862" w:rsidTr="00AC4FF2">
        <w:tc>
          <w:tcPr>
            <w:tcW w:w="1057" w:type="pct"/>
          </w:tcPr>
          <w:p w:rsidR="00421EA1" w:rsidRPr="00275862" w:rsidRDefault="000F4D30" w:rsidP="006666D5">
            <w:pPr>
              <w:tabs>
                <w:tab w:val="right" w:pos="9781"/>
              </w:tabs>
              <w:jc w:val="left"/>
              <w:rPr>
                <w:rFonts w:cs="Arial"/>
                <w:sz w:val="16"/>
                <w:szCs w:val="16"/>
              </w:rPr>
            </w:pPr>
            <w:r w:rsidRPr="00275862">
              <w:rPr>
                <w:rFonts w:cs="Arial"/>
                <w:sz w:val="16"/>
                <w:szCs w:val="16"/>
              </w:rPr>
              <w:t>S rostoucím věkem při sňatku se zvyšuje i průměrný věkový rozdíl snoubenců</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Průměrný věkový rozdíl mezi snoubenci se liší podle věku, ve kterém manželství uzavírají (viz graf č. 4). Pakliže si člověk bere mladšího partnera nebo partnerku, se zvyšujícím se věkem roste i jejich průměrný věkový rozdíl. U mužů je pak nárůst výraznější než u žen. Pro srovnání muži i ženy, kteří uzavírají sňatek v 19 letech a nižším věku si berou v průměru o 2 roky mladšího partnera/ku, ve 40 letech si muži berou partnerku o téměř 8 let mla</w:t>
            </w:r>
            <w:r w:rsidR="00600F44">
              <w:t>dší, zatím</w:t>
            </w:r>
            <w:r w:rsidRPr="00275862">
              <w:t xml:space="preserve">co ženy mají snoubence mladšího v průměru o více jak 6 let. Při sňatku se starším partnerem/kou jsou v mladším věku rozdíly mezi snoubenci výraznější, ale zhruba do 28 let se snižují. Od tohoto věku pak začíná průměrný věkový rozdíl růst. Vzhledem k této věkové diferenciaci má na vývoj celkového věkového rozdílu mezi snoubenci vliv i měnící se věková struktura snoubenců. Vstup do manželství se odkládá do stále vyššího věku a roste tedy zastoupení starších snoubenců, kteří také vykazují vyšší věkové rozdíly. Pokud by tedy byly věkové rozdíly podle věku z roku 1993 aplikovány na věkovou strukturu z roku 2012, průměrný věkový rozdíl by se mezi těmito roky nezvýšil, ale naopak snížil, a to jak u sňatků se starším ženichem, tak u těch kde byla starší nevěsta. </w:t>
            </w:r>
          </w:p>
          <w:p w:rsidR="00421EA1" w:rsidRPr="00275862" w:rsidRDefault="00421EA1" w:rsidP="006666D5">
            <w:pPr>
              <w:pStyle w:val="Textpoznpodarou"/>
              <w:tabs>
                <w:tab w:val="right" w:pos="9781"/>
              </w:tabs>
              <w:jc w:val="both"/>
              <w:rPr>
                <w:rFonts w:cs="Arial"/>
              </w:rPr>
            </w:pPr>
          </w:p>
        </w:tc>
      </w:tr>
      <w:tr w:rsidR="00421EA1" w:rsidRPr="00275862" w:rsidTr="00AC4FF2">
        <w:tc>
          <w:tcPr>
            <w:tcW w:w="1057" w:type="pct"/>
          </w:tcPr>
          <w:p w:rsidR="00421EA1" w:rsidRPr="00275862" w:rsidRDefault="000F4D30" w:rsidP="006666D5">
            <w:pPr>
              <w:tabs>
                <w:tab w:val="right" w:pos="9781"/>
              </w:tabs>
              <w:jc w:val="left"/>
              <w:rPr>
                <w:rFonts w:cs="Arial"/>
                <w:sz w:val="16"/>
                <w:szCs w:val="16"/>
              </w:rPr>
            </w:pPr>
            <w:r w:rsidRPr="00275862">
              <w:rPr>
                <w:rFonts w:cs="Arial"/>
                <w:sz w:val="16"/>
                <w:szCs w:val="16"/>
              </w:rPr>
              <w:t>Podíl podobně starých snoubenců je u prvních sňatků vyšší</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rPr>
                <w:rFonts w:cs="Arial"/>
                <w:szCs w:val="20"/>
              </w:rPr>
            </w:pPr>
            <w:r w:rsidRPr="00275862">
              <w:t xml:space="preserve">Na věkovou homogamii má vliv i pořadí sňatku. U prvních sňatků je výrazně vyšší podíl těch, kde snoubenci jsou stejně staří a platí to jak pro muže, tak pro ženy, ale u mužů je rozdíl výraznější (16,2 p.b. oproti 9,3 p.b. u žen). Častěji si muži i ženy při opakovaném sňatku berou mladšího partnera (rozdíl oproti prvním sňatkům 21,0 p.b. u mužů a 17,1 p.b. u žen). Dá se tedy říci, že muži se zkušeností s manželstvím mají větší tendenci k tradičním sňatkům s mladší </w:t>
            </w:r>
            <w:r w:rsidRPr="00275862">
              <w:lastRenderedPageBreak/>
              <w:t xml:space="preserve">partnerkou než svobodní. Tyto rozdíly však opět ve velké míře souvisí s odlišnou věkovou strukturou v důsledku vyššího věku při opakovaném sňatku. Podíl stejně starých snoubenců se v jednotlivých věkových kategoriích liší nejvíce </w:t>
            </w:r>
            <w:r w:rsidRPr="00275862">
              <w:br/>
              <w:t>v 25-29 letech, kdy rozdíl mezi podílem stejně starých snoubenců u prvních a opakovaných sňatků tvoří 12,1 p.b. u mužů a 10,1 p.b. u žen, ale u starších snoubenců jsou pak rozdíly minimální.</w:t>
            </w:r>
          </w:p>
          <w:p w:rsidR="00421EA1" w:rsidRPr="00275862" w:rsidRDefault="00421EA1" w:rsidP="006666D5">
            <w:pPr>
              <w:tabs>
                <w:tab w:val="right" w:pos="9781"/>
              </w:tabs>
              <w:rPr>
                <w:rFonts w:cs="Arial"/>
              </w:rPr>
            </w:pPr>
          </w:p>
        </w:tc>
      </w:tr>
      <w:tr w:rsidR="00421EA1" w:rsidRPr="00275862" w:rsidTr="00AC4FF2">
        <w:tc>
          <w:tcPr>
            <w:tcW w:w="5000" w:type="pct"/>
            <w:gridSpan w:val="3"/>
          </w:tcPr>
          <w:p w:rsidR="00421EA1" w:rsidRPr="00275862" w:rsidRDefault="00421EA1" w:rsidP="006666D5">
            <w:pPr>
              <w:tabs>
                <w:tab w:val="right" w:pos="9781"/>
              </w:tabs>
              <w:ind w:left="993" w:hanging="993"/>
            </w:pPr>
            <w:r w:rsidRPr="00275862">
              <w:lastRenderedPageBreak/>
              <w:t xml:space="preserve">Graf č. 5 </w:t>
            </w:r>
            <w:r w:rsidRPr="00275862">
              <w:rPr>
                <w:b/>
              </w:rPr>
              <w:t>Podíl sňatků rozvedených do roku 2012 podle věkového rozdílu snoubenců a roku uzavření sňatku</w:t>
            </w:r>
            <w:r w:rsidRPr="00275862">
              <w:rPr>
                <w:rStyle w:val="Znakapoznpodarou"/>
              </w:rPr>
              <w:footnoteReference w:id="8"/>
            </w:r>
          </w:p>
          <w:p w:rsidR="00421EA1" w:rsidRPr="00275862" w:rsidRDefault="00421EA1" w:rsidP="006666D5">
            <w:pPr>
              <w:tabs>
                <w:tab w:val="right" w:pos="9781"/>
              </w:tabs>
              <w:rPr>
                <w:rFonts w:cs="Arial"/>
                <w:szCs w:val="20"/>
              </w:rPr>
            </w:pPr>
            <w:r w:rsidRPr="00275862">
              <w:rPr>
                <w:rFonts w:cs="Arial"/>
                <w:noProof/>
                <w:szCs w:val="20"/>
              </w:rPr>
              <w:drawing>
                <wp:inline distT="0" distB="0" distL="0" distR="0">
                  <wp:extent cx="6162675" cy="2581275"/>
                  <wp:effectExtent l="19050" t="0" r="9525" b="0"/>
                  <wp:docPr id="10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21EA1" w:rsidRPr="00275862" w:rsidTr="00AC4FF2">
        <w:tc>
          <w:tcPr>
            <w:tcW w:w="5000" w:type="pct"/>
            <w:gridSpan w:val="3"/>
          </w:tcPr>
          <w:p w:rsidR="00421EA1" w:rsidRPr="00275862" w:rsidRDefault="00421EA1" w:rsidP="006666D5">
            <w:pPr>
              <w:tabs>
                <w:tab w:val="right" w:pos="9781"/>
              </w:tabs>
              <w:jc w:val="right"/>
            </w:pPr>
            <w:r w:rsidRPr="00275862">
              <w:t>Zdroj dat: ČSÚ, vlastní výpočty</w:t>
            </w:r>
          </w:p>
          <w:p w:rsidR="007A60AC" w:rsidRPr="00275862" w:rsidRDefault="007A60AC" w:rsidP="006666D5">
            <w:pPr>
              <w:tabs>
                <w:tab w:val="right" w:pos="9781"/>
              </w:tabs>
              <w:jc w:val="right"/>
            </w:pPr>
          </w:p>
        </w:tc>
      </w:tr>
      <w:tr w:rsidR="00421EA1" w:rsidRPr="00275862" w:rsidTr="00AC4FF2">
        <w:tc>
          <w:tcPr>
            <w:tcW w:w="1057" w:type="pct"/>
          </w:tcPr>
          <w:p w:rsidR="00421EA1" w:rsidRPr="00275862" w:rsidRDefault="007A60AC" w:rsidP="006666D5">
            <w:pPr>
              <w:tabs>
                <w:tab w:val="right" w:pos="9781"/>
              </w:tabs>
              <w:jc w:val="left"/>
              <w:rPr>
                <w:sz w:val="16"/>
                <w:szCs w:val="16"/>
              </w:rPr>
            </w:pPr>
            <w:r w:rsidRPr="00275862">
              <w:rPr>
                <w:sz w:val="16"/>
                <w:szCs w:val="16"/>
              </w:rPr>
              <w:t>Manželství, kde je muž mladší, vykazují nižší míru stability…</w:t>
            </w: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r w:rsidRPr="00275862">
              <w:rPr>
                <w:sz w:val="16"/>
                <w:szCs w:val="16"/>
              </w:rPr>
              <w:t>… a s rostoucím věkovým rozdílem roste i podíl rozvedených manželství</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Věkové rozdíly mezi snoubenci mohou do určité míry ovlivňovat stabilitu jejich manželství. Jak je vidět na grafu č. 5 podíl rozvedených sňatků, kde byl muž mladší než žena, je vyšší než u ostatních sňatků a to u všech sňatků uzavřených mezi lety 1993 a 2012. Ze sňatků, ve kterých byl muž mladší a které byly uzavřeny v roce 1993, se do roku 2012 rozvedlo 42,2 %, zatím co z manželství, kde byl muž starší, se rozvedlo jen 36,9 %. Nejnižší rozvodovost sňatků se starším mužem je patrná do roku 1996. U sňatků uzavřených v roce 1997 a později pak vykazují nejvyšší stabilitu stejně staré páry. Otázkou však je, do jaké míry má na rozvodovost manželství podle věkového rozdílu manželů vliv délka trvání manželství, tedy zda se například manželství se starším mužem nerozvádějí po kratší době trvání manželství než ta, kde jsou oba manželé stejně staří. U věkově netradičních sňatků s mladším ženichem pak platí, že čím je větší věkový rozdíl mezi snoubenci, tím jsou nestabilnější, pro srovnání – u snoubenců, kde byl muž mladší o 2-5 let se ze sňatků z roku 1993 rozvedlo 41,6 %, ale těch ve kterých byl muž mladší o více jak 10 let již 46,9 %. Vzrůstající rozvodovost se zvyšujícím se věkovým rozdílem platí i u sňatků, kde byl starší muž, ale až u sňatků uzavřených v roce 1999 a později.</w:t>
            </w: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tc>
      </w:tr>
      <w:tr w:rsidR="00421EA1" w:rsidRPr="00275862" w:rsidTr="00AC4FF2">
        <w:tc>
          <w:tcPr>
            <w:tcW w:w="5000" w:type="pct"/>
            <w:gridSpan w:val="3"/>
          </w:tcPr>
          <w:p w:rsidR="00421EA1" w:rsidRPr="00275862" w:rsidRDefault="0066608A" w:rsidP="006666D5">
            <w:pPr>
              <w:pStyle w:val="Nadpis1"/>
              <w:tabs>
                <w:tab w:val="right" w:pos="9781"/>
              </w:tabs>
              <w:rPr>
                <w:rFonts w:cs="Arial"/>
                <w:szCs w:val="20"/>
              </w:rPr>
            </w:pPr>
            <w:bookmarkStart w:id="15" w:name="_Toc384640702"/>
            <w:r w:rsidRPr="00275862">
              <w:lastRenderedPageBreak/>
              <w:t>Věková a v</w:t>
            </w:r>
            <w:r w:rsidR="00421EA1" w:rsidRPr="00275862">
              <w:t xml:space="preserve">zdělanostní </w:t>
            </w:r>
            <w:r w:rsidRPr="00275862">
              <w:t xml:space="preserve"> </w:t>
            </w:r>
            <w:r w:rsidR="00421EA1" w:rsidRPr="00275862">
              <w:t>homogamie párů žijících v manželství a</w:t>
            </w:r>
            <w:r w:rsidRPr="00275862">
              <w:t> </w:t>
            </w:r>
            <w:r w:rsidR="00421EA1" w:rsidRPr="00275862">
              <w:t>v</w:t>
            </w:r>
            <w:r w:rsidRPr="00275862">
              <w:t> </w:t>
            </w:r>
            <w:r w:rsidR="00421EA1" w:rsidRPr="00275862">
              <w:t>nesezdaných soužitích</w:t>
            </w:r>
            <w:bookmarkEnd w:id="15"/>
          </w:p>
        </w:tc>
      </w:tr>
      <w:tr w:rsidR="00421EA1" w:rsidRPr="00275862" w:rsidTr="00AC4FF2">
        <w:tc>
          <w:tcPr>
            <w:tcW w:w="5000" w:type="pct"/>
            <w:gridSpan w:val="3"/>
          </w:tcPr>
          <w:p w:rsidR="00421EA1" w:rsidRPr="00275862" w:rsidRDefault="00421EA1" w:rsidP="006666D5">
            <w:pPr>
              <w:tabs>
                <w:tab w:val="right" w:pos="9781"/>
              </w:tabs>
              <w:spacing w:after="160"/>
            </w:pPr>
            <w:r w:rsidRPr="00275862">
              <w:t xml:space="preserve">Díky datům o domácnostech ze sčítání lidu je možné zkoumat homogamii partnerů nejen u manželských párů, ale také v nesezdaných soužitích a lze tedy porovnat, do jaké míry se liší podobnosti partnerů, kteří svůj vztah legitimizovali a těch, kteří tak neučinili. </w:t>
            </w:r>
          </w:p>
          <w:p w:rsidR="00421EA1" w:rsidRPr="00275862" w:rsidRDefault="00421EA1" w:rsidP="006666D5">
            <w:pPr>
              <w:pStyle w:val="Odstavecseseznamem"/>
              <w:keepNext/>
              <w:numPr>
                <w:ilvl w:val="0"/>
                <w:numId w:val="4"/>
              </w:numPr>
              <w:tabs>
                <w:tab w:val="right" w:pos="9781"/>
              </w:tabs>
              <w:spacing w:before="400" w:after="180"/>
              <w:jc w:val="both"/>
              <w:outlineLvl w:val="1"/>
              <w:rPr>
                <w:b/>
                <w:bCs/>
                <w:iCs/>
                <w:vanish/>
                <w:sz w:val="24"/>
                <w:szCs w:val="24"/>
              </w:rPr>
            </w:pPr>
            <w:bookmarkStart w:id="16" w:name="_Toc383676863"/>
            <w:bookmarkStart w:id="17" w:name="_Toc383679560"/>
            <w:bookmarkStart w:id="18" w:name="_Toc383681725"/>
            <w:bookmarkStart w:id="19" w:name="_Toc383681792"/>
            <w:bookmarkStart w:id="20" w:name="_Toc383681886"/>
            <w:bookmarkStart w:id="21" w:name="_Toc383682311"/>
            <w:bookmarkStart w:id="22" w:name="_Toc383690466"/>
            <w:bookmarkStart w:id="23" w:name="_Toc384640703"/>
            <w:bookmarkEnd w:id="16"/>
            <w:bookmarkEnd w:id="17"/>
            <w:bookmarkEnd w:id="18"/>
            <w:bookmarkEnd w:id="19"/>
            <w:bookmarkEnd w:id="20"/>
            <w:bookmarkEnd w:id="21"/>
            <w:bookmarkEnd w:id="22"/>
            <w:bookmarkEnd w:id="23"/>
          </w:p>
          <w:p w:rsidR="00421EA1" w:rsidRPr="00275862" w:rsidRDefault="00421EA1" w:rsidP="006666D5">
            <w:pPr>
              <w:pStyle w:val="Nadpis2"/>
              <w:tabs>
                <w:tab w:val="right" w:pos="9781"/>
              </w:tabs>
            </w:pPr>
            <w:bookmarkStart w:id="24" w:name="_Toc384640704"/>
            <w:r w:rsidRPr="00275862">
              <w:t>Vzdělanostní homogamie párů žijících v manželství a v nesezdaných soužitích</w:t>
            </w:r>
            <w:bookmarkEnd w:id="24"/>
          </w:p>
        </w:tc>
      </w:tr>
      <w:tr w:rsidR="00421EA1" w:rsidRPr="00275862" w:rsidTr="00AC4FF2">
        <w:tc>
          <w:tcPr>
            <w:tcW w:w="1057" w:type="pct"/>
          </w:tcPr>
          <w:p w:rsidR="00421EA1" w:rsidRPr="00275862" w:rsidRDefault="00262761" w:rsidP="006666D5">
            <w:pPr>
              <w:tabs>
                <w:tab w:val="right" w:pos="9781"/>
              </w:tabs>
              <w:jc w:val="left"/>
              <w:rPr>
                <w:rFonts w:cs="Arial"/>
                <w:sz w:val="16"/>
                <w:szCs w:val="16"/>
              </w:rPr>
            </w:pPr>
            <w:r w:rsidRPr="00275862">
              <w:rPr>
                <w:rFonts w:cs="Arial"/>
                <w:sz w:val="16"/>
                <w:szCs w:val="16"/>
              </w:rPr>
              <w:t xml:space="preserve">Partneři žijící v manželství mají častěji stejné vzdělání než ti v nesezdaných </w:t>
            </w:r>
            <w:r w:rsidR="00630920" w:rsidRPr="00275862">
              <w:rPr>
                <w:rFonts w:cs="Arial"/>
                <w:sz w:val="16"/>
                <w:szCs w:val="16"/>
              </w:rPr>
              <w:t>soužití</w:t>
            </w:r>
            <w:r w:rsidRPr="00275862">
              <w:rPr>
                <w:rFonts w:cs="Arial"/>
                <w:sz w:val="16"/>
                <w:szCs w:val="16"/>
              </w:rPr>
              <w:t>ch</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spacing w:after="100"/>
            </w:pPr>
            <w:r w:rsidRPr="00275862">
              <w:t>Podle Sčítání lidu, domů a bytů v roce 2011 u 48,5 % manželských párů měl muž a žena stejné dosažené vzdělání, u nesezdaných párů to bylo o 1,7 p.b. méně tedy 46,7 %. Podíl svazků, ve kterých žena měla vyšší vzdělání než její partner, pak byl u manželských párů nižší než u nesezdaných soužití (23,9 % vs. 30,3 %). Podíl vzdělanostně homogamních párů se pak u žen s věkem mírně zvyšuje a to zhruba do věkové kategorie 35-39 let, od kdy s věkem naopak pomalu klesá. Ve všech věkových kategoriích pak míra homogamie u nesezdaných párů dosahuje nižších hodnot než u manželských párů. Podíl heterogamních svazků se u sezdaných a nesezdaných párů liší nejvíce do 24 let, od tohoto věku nejsou rozdíly již tak výrazné, ale platí o něco vyšší zastoupení párů, kde má žena jak nižší, tak vyšší vzdělání (až od 28 let), u žen žijících ve faktickém manželství, na úkor homogamních svazků oproti manželským párům. U mužů pak byla situace obdobná jako u žen.</w:t>
            </w:r>
          </w:p>
          <w:p w:rsidR="00421EA1" w:rsidRPr="00275862" w:rsidRDefault="00421EA1" w:rsidP="006666D5">
            <w:pPr>
              <w:tabs>
                <w:tab w:val="right" w:pos="9781"/>
              </w:tabs>
              <w:rPr>
                <w:rFonts w:cs="Arial"/>
                <w:szCs w:val="20"/>
              </w:rPr>
            </w:pPr>
            <w:r w:rsidRPr="00275862">
              <w:rPr>
                <w:rFonts w:cs="Arial"/>
                <w:szCs w:val="20"/>
              </w:rPr>
              <w:t xml:space="preserve"> </w:t>
            </w:r>
          </w:p>
        </w:tc>
      </w:tr>
      <w:tr w:rsidR="00421EA1" w:rsidRPr="00275862" w:rsidTr="00AC4FF2">
        <w:tc>
          <w:tcPr>
            <w:tcW w:w="5000" w:type="pct"/>
            <w:gridSpan w:val="3"/>
          </w:tcPr>
          <w:p w:rsidR="00421EA1" w:rsidRPr="00275862" w:rsidRDefault="00421EA1" w:rsidP="006666D5">
            <w:pPr>
              <w:tabs>
                <w:tab w:val="right" w:pos="9781"/>
              </w:tabs>
              <w:ind w:left="1134" w:hanging="1134"/>
              <w:rPr>
                <w:b/>
              </w:rPr>
            </w:pPr>
            <w:r w:rsidRPr="00275862">
              <w:t xml:space="preserve">Graf č. 6 </w:t>
            </w:r>
            <w:r w:rsidRPr="00275862">
              <w:rPr>
                <w:b/>
              </w:rPr>
              <w:t>Vzdělanostní homogamie podle věku muže a ženy, podle typu soužití a zkušenosti s manželstvím, 2011</w:t>
            </w:r>
          </w:p>
          <w:p w:rsidR="00421EA1" w:rsidRPr="00275862" w:rsidRDefault="00421EA1" w:rsidP="006666D5">
            <w:pPr>
              <w:tabs>
                <w:tab w:val="right" w:pos="9781"/>
              </w:tabs>
              <w:rPr>
                <w:rFonts w:cs="Arial"/>
                <w:szCs w:val="20"/>
              </w:rPr>
            </w:pPr>
            <w:r w:rsidRPr="00275862">
              <w:rPr>
                <w:rFonts w:cs="Arial"/>
                <w:noProof/>
                <w:szCs w:val="20"/>
              </w:rPr>
              <w:drawing>
                <wp:inline distT="0" distB="0" distL="0" distR="0">
                  <wp:extent cx="6124575" cy="2162175"/>
                  <wp:effectExtent l="19050" t="0" r="9525" b="0"/>
                  <wp:docPr id="10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1EA1" w:rsidRPr="00275862" w:rsidRDefault="00421EA1" w:rsidP="006666D5">
            <w:pPr>
              <w:tabs>
                <w:tab w:val="right" w:pos="9781"/>
              </w:tabs>
              <w:rPr>
                <w:rFonts w:cs="Arial"/>
                <w:szCs w:val="20"/>
              </w:rPr>
            </w:pPr>
            <w:r w:rsidRPr="00275862">
              <w:rPr>
                <w:rFonts w:cs="Arial"/>
                <w:noProof/>
                <w:szCs w:val="20"/>
              </w:rPr>
              <w:drawing>
                <wp:inline distT="0" distB="0" distL="0" distR="0">
                  <wp:extent cx="6124575" cy="2219325"/>
                  <wp:effectExtent l="19050" t="0" r="9525" b="0"/>
                  <wp:docPr id="10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21EA1" w:rsidRPr="00275862" w:rsidTr="00AC4FF2">
        <w:tc>
          <w:tcPr>
            <w:tcW w:w="5000" w:type="pct"/>
            <w:gridSpan w:val="3"/>
          </w:tcPr>
          <w:p w:rsidR="00421EA1" w:rsidRPr="00275862" w:rsidRDefault="00421EA1" w:rsidP="006666D5">
            <w:pPr>
              <w:tabs>
                <w:tab w:val="right" w:pos="9781"/>
              </w:tabs>
              <w:rPr>
                <w:sz w:val="18"/>
              </w:rPr>
            </w:pPr>
            <w:r w:rsidRPr="00275862">
              <w:rPr>
                <w:sz w:val="18"/>
              </w:rPr>
              <w:t>Poznámka: NSS – nesezdané soužití, svobodný/á; NSZM – nesezdané soužití, zkušenost s manželstvím</w:t>
            </w:r>
          </w:p>
          <w:p w:rsidR="00421EA1" w:rsidRPr="00275862" w:rsidRDefault="00421EA1" w:rsidP="006666D5">
            <w:pPr>
              <w:tabs>
                <w:tab w:val="right" w:pos="9781"/>
              </w:tabs>
              <w:jc w:val="right"/>
            </w:pPr>
            <w:r w:rsidRPr="00275862">
              <w:t>Zdroj dat: ČSÚ (SLDB), vlastní výpočty</w:t>
            </w:r>
          </w:p>
          <w:p w:rsidR="00421EA1" w:rsidRPr="00275862" w:rsidRDefault="00421EA1" w:rsidP="006666D5">
            <w:pPr>
              <w:tabs>
                <w:tab w:val="right" w:pos="9781"/>
              </w:tabs>
              <w:ind w:left="1134" w:hanging="1134"/>
            </w:pPr>
          </w:p>
        </w:tc>
      </w:tr>
      <w:tr w:rsidR="00421EA1" w:rsidRPr="00275862" w:rsidTr="00AC4FF2">
        <w:tc>
          <w:tcPr>
            <w:tcW w:w="1057" w:type="pct"/>
          </w:tcPr>
          <w:p w:rsidR="00421EA1" w:rsidRPr="00275862" w:rsidRDefault="00630920" w:rsidP="006666D5">
            <w:pPr>
              <w:tabs>
                <w:tab w:val="right" w:pos="9781"/>
              </w:tabs>
              <w:jc w:val="left"/>
              <w:rPr>
                <w:rFonts w:cs="Arial"/>
                <w:sz w:val="16"/>
                <w:szCs w:val="16"/>
              </w:rPr>
            </w:pPr>
            <w:r w:rsidRPr="00275862">
              <w:rPr>
                <w:rFonts w:cs="Arial"/>
                <w:sz w:val="16"/>
                <w:szCs w:val="16"/>
              </w:rPr>
              <w:lastRenderedPageBreak/>
              <w:t>Nesezdaná soužití tvořená svobodnými partnery se více podobala manželským párům</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U svobodných nesezdaných partnerů pak nebyly rozdíly oproti manželským párům tak výrazné v porovnání s těmi, co již zkušenost s manželstvím měli (tzn. rozvedeným</w:t>
            </w:r>
            <w:r w:rsidR="00275862">
              <w:t>i</w:t>
            </w:r>
            <w:r w:rsidRPr="00275862">
              <w:t>, ovdovělým</w:t>
            </w:r>
            <w:r w:rsidR="00275862">
              <w:t>i</w:t>
            </w:r>
            <w:r w:rsidRPr="00275862">
              <w:t xml:space="preserve"> nebo ženatým</w:t>
            </w:r>
            <w:r w:rsidR="00275862">
              <w:t>i</w:t>
            </w:r>
            <w:r w:rsidRPr="00275862">
              <w:t>/vdaným</w:t>
            </w:r>
            <w:r w:rsidR="00275862">
              <w:t>i</w:t>
            </w:r>
            <w:r w:rsidRPr="00275862">
              <w:t xml:space="preserve">). Nesezdané svazky vzájemně svobodných partnerů vykazovaly o trochu vyšší míru vzdělanostní homogamie – 48,5 %, tedy stejnou hodnotu jako manželské páry. U nesezdaných soužití, kde alespoň jeden z partnerů měl již zkušenost s manželstvím, </w:t>
            </w:r>
            <w:r w:rsidR="00275862">
              <w:t xml:space="preserve">jich </w:t>
            </w:r>
            <w:r w:rsidRPr="00275862">
              <w:t xml:space="preserve">bylo se stejně vzdělanými partnery méně - 45,5 %. Větší podobnost míry homogamie u nesezdaných párů, které tvoří svobodní, s manželskými páry se projevují zejména v mladších věkových skupinách (viz graf č. 6 na předchozí straně). Zhruba od 30 let (jak u mužů, tak u žen) se rozdíly mezi svobodnými a těmi, kteří již zkušenost s manželstvím měli, v nesezdaných soužitích zmenšují. Ženy žijící v kohabitaci, které již byly vdané, pak častěji žijí s partnerem s vyšším dosaženým vzděláním. Rozdíl je nejvýraznější ve věkové skupině 25-29 let, ve které podíl dosáhl hodnoty 25,4 %, o téměř 10 p.b. více než u žen v manželství nebo svobodných žen žijících s partnerem bez sňatku. Tento rozdíl je zřejmě způsoben tím, že mezi mladými ženami, které již mají zkušenost s manželstvím je větší zastoupení těch, které mají základní vzdělání (ve zmiňované věkové skupině </w:t>
            </w:r>
            <w:r w:rsidRPr="00275862">
              <w:br/>
              <w:t>25-29 let to je 13,0 %, u žen žijících v manželství téměř třikrát méně – 4,8 %). Tím pádem mohou mít jen partnera se stejným vzděláním, nebo vyšším a jak je patrné z následujícího grafu č. 7 ve většině případů mají partnera právě s vyšším vzděláním.  Mezi dříve vdanými ženami, které žijí ve faktickém manželství, jsou také častěji zastoupeny ženy se středoškolským vzděláním bez maturity, které také častěji žijí s mužem, který má vyšší vzdělání, než ženy s úplným středoškolským vzděláním.</w:t>
            </w:r>
          </w:p>
          <w:p w:rsidR="00421EA1" w:rsidRPr="00275862" w:rsidRDefault="00421EA1" w:rsidP="006666D5">
            <w:pPr>
              <w:tabs>
                <w:tab w:val="right" w:pos="9781"/>
              </w:tabs>
              <w:rPr>
                <w:rFonts w:cs="Arial"/>
                <w:szCs w:val="20"/>
              </w:rPr>
            </w:pPr>
            <w:r w:rsidRPr="00275862">
              <w:rPr>
                <w:rFonts w:cs="Arial"/>
                <w:color w:val="000000"/>
                <w:szCs w:val="20"/>
              </w:rPr>
              <w:t xml:space="preserve"> </w:t>
            </w:r>
          </w:p>
        </w:tc>
      </w:tr>
      <w:tr w:rsidR="00421EA1" w:rsidRPr="00275862" w:rsidTr="00AC4FF2">
        <w:tc>
          <w:tcPr>
            <w:tcW w:w="5000" w:type="pct"/>
            <w:gridSpan w:val="3"/>
          </w:tcPr>
          <w:p w:rsidR="00421EA1" w:rsidRPr="00275862" w:rsidRDefault="00421EA1" w:rsidP="006666D5">
            <w:pPr>
              <w:tabs>
                <w:tab w:val="right" w:pos="9781"/>
              </w:tabs>
              <w:spacing w:after="40"/>
            </w:pPr>
            <w:r w:rsidRPr="00275862">
              <w:t xml:space="preserve">Graf č. 7 </w:t>
            </w:r>
            <w:r w:rsidRPr="00275862">
              <w:rPr>
                <w:b/>
              </w:rPr>
              <w:t xml:space="preserve">Vzdělanostní homogamie podle typu svazku a vzdělání muže a ženy, 2011 </w:t>
            </w:r>
          </w:p>
          <w:p w:rsidR="00421EA1" w:rsidRPr="00275862" w:rsidRDefault="00421EA1" w:rsidP="006666D5">
            <w:pPr>
              <w:tabs>
                <w:tab w:val="right" w:pos="9781"/>
              </w:tabs>
              <w:rPr>
                <w:rFonts w:cs="Arial"/>
                <w:color w:val="000000"/>
                <w:szCs w:val="20"/>
              </w:rPr>
            </w:pPr>
            <w:r w:rsidRPr="00275862">
              <w:rPr>
                <w:rFonts w:cs="Arial"/>
                <w:noProof/>
                <w:color w:val="000000"/>
                <w:szCs w:val="20"/>
              </w:rPr>
              <w:drawing>
                <wp:inline distT="0" distB="0" distL="0" distR="0">
                  <wp:extent cx="3009900" cy="2695575"/>
                  <wp:effectExtent l="19050" t="0" r="19050" b="0"/>
                  <wp:docPr id="11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275862">
              <w:rPr>
                <w:rFonts w:cs="Arial"/>
                <w:noProof/>
                <w:color w:val="000000"/>
                <w:szCs w:val="20"/>
              </w:rPr>
              <w:drawing>
                <wp:inline distT="0" distB="0" distL="0" distR="0">
                  <wp:extent cx="3009900" cy="2705100"/>
                  <wp:effectExtent l="19050" t="0" r="19050" b="0"/>
                  <wp:docPr id="11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21EA1" w:rsidRPr="00275862" w:rsidTr="00AC4FF2">
        <w:tc>
          <w:tcPr>
            <w:tcW w:w="5000" w:type="pct"/>
            <w:gridSpan w:val="3"/>
          </w:tcPr>
          <w:p w:rsidR="00421EA1" w:rsidRDefault="00421EA1" w:rsidP="006666D5">
            <w:pPr>
              <w:tabs>
                <w:tab w:val="right" w:pos="9781"/>
              </w:tabs>
              <w:jc w:val="right"/>
            </w:pPr>
            <w:r w:rsidRPr="00275862">
              <w:t>Zdroj dat: ČSÚ (SLDB), vlastní výpočty</w:t>
            </w:r>
          </w:p>
          <w:p w:rsidR="00A51DE4" w:rsidRPr="00275862" w:rsidRDefault="00A51DE4" w:rsidP="006666D5">
            <w:pPr>
              <w:tabs>
                <w:tab w:val="right" w:pos="9781"/>
              </w:tabs>
              <w:jc w:val="right"/>
            </w:pPr>
          </w:p>
        </w:tc>
      </w:tr>
      <w:tr w:rsidR="00421EA1" w:rsidRPr="00275862" w:rsidTr="00AC4FF2">
        <w:tc>
          <w:tcPr>
            <w:tcW w:w="1057" w:type="pct"/>
          </w:tcPr>
          <w:p w:rsidR="00421EA1" w:rsidRPr="00275862" w:rsidRDefault="00630920" w:rsidP="006666D5">
            <w:pPr>
              <w:tabs>
                <w:tab w:val="right" w:pos="9781"/>
              </w:tabs>
              <w:jc w:val="left"/>
              <w:rPr>
                <w:rFonts w:cs="Arial"/>
                <w:sz w:val="16"/>
                <w:szCs w:val="16"/>
              </w:rPr>
            </w:pPr>
            <w:r w:rsidRPr="00275862">
              <w:rPr>
                <w:rFonts w:cs="Arial"/>
                <w:sz w:val="16"/>
                <w:szCs w:val="16"/>
              </w:rPr>
              <w:t>Největší rozdíly v podílu stejně vzděl</w:t>
            </w:r>
            <w:r w:rsidR="00EB6C71">
              <w:rPr>
                <w:rFonts w:cs="Arial"/>
                <w:sz w:val="16"/>
                <w:szCs w:val="16"/>
              </w:rPr>
              <w:t>aných partnerů mezi sezdanými a </w:t>
            </w:r>
            <w:r w:rsidRPr="00275862">
              <w:rPr>
                <w:rFonts w:cs="Arial"/>
                <w:sz w:val="16"/>
                <w:szCs w:val="16"/>
              </w:rPr>
              <w:t>nesezdanými páry se projevily u mužů se základním vzděláním a žen s vysokoškolským vzděláním</w:t>
            </w:r>
          </w:p>
        </w:tc>
        <w:tc>
          <w:tcPr>
            <w:tcW w:w="142" w:type="pct"/>
          </w:tcPr>
          <w:p w:rsidR="00421EA1" w:rsidRPr="00275862" w:rsidRDefault="00421EA1" w:rsidP="006666D5">
            <w:pPr>
              <w:pStyle w:val="Textpoznpodarou"/>
              <w:tabs>
                <w:tab w:val="right" w:pos="9781"/>
              </w:tabs>
              <w:jc w:val="both"/>
            </w:pPr>
          </w:p>
        </w:tc>
        <w:tc>
          <w:tcPr>
            <w:tcW w:w="3800" w:type="pct"/>
          </w:tcPr>
          <w:p w:rsidR="00421EA1" w:rsidRDefault="00421EA1" w:rsidP="006666D5">
            <w:pPr>
              <w:tabs>
                <w:tab w:val="right" w:pos="9781"/>
              </w:tabs>
            </w:pPr>
            <w:r w:rsidRPr="00275862">
              <w:t xml:space="preserve">Míra vzdělanostní homogamie partnerů se liší podle dosaženého vzdělání a také podle pohlaví (viz graf č. 7). Nejvýraznější rozdíly ve výběrovém párování mezi manželskými a nesezdanými páry byly u žen s vysokoškolským a u mužů se základním vzděláním, tedy u těch, kteří nemohou žít ve svazku, ve kterém by žena měla nižší vzdělání. V obou případech osoby žijící v manželství mají častěji partnera nebo partnerkou se stejným vzděláním než ti ve faktickém manželství. U ostatních vzdělanostních skupin nejsou rozdíly v homogamii mezi manželstvím a nesezdaným soužitím tak výrazné. Nejvyšší míru vzdělanostní homogamie vykazují ženy se středoškolským vzděláním bez maturity (65,3 % v manželství a 62,3 % v nesezdaném soužití), u mužů pak ti se základním vzděláním žijící v manželství (55,5 %) a vysokoškolsky vzdělaní v nesezdaných soužitích (55,1 %). U vysokoškolsky vzdělaných mužů žijících v kohabitaci pak mělo na míru homogamie vliv, zda již měli zkušenost s manželstvím. Svobodní muži </w:t>
            </w:r>
            <w:r w:rsidRPr="00275862">
              <w:lastRenderedPageBreak/>
              <w:t>výrazně častěji žili s partnerkou, která také vystudovala vysokou školu - 64,1 %, naproti tomu mezi těmi, kteří si již prošli manželstvím, to bylo pouze 41,3 %. Muži se zkušeností s manželstvím žijící v nesezdaném soužití pak častěji žili s partnerkou, která měla nižší vzdělání, v porovnání se svobodnými. Rozdíl se se zvyšujícím se vzděláním zvětšoval a u vysokoškoláků představoval 22,7 p.b., ale ani u středoškolsky vzdělaných s maturitou nebyl malý – 10,3 p.b. U žen v nesezdaných soužitích byl největší rozdíl podle rodinného stavu u žen se základním vzděláním, kdy svobodné ženy měly častěji za partnera také muže se základním vzděláním, než ty, které měly již zkušenost s manželstvím (rozdíl 8,7 p.b.).</w:t>
            </w:r>
          </w:p>
          <w:p w:rsidR="006666D5" w:rsidRPr="00275862" w:rsidRDefault="006666D5" w:rsidP="006666D5">
            <w:pPr>
              <w:tabs>
                <w:tab w:val="right" w:pos="9781"/>
              </w:tabs>
              <w:rPr>
                <w:rFonts w:cs="Arial"/>
                <w:szCs w:val="20"/>
              </w:rPr>
            </w:pPr>
          </w:p>
        </w:tc>
      </w:tr>
      <w:tr w:rsidR="00421EA1" w:rsidRPr="00275862" w:rsidTr="00AC4FF2">
        <w:tc>
          <w:tcPr>
            <w:tcW w:w="1057" w:type="pct"/>
          </w:tcPr>
          <w:p w:rsidR="00421EA1" w:rsidRPr="00275862" w:rsidRDefault="00630920" w:rsidP="006666D5">
            <w:pPr>
              <w:tabs>
                <w:tab w:val="right" w:pos="9781"/>
              </w:tabs>
              <w:jc w:val="left"/>
              <w:rPr>
                <w:rFonts w:cs="Arial"/>
                <w:sz w:val="16"/>
                <w:szCs w:val="16"/>
              </w:rPr>
            </w:pPr>
            <w:r w:rsidRPr="00275862">
              <w:rPr>
                <w:rFonts w:cs="Arial"/>
                <w:sz w:val="16"/>
                <w:szCs w:val="16"/>
              </w:rPr>
              <w:lastRenderedPageBreak/>
              <w:t xml:space="preserve">Nejčastěji se vzdělání partnerů lišilo o jeden stupeň </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Stejně jako u snoubenců i u partnerů žijících v kohabitaci se u heterogamních svazků vzdělání partnerů nejčastěji lišilo o jeden stupeň. Takových svazků je u párů, kde má žena vyšší vzdělání 83,6 % a u těch, kde má partnerka naopak nižší vzdělání 85,5 %. Mírně se tak liší od manželských párů, u kterých v případě, že má žena nižší vzdělání jsou častější vyšší vzdělanostní rozdíly (u 14,0 % manželů se vzdělání liší o dva stupně a u 1,6 % o tři) a naopak u těch, kde měla žena vzdělání vyšší méně časté (12,8 % manželských párů se liší o dva stupně a více). U kohabitujících párů se tak častěji vyskytuje například kombinace žena vysokoškolačka-muž se základním vzděláním, ačkoliv se stále jedná o velmi málo početnou kombinaci (0,2 % ze vzděla</w:t>
            </w:r>
            <w:r w:rsidR="006666D5">
              <w:t xml:space="preserve">nostně heterogamních svazků </w:t>
            </w:r>
            <w:r w:rsidRPr="00275862">
              <w:t>u manželských párů vs. 0,4 % u nesezdaných soužití). V případě vzdělanostního rozdílu se manželským párům více podobají nesezdaná soužití, kde alespoň jeden z partnerů již měl zkušenost s manželstvím, zejména v případě, že žena má nižší vzdělání než muž se struktura podle velikosti rozdílu ve vzdělání téměř shoduje se strukturou u manželských párů.</w:t>
            </w:r>
          </w:p>
          <w:p w:rsidR="00421EA1" w:rsidRPr="00275862" w:rsidRDefault="00421EA1" w:rsidP="006666D5">
            <w:pPr>
              <w:tabs>
                <w:tab w:val="right" w:pos="9781"/>
              </w:tabs>
              <w:rPr>
                <w:rFonts w:cs="Arial"/>
                <w:szCs w:val="20"/>
              </w:rPr>
            </w:pPr>
          </w:p>
        </w:tc>
      </w:tr>
      <w:tr w:rsidR="00421EA1" w:rsidRPr="00275862" w:rsidTr="00AC4FF2">
        <w:tc>
          <w:tcPr>
            <w:tcW w:w="5000" w:type="pct"/>
            <w:gridSpan w:val="3"/>
          </w:tcPr>
          <w:p w:rsidR="00421EA1" w:rsidRPr="00275862" w:rsidRDefault="00421EA1" w:rsidP="006666D5">
            <w:pPr>
              <w:tabs>
                <w:tab w:val="right" w:pos="9781"/>
              </w:tabs>
              <w:spacing w:after="40"/>
              <w:ind w:left="993" w:hanging="993"/>
            </w:pPr>
            <w:r w:rsidRPr="00275862">
              <w:t xml:space="preserve">Graf č. 8 </w:t>
            </w:r>
            <w:r w:rsidRPr="00275862">
              <w:rPr>
                <w:b/>
              </w:rPr>
              <w:t>Vzdělanostní homogamie podle věku muže a ženy a typu domácnosti podle přítomnosti závislých dětí, 2011</w:t>
            </w:r>
          </w:p>
          <w:p w:rsidR="00421EA1" w:rsidRPr="00275862" w:rsidRDefault="00421EA1" w:rsidP="006666D5">
            <w:pPr>
              <w:tabs>
                <w:tab w:val="right" w:pos="9781"/>
              </w:tabs>
            </w:pPr>
            <w:r w:rsidRPr="00275862">
              <w:rPr>
                <w:noProof/>
              </w:rPr>
              <w:drawing>
                <wp:inline distT="0" distB="0" distL="0" distR="0">
                  <wp:extent cx="6134100" cy="2124075"/>
                  <wp:effectExtent l="19050" t="0" r="19050" b="0"/>
                  <wp:docPr id="11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21EA1" w:rsidRPr="00275862" w:rsidRDefault="00421EA1" w:rsidP="006666D5">
            <w:pPr>
              <w:tabs>
                <w:tab w:val="right" w:pos="9781"/>
              </w:tabs>
            </w:pPr>
            <w:r w:rsidRPr="00275862">
              <w:rPr>
                <w:noProof/>
              </w:rPr>
              <w:drawing>
                <wp:inline distT="0" distB="0" distL="0" distR="0">
                  <wp:extent cx="6086475" cy="2152650"/>
                  <wp:effectExtent l="19050" t="0" r="9525" b="0"/>
                  <wp:docPr id="113"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421EA1" w:rsidRPr="00275862" w:rsidTr="00AC4FF2">
        <w:tc>
          <w:tcPr>
            <w:tcW w:w="5000" w:type="pct"/>
            <w:gridSpan w:val="3"/>
          </w:tcPr>
          <w:p w:rsidR="00421EA1" w:rsidRPr="00275862" w:rsidRDefault="00421EA1" w:rsidP="006666D5">
            <w:pPr>
              <w:tabs>
                <w:tab w:val="right" w:pos="9781"/>
              </w:tabs>
              <w:spacing w:after="20"/>
              <w:jc w:val="right"/>
            </w:pPr>
            <w:r w:rsidRPr="00275862">
              <w:t>Poznámka: NS – nesezdané soužití</w:t>
            </w:r>
          </w:p>
          <w:p w:rsidR="00421EA1" w:rsidRPr="00275862" w:rsidRDefault="00421EA1" w:rsidP="006666D5">
            <w:pPr>
              <w:tabs>
                <w:tab w:val="right" w:pos="9781"/>
              </w:tabs>
              <w:jc w:val="right"/>
            </w:pPr>
            <w:r w:rsidRPr="00275862">
              <w:t>Zdroj dat: ČSÚ (SLDB), vlastní výpočty</w:t>
            </w:r>
          </w:p>
        </w:tc>
      </w:tr>
      <w:tr w:rsidR="00421EA1" w:rsidRPr="00275862" w:rsidTr="00AC4FF2">
        <w:tc>
          <w:tcPr>
            <w:tcW w:w="1057" w:type="pct"/>
          </w:tcPr>
          <w:p w:rsidR="00421EA1" w:rsidRPr="00275862" w:rsidRDefault="00630920" w:rsidP="006666D5">
            <w:pPr>
              <w:tabs>
                <w:tab w:val="right" w:pos="9781"/>
              </w:tabs>
              <w:jc w:val="left"/>
              <w:rPr>
                <w:rFonts w:cs="Arial"/>
                <w:sz w:val="16"/>
                <w:szCs w:val="16"/>
              </w:rPr>
            </w:pPr>
            <w:r w:rsidRPr="00275862">
              <w:rPr>
                <w:rFonts w:cs="Arial"/>
                <w:sz w:val="16"/>
                <w:szCs w:val="16"/>
              </w:rPr>
              <w:lastRenderedPageBreak/>
              <w:t xml:space="preserve">Míra vzdělanostní homogamie se </w:t>
            </w:r>
            <w:r w:rsidR="003E3721" w:rsidRPr="00275862">
              <w:rPr>
                <w:rFonts w:cs="Arial"/>
                <w:sz w:val="16"/>
                <w:szCs w:val="16"/>
              </w:rPr>
              <w:t>podle přítomnosti závislých dětí v nesezdaném soužití liší nejvíce u mladých do 29 let</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Dalo by se očekávat, že nesezdané páry se závislými dětmi</w:t>
            </w:r>
            <w:r w:rsidRPr="00275862">
              <w:rPr>
                <w:rStyle w:val="Znakapoznpodarou"/>
              </w:rPr>
              <w:footnoteReference w:id="9"/>
            </w:r>
            <w:r w:rsidRPr="00275862">
              <w:t xml:space="preserve"> budou vykazovat obdobnou míru podobnosti jako manželské páry, ale není tomu úplně tak. Celkový podíl homogamních párů mezi nesezdanými partnery se neliší podle toho, zda s nimi v domácnosti žije závislé dítě, nebo ne - podíl homogamních svazků je stejný – 46,7 %. U jednotlivých druhů heterogamních svazků je pak rozdíl 2 p.b., přičemž podíl soužití, kde má žena nižší vzdělání, je u nesezdaných partnerů bez závislých dětí vyšší. K určité diferenciaci dochází při pohledu na vzdělanostní homogamii podle věku (viz graf č. 8). Struktura nesezdaných párů podle vzdělanostní homogamie se podle přítomnosti závislých dětí liší v nejmladších věkových kategoriích, tedy u mladých do 24 let a v kategorii 25-29 let. V tomto věku jak muži, tak ženy, pokud žijí v nesezdaném soužití se závislými dětmi, mají partnera se stejným vzděláním méně často oproti manželským párům a kohabitujícím bez závislých dětí. Naopak více jsou zastoupeny</w:t>
            </w:r>
            <w:r w:rsidR="00600F44">
              <w:t>,</w:t>
            </w:r>
            <w:r w:rsidRPr="00275862">
              <w:t xml:space="preserve"> kde muž má vyšší vzdělání než žena. Ve věkové skupině 25-29 let tvořil rozdíl mezi podílem párů, kde muž měl vyšší vzdělání, mezi nesezdanými páry bez dětí a manžely 7,3</w:t>
            </w:r>
            <w:r w:rsidR="00600F44">
              <w:t> </w:t>
            </w:r>
            <w:r w:rsidRPr="00275862">
              <w:t xml:space="preserve">p.b. u mužů a 6,0 p.b. u žen. U žen to může být opět způsobeno vyšším zastoupením </w:t>
            </w:r>
            <w:r w:rsidR="006666D5">
              <w:t>osob s nižším vzděláním</w:t>
            </w:r>
            <w:r w:rsidRPr="00275862">
              <w:t xml:space="preserve"> mezi těmi, které žijí v domácnosti se závislým dítětem, oproti manželským párům nebo nesezdaným soužití</w:t>
            </w:r>
            <w:r w:rsidR="001C1770">
              <w:t>m</w:t>
            </w:r>
            <w:r w:rsidRPr="00275862">
              <w:t xml:space="preserve"> bez závislých dětí. V pozdějším věku pak </w:t>
            </w:r>
            <w:r w:rsidR="001C1770" w:rsidRPr="00275862">
              <w:t xml:space="preserve">nejsou </w:t>
            </w:r>
            <w:r w:rsidRPr="00275862">
              <w:t>rozdíly mezi nesezdanými soužitími v závislosti na přítomnosti závislých dětí tak výrazné, kromě poslední věkové kategorie 50 let a starších.</w:t>
            </w:r>
          </w:p>
          <w:p w:rsidR="00421EA1" w:rsidRPr="00275862" w:rsidRDefault="00421EA1" w:rsidP="006666D5">
            <w:pPr>
              <w:tabs>
                <w:tab w:val="right" w:pos="9781"/>
              </w:tabs>
              <w:rPr>
                <w:rFonts w:cs="Arial"/>
                <w:szCs w:val="20"/>
              </w:rPr>
            </w:pPr>
          </w:p>
        </w:tc>
      </w:tr>
      <w:tr w:rsidR="00421EA1" w:rsidRPr="00275862" w:rsidTr="00AC4FF2">
        <w:tc>
          <w:tcPr>
            <w:tcW w:w="5000" w:type="pct"/>
            <w:gridSpan w:val="3"/>
          </w:tcPr>
          <w:p w:rsidR="00421EA1" w:rsidRPr="00275862" w:rsidRDefault="00421EA1" w:rsidP="006666D5">
            <w:pPr>
              <w:pStyle w:val="Nadpis2"/>
              <w:tabs>
                <w:tab w:val="right" w:pos="9781"/>
              </w:tabs>
              <w:rPr>
                <w:rFonts w:cs="Arial"/>
                <w:szCs w:val="20"/>
              </w:rPr>
            </w:pPr>
            <w:bookmarkStart w:id="25" w:name="_Toc384640705"/>
            <w:r w:rsidRPr="00275862">
              <w:t>Věková homogamie párů žijících v manželství a v nesezdaných soužitích</w:t>
            </w:r>
            <w:bookmarkEnd w:id="25"/>
          </w:p>
        </w:tc>
      </w:tr>
      <w:tr w:rsidR="003E3721" w:rsidRPr="00275862" w:rsidTr="006666D5">
        <w:trPr>
          <w:trHeight w:val="2955"/>
        </w:trPr>
        <w:tc>
          <w:tcPr>
            <w:tcW w:w="1057" w:type="pct"/>
            <w:vMerge w:val="restart"/>
          </w:tcPr>
          <w:p w:rsidR="003E3721" w:rsidRPr="00275862" w:rsidRDefault="003E3721" w:rsidP="006666D5">
            <w:pPr>
              <w:tabs>
                <w:tab w:val="right" w:pos="9781"/>
              </w:tabs>
              <w:jc w:val="left"/>
              <w:rPr>
                <w:rFonts w:cs="Arial"/>
                <w:sz w:val="16"/>
                <w:szCs w:val="16"/>
              </w:rPr>
            </w:pPr>
            <w:r w:rsidRPr="00275862">
              <w:rPr>
                <w:rFonts w:cs="Arial"/>
                <w:sz w:val="16"/>
                <w:szCs w:val="16"/>
              </w:rPr>
              <w:t xml:space="preserve">U nesezdaných </w:t>
            </w:r>
            <w:r w:rsidR="00EB6C71" w:rsidRPr="00275862">
              <w:rPr>
                <w:rFonts w:cs="Arial"/>
                <w:sz w:val="16"/>
                <w:szCs w:val="16"/>
              </w:rPr>
              <w:t>soužití jsou</w:t>
            </w:r>
            <w:r w:rsidRPr="00275862">
              <w:rPr>
                <w:rFonts w:cs="Arial"/>
                <w:sz w:val="16"/>
                <w:szCs w:val="16"/>
              </w:rPr>
              <w:t xml:space="preserve"> častěji zastoupeny páry, kde je muž mladší než žena</w:t>
            </w: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p>
          <w:p w:rsidR="003E3721" w:rsidRPr="00275862" w:rsidRDefault="003E3721" w:rsidP="006666D5">
            <w:pPr>
              <w:tabs>
                <w:tab w:val="right" w:pos="9781"/>
              </w:tabs>
              <w:jc w:val="left"/>
              <w:rPr>
                <w:rFonts w:cs="Arial"/>
                <w:sz w:val="16"/>
                <w:szCs w:val="16"/>
              </w:rPr>
            </w:pPr>
            <w:r w:rsidRPr="00275862">
              <w:rPr>
                <w:rFonts w:cs="Arial"/>
                <w:sz w:val="16"/>
                <w:szCs w:val="16"/>
              </w:rPr>
              <w:t>U nesezdaných soužití, kde alespoň jeden z partnerů není svobodný, jsou častěji zastoupeny páry s výraznějšími věkovými rozdíly</w:t>
            </w:r>
          </w:p>
          <w:p w:rsidR="003E3721" w:rsidRPr="00275862" w:rsidRDefault="003E3721" w:rsidP="006666D5">
            <w:pPr>
              <w:tabs>
                <w:tab w:val="right" w:pos="9781"/>
              </w:tabs>
              <w:jc w:val="left"/>
              <w:rPr>
                <w:rFonts w:cs="Arial"/>
                <w:sz w:val="16"/>
                <w:szCs w:val="16"/>
              </w:rPr>
            </w:pPr>
          </w:p>
        </w:tc>
        <w:tc>
          <w:tcPr>
            <w:tcW w:w="142" w:type="pct"/>
            <w:vMerge w:val="restart"/>
          </w:tcPr>
          <w:p w:rsidR="003E3721" w:rsidRPr="00275862" w:rsidRDefault="003E3721" w:rsidP="006666D5">
            <w:pPr>
              <w:pStyle w:val="Textpoznpodarou"/>
              <w:tabs>
                <w:tab w:val="right" w:pos="9781"/>
              </w:tabs>
              <w:jc w:val="both"/>
            </w:pPr>
          </w:p>
        </w:tc>
        <w:tc>
          <w:tcPr>
            <w:tcW w:w="3800" w:type="pct"/>
          </w:tcPr>
          <w:p w:rsidR="003E3721" w:rsidRPr="00275862" w:rsidRDefault="003E3721" w:rsidP="006666D5">
            <w:pPr>
              <w:tabs>
                <w:tab w:val="right" w:pos="9781"/>
              </w:tabs>
            </w:pPr>
            <w:r w:rsidRPr="00275862">
              <w:t>Jak u sezdaných, tak i u nesezdaných svazků platí, že převládají páry, ve kterých je muž starší</w:t>
            </w:r>
            <w:r w:rsidRPr="00275862">
              <w:rPr>
                <w:rStyle w:val="Znakapoznpodarou"/>
              </w:rPr>
              <w:footnoteReference w:id="10"/>
            </w:r>
            <w:r w:rsidRPr="00275862">
              <w:t>. U 63,1 % manželských párů byl muž starší než žena o více jak rok, u kohabitací pak o 5,8 p.b. méně. Mezi manžely byly také více zastoupeny stejně staré páry – 28,6 %, u nesezdaných párů to bylo 23,9 %(viz graf. č. 9). Naopak páry, ve kterých byla žena starší, byly u sezdaných zastoupeny méně než u faktických manželství - 8,3 % vs. 18,8 %. Struktura podle věkového rozdílu mezi partnery se pak u nesezdaných párů lišila podle rodinného stavu. Podíl párů se starším mužem se výrazněji nelišil, ale u oboustranně svobodných bylo vyšší zastoupení stejně starých partnerů (30,4 %) oproti párům, kde alespoň jeden z partnerů již v minulosti uzavřel manželství (19,3 %) a naopak podíl párů se starší ženou byl nižší (12,7 % vs. 23,3 %). Přítomnost závislých dětí v domácnosti neměla na míru věkové homogamie nesezdaných soužití podle věkového rozdílu téměř žádný vliv, protože rozdíl v podílu věkově homogamních svazků tvořil pouze 0,2 p.b. a u svazků se starším mužem 1,0 p.b. ve prospěch nesezdaných soužití se závislými dětmi.</w:t>
            </w:r>
          </w:p>
          <w:p w:rsidR="003E3721" w:rsidRPr="00275862" w:rsidRDefault="003E3721" w:rsidP="006666D5">
            <w:pPr>
              <w:tabs>
                <w:tab w:val="right" w:pos="9781"/>
              </w:tabs>
            </w:pPr>
          </w:p>
          <w:p w:rsidR="003E3721" w:rsidRPr="00275862" w:rsidRDefault="003E3721" w:rsidP="006666D5">
            <w:pPr>
              <w:tabs>
                <w:tab w:val="right" w:pos="9781"/>
              </w:tabs>
              <w:rPr>
                <w:rFonts w:cs="Arial"/>
                <w:sz w:val="14"/>
                <w:szCs w:val="14"/>
              </w:rPr>
            </w:pPr>
            <w:r w:rsidRPr="00275862">
              <w:t>Jak je vidět na grafu č. 9</w:t>
            </w:r>
            <w:r w:rsidR="006666D5">
              <w:t xml:space="preserve"> na následující straně</w:t>
            </w:r>
            <w:r w:rsidRPr="00275862">
              <w:t>, u nesezdaných soužití se oproti manželským párům častěji vyskytují velmi vysoké věkové rozdíly (10 let a více) a</w:t>
            </w:r>
            <w:r w:rsidR="006666D5">
              <w:t> </w:t>
            </w:r>
            <w:r w:rsidRPr="00275862">
              <w:t>to jak u párů, kde je starší muž, tak u těch, kde je starší žena. Tyto rozdíly jsou způsobeny zejména strukturou podle věkového rozdílu partnerů u párů, kde jeden z partnerů již měl zkušenost s manželstvím, protože v těchto svazcích byl podíl velmi věkově vzdálených partnerů výrazně vyšší – 15,5 % v případech, že byl starší muž a 4,6 % u partnerů se starší ženou, zatím co u oboustranně svobodných nesezdaných párů se struktura velmi podobala párům sezdaným.</w:t>
            </w:r>
          </w:p>
        </w:tc>
      </w:tr>
      <w:tr w:rsidR="003E3721" w:rsidRPr="00275862" w:rsidTr="006666D5">
        <w:trPr>
          <w:trHeight w:val="80"/>
        </w:trPr>
        <w:tc>
          <w:tcPr>
            <w:tcW w:w="1057" w:type="pct"/>
            <w:vMerge/>
          </w:tcPr>
          <w:p w:rsidR="003E3721" w:rsidRPr="00275862" w:rsidRDefault="003E3721" w:rsidP="006666D5">
            <w:pPr>
              <w:tabs>
                <w:tab w:val="right" w:pos="9781"/>
              </w:tabs>
              <w:jc w:val="left"/>
              <w:rPr>
                <w:rFonts w:cs="Arial"/>
                <w:sz w:val="16"/>
                <w:szCs w:val="16"/>
              </w:rPr>
            </w:pPr>
          </w:p>
        </w:tc>
        <w:tc>
          <w:tcPr>
            <w:tcW w:w="142" w:type="pct"/>
            <w:vMerge/>
          </w:tcPr>
          <w:p w:rsidR="003E3721" w:rsidRPr="00275862" w:rsidRDefault="003E3721" w:rsidP="006666D5">
            <w:pPr>
              <w:pStyle w:val="Textpoznpodarou"/>
              <w:tabs>
                <w:tab w:val="right" w:pos="9781"/>
              </w:tabs>
              <w:jc w:val="both"/>
            </w:pPr>
          </w:p>
        </w:tc>
        <w:tc>
          <w:tcPr>
            <w:tcW w:w="3800" w:type="pct"/>
          </w:tcPr>
          <w:p w:rsidR="003E3721" w:rsidRPr="00275862" w:rsidRDefault="003E3721" w:rsidP="006666D5">
            <w:pPr>
              <w:tabs>
                <w:tab w:val="right" w:pos="9781"/>
              </w:tabs>
            </w:pPr>
          </w:p>
        </w:tc>
      </w:tr>
      <w:tr w:rsidR="00421EA1" w:rsidRPr="00275862" w:rsidTr="00AC4FF2">
        <w:tc>
          <w:tcPr>
            <w:tcW w:w="5000" w:type="pct"/>
            <w:gridSpan w:val="3"/>
          </w:tcPr>
          <w:p w:rsidR="003E3721" w:rsidRPr="00275862" w:rsidRDefault="003E3721" w:rsidP="006666D5">
            <w:pPr>
              <w:tabs>
                <w:tab w:val="right" w:pos="9781"/>
              </w:tabs>
              <w:spacing w:after="40"/>
            </w:pPr>
          </w:p>
          <w:p w:rsidR="003E3721" w:rsidRPr="00275862" w:rsidRDefault="003E3721" w:rsidP="006666D5">
            <w:pPr>
              <w:tabs>
                <w:tab w:val="right" w:pos="9781"/>
              </w:tabs>
              <w:spacing w:after="40"/>
            </w:pPr>
          </w:p>
          <w:p w:rsidR="003E3721" w:rsidRPr="00275862" w:rsidRDefault="003E3721" w:rsidP="006666D5">
            <w:pPr>
              <w:tabs>
                <w:tab w:val="right" w:pos="9781"/>
              </w:tabs>
              <w:spacing w:after="40"/>
            </w:pPr>
          </w:p>
          <w:p w:rsidR="00D71801" w:rsidRPr="00275862" w:rsidRDefault="00D71801" w:rsidP="006666D5">
            <w:pPr>
              <w:tabs>
                <w:tab w:val="right" w:pos="9781"/>
              </w:tabs>
              <w:spacing w:after="40"/>
            </w:pPr>
          </w:p>
          <w:p w:rsidR="003E3721" w:rsidRPr="00275862" w:rsidRDefault="003E3721" w:rsidP="006666D5">
            <w:pPr>
              <w:tabs>
                <w:tab w:val="right" w:pos="9781"/>
              </w:tabs>
              <w:spacing w:after="40"/>
            </w:pPr>
          </w:p>
          <w:p w:rsidR="00421EA1" w:rsidRPr="00275862" w:rsidRDefault="00421EA1" w:rsidP="006666D5">
            <w:pPr>
              <w:tabs>
                <w:tab w:val="right" w:pos="9781"/>
              </w:tabs>
              <w:spacing w:after="40"/>
              <w:rPr>
                <w:b/>
              </w:rPr>
            </w:pPr>
            <w:r w:rsidRPr="00275862">
              <w:lastRenderedPageBreak/>
              <w:t xml:space="preserve">Graf č. 9 </w:t>
            </w:r>
            <w:r w:rsidRPr="00275862">
              <w:rPr>
                <w:b/>
              </w:rPr>
              <w:t xml:space="preserve">Struktura sezdaných a nesezdaných párů podle věkového rozdílu, 2011 </w:t>
            </w:r>
          </w:p>
          <w:p w:rsidR="00421EA1" w:rsidRPr="00275862" w:rsidRDefault="00421EA1" w:rsidP="006666D5">
            <w:pPr>
              <w:tabs>
                <w:tab w:val="right" w:pos="9781"/>
              </w:tabs>
              <w:spacing w:after="40"/>
            </w:pPr>
            <w:r w:rsidRPr="00275862">
              <w:rPr>
                <w:noProof/>
              </w:rPr>
              <w:drawing>
                <wp:inline distT="0" distB="0" distL="0" distR="0">
                  <wp:extent cx="6124575" cy="2762250"/>
                  <wp:effectExtent l="19050" t="0" r="9525" b="0"/>
                  <wp:docPr id="11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1EA1" w:rsidRPr="00275862" w:rsidRDefault="00421EA1" w:rsidP="006666D5">
            <w:pPr>
              <w:tabs>
                <w:tab w:val="right" w:pos="9781"/>
              </w:tabs>
              <w:jc w:val="right"/>
            </w:pPr>
            <w:r w:rsidRPr="00275862">
              <w:t>Poznámka: NS – nesezdané soužití</w:t>
            </w:r>
          </w:p>
          <w:p w:rsidR="00421EA1" w:rsidRPr="00275862" w:rsidRDefault="00421EA1" w:rsidP="006666D5">
            <w:pPr>
              <w:tabs>
                <w:tab w:val="right" w:pos="9781"/>
              </w:tabs>
              <w:spacing w:after="100"/>
              <w:jc w:val="right"/>
            </w:pPr>
            <w:r w:rsidRPr="00275862">
              <w:t>Zdroj dat: ČSÚ (SLDB), vlastní výpočty</w:t>
            </w:r>
          </w:p>
        </w:tc>
      </w:tr>
      <w:tr w:rsidR="00421EA1" w:rsidRPr="00275862" w:rsidTr="00AC4FF2">
        <w:tc>
          <w:tcPr>
            <w:tcW w:w="1057" w:type="pct"/>
          </w:tcPr>
          <w:p w:rsidR="00421EA1" w:rsidRPr="00275862" w:rsidRDefault="00D71801" w:rsidP="006666D5">
            <w:pPr>
              <w:tabs>
                <w:tab w:val="right" w:pos="9781"/>
              </w:tabs>
              <w:jc w:val="left"/>
              <w:rPr>
                <w:rFonts w:cs="Arial"/>
                <w:sz w:val="16"/>
                <w:szCs w:val="16"/>
              </w:rPr>
            </w:pPr>
            <w:r w:rsidRPr="00275862">
              <w:rPr>
                <w:rFonts w:cs="Arial"/>
                <w:sz w:val="16"/>
                <w:szCs w:val="16"/>
              </w:rPr>
              <w:lastRenderedPageBreak/>
              <w:t xml:space="preserve">U žen se s věkem zvyšuje rozdíl mezi sezdanými a nesezdanými svazky v podílu soužití s mladším mužem </w:t>
            </w: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p>
          <w:p w:rsidR="00D71801" w:rsidRPr="00275862" w:rsidRDefault="00D71801" w:rsidP="006666D5">
            <w:pPr>
              <w:tabs>
                <w:tab w:val="right" w:pos="9781"/>
              </w:tabs>
              <w:jc w:val="left"/>
              <w:rPr>
                <w:rFonts w:cs="Arial"/>
                <w:sz w:val="16"/>
                <w:szCs w:val="16"/>
              </w:rPr>
            </w:pPr>
            <w:r w:rsidRPr="00275862">
              <w:rPr>
                <w:rFonts w:cs="Arial"/>
                <w:sz w:val="16"/>
                <w:szCs w:val="16"/>
              </w:rPr>
              <w:t>U nesezdaných párů je průměrný věkový rozdíl vyšší než u manželů</w:t>
            </w:r>
          </w:p>
        </w:tc>
        <w:tc>
          <w:tcPr>
            <w:tcW w:w="142" w:type="pct"/>
          </w:tcPr>
          <w:p w:rsidR="00421EA1" w:rsidRPr="00275862" w:rsidRDefault="00421EA1" w:rsidP="006666D5">
            <w:pPr>
              <w:pStyle w:val="Textpoznpodarou"/>
              <w:tabs>
                <w:tab w:val="right" w:pos="9781"/>
              </w:tabs>
              <w:jc w:val="both"/>
            </w:pPr>
          </w:p>
        </w:tc>
        <w:tc>
          <w:tcPr>
            <w:tcW w:w="3800" w:type="pct"/>
          </w:tcPr>
          <w:p w:rsidR="003E3721" w:rsidRPr="00275862" w:rsidRDefault="003E3721" w:rsidP="006666D5">
            <w:pPr>
              <w:tabs>
                <w:tab w:val="right" w:pos="9781"/>
              </w:tabs>
            </w:pPr>
            <w:r w:rsidRPr="00275862">
              <w:t xml:space="preserve">S věkem jak u mužů, tak u žen roste četnost soužití s mladším partnerem a platí to jak pro sezdané, tak i nesezdané páry. U žen se však s věkem rozdíly mezi těmito typy svazků zvětšují, přičemž od 35 let je u žen žijících ve faktickém manželství dvakrát až třikrát vyšší podíl těch, které žijí s mladším partnerem, než u stejně starých žen, které žijí v manželství. Tento rozdíl však může být způsoben odlišnou strukturou podle věku na počátku partnerství u vdaných a u žen v nesezdaných soužitích v dané věkové kategorii. Údaj o délce trvání faktických manželství bohužel není z dat ze sčítání </w:t>
            </w:r>
            <w:r w:rsidR="003820A8">
              <w:t xml:space="preserve">lidu </w:t>
            </w:r>
            <w:r w:rsidRPr="00275862">
              <w:t>k dispozici. S věkem však přibývá u nesezdaných soužití zastoupení těch, ve kterých partneři již měly zkušenost s manželství a zároveň intenzita sňatečnosti zhruba po 30 letech věku u mužů i u žen postupně klesá. Dá se tedy předpokládat, že s rostoucím věkem se bude zvyšovat rozdíl v délce trvání partnerství mezi se</w:t>
            </w:r>
            <w:r w:rsidR="003820A8">
              <w:t>zdanými a nesezdanými soužitími.</w:t>
            </w:r>
            <w:r w:rsidRPr="00275862">
              <w:t xml:space="preserve"> </w:t>
            </w:r>
            <w:r w:rsidR="003820A8">
              <w:t>U</w:t>
            </w:r>
            <w:r w:rsidRPr="00275862">
              <w:t> m</w:t>
            </w:r>
            <w:r w:rsidR="003820A8">
              <w:t>anželských párů</w:t>
            </w:r>
            <w:r w:rsidRPr="00275862">
              <w:t xml:space="preserve"> se dá očekávat větší zastoupení déle trvajících svazků a naopak u kohabitací těch kratších, do který</w:t>
            </w:r>
            <w:r w:rsidR="006666D5">
              <w:t>ch jak muži, tak ženy vstupovali</w:t>
            </w:r>
            <w:r w:rsidRPr="00275862">
              <w:t xml:space="preserve"> ve vyšším věku, než stejně staří ženatí a vdané.</w:t>
            </w:r>
          </w:p>
          <w:p w:rsidR="003E3721" w:rsidRPr="00275862" w:rsidRDefault="003E3721" w:rsidP="006666D5">
            <w:pPr>
              <w:tabs>
                <w:tab w:val="right" w:pos="9781"/>
              </w:tabs>
            </w:pPr>
          </w:p>
          <w:p w:rsidR="003E3721" w:rsidRPr="00275862" w:rsidRDefault="003E3721" w:rsidP="006666D5">
            <w:pPr>
              <w:tabs>
                <w:tab w:val="right" w:pos="9781"/>
              </w:tabs>
            </w:pPr>
            <w:r w:rsidRPr="00275862">
              <w:t>Vzhledem k vyššímu zastoupení partnerů s výraznějším věkovým rozdílem mezi nesezdanými páry, je průměrný věkový rozdíl mezi manžel</w:t>
            </w:r>
            <w:r w:rsidR="006666D5">
              <w:t>i</w:t>
            </w:r>
            <w:r w:rsidRPr="00275862">
              <w:t xml:space="preserve"> nižší než u faktických manželství a to jak v případech, kdy je starší muž, tak i když je naopak mladší. Pokud je v páru starší muž, v průměru je pak starší o 5,0 let, pokud žije v manželství, ale o 6,5 let, pokud žije v kohabitaci. U párů, kde je straší žena, jsou věkové rozdíly nižší – 4,2 roku u manželství a 5,8 roku u nesezdaných párů. Opět je ale rozdíl mezi kohabitacemi podle rodinného stavu, přičemž u párů, kde jsou oba partneři svobodní, se věkové rozdíly příliš neliší od manželských párů (4 roky, pokud je starší žena a 5,1 let pokud je starší muž). S věkem pak jak u žen, tak u</w:t>
            </w:r>
            <w:r w:rsidR="00A51DE4">
              <w:t> </w:t>
            </w:r>
            <w:r w:rsidRPr="00275862">
              <w:t>mužů, pokud žijí s mladším partnerem, roste jejich věkový rozdíl a také se zvětšují rozdíly mezi manželskými a nesezdanými páry, což může být ale ovšem způsobeno odlišnou strukturou podle délky trvání partnerství, jak je zmiňováno výše.</w:t>
            </w:r>
          </w:p>
          <w:p w:rsidR="003E3721" w:rsidRPr="00275862" w:rsidRDefault="003E3721" w:rsidP="006666D5">
            <w:pPr>
              <w:tabs>
                <w:tab w:val="right" w:pos="9781"/>
              </w:tabs>
            </w:pPr>
          </w:p>
          <w:p w:rsidR="00421EA1" w:rsidRPr="00275862" w:rsidRDefault="00421EA1" w:rsidP="006666D5">
            <w:pPr>
              <w:tabs>
                <w:tab w:val="right" w:pos="9781"/>
              </w:tabs>
            </w:pPr>
          </w:p>
          <w:p w:rsidR="003E3721" w:rsidRPr="00275862" w:rsidRDefault="003E3721" w:rsidP="006666D5">
            <w:pPr>
              <w:tabs>
                <w:tab w:val="right" w:pos="9781"/>
              </w:tabs>
            </w:pPr>
          </w:p>
          <w:p w:rsidR="003E3721" w:rsidRPr="00275862" w:rsidRDefault="003E3721" w:rsidP="006666D5">
            <w:pPr>
              <w:tabs>
                <w:tab w:val="right" w:pos="9781"/>
              </w:tabs>
            </w:pPr>
          </w:p>
          <w:p w:rsidR="003E3721" w:rsidRPr="00275862" w:rsidRDefault="003E3721" w:rsidP="006666D5">
            <w:pPr>
              <w:tabs>
                <w:tab w:val="right" w:pos="9781"/>
              </w:tabs>
            </w:pPr>
          </w:p>
          <w:p w:rsidR="003E3721" w:rsidRPr="00275862" w:rsidRDefault="003E3721" w:rsidP="006666D5">
            <w:pPr>
              <w:tabs>
                <w:tab w:val="right" w:pos="9781"/>
              </w:tabs>
            </w:pPr>
          </w:p>
          <w:p w:rsidR="003E3721" w:rsidRPr="00275862" w:rsidRDefault="003E3721" w:rsidP="006666D5">
            <w:pPr>
              <w:tabs>
                <w:tab w:val="right" w:pos="9781"/>
              </w:tabs>
            </w:pPr>
          </w:p>
          <w:p w:rsidR="003E3721" w:rsidRPr="00275862" w:rsidRDefault="003E3721" w:rsidP="006666D5">
            <w:pPr>
              <w:tabs>
                <w:tab w:val="right" w:pos="9781"/>
              </w:tabs>
            </w:pPr>
          </w:p>
          <w:p w:rsidR="00421EA1" w:rsidRPr="00275862" w:rsidRDefault="00421EA1" w:rsidP="006666D5">
            <w:pPr>
              <w:tabs>
                <w:tab w:val="right" w:pos="9781"/>
              </w:tabs>
              <w:rPr>
                <w:rFonts w:cs="Arial"/>
                <w:sz w:val="14"/>
                <w:szCs w:val="14"/>
              </w:rPr>
            </w:pPr>
          </w:p>
        </w:tc>
      </w:tr>
      <w:tr w:rsidR="00421EA1" w:rsidRPr="00275862" w:rsidTr="00AC4FF2">
        <w:tc>
          <w:tcPr>
            <w:tcW w:w="5000" w:type="pct"/>
            <w:gridSpan w:val="3"/>
          </w:tcPr>
          <w:p w:rsidR="00421EA1" w:rsidRPr="00275862" w:rsidRDefault="00421EA1" w:rsidP="006666D5">
            <w:pPr>
              <w:tabs>
                <w:tab w:val="right" w:pos="9781"/>
              </w:tabs>
              <w:spacing w:after="40"/>
            </w:pPr>
            <w:r w:rsidRPr="00275862">
              <w:lastRenderedPageBreak/>
              <w:t xml:space="preserve">Graf č. 10 </w:t>
            </w:r>
            <w:r w:rsidRPr="00275862">
              <w:rPr>
                <w:b/>
              </w:rPr>
              <w:t>Věková homogamie podle pohlaví, věku a typu soužití, 2011</w:t>
            </w:r>
          </w:p>
          <w:p w:rsidR="00421EA1" w:rsidRPr="00275862" w:rsidRDefault="00421EA1" w:rsidP="006666D5">
            <w:pPr>
              <w:tabs>
                <w:tab w:val="right" w:pos="9781"/>
              </w:tabs>
            </w:pPr>
            <w:r w:rsidRPr="00275862">
              <w:rPr>
                <w:noProof/>
              </w:rPr>
              <w:drawing>
                <wp:inline distT="0" distB="0" distL="0" distR="0">
                  <wp:extent cx="6181725" cy="2314575"/>
                  <wp:effectExtent l="19050" t="0" r="9525" b="0"/>
                  <wp:docPr id="11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21EA1" w:rsidRPr="00275862" w:rsidRDefault="00421EA1" w:rsidP="006666D5">
            <w:pPr>
              <w:tabs>
                <w:tab w:val="right" w:pos="9781"/>
              </w:tabs>
            </w:pPr>
            <w:r w:rsidRPr="00275862">
              <w:rPr>
                <w:noProof/>
              </w:rPr>
              <w:drawing>
                <wp:inline distT="0" distB="0" distL="0" distR="0">
                  <wp:extent cx="6257925" cy="2315210"/>
                  <wp:effectExtent l="19050" t="0" r="9525" b="8890"/>
                  <wp:docPr id="11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21EA1" w:rsidRPr="00275862" w:rsidRDefault="00421EA1" w:rsidP="006666D5">
            <w:pPr>
              <w:tabs>
                <w:tab w:val="right" w:pos="9781"/>
              </w:tabs>
            </w:pPr>
          </w:p>
          <w:p w:rsidR="00421EA1" w:rsidRPr="00275862" w:rsidRDefault="00421EA1" w:rsidP="006666D5">
            <w:pPr>
              <w:tabs>
                <w:tab w:val="right" w:pos="9781"/>
              </w:tabs>
              <w:spacing w:after="40"/>
              <w:rPr>
                <w:sz w:val="18"/>
              </w:rPr>
            </w:pPr>
            <w:r w:rsidRPr="00275862">
              <w:rPr>
                <w:sz w:val="18"/>
              </w:rPr>
              <w:t>Poznámka: NSS – nesezdané soužití, svobodný/á; NSZM – nesezdané soužití, zkušenost s manželstvím</w:t>
            </w:r>
          </w:p>
          <w:p w:rsidR="00421EA1" w:rsidRPr="00275862" w:rsidRDefault="00421EA1" w:rsidP="006666D5">
            <w:pPr>
              <w:tabs>
                <w:tab w:val="right" w:pos="9781"/>
              </w:tabs>
              <w:jc w:val="right"/>
            </w:pPr>
            <w:r w:rsidRPr="00275862">
              <w:t>Zdroj dat: ČSÚ (SLDB), vlastní výpočty</w:t>
            </w:r>
          </w:p>
        </w:tc>
      </w:tr>
      <w:tr w:rsidR="00421EA1" w:rsidRPr="00275862" w:rsidTr="00AC4FF2">
        <w:tc>
          <w:tcPr>
            <w:tcW w:w="1057" w:type="pct"/>
          </w:tcPr>
          <w:p w:rsidR="00421EA1" w:rsidRPr="00275862" w:rsidRDefault="00421EA1" w:rsidP="006666D5">
            <w:pPr>
              <w:tabs>
                <w:tab w:val="right" w:pos="9781"/>
              </w:tabs>
              <w:jc w:val="left"/>
              <w:rPr>
                <w:rFonts w:cs="Arial"/>
                <w:sz w:val="16"/>
                <w:szCs w:val="16"/>
              </w:rPr>
            </w:pP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rPr>
                <w:rFonts w:cs="Arial"/>
                <w:szCs w:val="20"/>
              </w:rPr>
            </w:pPr>
          </w:p>
        </w:tc>
      </w:tr>
    </w:tbl>
    <w:p w:rsidR="00397626" w:rsidRPr="00275862" w:rsidRDefault="00397626" w:rsidP="006666D5">
      <w:r w:rsidRPr="00275862">
        <w:rPr>
          <w:b/>
          <w:bCs/>
          <w:iCs/>
        </w:rPr>
        <w:br w:type="page"/>
      </w:r>
    </w:p>
    <w:tbl>
      <w:tblPr>
        <w:tblW w:w="5000" w:type="pct"/>
        <w:tblCellMar>
          <w:left w:w="28" w:type="dxa"/>
          <w:right w:w="28" w:type="dxa"/>
        </w:tblCellMar>
        <w:tblLook w:val="04A0"/>
      </w:tblPr>
      <w:tblGrid>
        <w:gridCol w:w="2050"/>
        <w:gridCol w:w="275"/>
        <w:gridCol w:w="7369"/>
      </w:tblGrid>
      <w:tr w:rsidR="00421EA1" w:rsidRPr="00275862" w:rsidTr="00AC4FF2">
        <w:tc>
          <w:tcPr>
            <w:tcW w:w="5000" w:type="pct"/>
            <w:gridSpan w:val="3"/>
          </w:tcPr>
          <w:p w:rsidR="00421EA1" w:rsidRPr="00275862" w:rsidRDefault="00421EA1" w:rsidP="006666D5">
            <w:pPr>
              <w:pStyle w:val="Nadpis1"/>
            </w:pPr>
            <w:bookmarkStart w:id="26" w:name="_Toc384640706"/>
            <w:r w:rsidRPr="00275862">
              <w:lastRenderedPageBreak/>
              <w:t>Národnostní a náboženská homogamie sezdaných a nesezdaných párů</w:t>
            </w:r>
            <w:bookmarkEnd w:id="26"/>
          </w:p>
          <w:p w:rsidR="00421EA1" w:rsidRPr="00275862" w:rsidRDefault="00421EA1" w:rsidP="006666D5">
            <w:pPr>
              <w:tabs>
                <w:tab w:val="right" w:pos="9781"/>
              </w:tabs>
            </w:pPr>
            <w:r w:rsidRPr="00275862">
              <w:t>Obsahem sčítání</w:t>
            </w:r>
            <w:r w:rsidR="003820A8">
              <w:t xml:space="preserve"> lidu</w:t>
            </w:r>
            <w:r w:rsidRPr="00275862">
              <w:t xml:space="preserve"> jsou i otázky na národnost a náboženské vyznání, ke kterým se člověk hlásí. Tyto otázky byly však dobrovolné a část občanů využila svého práva na tyto dotazy neodpovídat (25,3 % obyvatel u otázky na národnost a 44,7 % u náboženství), proto se analýza týká pouze párů, ve kterých oba z partnerů údaj o své národnosti nebo náboženské víře vyplnili. Jak u náboženského vyznání, tak u národnosti celkově platí, že nesezdaná soužití byla méně homogamní, než manželské páry, ale rozdíly byly malé.</w:t>
            </w:r>
          </w:p>
          <w:p w:rsidR="00421EA1" w:rsidRPr="00275862" w:rsidRDefault="00421EA1" w:rsidP="006666D5">
            <w:pPr>
              <w:tabs>
                <w:tab w:val="right" w:pos="9781"/>
              </w:tabs>
              <w:rPr>
                <w:rFonts w:cs="Arial"/>
                <w:szCs w:val="20"/>
              </w:rPr>
            </w:pPr>
          </w:p>
        </w:tc>
      </w:tr>
      <w:tr w:rsidR="00421EA1" w:rsidRPr="00275862" w:rsidTr="00AC4FF2">
        <w:tc>
          <w:tcPr>
            <w:tcW w:w="1057" w:type="pct"/>
          </w:tcPr>
          <w:p w:rsidR="00421EA1" w:rsidRPr="00275862" w:rsidRDefault="00D71801" w:rsidP="006666D5">
            <w:pPr>
              <w:tabs>
                <w:tab w:val="right" w:pos="9781"/>
              </w:tabs>
              <w:jc w:val="left"/>
              <w:rPr>
                <w:rFonts w:cs="Arial"/>
                <w:sz w:val="16"/>
                <w:szCs w:val="16"/>
              </w:rPr>
            </w:pPr>
            <w:r w:rsidRPr="00275862">
              <w:rPr>
                <w:rFonts w:cs="Arial"/>
                <w:sz w:val="16"/>
                <w:szCs w:val="16"/>
              </w:rPr>
              <w:t>U manželských párů jsou častěji zastoupeni partneři se stejnou náboženskou vírou</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Podle Sčítání 2011 bylo nábožensky homogamních, tedy oba partneři vyplnili naprosto stejné náboženské vyznání, 79,9 % manželských párů a 76,8 % párů žijících v nesezdaných soužití</w:t>
            </w:r>
            <w:r w:rsidRPr="00275862">
              <w:rPr>
                <w:rStyle w:val="Znakapoznpodarou"/>
              </w:rPr>
              <w:footnoteReference w:id="11"/>
            </w:r>
            <w:r w:rsidRPr="00275862">
              <w:t xml:space="preserve">. </w:t>
            </w:r>
            <w:r w:rsidR="003820A8">
              <w:t>Mírně n</w:t>
            </w:r>
            <w:r w:rsidRPr="00275862">
              <w:t>ižší míra homogamie u nesezdaných soužití byla patrná u všech věkových kategorií, přičemž jak u mužů, tak u žen se rozdíl oproti manželským párům téměř plynule s věkem zvyšoval. Narušení tohoto trendu bylo jen u věkové kategorie 30-34 let, ve které byl zároveň rozdíl mezi sezdanými a nesezdanými svazky nejnižší (1,3 p.b. u mužů a 1,7 p.b. u žen), největší pak byl u osob, kterým bylo 50 let a více (4,9 p.b. resp. 5,2 p.b.). Podíl nábožensky homogamních svazků byl jak u manželských, tak i nesezdaných párů nejnižší ve věkové kategorii 25-29 let (78 % resp. 75 % jak u mužů, tak u žen), nejvyšší pak v kategorii 40-44 let (82 % resp. 79 %).</w:t>
            </w:r>
          </w:p>
          <w:p w:rsidR="00421EA1" w:rsidRPr="00275862" w:rsidRDefault="00421EA1" w:rsidP="006666D5">
            <w:pPr>
              <w:tabs>
                <w:tab w:val="right" w:pos="9781"/>
              </w:tabs>
              <w:rPr>
                <w:rFonts w:cs="Arial"/>
                <w:szCs w:val="20"/>
              </w:rPr>
            </w:pPr>
          </w:p>
        </w:tc>
      </w:tr>
      <w:tr w:rsidR="00421EA1" w:rsidRPr="00275862" w:rsidTr="00AC4FF2">
        <w:tc>
          <w:tcPr>
            <w:tcW w:w="5000" w:type="pct"/>
            <w:gridSpan w:val="3"/>
          </w:tcPr>
          <w:p w:rsidR="00421EA1" w:rsidRPr="00275862" w:rsidRDefault="00421EA1" w:rsidP="006666D5">
            <w:pPr>
              <w:tabs>
                <w:tab w:val="right" w:pos="9781"/>
              </w:tabs>
              <w:spacing w:after="40"/>
              <w:ind w:left="993" w:hanging="993"/>
            </w:pPr>
            <w:r w:rsidRPr="00275862">
              <w:t xml:space="preserve">Graf č. 11 </w:t>
            </w:r>
            <w:r w:rsidRPr="00275862">
              <w:rPr>
                <w:b/>
              </w:rPr>
              <w:t>Podíl náboženské homogamie podle typu soužití, pohlaví a náboženského vyznání, 2011</w:t>
            </w:r>
          </w:p>
          <w:p w:rsidR="00421EA1" w:rsidRPr="00275862" w:rsidRDefault="00421EA1" w:rsidP="006666D5">
            <w:pPr>
              <w:tabs>
                <w:tab w:val="right" w:pos="9781"/>
              </w:tabs>
              <w:rPr>
                <w:rFonts w:cs="Arial"/>
                <w:szCs w:val="20"/>
              </w:rPr>
            </w:pPr>
            <w:r w:rsidRPr="00275862">
              <w:rPr>
                <w:rFonts w:cs="Arial"/>
                <w:noProof/>
                <w:szCs w:val="20"/>
              </w:rPr>
              <w:drawing>
                <wp:inline distT="0" distB="0" distL="0" distR="0">
                  <wp:extent cx="6134100" cy="2495550"/>
                  <wp:effectExtent l="19050" t="0" r="19050" b="0"/>
                  <wp:docPr id="11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1EA1" w:rsidRPr="00275862" w:rsidRDefault="00421EA1" w:rsidP="006666D5">
            <w:pPr>
              <w:tabs>
                <w:tab w:val="right" w:pos="9781"/>
              </w:tabs>
              <w:jc w:val="right"/>
            </w:pPr>
            <w:r w:rsidRPr="00275862">
              <w:t>Zdroj dat: ČSÚ (SLDB), vlastní výpočty</w:t>
            </w:r>
          </w:p>
          <w:p w:rsidR="00421EA1" w:rsidRPr="00275862" w:rsidRDefault="00421EA1" w:rsidP="006666D5">
            <w:pPr>
              <w:tabs>
                <w:tab w:val="right" w:pos="9781"/>
              </w:tabs>
              <w:rPr>
                <w:rFonts w:cs="Arial"/>
                <w:szCs w:val="20"/>
              </w:rPr>
            </w:pPr>
          </w:p>
        </w:tc>
      </w:tr>
      <w:tr w:rsidR="00421EA1" w:rsidRPr="00275862" w:rsidTr="00AC4FF2">
        <w:tc>
          <w:tcPr>
            <w:tcW w:w="1057" w:type="pct"/>
          </w:tcPr>
          <w:p w:rsidR="00421EA1" w:rsidRPr="00275862" w:rsidRDefault="00D75B17" w:rsidP="006666D5">
            <w:pPr>
              <w:tabs>
                <w:tab w:val="right" w:pos="9781"/>
              </w:tabs>
              <w:jc w:val="left"/>
              <w:rPr>
                <w:rFonts w:cs="Arial"/>
                <w:sz w:val="16"/>
                <w:szCs w:val="16"/>
              </w:rPr>
            </w:pPr>
            <w:r w:rsidRPr="00275862">
              <w:rPr>
                <w:rFonts w:cs="Arial"/>
                <w:sz w:val="16"/>
                <w:szCs w:val="16"/>
              </w:rPr>
              <w:t xml:space="preserve">Míra náboženské podobnosti se u sezdaných a nesezdaných párů výrazněji liší u křesťanů </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 xml:space="preserve">Jak je vidět na grafu č. 11 podíl homogamních párů se lišil podle typu náboženského vyznání a jsou patrné rozdíly mezi muži a ženami a také mezi jednotlivými typy soužití. Osoby, které uvedly, že jsou bez víry, nebo se označily za ateisty v naprosté většině žily s partnerem, který učinil stejně, a nezáleželo na tom, zda se jednalo o manželský pár, nebo o nesezdané soužití (u mužů rozdíl podílu homogamních párů 0,5 p.b., u žen o trochu více - 1,9 p.b.). Lidé hlásící se k některé z křesťanských církví pak žili s partnerem stejného vyznání méně často oproti osobám bez vyznání a rozdíl v podílu homogamních svazků mezi manželskými páry a nesezdanými soužitími byl výraznější (u kohabitací méně o 25,9 p.b. u mužů a 25,4 p.b. u žen). Pokud lidé hlásící se ke křesťanským církvím nežili v homogamním manželském svazku, nejčastěji jejich manžel/ka byl/a bez vyznání (41,0 % mužů z nábožensky heterogamních svazků mělo partnerku bez vyznání a 51,6 % žen), nebo se hlásil/a k jiné z křesťanských církví (37,7 % u mužů a 26,5 % u žen). Křesťané žijící v heterogamním nesezdaném soužití také nejčastěji žili s partnerem/kou bez vyznání (56,8 % u mužů a 62,1 % </w:t>
            </w:r>
            <w:r w:rsidRPr="00275862">
              <w:lastRenderedPageBreak/>
              <w:t>u žen), druhou nejčastější kombinací pak bylo soužití s osobou, která uvedla, že je věřící, ale nehlásí se k žádné z církví (21,9 % u mužů a 20,1 % u žen), ale téměř stejná část jich žila s partnerem/kou hlásící se k jiné křesťanské církvi (20,1 % mužů a 15,7 % žen). U ostatních náboženských vyznání byla míra homogamie ve většině případů nižší, ale k judaismu, islámu, buddhismu a hinduismu se přihlásilo velmi málo lidí žijících v domácnosti tvořené jednou úplnou rodinou (v řádu stovek), proto je možnost srovnání omezená.</w:t>
            </w:r>
          </w:p>
          <w:p w:rsidR="00421EA1" w:rsidRPr="00275862" w:rsidRDefault="00421EA1" w:rsidP="006666D5">
            <w:pPr>
              <w:tabs>
                <w:tab w:val="right" w:pos="9781"/>
              </w:tabs>
              <w:rPr>
                <w:rFonts w:cs="Arial"/>
                <w:sz w:val="14"/>
                <w:szCs w:val="14"/>
              </w:rPr>
            </w:pPr>
          </w:p>
        </w:tc>
      </w:tr>
      <w:tr w:rsidR="00421EA1" w:rsidRPr="00275862" w:rsidTr="00AC4FF2">
        <w:tc>
          <w:tcPr>
            <w:tcW w:w="1057" w:type="pct"/>
          </w:tcPr>
          <w:p w:rsidR="00421EA1" w:rsidRPr="00275862" w:rsidRDefault="00D75B17" w:rsidP="006666D5">
            <w:pPr>
              <w:tabs>
                <w:tab w:val="right" w:pos="9781"/>
              </w:tabs>
              <w:jc w:val="left"/>
              <w:rPr>
                <w:sz w:val="16"/>
                <w:szCs w:val="16"/>
              </w:rPr>
            </w:pPr>
            <w:r w:rsidRPr="00275862">
              <w:rPr>
                <w:sz w:val="16"/>
                <w:szCs w:val="16"/>
              </w:rPr>
              <w:lastRenderedPageBreak/>
              <w:t>Naprostá většina párů je národnostně homogamní</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Naprosto stejnou národnost do sčítacích formulářů vyplnilo 91,2 % manželů a 88,6 % nesezdaných párů z těch, kde muž i žena údaj o své národnosti vyplnili. Pokud bychom však za národnostně homogamní páry považovaly i kombinace národností České republiky – česká, moravská, slezská a u osob se dvěma národnostmi jejich vzájemné kombinace, byl by podíl ještě vyšší – 93,7 % u manželských párů a 91,9 % u nesezdaných soužití. U osob, které se přihlásily k jedné z českých národností, pak byl podíl o trochu vyšší - 97,0 % českých mužů žijících v manželství mělo partnerku</w:t>
            </w:r>
            <w:r w:rsidR="00355E7C">
              <w:t>, která se</w:t>
            </w:r>
            <w:r w:rsidRPr="00275862">
              <w:t xml:space="preserve"> také </w:t>
            </w:r>
            <w:r w:rsidR="00355E7C">
              <w:t>hlásila k některé z národností České republiky</w:t>
            </w:r>
            <w:r w:rsidRPr="00275862">
              <w:t>, a z těch, kteří žili v nesezdaném soužití, to bylo téměř stejně - 96,6 %. U českých žen byly podíly nepatrně nižší – 96,7 % resp. 95,5 %. Jak čeští muži, tak ženy žijící s osobou jiné národnosti, nejčastěji měli partnery/ky, kteří se přihlásili k slovenské národnosti (viz graf č. 12). Mezi další dvě nejčastější národnosti partnerů jak u mužů, tak u žen pak patřila národnost německá a</w:t>
            </w:r>
            <w:r w:rsidR="00355E7C">
              <w:t> </w:t>
            </w:r>
            <w:r w:rsidRPr="00275862">
              <w:t xml:space="preserve">polská. </w:t>
            </w:r>
          </w:p>
          <w:p w:rsidR="00421EA1" w:rsidRPr="00275862" w:rsidRDefault="00421EA1" w:rsidP="006666D5">
            <w:pPr>
              <w:tabs>
                <w:tab w:val="right" w:pos="9781"/>
              </w:tabs>
              <w:rPr>
                <w:sz w:val="14"/>
                <w:szCs w:val="14"/>
              </w:rPr>
            </w:pPr>
          </w:p>
        </w:tc>
      </w:tr>
      <w:tr w:rsidR="00421EA1" w:rsidRPr="005D6E36" w:rsidTr="00AC4FF2">
        <w:tc>
          <w:tcPr>
            <w:tcW w:w="5000" w:type="pct"/>
            <w:gridSpan w:val="3"/>
          </w:tcPr>
          <w:p w:rsidR="00421EA1" w:rsidRPr="00275862" w:rsidRDefault="00421EA1" w:rsidP="00D575F6">
            <w:pPr>
              <w:tabs>
                <w:tab w:val="right" w:pos="9781"/>
              </w:tabs>
              <w:spacing w:after="40"/>
              <w:ind w:left="1418" w:hanging="1418"/>
            </w:pPr>
            <w:r w:rsidRPr="00275862">
              <w:t xml:space="preserve">Graf č. 12 </w:t>
            </w:r>
            <w:r w:rsidRPr="00275862">
              <w:rPr>
                <w:b/>
              </w:rPr>
              <w:t>Nejčastější národnosti partnerů/ek českých mužů a žen žijících v národnostně heterogamních svazcích, 2011</w:t>
            </w:r>
            <w:r w:rsidRPr="00275862">
              <w:rPr>
                <w:rStyle w:val="Znakapoznpodarou"/>
              </w:rPr>
              <w:footnoteReference w:id="12"/>
            </w:r>
          </w:p>
          <w:p w:rsidR="00421EA1" w:rsidRPr="00275862" w:rsidRDefault="00421EA1" w:rsidP="006666D5">
            <w:pPr>
              <w:tabs>
                <w:tab w:val="right" w:pos="9781"/>
              </w:tabs>
              <w:rPr>
                <w:rFonts w:cs="Arial"/>
                <w:color w:val="000000"/>
                <w:szCs w:val="20"/>
              </w:rPr>
            </w:pPr>
            <w:r w:rsidRPr="00275862">
              <w:rPr>
                <w:rFonts w:cs="Arial"/>
                <w:noProof/>
                <w:color w:val="000000"/>
                <w:szCs w:val="20"/>
              </w:rPr>
              <w:drawing>
                <wp:inline distT="0" distB="0" distL="0" distR="0">
                  <wp:extent cx="6134100" cy="2590800"/>
                  <wp:effectExtent l="19050" t="0" r="19050" b="0"/>
                  <wp:docPr id="11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21EA1" w:rsidRDefault="00421EA1" w:rsidP="006666D5">
            <w:pPr>
              <w:tabs>
                <w:tab w:val="right" w:pos="9781"/>
              </w:tabs>
              <w:jc w:val="right"/>
            </w:pPr>
            <w:r w:rsidRPr="00275862">
              <w:t>Zdroj dat: ČSÚ (SLDB), vlastní výpočty</w:t>
            </w:r>
          </w:p>
          <w:p w:rsidR="00421EA1" w:rsidRDefault="00421EA1" w:rsidP="006666D5">
            <w:pPr>
              <w:tabs>
                <w:tab w:val="right" w:pos="9781"/>
              </w:tabs>
              <w:rPr>
                <w:rFonts w:cs="Arial"/>
                <w:color w:val="000000"/>
                <w:szCs w:val="20"/>
              </w:rPr>
            </w:pPr>
          </w:p>
          <w:p w:rsidR="00421EA1" w:rsidRPr="006B42E5" w:rsidRDefault="00421EA1" w:rsidP="006666D5">
            <w:pPr>
              <w:tabs>
                <w:tab w:val="right" w:pos="9781"/>
              </w:tabs>
              <w:rPr>
                <w:rFonts w:cs="Arial"/>
                <w:color w:val="000000"/>
                <w:szCs w:val="20"/>
              </w:rPr>
            </w:pPr>
          </w:p>
        </w:tc>
      </w:tr>
    </w:tbl>
    <w:p w:rsidR="00AC4FF2" w:rsidRDefault="00AC4FF2" w:rsidP="006666D5">
      <w:pPr>
        <w:tabs>
          <w:tab w:val="right" w:pos="9781"/>
        </w:tabs>
      </w:pPr>
    </w:p>
    <w:p w:rsidR="00DD18F5" w:rsidRDefault="00DD18F5" w:rsidP="006666D5">
      <w:pPr>
        <w:tabs>
          <w:tab w:val="right" w:pos="9781"/>
        </w:tabs>
      </w:pPr>
    </w:p>
    <w:p w:rsidR="00DD18F5" w:rsidRDefault="00DD18F5" w:rsidP="006666D5">
      <w:pPr>
        <w:tabs>
          <w:tab w:val="right" w:pos="9781"/>
        </w:tabs>
      </w:pPr>
    </w:p>
    <w:p w:rsidR="00DD18F5" w:rsidRDefault="00DD18F5" w:rsidP="006666D5">
      <w:pPr>
        <w:tabs>
          <w:tab w:val="right" w:pos="9781"/>
        </w:tabs>
      </w:pPr>
    </w:p>
    <w:p w:rsidR="00DD18F5" w:rsidRDefault="00DD18F5" w:rsidP="006666D5">
      <w:pPr>
        <w:tabs>
          <w:tab w:val="right" w:pos="9781"/>
        </w:tabs>
      </w:pPr>
    </w:p>
    <w:p w:rsidR="00DD18F5" w:rsidRDefault="00DD18F5" w:rsidP="006666D5">
      <w:pPr>
        <w:tabs>
          <w:tab w:val="right" w:pos="9781"/>
        </w:tabs>
      </w:pPr>
    </w:p>
    <w:p w:rsidR="00DD18F5" w:rsidRDefault="00DD18F5" w:rsidP="006666D5">
      <w:pPr>
        <w:tabs>
          <w:tab w:val="right" w:pos="9781"/>
        </w:tabs>
      </w:pPr>
    </w:p>
    <w:p w:rsidR="00DD18F5" w:rsidRDefault="00DD18F5" w:rsidP="006666D5">
      <w:pPr>
        <w:tabs>
          <w:tab w:val="right" w:pos="9781"/>
        </w:tabs>
      </w:pPr>
    </w:p>
    <w:p w:rsidR="00DD18F5" w:rsidRDefault="00DD18F5" w:rsidP="006666D5">
      <w:pPr>
        <w:tabs>
          <w:tab w:val="right" w:pos="9781"/>
        </w:tabs>
      </w:pPr>
    </w:p>
    <w:p w:rsidR="00DD18F5" w:rsidRDefault="00DD18F5" w:rsidP="006666D5">
      <w:pPr>
        <w:tabs>
          <w:tab w:val="right" w:pos="9781"/>
        </w:tabs>
      </w:pPr>
    </w:p>
    <w:p w:rsidR="00DD18F5" w:rsidRDefault="00DD18F5" w:rsidP="006666D5">
      <w:pPr>
        <w:tabs>
          <w:tab w:val="right" w:pos="9781"/>
        </w:tabs>
      </w:pPr>
    </w:p>
    <w:p w:rsidR="00DD18F5" w:rsidRDefault="00DD18F5" w:rsidP="006666D5">
      <w:pPr>
        <w:tabs>
          <w:tab w:val="right" w:pos="9781"/>
        </w:tabs>
      </w:pPr>
    </w:p>
    <w:p w:rsidR="00DD18F5" w:rsidRDefault="00DD18F5" w:rsidP="00DD18F5">
      <w:pPr>
        <w:pStyle w:val="Nadpis1"/>
        <w:numPr>
          <w:ilvl w:val="0"/>
          <w:numId w:val="0"/>
        </w:numPr>
        <w:ind w:left="431" w:hanging="431"/>
      </w:pPr>
      <w:bookmarkStart w:id="27" w:name="_Toc384640707"/>
      <w:r>
        <w:lastRenderedPageBreak/>
        <w:t>Literatura</w:t>
      </w:r>
      <w:bookmarkEnd w:id="27"/>
    </w:p>
    <w:p w:rsidR="00DD18F5" w:rsidRPr="00F47721" w:rsidRDefault="00DD18F5" w:rsidP="00F47721">
      <w:pPr>
        <w:spacing w:line="276" w:lineRule="auto"/>
        <w:rPr>
          <w:sz w:val="22"/>
        </w:rPr>
      </w:pPr>
    </w:p>
    <w:p w:rsidR="00F47721" w:rsidRDefault="00F47721" w:rsidP="007F729B">
      <w:pPr>
        <w:pStyle w:val="Odstavecseseznamem"/>
        <w:numPr>
          <w:ilvl w:val="0"/>
          <w:numId w:val="16"/>
        </w:numPr>
        <w:spacing w:line="276" w:lineRule="auto"/>
        <w:ind w:left="426" w:hanging="426"/>
        <w:jc w:val="both"/>
        <w:rPr>
          <w:sz w:val="20"/>
        </w:rPr>
      </w:pPr>
      <w:r>
        <w:rPr>
          <w:sz w:val="20"/>
        </w:rPr>
        <w:t xml:space="preserve">Hamplová, Dana. 2005. </w:t>
      </w:r>
      <w:r w:rsidRPr="00FE7108">
        <w:rPr>
          <w:i/>
          <w:sz w:val="20"/>
        </w:rPr>
        <w:t>Educational</w:t>
      </w:r>
      <w:r>
        <w:rPr>
          <w:sz w:val="20"/>
        </w:rPr>
        <w:t xml:space="preserve"> </w:t>
      </w:r>
      <w:r w:rsidRPr="00E35D8C">
        <w:rPr>
          <w:i/>
          <w:sz w:val="20"/>
        </w:rPr>
        <w:t>Homogamy in Marriage and Cohabitation in Selected European Countries</w:t>
      </w:r>
      <w:r>
        <w:rPr>
          <w:sz w:val="20"/>
        </w:rPr>
        <w:t xml:space="preserve">. </w:t>
      </w:r>
      <w:r w:rsidR="00E35D8C">
        <w:rPr>
          <w:sz w:val="20"/>
        </w:rPr>
        <w:t>International Sociological Association Research Comimittee 28 (RC28) on Social Stratification and Mobility: Los Angeles Meeting, August 18-21, 2005. 26</w:t>
      </w:r>
      <w:r w:rsidR="00FE7108">
        <w:rPr>
          <w:sz w:val="20"/>
        </w:rPr>
        <w:t xml:space="preserve"> s</w:t>
      </w:r>
      <w:r w:rsidR="00E35D8C">
        <w:rPr>
          <w:sz w:val="20"/>
        </w:rPr>
        <w:t>.</w:t>
      </w:r>
    </w:p>
    <w:p w:rsidR="00F47721" w:rsidRPr="00F47721" w:rsidRDefault="00EB6C71" w:rsidP="007F729B">
      <w:pPr>
        <w:pStyle w:val="Odstavecseseznamem"/>
        <w:numPr>
          <w:ilvl w:val="0"/>
          <w:numId w:val="16"/>
        </w:numPr>
        <w:spacing w:line="276" w:lineRule="auto"/>
        <w:ind w:left="426" w:hanging="426"/>
        <w:jc w:val="both"/>
        <w:rPr>
          <w:sz w:val="20"/>
        </w:rPr>
      </w:pPr>
      <w:r w:rsidRPr="00F47721">
        <w:rPr>
          <w:sz w:val="20"/>
        </w:rPr>
        <w:t xml:space="preserve">Katrňák, Tomáš. 2008. </w:t>
      </w:r>
      <w:r w:rsidRPr="00F47721">
        <w:rPr>
          <w:i/>
          <w:sz w:val="20"/>
        </w:rPr>
        <w:t>Spřízněni volbou?: homogamie a heterogamie manželských párů v České republice</w:t>
      </w:r>
      <w:r w:rsidRPr="00F47721">
        <w:rPr>
          <w:sz w:val="20"/>
        </w:rPr>
        <w:t>. Praha: Sociologické nakladatelství, 2008. 239 s. ISBN 978-80-86429-98-4</w:t>
      </w:r>
      <w:r w:rsidR="00F47721" w:rsidRPr="00F47721">
        <w:rPr>
          <w:sz w:val="20"/>
        </w:rPr>
        <w:t>.</w:t>
      </w:r>
    </w:p>
    <w:p w:rsidR="00DD18F5" w:rsidRDefault="00F47721" w:rsidP="007F729B">
      <w:pPr>
        <w:pStyle w:val="Odstavecseseznamem"/>
        <w:numPr>
          <w:ilvl w:val="0"/>
          <w:numId w:val="16"/>
        </w:numPr>
        <w:spacing w:line="276" w:lineRule="auto"/>
        <w:ind w:left="426" w:hanging="426"/>
        <w:jc w:val="both"/>
        <w:rPr>
          <w:sz w:val="20"/>
        </w:rPr>
      </w:pPr>
      <w:r w:rsidRPr="00F47721">
        <w:rPr>
          <w:sz w:val="20"/>
        </w:rPr>
        <w:t xml:space="preserve">Katrňák, Tomáš, Lechnerová, Zdeňka, Pakosta, Petr, Fučík, Petr. 2010. </w:t>
      </w:r>
      <w:r w:rsidRPr="00F47721">
        <w:rPr>
          <w:i/>
          <w:sz w:val="20"/>
        </w:rPr>
        <w:t>Na prahu dospělosti: Partnerství, sex a životní představy mladých v současné české společnosti</w:t>
      </w:r>
      <w:r w:rsidRPr="00F47721">
        <w:rPr>
          <w:sz w:val="20"/>
        </w:rPr>
        <w:t xml:space="preserve">.  </w:t>
      </w:r>
      <w:r w:rsidR="00EB6C71" w:rsidRPr="00F47721">
        <w:rPr>
          <w:sz w:val="20"/>
        </w:rPr>
        <w:t xml:space="preserve"> </w:t>
      </w:r>
      <w:r w:rsidRPr="00F47721">
        <w:rPr>
          <w:sz w:val="20"/>
        </w:rPr>
        <w:t>Praha: Dokořán, 2010. 222 s. ISBN 978-80-7363-352-3.</w:t>
      </w:r>
    </w:p>
    <w:p w:rsidR="00E35D8C" w:rsidRPr="00F47721" w:rsidRDefault="00E35D8C" w:rsidP="007F729B">
      <w:pPr>
        <w:pStyle w:val="Odstavecseseznamem"/>
        <w:numPr>
          <w:ilvl w:val="0"/>
          <w:numId w:val="16"/>
        </w:numPr>
        <w:spacing w:line="276" w:lineRule="auto"/>
        <w:ind w:left="426" w:hanging="426"/>
        <w:jc w:val="both"/>
        <w:rPr>
          <w:sz w:val="20"/>
        </w:rPr>
      </w:pPr>
      <w:r>
        <w:rPr>
          <w:sz w:val="20"/>
        </w:rPr>
        <w:t xml:space="preserve">Schoen, Robert, Weinick, Robin M. 1993. Partner Choice in Marriages and Cohabitations. </w:t>
      </w:r>
      <w:r>
        <w:rPr>
          <w:i/>
          <w:sz w:val="20"/>
        </w:rPr>
        <w:t>Journal of Marriage and the Family</w:t>
      </w:r>
      <w:r>
        <w:rPr>
          <w:sz w:val="20"/>
        </w:rPr>
        <w:t xml:space="preserve">. </w:t>
      </w:r>
      <w:r w:rsidR="0026588E">
        <w:rPr>
          <w:sz w:val="20"/>
        </w:rPr>
        <w:t xml:space="preserve">1993. </w:t>
      </w:r>
      <w:r w:rsidR="00D575F6">
        <w:rPr>
          <w:sz w:val="20"/>
        </w:rPr>
        <w:t>r</w:t>
      </w:r>
      <w:r>
        <w:rPr>
          <w:sz w:val="20"/>
        </w:rPr>
        <w:t xml:space="preserve">. 55. </w:t>
      </w:r>
      <w:r w:rsidR="00D575F6">
        <w:rPr>
          <w:sz w:val="20"/>
        </w:rPr>
        <w:t>s</w:t>
      </w:r>
      <w:r>
        <w:rPr>
          <w:sz w:val="20"/>
        </w:rPr>
        <w:t>. 408-413.</w:t>
      </w:r>
    </w:p>
    <w:sectPr w:rsidR="00E35D8C" w:rsidRPr="00F47721" w:rsidSect="00E3559C">
      <w:headerReference w:type="default" r:id="rId24"/>
      <w:footerReference w:type="default" r:id="rId25"/>
      <w:pgSz w:w="11906" w:h="16838"/>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0CC" w:rsidRDefault="002570CC" w:rsidP="00421EA1">
      <w:r>
        <w:separator/>
      </w:r>
    </w:p>
  </w:endnote>
  <w:endnote w:type="continuationSeparator" w:id="0">
    <w:p w:rsidR="002570CC" w:rsidRDefault="002570CC" w:rsidP="00421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F2" w:rsidRDefault="00AC4FF2" w:rsidP="00421EA1">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60288"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1" name="obrázek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p>
  <w:p w:rsidR="00AC4FF2" w:rsidRDefault="00AC4FF2" w:rsidP="00421EA1">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w:t>
    </w:r>
    <w:r w:rsidR="003505EC">
      <w:rPr>
        <w:rFonts w:ascii="Arial" w:hAnsi="Arial" w:cs="Arial"/>
        <w:sz w:val="16"/>
        <w:szCs w:val="16"/>
      </w:rPr>
      <w:t>4</w:t>
    </w:r>
    <w:r>
      <w:tab/>
    </w:r>
    <w:r w:rsidR="00710089" w:rsidRPr="00B6608F">
      <w:rPr>
        <w:rFonts w:ascii="Arial" w:hAnsi="Arial" w:cs="Arial"/>
        <w:sz w:val="16"/>
        <w:szCs w:val="16"/>
      </w:rPr>
      <w:fldChar w:fldCharType="begin"/>
    </w:r>
    <w:r w:rsidRPr="00B6608F">
      <w:rPr>
        <w:rFonts w:ascii="Arial" w:hAnsi="Arial" w:cs="Arial"/>
        <w:sz w:val="16"/>
        <w:szCs w:val="16"/>
      </w:rPr>
      <w:instrText>PAGE   \* MERGEFORMAT</w:instrText>
    </w:r>
    <w:r w:rsidR="00710089" w:rsidRPr="00B6608F">
      <w:rPr>
        <w:rFonts w:ascii="Arial" w:hAnsi="Arial" w:cs="Arial"/>
        <w:sz w:val="16"/>
        <w:szCs w:val="16"/>
      </w:rPr>
      <w:fldChar w:fldCharType="separate"/>
    </w:r>
    <w:r w:rsidR="0026588E">
      <w:rPr>
        <w:rFonts w:ascii="Arial" w:hAnsi="Arial" w:cs="Arial"/>
        <w:noProof/>
        <w:sz w:val="16"/>
        <w:szCs w:val="16"/>
      </w:rPr>
      <w:t>18</w:t>
    </w:r>
    <w:r w:rsidR="00710089" w:rsidRPr="00B6608F">
      <w:rPr>
        <w:rFonts w:ascii="Arial" w:hAnsi="Arial" w:cs="Arial"/>
        <w:sz w:val="16"/>
        <w:szCs w:val="16"/>
      </w:rPr>
      <w:fldChar w:fldCharType="end"/>
    </w:r>
  </w:p>
  <w:p w:rsidR="00AC4FF2" w:rsidRDefault="00AC4FF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0CC" w:rsidRDefault="002570CC" w:rsidP="00421EA1">
      <w:r>
        <w:separator/>
      </w:r>
    </w:p>
  </w:footnote>
  <w:footnote w:type="continuationSeparator" w:id="0">
    <w:p w:rsidR="002570CC" w:rsidRDefault="002570CC" w:rsidP="00421EA1">
      <w:r>
        <w:continuationSeparator/>
      </w:r>
    </w:p>
  </w:footnote>
  <w:footnote w:id="1">
    <w:p w:rsidR="00ED3DF1" w:rsidRDefault="00ED3DF1" w:rsidP="00ED3DF1">
      <w:pPr>
        <w:pStyle w:val="Textpoznpodarou"/>
      </w:pPr>
      <w:r w:rsidRPr="00176EBC">
        <w:rPr>
          <w:rStyle w:val="Znakapoznpodarou"/>
          <w:sz w:val="18"/>
        </w:rPr>
        <w:footnoteRef/>
      </w:r>
      <w:r w:rsidRPr="00176EBC">
        <w:rPr>
          <w:sz w:val="18"/>
        </w:rPr>
        <w:t xml:space="preserve"> </w:t>
      </w:r>
      <w:r w:rsidR="00176EBC">
        <w:rPr>
          <w:sz w:val="16"/>
        </w:rPr>
        <w:t>z</w:t>
      </w:r>
      <w:r w:rsidR="00600F44" w:rsidRPr="00176EBC">
        <w:rPr>
          <w:sz w:val="16"/>
        </w:rPr>
        <w:t>droj - Životní podmínky (EU-</w:t>
      </w:r>
      <w:r w:rsidRPr="00176EBC">
        <w:rPr>
          <w:sz w:val="16"/>
        </w:rPr>
        <w:t>SILC</w:t>
      </w:r>
      <w:r w:rsidR="00600F44" w:rsidRPr="00176EBC">
        <w:rPr>
          <w:sz w:val="16"/>
        </w:rPr>
        <w:t>)</w:t>
      </w:r>
    </w:p>
  </w:footnote>
  <w:footnote w:id="2">
    <w:p w:rsidR="00AC4FF2" w:rsidRDefault="00AC4FF2" w:rsidP="00421EA1">
      <w:pPr>
        <w:pStyle w:val="Textpoznpodarou"/>
      </w:pPr>
      <w:r w:rsidRPr="00771C17">
        <w:rPr>
          <w:rStyle w:val="Znakapoznpodarou"/>
          <w:sz w:val="18"/>
        </w:rPr>
        <w:footnoteRef/>
      </w:r>
      <w:r w:rsidRPr="00771C17">
        <w:rPr>
          <w:sz w:val="18"/>
        </w:rPr>
        <w:t xml:space="preserve"> </w:t>
      </w:r>
      <w:r w:rsidR="00176EBC">
        <w:rPr>
          <w:sz w:val="16"/>
        </w:rPr>
        <w:t>p</w:t>
      </w:r>
      <w:r w:rsidRPr="00771C17">
        <w:rPr>
          <w:sz w:val="16"/>
        </w:rPr>
        <w:t xml:space="preserve">áry, kde oba vyplnili údaj o ekonomické aktivitě a </w:t>
      </w:r>
      <w:r>
        <w:rPr>
          <w:sz w:val="16"/>
        </w:rPr>
        <w:t>ani jeden z partnerů nebyl</w:t>
      </w:r>
      <w:r w:rsidRPr="00771C17">
        <w:rPr>
          <w:sz w:val="16"/>
        </w:rPr>
        <w:t xml:space="preserve"> studen</w:t>
      </w:r>
      <w:r>
        <w:rPr>
          <w:sz w:val="16"/>
        </w:rPr>
        <w:t>t</w:t>
      </w:r>
    </w:p>
  </w:footnote>
  <w:footnote w:id="3">
    <w:p w:rsidR="00AC4FF2" w:rsidRDefault="00AC4FF2" w:rsidP="00421EA1">
      <w:pPr>
        <w:pStyle w:val="Textpoznpodarou"/>
      </w:pPr>
      <w:r w:rsidRPr="00E84A02">
        <w:rPr>
          <w:rStyle w:val="Znakapoznpodarou"/>
          <w:sz w:val="18"/>
        </w:rPr>
        <w:footnoteRef/>
      </w:r>
      <w:r w:rsidRPr="00E84A02">
        <w:rPr>
          <w:sz w:val="18"/>
        </w:rPr>
        <w:t xml:space="preserve"> </w:t>
      </w:r>
      <w:r>
        <w:rPr>
          <w:sz w:val="16"/>
        </w:rPr>
        <w:t>ú</w:t>
      </w:r>
      <w:r w:rsidRPr="00E84A02">
        <w:rPr>
          <w:sz w:val="16"/>
        </w:rPr>
        <w:t>daje o vzdělanostní struktuře na základě dat z Výběrového šetření pracovních sil (VŠPS)</w:t>
      </w:r>
    </w:p>
  </w:footnote>
  <w:footnote w:id="4">
    <w:p w:rsidR="00AC4FF2" w:rsidRDefault="00AC4FF2" w:rsidP="00421EA1">
      <w:pPr>
        <w:pStyle w:val="Textpoznpodarou"/>
      </w:pPr>
      <w:r w:rsidRPr="0019684B">
        <w:rPr>
          <w:rStyle w:val="Znakapoznpodarou"/>
          <w:sz w:val="18"/>
        </w:rPr>
        <w:footnoteRef/>
      </w:r>
      <w:r w:rsidRPr="0019684B">
        <w:rPr>
          <w:sz w:val="18"/>
        </w:rPr>
        <w:t xml:space="preserve"> </w:t>
      </w:r>
      <w:r w:rsidR="00275862">
        <w:rPr>
          <w:sz w:val="16"/>
        </w:rPr>
        <w:t>v</w:t>
      </w:r>
      <w:r w:rsidRPr="0019684B">
        <w:rPr>
          <w:sz w:val="16"/>
        </w:rPr>
        <w:t>ěkový rozdíl</w:t>
      </w:r>
      <w:r w:rsidR="00F51634">
        <w:rPr>
          <w:sz w:val="16"/>
        </w:rPr>
        <w:t xml:space="preserve"> mezi snoubenci</w:t>
      </w:r>
      <w:r w:rsidRPr="0019684B">
        <w:rPr>
          <w:sz w:val="16"/>
        </w:rPr>
        <w:t xml:space="preserve"> byl počítán z přesného data </w:t>
      </w:r>
      <w:r w:rsidR="00F51634">
        <w:rPr>
          <w:sz w:val="16"/>
        </w:rPr>
        <w:t xml:space="preserve">jejich </w:t>
      </w:r>
      <w:r w:rsidRPr="0019684B">
        <w:rPr>
          <w:sz w:val="16"/>
        </w:rPr>
        <w:t>narození a je v dokončených letech</w:t>
      </w:r>
    </w:p>
  </w:footnote>
  <w:footnote w:id="5">
    <w:p w:rsidR="00AC4FF2" w:rsidRDefault="00AC4FF2" w:rsidP="00421EA1">
      <w:pPr>
        <w:pStyle w:val="Textpoznpodarou"/>
      </w:pPr>
      <w:r w:rsidRPr="00275862">
        <w:rPr>
          <w:rStyle w:val="Znakapoznpodarou"/>
          <w:sz w:val="18"/>
        </w:rPr>
        <w:footnoteRef/>
      </w:r>
      <w:r w:rsidRPr="0074490F">
        <w:rPr>
          <w:sz w:val="18"/>
        </w:rPr>
        <w:t xml:space="preserve"> </w:t>
      </w:r>
      <w:r w:rsidR="00275862">
        <w:rPr>
          <w:sz w:val="16"/>
        </w:rPr>
        <w:t>č</w:t>
      </w:r>
      <w:r w:rsidRPr="008F083F">
        <w:rPr>
          <w:sz w:val="16"/>
        </w:rPr>
        <w:t>ervené křivky podle věku ženy, modré podle věku muže</w:t>
      </w:r>
    </w:p>
  </w:footnote>
  <w:footnote w:id="6">
    <w:p w:rsidR="00AC4FF2" w:rsidRDefault="00AC4FF2" w:rsidP="00421EA1">
      <w:pPr>
        <w:pStyle w:val="Textpoznpodarou"/>
      </w:pPr>
      <w:r w:rsidRPr="009A10DD">
        <w:rPr>
          <w:rStyle w:val="Znakapoznpodarou"/>
          <w:sz w:val="18"/>
        </w:rPr>
        <w:footnoteRef/>
      </w:r>
      <w:r w:rsidRPr="009A10DD">
        <w:rPr>
          <w:sz w:val="18"/>
        </w:rPr>
        <w:t xml:space="preserve"> </w:t>
      </w:r>
      <w:r w:rsidR="00275862">
        <w:rPr>
          <w:sz w:val="18"/>
        </w:rPr>
        <w:t>p</w:t>
      </w:r>
      <w:r w:rsidRPr="008F083F">
        <w:rPr>
          <w:sz w:val="16"/>
        </w:rPr>
        <w:t>růměrný rozdíl byl počítán u snoubenců, jejichž věk se lišil o 2 roky a více</w:t>
      </w:r>
    </w:p>
  </w:footnote>
  <w:footnote w:id="7">
    <w:p w:rsidR="00AC4FF2" w:rsidRDefault="00AC4FF2" w:rsidP="00421EA1">
      <w:pPr>
        <w:pStyle w:val="Textpoznpodarou"/>
      </w:pPr>
      <w:r w:rsidRPr="00F17D45">
        <w:rPr>
          <w:rStyle w:val="Znakapoznpodarou"/>
          <w:sz w:val="18"/>
        </w:rPr>
        <w:footnoteRef/>
      </w:r>
      <w:r>
        <w:t xml:space="preserve"> </w:t>
      </w:r>
      <w:r w:rsidR="00275862">
        <w:rPr>
          <w:sz w:val="16"/>
        </w:rPr>
        <w:t>č</w:t>
      </w:r>
      <w:r w:rsidRPr="008F083F">
        <w:rPr>
          <w:sz w:val="16"/>
        </w:rPr>
        <w:t>ervené křivky podle věku ženy, modré podle věku muže</w:t>
      </w:r>
    </w:p>
  </w:footnote>
  <w:footnote w:id="8">
    <w:p w:rsidR="00AC4FF2" w:rsidRDefault="00AC4FF2" w:rsidP="00421EA1">
      <w:pPr>
        <w:pStyle w:val="Textpoznpodarou"/>
        <w:ind w:left="142" w:hanging="142"/>
        <w:jc w:val="both"/>
      </w:pPr>
      <w:r w:rsidRPr="002F384B">
        <w:rPr>
          <w:rStyle w:val="Znakapoznpodarou"/>
          <w:sz w:val="18"/>
        </w:rPr>
        <w:footnoteRef/>
      </w:r>
      <w:r w:rsidRPr="002F384B">
        <w:rPr>
          <w:sz w:val="18"/>
        </w:rPr>
        <w:t xml:space="preserve"> </w:t>
      </w:r>
      <w:r w:rsidR="00275862">
        <w:rPr>
          <w:sz w:val="16"/>
        </w:rPr>
        <w:t>g</w:t>
      </w:r>
      <w:r w:rsidRPr="002F384B">
        <w:rPr>
          <w:sz w:val="16"/>
        </w:rPr>
        <w:t>raf zobrazuje jaká část sňatků, které v daný rok uzavřeli podobně staří snoubenci, snoubenci, kde byl muž starší</w:t>
      </w:r>
      <w:r>
        <w:rPr>
          <w:sz w:val="16"/>
        </w:rPr>
        <w:t xml:space="preserve"> a </w:t>
      </w:r>
      <w:r w:rsidRPr="002F384B">
        <w:rPr>
          <w:sz w:val="16"/>
        </w:rPr>
        <w:t xml:space="preserve">ti, kde byl muž naopak mladší, se do roku 2012 rozvedla. </w:t>
      </w:r>
      <w:r>
        <w:rPr>
          <w:sz w:val="16"/>
        </w:rPr>
        <w:t>Rostoucí podíl rozvedených manželství s klesajícím rokem sňatku je způsoben rostoucí délkou manželství – manželé, kteří uzavřeli sňatek v roce 1993, tedy měli výrazně více času na to se rozvést, než ti, kteří vstoupili do manželství teprve v roce 2012.</w:t>
      </w:r>
    </w:p>
  </w:footnote>
  <w:footnote w:id="9">
    <w:p w:rsidR="00AC4FF2" w:rsidRPr="00AE603C" w:rsidRDefault="00AC4FF2" w:rsidP="00421EA1">
      <w:pPr>
        <w:autoSpaceDE w:val="0"/>
        <w:autoSpaceDN w:val="0"/>
        <w:adjustRightInd w:val="0"/>
        <w:ind w:left="142" w:hanging="142"/>
        <w:rPr>
          <w:rFonts w:cs="Arial"/>
          <w:sz w:val="16"/>
          <w:szCs w:val="20"/>
        </w:rPr>
      </w:pPr>
      <w:r>
        <w:rPr>
          <w:rStyle w:val="Znakapoznpodarou"/>
        </w:rPr>
        <w:footnoteRef/>
      </w:r>
      <w:r>
        <w:t xml:space="preserve"> </w:t>
      </w:r>
      <w:r w:rsidRPr="00692235">
        <w:rPr>
          <w:rFonts w:cs="Arial"/>
          <w:bCs/>
          <w:sz w:val="16"/>
          <w:szCs w:val="20"/>
        </w:rPr>
        <w:t xml:space="preserve">Závislé dítě </w:t>
      </w:r>
      <w:r w:rsidRPr="00692235">
        <w:rPr>
          <w:rFonts w:cs="Arial"/>
          <w:sz w:val="16"/>
          <w:szCs w:val="20"/>
        </w:rPr>
        <w:t>je každá osoba v domácnosti tvořené 1 rodinou, která má k osobě v č</w:t>
      </w:r>
      <w:r>
        <w:rPr>
          <w:rFonts w:cs="Arial"/>
          <w:sz w:val="16"/>
          <w:szCs w:val="20"/>
        </w:rPr>
        <w:t xml:space="preserve">ele domácnosti vztah </w:t>
      </w:r>
      <w:r w:rsidRPr="00692235">
        <w:rPr>
          <w:rFonts w:cs="Arial"/>
          <w:sz w:val="16"/>
          <w:szCs w:val="20"/>
        </w:rPr>
        <w:t>„syn/dcera“, je ekonomicky neaktivní a je ve věku 0–25 let.</w:t>
      </w:r>
    </w:p>
  </w:footnote>
  <w:footnote w:id="10">
    <w:p w:rsidR="00AC4FF2" w:rsidRDefault="00AC4FF2" w:rsidP="00421EA1">
      <w:pPr>
        <w:pStyle w:val="Textpoznpodarou"/>
        <w:ind w:left="142" w:hanging="142"/>
      </w:pPr>
      <w:r w:rsidRPr="000B27F4">
        <w:rPr>
          <w:rStyle w:val="Znakapoznpodarou"/>
          <w:sz w:val="18"/>
        </w:rPr>
        <w:footnoteRef/>
      </w:r>
      <w:r w:rsidRPr="000B27F4">
        <w:rPr>
          <w:sz w:val="18"/>
        </w:rPr>
        <w:t xml:space="preserve"> </w:t>
      </w:r>
      <w:r w:rsidRPr="000B27F4">
        <w:rPr>
          <w:sz w:val="16"/>
        </w:rPr>
        <w:t>Věkový rozdíl počítán z věku pa</w:t>
      </w:r>
      <w:r>
        <w:rPr>
          <w:sz w:val="16"/>
        </w:rPr>
        <w:t>rtnerů v dokončených letech</w:t>
      </w:r>
    </w:p>
  </w:footnote>
  <w:footnote w:id="11">
    <w:p w:rsidR="00AC4FF2" w:rsidRDefault="00AC4FF2" w:rsidP="00421EA1">
      <w:pPr>
        <w:pStyle w:val="Textpoznpodarou"/>
        <w:ind w:left="142" w:hanging="142"/>
      </w:pPr>
      <w:r w:rsidRPr="00EC05CA">
        <w:rPr>
          <w:rStyle w:val="Znakapoznpodarou"/>
          <w:sz w:val="18"/>
        </w:rPr>
        <w:footnoteRef/>
      </w:r>
      <w:r w:rsidRPr="00EC05CA">
        <w:rPr>
          <w:sz w:val="18"/>
        </w:rPr>
        <w:t xml:space="preserve"> </w:t>
      </w:r>
      <w:r w:rsidR="006666D5">
        <w:rPr>
          <w:sz w:val="16"/>
        </w:rPr>
        <w:t>a</w:t>
      </w:r>
      <w:r w:rsidRPr="00EC05CA">
        <w:rPr>
          <w:sz w:val="16"/>
        </w:rPr>
        <w:t xml:space="preserve">nalýza </w:t>
      </w:r>
      <w:r>
        <w:rPr>
          <w:sz w:val="16"/>
        </w:rPr>
        <w:t xml:space="preserve">náboženské homogamie </w:t>
      </w:r>
      <w:r w:rsidRPr="00EC05CA">
        <w:rPr>
          <w:sz w:val="16"/>
        </w:rPr>
        <w:t>se vztahuje jen na páry, ve kterých oba partneři vyplnili údaj o náboženském vyznání</w:t>
      </w:r>
    </w:p>
  </w:footnote>
  <w:footnote w:id="12">
    <w:p w:rsidR="00AC4FF2" w:rsidRDefault="00AC4FF2" w:rsidP="00421EA1">
      <w:pPr>
        <w:pStyle w:val="Textpoznpodarou"/>
        <w:ind w:left="142" w:hanging="142"/>
        <w:jc w:val="both"/>
      </w:pPr>
      <w:r w:rsidRPr="00DB759B">
        <w:rPr>
          <w:rStyle w:val="Znakapoznpodarou"/>
          <w:sz w:val="18"/>
        </w:rPr>
        <w:footnoteRef/>
      </w:r>
      <w:r w:rsidRPr="00DB759B">
        <w:rPr>
          <w:sz w:val="18"/>
        </w:rPr>
        <w:t xml:space="preserve"> </w:t>
      </w:r>
      <w:r>
        <w:rPr>
          <w:sz w:val="16"/>
        </w:rPr>
        <w:t>d</w:t>
      </w:r>
      <w:r w:rsidRPr="00DB759B">
        <w:rPr>
          <w:sz w:val="16"/>
        </w:rPr>
        <w:t>o jednotlivých národností byly přiřazeny</w:t>
      </w:r>
      <w:r>
        <w:rPr>
          <w:sz w:val="16"/>
        </w:rPr>
        <w:t xml:space="preserve"> </w:t>
      </w:r>
      <w:r w:rsidRPr="00DB759B">
        <w:rPr>
          <w:sz w:val="16"/>
        </w:rPr>
        <w:t>i osoby, které se kromě dané národnosti přihlásil</w:t>
      </w:r>
      <w:r w:rsidR="00355E7C">
        <w:rPr>
          <w:sz w:val="16"/>
        </w:rPr>
        <w:t>y</w:t>
      </w:r>
      <w:r w:rsidRPr="00DB759B">
        <w:rPr>
          <w:sz w:val="16"/>
        </w:rPr>
        <w:t xml:space="preserve"> ještě k některé z národností České republiky, vč. národnosti Československé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AC4FF2" w:rsidRPr="00E53687" w:rsidTr="00AC4FF2">
      <w:tc>
        <w:tcPr>
          <w:tcW w:w="6518" w:type="dxa"/>
        </w:tcPr>
        <w:p w:rsidR="00AC4FF2" w:rsidRPr="00E53687" w:rsidRDefault="00AC4FF2" w:rsidP="00AC4FF2">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Socio-demografická homogamie sezdaných a nesezdaných párů</w:t>
          </w:r>
        </w:p>
      </w:tc>
      <w:tc>
        <w:tcPr>
          <w:tcW w:w="3260" w:type="dxa"/>
        </w:tcPr>
        <w:p w:rsidR="00AC4FF2" w:rsidRPr="00E53687" w:rsidRDefault="00C92DC6" w:rsidP="00AC4FF2">
          <w:pPr>
            <w:pStyle w:val="Zhlav"/>
            <w:tabs>
              <w:tab w:val="clear" w:pos="4536"/>
              <w:tab w:val="clear" w:pos="9072"/>
              <w:tab w:val="left" w:pos="-6379"/>
              <w:tab w:val="center" w:pos="4820"/>
              <w:tab w:val="right" w:pos="9639"/>
            </w:tabs>
            <w:jc w:val="right"/>
            <w:rPr>
              <w:rFonts w:ascii="Arial" w:hAnsi="Arial" w:cs="Arial"/>
              <w:sz w:val="16"/>
              <w:szCs w:val="16"/>
            </w:rPr>
          </w:pPr>
          <w:r>
            <w:rPr>
              <w:rFonts w:ascii="Arial" w:hAnsi="Arial" w:cs="Arial"/>
              <w:sz w:val="16"/>
              <w:szCs w:val="16"/>
            </w:rPr>
            <w:t>k</w:t>
          </w:r>
          <w:r w:rsidRPr="00E53687">
            <w:rPr>
              <w:rFonts w:ascii="Arial" w:hAnsi="Arial" w:cs="Arial"/>
              <w:sz w:val="16"/>
              <w:szCs w:val="16"/>
            </w:rPr>
            <w:t>ód</w:t>
          </w:r>
          <w:r>
            <w:rPr>
              <w:rFonts w:ascii="Arial" w:hAnsi="Arial" w:cs="Arial"/>
              <w:sz w:val="16"/>
              <w:szCs w:val="16"/>
            </w:rPr>
            <w:t xml:space="preserve"> </w:t>
          </w:r>
          <w:r w:rsidRPr="0073173A">
            <w:rPr>
              <w:rFonts w:ascii="Arial" w:hAnsi="Arial" w:cs="Arial"/>
              <w:sz w:val="16"/>
              <w:szCs w:val="20"/>
            </w:rPr>
            <w:t>320180-14</w:t>
          </w:r>
        </w:p>
      </w:tc>
    </w:tr>
  </w:tbl>
  <w:p w:rsidR="00AC4FF2" w:rsidRDefault="00AC4FF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4ADC490C"/>
    <w:lvl w:ilvl="0">
      <w:start w:val="1"/>
      <w:numFmt w:val="decimal"/>
      <w:lvlText w:val="%1"/>
      <w:lvlJc w:val="left"/>
      <w:pPr>
        <w:ind w:left="431" w:hanging="431"/>
      </w:pPr>
      <w:rPr>
        <w:rFonts w:hint="default"/>
      </w:rPr>
    </w:lvl>
    <w:lvl w:ilvl="1">
      <w:start w:val="1"/>
      <w:numFmt w:val="decimal"/>
      <w:pStyle w:val="Nadpis2"/>
      <w:lvlText w:val="%1.%2"/>
      <w:lvlJc w:val="left"/>
      <w:pPr>
        <w:ind w:left="431" w:hanging="431"/>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0"/>
        <w:u w:val="none"/>
        <w:vertAlign w:val="baseline"/>
        <w:em w:val="none"/>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1">
    <w:nsid w:val="1E600570"/>
    <w:multiLevelType w:val="multilevel"/>
    <w:tmpl w:val="13F28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2AE350D"/>
    <w:multiLevelType w:val="hybridMultilevel"/>
    <w:tmpl w:val="F07EC35A"/>
    <w:lvl w:ilvl="0" w:tplc="CF28DDA2">
      <w:start w:val="1"/>
      <w:numFmt w:val="bullet"/>
      <w:lvlText w:val=""/>
      <w:lvlJc w:val="left"/>
      <w:pPr>
        <w:tabs>
          <w:tab w:val="num" w:pos="276"/>
        </w:tabs>
        <w:ind w:left="60" w:hanging="144"/>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
    <w:nsid w:val="2C3B0F0E"/>
    <w:multiLevelType w:val="hybridMultilevel"/>
    <w:tmpl w:val="68DA0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5F6C65"/>
    <w:multiLevelType w:val="multilevel"/>
    <w:tmpl w:val="EA181982"/>
    <w:lvl w:ilvl="0">
      <w:start w:val="1"/>
      <w:numFmt w:val="decimal"/>
      <w:pStyle w:val="Nadpis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98217CD"/>
    <w:multiLevelType w:val="multilevel"/>
    <w:tmpl w:val="6D1E8FB8"/>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9">
    <w:nsid w:val="5AEE27A9"/>
    <w:multiLevelType w:val="hybridMultilevel"/>
    <w:tmpl w:val="7E5612EC"/>
    <w:lvl w:ilvl="0" w:tplc="6BC27184">
      <w:start w:val="1"/>
      <w:numFmt w:val="bullet"/>
      <w:lvlText w:val=""/>
      <w:lvlJc w:val="left"/>
      <w:pPr>
        <w:tabs>
          <w:tab w:val="num" w:pos="720"/>
        </w:tabs>
        <w:ind w:left="720" w:hanging="360"/>
      </w:pPr>
      <w:rPr>
        <w:rFonts w:ascii="Wingdings" w:hAnsi="Wingdings" w:hint="default"/>
      </w:rPr>
    </w:lvl>
    <w:lvl w:ilvl="1" w:tplc="61265D04" w:tentative="1">
      <w:start w:val="1"/>
      <w:numFmt w:val="bullet"/>
      <w:lvlText w:val=""/>
      <w:lvlJc w:val="left"/>
      <w:pPr>
        <w:tabs>
          <w:tab w:val="num" w:pos="1440"/>
        </w:tabs>
        <w:ind w:left="1440" w:hanging="360"/>
      </w:pPr>
      <w:rPr>
        <w:rFonts w:ascii="Wingdings" w:hAnsi="Wingdings" w:hint="default"/>
      </w:rPr>
    </w:lvl>
    <w:lvl w:ilvl="2" w:tplc="DC3A4F3A" w:tentative="1">
      <w:start w:val="1"/>
      <w:numFmt w:val="bullet"/>
      <w:lvlText w:val=""/>
      <w:lvlJc w:val="left"/>
      <w:pPr>
        <w:tabs>
          <w:tab w:val="num" w:pos="2160"/>
        </w:tabs>
        <w:ind w:left="2160" w:hanging="360"/>
      </w:pPr>
      <w:rPr>
        <w:rFonts w:ascii="Wingdings" w:hAnsi="Wingdings" w:hint="default"/>
      </w:rPr>
    </w:lvl>
    <w:lvl w:ilvl="3" w:tplc="E6F015EA" w:tentative="1">
      <w:start w:val="1"/>
      <w:numFmt w:val="bullet"/>
      <w:lvlText w:val=""/>
      <w:lvlJc w:val="left"/>
      <w:pPr>
        <w:tabs>
          <w:tab w:val="num" w:pos="2880"/>
        </w:tabs>
        <w:ind w:left="2880" w:hanging="360"/>
      </w:pPr>
      <w:rPr>
        <w:rFonts w:ascii="Wingdings" w:hAnsi="Wingdings" w:hint="default"/>
      </w:rPr>
    </w:lvl>
    <w:lvl w:ilvl="4" w:tplc="0A302A3A" w:tentative="1">
      <w:start w:val="1"/>
      <w:numFmt w:val="bullet"/>
      <w:lvlText w:val=""/>
      <w:lvlJc w:val="left"/>
      <w:pPr>
        <w:tabs>
          <w:tab w:val="num" w:pos="3600"/>
        </w:tabs>
        <w:ind w:left="3600" w:hanging="360"/>
      </w:pPr>
      <w:rPr>
        <w:rFonts w:ascii="Wingdings" w:hAnsi="Wingdings" w:hint="default"/>
      </w:rPr>
    </w:lvl>
    <w:lvl w:ilvl="5" w:tplc="7C7AC7BE" w:tentative="1">
      <w:start w:val="1"/>
      <w:numFmt w:val="bullet"/>
      <w:lvlText w:val=""/>
      <w:lvlJc w:val="left"/>
      <w:pPr>
        <w:tabs>
          <w:tab w:val="num" w:pos="4320"/>
        </w:tabs>
        <w:ind w:left="4320" w:hanging="360"/>
      </w:pPr>
      <w:rPr>
        <w:rFonts w:ascii="Wingdings" w:hAnsi="Wingdings" w:hint="default"/>
      </w:rPr>
    </w:lvl>
    <w:lvl w:ilvl="6" w:tplc="7C2E5E6C" w:tentative="1">
      <w:start w:val="1"/>
      <w:numFmt w:val="bullet"/>
      <w:lvlText w:val=""/>
      <w:lvlJc w:val="left"/>
      <w:pPr>
        <w:tabs>
          <w:tab w:val="num" w:pos="5040"/>
        </w:tabs>
        <w:ind w:left="5040" w:hanging="360"/>
      </w:pPr>
      <w:rPr>
        <w:rFonts w:ascii="Wingdings" w:hAnsi="Wingdings" w:hint="default"/>
      </w:rPr>
    </w:lvl>
    <w:lvl w:ilvl="7" w:tplc="E8C2DD68" w:tentative="1">
      <w:start w:val="1"/>
      <w:numFmt w:val="bullet"/>
      <w:lvlText w:val=""/>
      <w:lvlJc w:val="left"/>
      <w:pPr>
        <w:tabs>
          <w:tab w:val="num" w:pos="5760"/>
        </w:tabs>
        <w:ind w:left="5760" w:hanging="360"/>
      </w:pPr>
      <w:rPr>
        <w:rFonts w:ascii="Wingdings" w:hAnsi="Wingdings" w:hint="default"/>
      </w:rPr>
    </w:lvl>
    <w:lvl w:ilvl="8" w:tplc="95F43FB0" w:tentative="1">
      <w:start w:val="1"/>
      <w:numFmt w:val="bullet"/>
      <w:lvlText w:val=""/>
      <w:lvlJc w:val="left"/>
      <w:pPr>
        <w:tabs>
          <w:tab w:val="num" w:pos="6480"/>
        </w:tabs>
        <w:ind w:left="6480" w:hanging="360"/>
      </w:pPr>
      <w:rPr>
        <w:rFonts w:ascii="Wingdings" w:hAnsi="Wingdings" w:hint="default"/>
      </w:rPr>
    </w:lvl>
  </w:abstractNum>
  <w:abstractNum w:abstractNumId="10">
    <w:nsid w:val="672A113B"/>
    <w:multiLevelType w:val="multilevel"/>
    <w:tmpl w:val="58262B6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1">
    <w:nsid w:val="6D34248F"/>
    <w:multiLevelType w:val="hybridMultilevel"/>
    <w:tmpl w:val="7E3E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93E0C89"/>
    <w:multiLevelType w:val="multilevel"/>
    <w:tmpl w:val="4B34974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C550A0F"/>
    <w:multiLevelType w:val="hybridMultilevel"/>
    <w:tmpl w:val="8304C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EDF09A5"/>
    <w:multiLevelType w:val="hybridMultilevel"/>
    <w:tmpl w:val="6012EA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7"/>
  </w:num>
  <w:num w:numId="6">
    <w:abstractNumId w:val="13"/>
  </w:num>
  <w:num w:numId="7">
    <w:abstractNumId w:val="14"/>
  </w:num>
  <w:num w:numId="8">
    <w:abstractNumId w:val="9"/>
  </w:num>
  <w:num w:numId="9">
    <w:abstractNumId w:val="10"/>
  </w:num>
  <w:num w:numId="10">
    <w:abstractNumId w:val="8"/>
  </w:num>
  <w:num w:numId="11">
    <w:abstractNumId w:val="1"/>
  </w:num>
  <w:num w:numId="12">
    <w:abstractNumId w:val="2"/>
  </w:num>
  <w:num w:numId="13">
    <w:abstractNumId w:val="12"/>
  </w:num>
  <w:num w:numId="14">
    <w:abstractNumId w:val="11"/>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421EA1"/>
    <w:rsid w:val="00051F57"/>
    <w:rsid w:val="00061AAD"/>
    <w:rsid w:val="00080118"/>
    <w:rsid w:val="000C0132"/>
    <w:rsid w:val="000C1B78"/>
    <w:rsid w:val="000E0843"/>
    <w:rsid w:val="000F4D30"/>
    <w:rsid w:val="00143CE5"/>
    <w:rsid w:val="00155BDA"/>
    <w:rsid w:val="00176EBC"/>
    <w:rsid w:val="001844F6"/>
    <w:rsid w:val="001B4822"/>
    <w:rsid w:val="001C1770"/>
    <w:rsid w:val="001D727A"/>
    <w:rsid w:val="001E3116"/>
    <w:rsid w:val="002019A7"/>
    <w:rsid w:val="002570CC"/>
    <w:rsid w:val="00262761"/>
    <w:rsid w:val="0026588E"/>
    <w:rsid w:val="00275862"/>
    <w:rsid w:val="00346971"/>
    <w:rsid w:val="003505EC"/>
    <w:rsid w:val="00355E7C"/>
    <w:rsid w:val="003820A8"/>
    <w:rsid w:val="00393A7D"/>
    <w:rsid w:val="00397626"/>
    <w:rsid w:val="003E3721"/>
    <w:rsid w:val="00415A39"/>
    <w:rsid w:val="00421EA1"/>
    <w:rsid w:val="00460BBB"/>
    <w:rsid w:val="004B0C94"/>
    <w:rsid w:val="00592018"/>
    <w:rsid w:val="00600F44"/>
    <w:rsid w:val="00630920"/>
    <w:rsid w:val="0065546C"/>
    <w:rsid w:val="0066608A"/>
    <w:rsid w:val="006666D5"/>
    <w:rsid w:val="006A4972"/>
    <w:rsid w:val="00710089"/>
    <w:rsid w:val="00762BDF"/>
    <w:rsid w:val="0078472C"/>
    <w:rsid w:val="00794431"/>
    <w:rsid w:val="007A60AC"/>
    <w:rsid w:val="007F729B"/>
    <w:rsid w:val="009162F0"/>
    <w:rsid w:val="009B6F2B"/>
    <w:rsid w:val="00A34FAA"/>
    <w:rsid w:val="00A51DE4"/>
    <w:rsid w:val="00AB2ACC"/>
    <w:rsid w:val="00AC4FF2"/>
    <w:rsid w:val="00AF26F6"/>
    <w:rsid w:val="00B47CD1"/>
    <w:rsid w:val="00BD1FDB"/>
    <w:rsid w:val="00BE6525"/>
    <w:rsid w:val="00C24AF0"/>
    <w:rsid w:val="00C92DC6"/>
    <w:rsid w:val="00C96616"/>
    <w:rsid w:val="00CD06BD"/>
    <w:rsid w:val="00D33813"/>
    <w:rsid w:val="00D575F6"/>
    <w:rsid w:val="00D71801"/>
    <w:rsid w:val="00D75B17"/>
    <w:rsid w:val="00DA27D8"/>
    <w:rsid w:val="00DD18F5"/>
    <w:rsid w:val="00E068F6"/>
    <w:rsid w:val="00E256DE"/>
    <w:rsid w:val="00E31897"/>
    <w:rsid w:val="00E3559C"/>
    <w:rsid w:val="00E35D8C"/>
    <w:rsid w:val="00E53894"/>
    <w:rsid w:val="00EB6C71"/>
    <w:rsid w:val="00ED3DF1"/>
    <w:rsid w:val="00F112FC"/>
    <w:rsid w:val="00F22603"/>
    <w:rsid w:val="00F47721"/>
    <w:rsid w:val="00F51634"/>
    <w:rsid w:val="00F544B0"/>
    <w:rsid w:val="00F75956"/>
    <w:rsid w:val="00FE71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1EA1"/>
    <w:pPr>
      <w:spacing w:after="0" w:line="240" w:lineRule="auto"/>
      <w:jc w:val="both"/>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421EA1"/>
    <w:pPr>
      <w:keepNext/>
      <w:numPr>
        <w:numId w:val="5"/>
      </w:numPr>
      <w:spacing w:before="300" w:after="200"/>
      <w:ind w:left="431" w:hanging="431"/>
      <w:outlineLvl w:val="0"/>
    </w:pPr>
    <w:rPr>
      <w:b/>
      <w:bCs/>
      <w:sz w:val="28"/>
      <w:szCs w:val="28"/>
    </w:rPr>
  </w:style>
  <w:style w:type="paragraph" w:styleId="Nadpis2">
    <w:name w:val="heading 2"/>
    <w:basedOn w:val="Normln"/>
    <w:next w:val="Normln"/>
    <w:link w:val="Nadpis2Char"/>
    <w:uiPriority w:val="9"/>
    <w:unhideWhenUsed/>
    <w:qFormat/>
    <w:rsid w:val="00421EA1"/>
    <w:pPr>
      <w:keepNext/>
      <w:numPr>
        <w:ilvl w:val="1"/>
        <w:numId w:val="4"/>
      </w:numPr>
      <w:spacing w:before="400" w:after="180"/>
      <w:outlineLvl w:val="1"/>
    </w:pPr>
    <w:rPr>
      <w:b/>
      <w:bCs/>
      <w:iCs/>
      <w:sz w:val="24"/>
    </w:rPr>
  </w:style>
  <w:style w:type="paragraph" w:styleId="Nadpis3">
    <w:name w:val="heading 3"/>
    <w:basedOn w:val="Normln"/>
    <w:next w:val="Normln"/>
    <w:link w:val="Nadpis3Char"/>
    <w:uiPriority w:val="9"/>
    <w:unhideWhenUsed/>
    <w:qFormat/>
    <w:rsid w:val="00421EA1"/>
    <w:pPr>
      <w:keepNext/>
      <w:numPr>
        <w:ilvl w:val="2"/>
        <w:numId w:val="4"/>
      </w:numPr>
      <w:spacing w:before="300" w:after="100"/>
      <w:outlineLvl w:val="2"/>
    </w:pPr>
    <w:rPr>
      <w:b/>
      <w:bCs/>
      <w:sz w:val="22"/>
      <w:szCs w:val="26"/>
    </w:rPr>
  </w:style>
  <w:style w:type="paragraph" w:styleId="Nadpis4">
    <w:name w:val="heading 4"/>
    <w:basedOn w:val="Normln"/>
    <w:next w:val="Normln"/>
    <w:link w:val="Nadpis4Char"/>
    <w:uiPriority w:val="9"/>
    <w:unhideWhenUsed/>
    <w:qFormat/>
    <w:rsid w:val="00421EA1"/>
    <w:pPr>
      <w:keepNext/>
      <w:numPr>
        <w:ilvl w:val="3"/>
        <w:numId w:val="4"/>
      </w:numPr>
      <w:spacing w:before="240" w:after="100"/>
      <w:outlineLvl w:val="3"/>
    </w:pPr>
    <w:rPr>
      <w:b/>
      <w:bCs/>
      <w:sz w:val="21"/>
      <w:szCs w:val="28"/>
    </w:rPr>
  </w:style>
  <w:style w:type="paragraph" w:styleId="Nadpis5">
    <w:name w:val="heading 5"/>
    <w:basedOn w:val="Normln"/>
    <w:next w:val="Normln"/>
    <w:link w:val="Nadpis5Char"/>
    <w:uiPriority w:val="9"/>
    <w:unhideWhenUsed/>
    <w:qFormat/>
    <w:rsid w:val="00421EA1"/>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421EA1"/>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421EA1"/>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unhideWhenUsed/>
    <w:qFormat/>
    <w:rsid w:val="00421EA1"/>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unhideWhenUsed/>
    <w:qFormat/>
    <w:rsid w:val="00421EA1"/>
    <w:pPr>
      <w:numPr>
        <w:ilvl w:val="8"/>
        <w:numId w:val="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1EA1"/>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uiPriority w:val="9"/>
    <w:rsid w:val="00421EA1"/>
    <w:rPr>
      <w:rFonts w:ascii="Arial" w:eastAsia="Times New Roman" w:hAnsi="Arial" w:cs="Times New Roman"/>
      <w:b/>
      <w:bCs/>
      <w:iCs/>
      <w:sz w:val="24"/>
      <w:szCs w:val="24"/>
      <w:lang w:eastAsia="cs-CZ"/>
    </w:rPr>
  </w:style>
  <w:style w:type="character" w:customStyle="1" w:styleId="Nadpis3Char">
    <w:name w:val="Nadpis 3 Char"/>
    <w:basedOn w:val="Standardnpsmoodstavce"/>
    <w:link w:val="Nadpis3"/>
    <w:uiPriority w:val="9"/>
    <w:rsid w:val="00421EA1"/>
    <w:rPr>
      <w:rFonts w:ascii="Arial" w:eastAsia="Times New Roman" w:hAnsi="Arial" w:cs="Times New Roman"/>
      <w:b/>
      <w:bCs/>
      <w:szCs w:val="26"/>
      <w:lang w:eastAsia="cs-CZ"/>
    </w:rPr>
  </w:style>
  <w:style w:type="character" w:customStyle="1" w:styleId="Nadpis4Char">
    <w:name w:val="Nadpis 4 Char"/>
    <w:basedOn w:val="Standardnpsmoodstavce"/>
    <w:link w:val="Nadpis4"/>
    <w:uiPriority w:val="9"/>
    <w:rsid w:val="00421EA1"/>
    <w:rPr>
      <w:rFonts w:ascii="Arial" w:eastAsia="Times New Roman" w:hAnsi="Arial" w:cs="Times New Roman"/>
      <w:b/>
      <w:bCs/>
      <w:sz w:val="21"/>
      <w:szCs w:val="28"/>
      <w:lang w:eastAsia="cs-CZ"/>
    </w:rPr>
  </w:style>
  <w:style w:type="character" w:customStyle="1" w:styleId="Nadpis5Char">
    <w:name w:val="Nadpis 5 Char"/>
    <w:basedOn w:val="Standardnpsmoodstavce"/>
    <w:link w:val="Nadpis5"/>
    <w:uiPriority w:val="9"/>
    <w:rsid w:val="00421EA1"/>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421EA1"/>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421EA1"/>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421EA1"/>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421EA1"/>
    <w:rPr>
      <w:rFonts w:ascii="Cambria" w:eastAsia="Times New Roman" w:hAnsi="Cambria" w:cs="Times New Roman"/>
      <w:lang w:eastAsia="cs-CZ"/>
    </w:rPr>
  </w:style>
  <w:style w:type="paragraph" w:styleId="Textbubliny">
    <w:name w:val="Balloon Text"/>
    <w:basedOn w:val="Normln"/>
    <w:link w:val="TextbublinyChar"/>
    <w:uiPriority w:val="99"/>
    <w:semiHidden/>
    <w:unhideWhenUsed/>
    <w:rsid w:val="00421EA1"/>
    <w:rPr>
      <w:rFonts w:ascii="Tahoma" w:hAnsi="Tahoma" w:cs="Tahoma"/>
      <w:sz w:val="16"/>
      <w:szCs w:val="16"/>
    </w:rPr>
  </w:style>
  <w:style w:type="character" w:customStyle="1" w:styleId="TextbublinyChar">
    <w:name w:val="Text bubliny Char"/>
    <w:basedOn w:val="Standardnpsmoodstavce"/>
    <w:link w:val="Textbubliny"/>
    <w:uiPriority w:val="99"/>
    <w:semiHidden/>
    <w:rsid w:val="00421EA1"/>
    <w:rPr>
      <w:rFonts w:ascii="Tahoma" w:eastAsia="Times New Roman" w:hAnsi="Tahoma" w:cs="Tahoma"/>
      <w:sz w:val="16"/>
      <w:szCs w:val="16"/>
      <w:lang w:eastAsia="cs-CZ"/>
    </w:rPr>
  </w:style>
  <w:style w:type="character" w:styleId="Hypertextovodkaz">
    <w:name w:val="Hyperlink"/>
    <w:uiPriority w:val="99"/>
    <w:rsid w:val="00421EA1"/>
    <w:rPr>
      <w:color w:val="0000FF"/>
      <w:u w:val="single"/>
    </w:rPr>
  </w:style>
  <w:style w:type="paragraph" w:customStyle="1" w:styleId="Styl1">
    <w:name w:val="Styl1"/>
    <w:rsid w:val="00421EA1"/>
    <w:pPr>
      <w:suppressAutoHyphens/>
      <w:autoSpaceDE w:val="0"/>
      <w:spacing w:after="0" w:line="240" w:lineRule="auto"/>
    </w:pPr>
    <w:rPr>
      <w:rFonts w:ascii="Arial" w:eastAsia="Times New Roman" w:hAnsi="Arial" w:cs="Times New Roman"/>
      <w:sz w:val="24"/>
      <w:szCs w:val="24"/>
      <w:lang w:eastAsia="ar-SA"/>
    </w:rPr>
  </w:style>
  <w:style w:type="paragraph" w:styleId="Zhlav">
    <w:name w:val="header"/>
    <w:basedOn w:val="Normln"/>
    <w:link w:val="ZhlavChar"/>
    <w:unhideWhenUsed/>
    <w:rsid w:val="00421EA1"/>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421EA1"/>
    <w:rPr>
      <w:rFonts w:ascii="Calibri" w:eastAsia="Calibri" w:hAnsi="Calibri" w:cs="Times New Roman"/>
    </w:rPr>
  </w:style>
  <w:style w:type="paragraph" w:styleId="Zpat">
    <w:name w:val="footer"/>
    <w:basedOn w:val="Normln"/>
    <w:link w:val="ZpatChar"/>
    <w:uiPriority w:val="99"/>
    <w:unhideWhenUsed/>
    <w:rsid w:val="00421EA1"/>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421EA1"/>
    <w:rPr>
      <w:rFonts w:ascii="Calibri" w:eastAsia="Calibri" w:hAnsi="Calibri" w:cs="Times New Roman"/>
    </w:rPr>
  </w:style>
  <w:style w:type="paragraph" w:customStyle="1" w:styleId="Zkladnodstavec">
    <w:name w:val="[Základní odstavec]"/>
    <w:basedOn w:val="Normln"/>
    <w:uiPriority w:val="99"/>
    <w:rsid w:val="00421EA1"/>
    <w:pPr>
      <w:autoSpaceDE w:val="0"/>
      <w:autoSpaceDN w:val="0"/>
      <w:adjustRightInd w:val="0"/>
      <w:spacing w:line="288" w:lineRule="auto"/>
      <w:jc w:val="left"/>
      <w:textAlignment w:val="center"/>
    </w:pPr>
    <w:rPr>
      <w:rFonts w:ascii="Minion Pro" w:eastAsia="Calibri" w:hAnsi="Minion Pro" w:cs="Minion Pro"/>
      <w:color w:val="000000"/>
      <w:sz w:val="24"/>
    </w:rPr>
  </w:style>
  <w:style w:type="paragraph" w:styleId="Textpoznpodarou">
    <w:name w:val="footnote text"/>
    <w:aliases w:val="Text pozn. pod čarou_martin_ang"/>
    <w:basedOn w:val="Normln"/>
    <w:link w:val="TextpoznpodarouChar"/>
    <w:uiPriority w:val="99"/>
    <w:semiHidden/>
    <w:rsid w:val="00421EA1"/>
    <w:pPr>
      <w:jc w:val="left"/>
    </w:pPr>
    <w:rPr>
      <w:szCs w:val="20"/>
    </w:rPr>
  </w:style>
  <w:style w:type="character" w:customStyle="1" w:styleId="TextpoznpodarouChar">
    <w:name w:val="Text pozn. pod čarou Char"/>
    <w:aliases w:val="Text pozn. pod čarou_martin_ang Char"/>
    <w:basedOn w:val="Standardnpsmoodstavce"/>
    <w:link w:val="Textpoznpodarou"/>
    <w:uiPriority w:val="99"/>
    <w:semiHidden/>
    <w:rsid w:val="00421EA1"/>
    <w:rPr>
      <w:rFonts w:ascii="Arial" w:eastAsia="Times New Roman" w:hAnsi="Arial" w:cs="Times New Roman"/>
      <w:sz w:val="20"/>
      <w:szCs w:val="20"/>
      <w:lang w:eastAsia="cs-CZ"/>
    </w:rPr>
  </w:style>
  <w:style w:type="character" w:styleId="Znakapoznpodarou">
    <w:name w:val="footnote reference"/>
    <w:uiPriority w:val="99"/>
    <w:semiHidden/>
    <w:rsid w:val="00421EA1"/>
    <w:rPr>
      <w:vertAlign w:val="superscript"/>
    </w:rPr>
  </w:style>
  <w:style w:type="paragraph" w:styleId="Odstavecseseznamem">
    <w:name w:val="List Paragraph"/>
    <w:basedOn w:val="Normln"/>
    <w:uiPriority w:val="34"/>
    <w:qFormat/>
    <w:rsid w:val="00421EA1"/>
    <w:pPr>
      <w:ind w:left="708"/>
      <w:jc w:val="left"/>
    </w:pPr>
    <w:rPr>
      <w:sz w:val="18"/>
      <w:szCs w:val="20"/>
    </w:rPr>
  </w:style>
  <w:style w:type="character" w:customStyle="1" w:styleId="TextkomenteChar">
    <w:name w:val="Text komentáře Char"/>
    <w:basedOn w:val="Standardnpsmoodstavce"/>
    <w:link w:val="Textkomente"/>
    <w:uiPriority w:val="99"/>
    <w:semiHidden/>
    <w:rsid w:val="00421EA1"/>
    <w:rPr>
      <w:rFonts w:ascii="Arial" w:eastAsia="Times New Roman" w:hAnsi="Arial" w:cs="Times New Roman"/>
      <w:sz w:val="20"/>
      <w:szCs w:val="20"/>
      <w:lang w:eastAsia="cs-CZ"/>
    </w:rPr>
  </w:style>
  <w:style w:type="paragraph" w:styleId="Textkomente">
    <w:name w:val="annotation text"/>
    <w:basedOn w:val="Normln"/>
    <w:link w:val="TextkomenteChar"/>
    <w:uiPriority w:val="99"/>
    <w:semiHidden/>
    <w:unhideWhenUsed/>
    <w:rsid w:val="00421EA1"/>
    <w:pPr>
      <w:jc w:val="left"/>
    </w:pPr>
    <w:rPr>
      <w:szCs w:val="20"/>
    </w:rPr>
  </w:style>
  <w:style w:type="character" w:customStyle="1" w:styleId="TextkomenteChar1">
    <w:name w:val="Text komentáře Char1"/>
    <w:basedOn w:val="Standardnpsmoodstavce"/>
    <w:link w:val="Textkomente"/>
    <w:uiPriority w:val="99"/>
    <w:semiHidden/>
    <w:rsid w:val="00421EA1"/>
    <w:rPr>
      <w:rFonts w:ascii="Arial" w:eastAsia="Times New Roman" w:hAnsi="Arial" w:cs="Times New Roman"/>
      <w:sz w:val="20"/>
      <w:szCs w:val="20"/>
      <w:lang w:eastAsia="cs-CZ"/>
    </w:rPr>
  </w:style>
  <w:style w:type="paragraph" w:styleId="Nadpisobsahu">
    <w:name w:val="TOC Heading"/>
    <w:basedOn w:val="Nadpis1"/>
    <w:next w:val="Normln"/>
    <w:uiPriority w:val="39"/>
    <w:unhideWhenUsed/>
    <w:qFormat/>
    <w:rsid w:val="00421EA1"/>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uiPriority w:val="39"/>
    <w:unhideWhenUsed/>
    <w:qFormat/>
    <w:rsid w:val="00415A39"/>
    <w:pPr>
      <w:tabs>
        <w:tab w:val="left" w:pos="709"/>
        <w:tab w:val="right" w:leader="dot" w:pos="9628"/>
      </w:tabs>
      <w:spacing w:after="100"/>
      <w:ind w:left="851" w:hanging="567"/>
    </w:pPr>
    <w:rPr>
      <w:rFonts w:ascii="Calibri" w:hAnsi="Calibri"/>
      <w:sz w:val="22"/>
      <w:szCs w:val="22"/>
    </w:rPr>
  </w:style>
  <w:style w:type="paragraph" w:styleId="Obsah1">
    <w:name w:val="toc 1"/>
    <w:basedOn w:val="Normln"/>
    <w:next w:val="Normln"/>
    <w:autoRedefine/>
    <w:uiPriority w:val="39"/>
    <w:unhideWhenUsed/>
    <w:qFormat/>
    <w:rsid w:val="00415A39"/>
    <w:pPr>
      <w:tabs>
        <w:tab w:val="left" w:pos="284"/>
        <w:tab w:val="right" w:pos="9639"/>
      </w:tabs>
      <w:spacing w:before="200"/>
    </w:pPr>
    <w:rPr>
      <w:rFonts w:cs="Arial"/>
      <w:b/>
      <w:sz w:val="28"/>
      <w:szCs w:val="20"/>
    </w:rPr>
  </w:style>
  <w:style w:type="paragraph" w:styleId="Obsah3">
    <w:name w:val="toc 3"/>
    <w:basedOn w:val="Normln"/>
    <w:next w:val="Normln"/>
    <w:autoRedefine/>
    <w:uiPriority w:val="39"/>
    <w:unhideWhenUsed/>
    <w:qFormat/>
    <w:rsid w:val="00421EA1"/>
    <w:pPr>
      <w:tabs>
        <w:tab w:val="right" w:leader="dot" w:pos="9638"/>
      </w:tabs>
      <w:spacing w:after="100" w:line="276" w:lineRule="auto"/>
      <w:ind w:left="709" w:hanging="283"/>
      <w:jc w:val="left"/>
    </w:pPr>
    <w:rPr>
      <w:rFonts w:cs="Arial"/>
      <w:szCs w:val="20"/>
    </w:rPr>
  </w:style>
  <w:style w:type="paragraph" w:styleId="Bezmezer">
    <w:name w:val="No Spacing"/>
    <w:aliases w:val="marginálie"/>
    <w:qFormat/>
    <w:rsid w:val="00421EA1"/>
    <w:pPr>
      <w:spacing w:after="0" w:line="240" w:lineRule="auto"/>
      <w:jc w:val="both"/>
    </w:pPr>
    <w:rPr>
      <w:rFonts w:ascii="Arial" w:eastAsia="Times New Roman" w:hAnsi="Arial" w:cs="Times New Roman"/>
      <w:sz w:val="20"/>
      <w:szCs w:val="24"/>
      <w:lang w:eastAsia="cs-CZ"/>
    </w:rPr>
  </w:style>
  <w:style w:type="paragraph" w:styleId="Zkladntextodsazen3">
    <w:name w:val="Body Text Indent 3"/>
    <w:basedOn w:val="Normln"/>
    <w:link w:val="Zkladntextodsazen3Char"/>
    <w:semiHidden/>
    <w:rsid w:val="00421EA1"/>
    <w:pPr>
      <w:ind w:right="-81" w:firstLine="708"/>
    </w:pPr>
    <w:rPr>
      <w:rFonts w:cs="Arial"/>
    </w:rPr>
  </w:style>
  <w:style w:type="character" w:customStyle="1" w:styleId="Zkladntextodsazen3Char">
    <w:name w:val="Základní text odsazený 3 Char"/>
    <w:basedOn w:val="Standardnpsmoodstavce"/>
    <w:link w:val="Zkladntextodsazen3"/>
    <w:semiHidden/>
    <w:rsid w:val="00421EA1"/>
    <w:rPr>
      <w:rFonts w:ascii="Arial" w:eastAsia="Times New Roman" w:hAnsi="Arial" w:cs="Arial"/>
      <w:sz w:val="20"/>
      <w:szCs w:val="24"/>
      <w:lang w:eastAsia="cs-CZ"/>
    </w:rPr>
  </w:style>
  <w:style w:type="paragraph" w:styleId="Zkladntext">
    <w:name w:val="Body Text"/>
    <w:basedOn w:val="Normln"/>
    <w:link w:val="ZkladntextChar"/>
    <w:uiPriority w:val="99"/>
    <w:unhideWhenUsed/>
    <w:rsid w:val="00421EA1"/>
    <w:pPr>
      <w:spacing w:after="120"/>
    </w:pPr>
  </w:style>
  <w:style w:type="character" w:customStyle="1" w:styleId="ZkladntextChar">
    <w:name w:val="Základní text Char"/>
    <w:basedOn w:val="Standardnpsmoodstavce"/>
    <w:link w:val="Zkladntext"/>
    <w:uiPriority w:val="99"/>
    <w:rsid w:val="00421EA1"/>
    <w:rPr>
      <w:rFonts w:ascii="Arial" w:eastAsia="Times New Roman" w:hAnsi="Arial" w:cs="Times New Roman"/>
      <w:sz w:val="20"/>
      <w:szCs w:val="24"/>
      <w:lang w:eastAsia="cs-CZ"/>
    </w:rPr>
  </w:style>
  <w:style w:type="paragraph" w:styleId="Zkladntext2">
    <w:name w:val="Body Text 2"/>
    <w:basedOn w:val="Normln"/>
    <w:link w:val="Zkladntext2Char"/>
    <w:uiPriority w:val="99"/>
    <w:semiHidden/>
    <w:unhideWhenUsed/>
    <w:rsid w:val="00421EA1"/>
    <w:pPr>
      <w:spacing w:after="120" w:line="480" w:lineRule="auto"/>
    </w:pPr>
  </w:style>
  <w:style w:type="character" w:customStyle="1" w:styleId="Zkladntext2Char">
    <w:name w:val="Základní text 2 Char"/>
    <w:basedOn w:val="Standardnpsmoodstavce"/>
    <w:link w:val="Zkladntext2"/>
    <w:uiPriority w:val="99"/>
    <w:semiHidden/>
    <w:rsid w:val="00421EA1"/>
    <w:rPr>
      <w:rFonts w:ascii="Arial" w:eastAsia="Times New Roman" w:hAnsi="Arial" w:cs="Times New Roman"/>
      <w:sz w:val="20"/>
      <w:szCs w:val="24"/>
      <w:lang w:eastAsia="cs-CZ"/>
    </w:rPr>
  </w:style>
  <w:style w:type="paragraph" w:styleId="Zkladntext3">
    <w:name w:val="Body Text 3"/>
    <w:basedOn w:val="Normln"/>
    <w:link w:val="Zkladntext3Char"/>
    <w:uiPriority w:val="99"/>
    <w:semiHidden/>
    <w:unhideWhenUsed/>
    <w:rsid w:val="00421EA1"/>
    <w:pPr>
      <w:spacing w:after="120"/>
    </w:pPr>
    <w:rPr>
      <w:sz w:val="16"/>
      <w:szCs w:val="16"/>
    </w:rPr>
  </w:style>
  <w:style w:type="character" w:customStyle="1" w:styleId="Zkladntext3Char">
    <w:name w:val="Základní text 3 Char"/>
    <w:basedOn w:val="Standardnpsmoodstavce"/>
    <w:link w:val="Zkladntext3"/>
    <w:uiPriority w:val="99"/>
    <w:semiHidden/>
    <w:rsid w:val="00421EA1"/>
    <w:rPr>
      <w:rFonts w:ascii="Arial" w:eastAsia="Times New Roman" w:hAnsi="Arial" w:cs="Times New Roman"/>
      <w:sz w:val="16"/>
      <w:szCs w:val="16"/>
      <w:lang w:eastAsia="cs-CZ"/>
    </w:rPr>
  </w:style>
  <w:style w:type="paragraph" w:styleId="Rozvrendokumentu">
    <w:name w:val="Document Map"/>
    <w:basedOn w:val="Normln"/>
    <w:link w:val="RozvrendokumentuChar"/>
    <w:uiPriority w:val="99"/>
    <w:semiHidden/>
    <w:unhideWhenUsed/>
    <w:rsid w:val="00421EA1"/>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421EA1"/>
    <w:rPr>
      <w:rFonts w:ascii="Tahoma" w:eastAsia="Times New Roman" w:hAnsi="Tahoma" w:cs="Tahoma"/>
      <w:sz w:val="16"/>
      <w:szCs w:val="16"/>
      <w:lang w:eastAsia="cs-CZ"/>
    </w:rPr>
  </w:style>
  <w:style w:type="paragraph" w:styleId="Obsah4">
    <w:name w:val="toc 4"/>
    <w:basedOn w:val="Normln"/>
    <w:next w:val="Normln"/>
    <w:autoRedefine/>
    <w:uiPriority w:val="39"/>
    <w:unhideWhenUsed/>
    <w:rsid w:val="00421EA1"/>
    <w:pPr>
      <w:spacing w:after="100"/>
      <w:ind w:left="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rodina\S&#328;atky%20podle%20vzd&#283;l&#225;n&#237;%20snoubenc&#367;%20v%20letech%201976&#8211;201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M:\dom&#225;cnosti%20podle%20d&#283;t&#23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M:\dom&#225;cnosti%20podle%20d&#283;t&#23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M:\graf%20vekovy%20rozdil%20ka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M:\v&#283;kov&#233;%20rozd&#237;l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M:\v&#283;kov&#233;%20rozd&#237;l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M:\n&#225;bo&#382;ensk&#225;%20homogami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M:\n&#225;rodnostn&#237;%20homogami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rodina\data%20s&#328;atky%20a%20rozvody\data%20s&#328;atky%20a%20rozvody\v&#253;voj%20pod&#237;l%20rozvod&#36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v&#283;k%20a%20homogami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v&#253;voj%20pr&#367;m&#283;rn&#253;%20rozd&#237;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kumenty\rodina\data%20s&#328;atky%20a%20rozvody\data%20s&#328;atky%20a%20rozvody\v&#253;voj%20pod&#237;l%20rozvod&#36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v&#253;sledky%20SLDB%20vzd&#283;l&#225;n&#23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v&#253;sledky%20SLDB%20vzd&#283;l&#225;n&#23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Se&#353;it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M:\Se&#353;it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9998548040576933E-2"/>
          <c:y val="2.3537907679960474E-2"/>
          <c:w val="0.84697312141537862"/>
          <c:h val="0.74566381904964585"/>
        </c:manualLayout>
      </c:layout>
      <c:lineChart>
        <c:grouping val="standard"/>
        <c:ser>
          <c:idx val="0"/>
          <c:order val="0"/>
          <c:tx>
            <c:strRef>
              <c:f>List5!$E$2</c:f>
              <c:strCache>
                <c:ptCount val="1"/>
                <c:pt idx="0">
                  <c:v>stejné vzdělání</c:v>
                </c:pt>
              </c:strCache>
            </c:strRef>
          </c:tx>
          <c:spPr>
            <a:ln w="19050">
              <a:solidFill>
                <a:schemeClr val="accent3"/>
              </a:solidFill>
            </a:ln>
          </c:spPr>
          <c:marker>
            <c:symbol val="none"/>
          </c:marker>
          <c:dLbls>
            <c:dLbl>
              <c:idx val="0"/>
              <c:layout>
                <c:manualLayout>
                  <c:x val="-1.7636684303351049E-2"/>
                  <c:y val="4.7290359891454282E-2"/>
                </c:manualLayout>
              </c:layout>
              <c:showVal val="1"/>
            </c:dLbl>
            <c:dLbl>
              <c:idx val="36"/>
              <c:layout>
                <c:manualLayout>
                  <c:x val="-6.4373990288251887E-2"/>
                  <c:y val="4.8001690466657781E-2"/>
                </c:manualLayout>
              </c:layout>
              <c:showVal val="1"/>
            </c:dLbl>
            <c:delete val="1"/>
            <c:numFmt formatCode="#,##0.0" sourceLinked="0"/>
            <c:spPr>
              <a:solidFill>
                <a:sysClr val="window" lastClr="FFFFFF"/>
              </a:solidFill>
              <a:ln>
                <a:solidFill>
                  <a:schemeClr val="accent3"/>
                </a:solidFill>
              </a:ln>
            </c:spPr>
          </c:dLbls>
          <c:cat>
            <c:numRef>
              <c:f>List5!$D$3:$D$39</c:f>
              <c:numCache>
                <c:formatCode>General</c:formatCode>
                <c:ptCount val="37"/>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numCache>
            </c:numRef>
          </c:cat>
          <c:val>
            <c:numRef>
              <c:f>List5!$E$3:$E$39</c:f>
              <c:numCache>
                <c:formatCode>0.0</c:formatCode>
                <c:ptCount val="37"/>
                <c:pt idx="0">
                  <c:v>56.458715209742294</c:v>
                </c:pt>
                <c:pt idx="1">
                  <c:v>56.467969329705703</c:v>
                </c:pt>
                <c:pt idx="2">
                  <c:v>56.469950073616289</c:v>
                </c:pt>
                <c:pt idx="3">
                  <c:v>55.505309388798906</c:v>
                </c:pt>
                <c:pt idx="4">
                  <c:v>55.257344960992846</c:v>
                </c:pt>
                <c:pt idx="5">
                  <c:v>54.792097107438018</c:v>
                </c:pt>
                <c:pt idx="6">
                  <c:v>54.554077230913144</c:v>
                </c:pt>
                <c:pt idx="7">
                  <c:v>53.444845168511257</c:v>
                </c:pt>
                <c:pt idx="8">
                  <c:v>52.672222834135162</c:v>
                </c:pt>
                <c:pt idx="9">
                  <c:v>53.40012896185705</c:v>
                </c:pt>
                <c:pt idx="10">
                  <c:v>55.076067517577464</c:v>
                </c:pt>
                <c:pt idx="11">
                  <c:v>55.435522184952212</c:v>
                </c:pt>
                <c:pt idx="12">
                  <c:v>55.623757028161954</c:v>
                </c:pt>
                <c:pt idx="13">
                  <c:v>56.220619723856167</c:v>
                </c:pt>
                <c:pt idx="14">
                  <c:v>56.951392477433188</c:v>
                </c:pt>
                <c:pt idx="15">
                  <c:v>56.539257777221998</c:v>
                </c:pt>
                <c:pt idx="16">
                  <c:v>57.836889008911541</c:v>
                </c:pt>
                <c:pt idx="17">
                  <c:v>58.467735829055293</c:v>
                </c:pt>
                <c:pt idx="18">
                  <c:v>57.734428473647988</c:v>
                </c:pt>
                <c:pt idx="19">
                  <c:v>57.054734696848264</c:v>
                </c:pt>
                <c:pt idx="20">
                  <c:v>56.807555291672848</c:v>
                </c:pt>
                <c:pt idx="21">
                  <c:v>56.535879869905202</c:v>
                </c:pt>
                <c:pt idx="22">
                  <c:v>56.408672106420489</c:v>
                </c:pt>
                <c:pt idx="23">
                  <c:v>55.938568465893027</c:v>
                </c:pt>
                <c:pt idx="24">
                  <c:v>55.957050667919944</c:v>
                </c:pt>
                <c:pt idx="25">
                  <c:v>56.151907434986825</c:v>
                </c:pt>
                <c:pt idx="26">
                  <c:v>57.392095881059056</c:v>
                </c:pt>
                <c:pt idx="27">
                  <c:v>57.415769364362447</c:v>
                </c:pt>
                <c:pt idx="28">
                  <c:v>57.052889381304944</c:v>
                </c:pt>
                <c:pt idx="29">
                  <c:v>57.465897470528084</c:v>
                </c:pt>
                <c:pt idx="30">
                  <c:v>58.409004918653025</c:v>
                </c:pt>
                <c:pt idx="31">
                  <c:v>58.510768584775256</c:v>
                </c:pt>
                <c:pt idx="32">
                  <c:v>57.777648698884761</c:v>
                </c:pt>
                <c:pt idx="33">
                  <c:v>57.255948027363075</c:v>
                </c:pt>
                <c:pt idx="34">
                  <c:v>55.539429124334781</c:v>
                </c:pt>
                <c:pt idx="35">
                  <c:v>54.695864925752765</c:v>
                </c:pt>
                <c:pt idx="36" formatCode="0.000">
                  <c:v>54.474586088719271</c:v>
                </c:pt>
              </c:numCache>
            </c:numRef>
          </c:val>
        </c:ser>
        <c:ser>
          <c:idx val="1"/>
          <c:order val="1"/>
          <c:tx>
            <c:strRef>
              <c:f>List5!$F$2</c:f>
              <c:strCache>
                <c:ptCount val="1"/>
                <c:pt idx="0">
                  <c:v>žena vyšší vzdělání</c:v>
                </c:pt>
              </c:strCache>
            </c:strRef>
          </c:tx>
          <c:spPr>
            <a:ln w="19050">
              <a:solidFill>
                <a:schemeClr val="accent5"/>
              </a:solidFill>
            </a:ln>
          </c:spPr>
          <c:marker>
            <c:symbol val="none"/>
          </c:marker>
          <c:dLbls>
            <c:dLbl>
              <c:idx val="0"/>
              <c:layout>
                <c:manualLayout>
                  <c:x val="-1.7636684303351052E-2"/>
                  <c:y val="2.9629629629630005E-2"/>
                </c:manualLayout>
              </c:layout>
              <c:showVal val="1"/>
            </c:dLbl>
            <c:dLbl>
              <c:idx val="36"/>
              <c:layout>
                <c:manualLayout>
                  <c:x val="-5.5114638447972437E-2"/>
                  <c:y val="-4.6578584456603983E-2"/>
                </c:manualLayout>
              </c:layout>
              <c:showVal val="1"/>
            </c:dLbl>
            <c:delete val="1"/>
            <c:numFmt formatCode="#,##0.0" sourceLinked="0"/>
            <c:spPr>
              <a:solidFill>
                <a:schemeClr val="bg1"/>
              </a:solidFill>
              <a:ln>
                <a:solidFill>
                  <a:srgbClr val="4BACC6"/>
                </a:solidFill>
              </a:ln>
            </c:spPr>
          </c:dLbls>
          <c:cat>
            <c:numRef>
              <c:f>List5!$D$3:$D$39</c:f>
              <c:numCache>
                <c:formatCode>General</c:formatCode>
                <c:ptCount val="37"/>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numCache>
            </c:numRef>
          </c:cat>
          <c:val>
            <c:numRef>
              <c:f>List5!$F$3:$F$39</c:f>
              <c:numCache>
                <c:formatCode>0.0</c:formatCode>
                <c:ptCount val="37"/>
                <c:pt idx="0">
                  <c:v>18.489138908202179</c:v>
                </c:pt>
                <c:pt idx="1">
                  <c:v>18.230113239200289</c:v>
                </c:pt>
                <c:pt idx="2">
                  <c:v>18.871287347923786</c:v>
                </c:pt>
                <c:pt idx="3">
                  <c:v>19.596794241947055</c:v>
                </c:pt>
                <c:pt idx="4">
                  <c:v>19.87257242814643</c:v>
                </c:pt>
                <c:pt idx="5">
                  <c:v>20.324121900826448</c:v>
                </c:pt>
                <c:pt idx="6">
                  <c:v>20.540772309131462</c:v>
                </c:pt>
                <c:pt idx="7">
                  <c:v>21.552045765452124</c:v>
                </c:pt>
                <c:pt idx="8">
                  <c:v>22.424153418756347</c:v>
                </c:pt>
                <c:pt idx="9">
                  <c:v>22.707206983780566</c:v>
                </c:pt>
                <c:pt idx="10">
                  <c:v>22.346211323158332</c:v>
                </c:pt>
                <c:pt idx="11">
                  <c:v>22.35565158225204</c:v>
                </c:pt>
                <c:pt idx="12">
                  <c:v>22.518353016278333</c:v>
                </c:pt>
                <c:pt idx="13">
                  <c:v>21.967217149467093</c:v>
                </c:pt>
                <c:pt idx="14">
                  <c:v>21.994876474662739</c:v>
                </c:pt>
                <c:pt idx="15">
                  <c:v>21.82762980562147</c:v>
                </c:pt>
                <c:pt idx="16">
                  <c:v>20.787199567917838</c:v>
                </c:pt>
                <c:pt idx="17">
                  <c:v>20.707827904229703</c:v>
                </c:pt>
                <c:pt idx="18">
                  <c:v>20.732375085557827</c:v>
                </c:pt>
                <c:pt idx="19">
                  <c:v>21.577261809447595</c:v>
                </c:pt>
                <c:pt idx="20">
                  <c:v>21.953391717381624</c:v>
                </c:pt>
                <c:pt idx="21">
                  <c:v>22.576292298110829</c:v>
                </c:pt>
                <c:pt idx="22">
                  <c:v>23.241317898486187</c:v>
                </c:pt>
                <c:pt idx="23">
                  <c:v>24.301702072006425</c:v>
                </c:pt>
                <c:pt idx="24">
                  <c:v>24.471719600151744</c:v>
                </c:pt>
                <c:pt idx="25">
                  <c:v>23.950815290029404</c:v>
                </c:pt>
                <c:pt idx="26">
                  <c:v>23.657361753773831</c:v>
                </c:pt>
                <c:pt idx="27">
                  <c:v>23.351653964816293</c:v>
                </c:pt>
                <c:pt idx="28">
                  <c:v>23.915874589383229</c:v>
                </c:pt>
                <c:pt idx="29">
                  <c:v>23.924829728530359</c:v>
                </c:pt>
                <c:pt idx="30">
                  <c:v>23.688989784335909</c:v>
                </c:pt>
                <c:pt idx="31">
                  <c:v>23.934076316111764</c:v>
                </c:pt>
                <c:pt idx="32">
                  <c:v>24.848977695167289</c:v>
                </c:pt>
                <c:pt idx="33">
                  <c:v>25.308695090995126</c:v>
                </c:pt>
                <c:pt idx="34">
                  <c:v>27.223719676549734</c:v>
                </c:pt>
                <c:pt idx="35">
                  <c:v>28.049223613768966</c:v>
                </c:pt>
                <c:pt idx="36" formatCode="0.00">
                  <c:v>28.746922817010184</c:v>
                </c:pt>
              </c:numCache>
            </c:numRef>
          </c:val>
        </c:ser>
        <c:ser>
          <c:idx val="2"/>
          <c:order val="2"/>
          <c:tx>
            <c:strRef>
              <c:f>List5!$G$2</c:f>
              <c:strCache>
                <c:ptCount val="1"/>
                <c:pt idx="0">
                  <c:v>žena nižší vzdělání</c:v>
                </c:pt>
              </c:strCache>
            </c:strRef>
          </c:tx>
          <c:spPr>
            <a:ln w="19050">
              <a:solidFill>
                <a:schemeClr val="tx2"/>
              </a:solidFill>
            </a:ln>
          </c:spPr>
          <c:marker>
            <c:symbol val="none"/>
          </c:marker>
          <c:dLbls>
            <c:dLbl>
              <c:idx val="0"/>
              <c:layout>
                <c:manualLayout>
                  <c:x val="-1.9841269841270083E-2"/>
                  <c:y val="-4.6578584456603983E-2"/>
                </c:manualLayout>
              </c:layout>
              <c:showVal val="1"/>
            </c:dLbl>
            <c:dLbl>
              <c:idx val="36"/>
              <c:layout>
                <c:manualLayout>
                  <c:x val="-5.0705467372134112E-2"/>
                  <c:y val="5.1516971395524934E-2"/>
                </c:manualLayout>
              </c:layout>
              <c:showVal val="1"/>
            </c:dLbl>
            <c:delete val="1"/>
            <c:numFmt formatCode="#,##0.0" sourceLinked="0"/>
            <c:spPr>
              <a:solidFill>
                <a:sysClr val="window" lastClr="FFFFFF"/>
              </a:solidFill>
              <a:ln>
                <a:solidFill>
                  <a:schemeClr val="tx2"/>
                </a:solidFill>
              </a:ln>
            </c:spPr>
          </c:dLbls>
          <c:cat>
            <c:numRef>
              <c:f>List5!$D$3:$D$39</c:f>
              <c:numCache>
                <c:formatCode>General</c:formatCode>
                <c:ptCount val="37"/>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numCache>
            </c:numRef>
          </c:cat>
          <c:val>
            <c:numRef>
              <c:f>List5!$G$3:$G$39</c:f>
              <c:numCache>
                <c:formatCode>0.0</c:formatCode>
                <c:ptCount val="37"/>
                <c:pt idx="0">
                  <c:v>25.052145882055488</c:v>
                </c:pt>
                <c:pt idx="1">
                  <c:v>25.301917431094072</c:v>
                </c:pt>
                <c:pt idx="2">
                  <c:v>24.658762578459687</c:v>
                </c:pt>
                <c:pt idx="3">
                  <c:v>24.89789636925418</c:v>
                </c:pt>
                <c:pt idx="4">
                  <c:v>24.87008261086071</c:v>
                </c:pt>
                <c:pt idx="5">
                  <c:v>24.883780991735467</c:v>
                </c:pt>
                <c:pt idx="6">
                  <c:v>24.905150459955287</c:v>
                </c:pt>
                <c:pt idx="7">
                  <c:v>25.003109066036561</c:v>
                </c:pt>
                <c:pt idx="8">
                  <c:v>24.903623747108689</c:v>
                </c:pt>
                <c:pt idx="9">
                  <c:v>23.892664054362321</c:v>
                </c:pt>
                <c:pt idx="10">
                  <c:v>22.57772115926409</c:v>
                </c:pt>
                <c:pt idx="11">
                  <c:v>22.208826232795673</c:v>
                </c:pt>
                <c:pt idx="12">
                  <c:v>21.85788995555993</c:v>
                </c:pt>
                <c:pt idx="13">
                  <c:v>21.812163126676754</c:v>
                </c:pt>
                <c:pt idx="14">
                  <c:v>21.053731047903792</c:v>
                </c:pt>
                <c:pt idx="15">
                  <c:v>21.633112417156504</c:v>
                </c:pt>
                <c:pt idx="16">
                  <c:v>21.375911423170468</c:v>
                </c:pt>
                <c:pt idx="17">
                  <c:v>20.824436266715086</c:v>
                </c:pt>
                <c:pt idx="18">
                  <c:v>21.533196440793979</c:v>
                </c:pt>
                <c:pt idx="19">
                  <c:v>21.368003493704052</c:v>
                </c:pt>
                <c:pt idx="20">
                  <c:v>21.239052990945524</c:v>
                </c:pt>
                <c:pt idx="21">
                  <c:v>20.887827831983863</c:v>
                </c:pt>
                <c:pt idx="22">
                  <c:v>20.35000999509332</c:v>
                </c:pt>
                <c:pt idx="23">
                  <c:v>19.759729462100406</c:v>
                </c:pt>
                <c:pt idx="24">
                  <c:v>19.571229731928124</c:v>
                </c:pt>
                <c:pt idx="25">
                  <c:v>19.897277274983772</c:v>
                </c:pt>
                <c:pt idx="26">
                  <c:v>18.95054236516712</c:v>
                </c:pt>
                <c:pt idx="27">
                  <c:v>19.232576670821047</c:v>
                </c:pt>
                <c:pt idx="28">
                  <c:v>19.031236029311717</c:v>
                </c:pt>
                <c:pt idx="29">
                  <c:v>18.609272800941529</c:v>
                </c:pt>
                <c:pt idx="30">
                  <c:v>17.902005297010973</c:v>
                </c:pt>
                <c:pt idx="31">
                  <c:v>17.555155099112991</c:v>
                </c:pt>
                <c:pt idx="32">
                  <c:v>17.373373605947929</c:v>
                </c:pt>
                <c:pt idx="33">
                  <c:v>17.435356881641713</c:v>
                </c:pt>
                <c:pt idx="34">
                  <c:v>17.236851199115431</c:v>
                </c:pt>
                <c:pt idx="35">
                  <c:v>17.254911460478262</c:v>
                </c:pt>
                <c:pt idx="36" formatCode="0.00">
                  <c:v>16.778491094270407</c:v>
                </c:pt>
              </c:numCache>
            </c:numRef>
          </c:val>
        </c:ser>
        <c:marker val="1"/>
        <c:axId val="109021824"/>
        <c:axId val="109208320"/>
      </c:lineChart>
      <c:lineChart>
        <c:grouping val="standard"/>
        <c:ser>
          <c:idx val="3"/>
          <c:order val="3"/>
          <c:tx>
            <c:strRef>
              <c:f>List5!$H$2</c:f>
              <c:strCache>
                <c:ptCount val="1"/>
                <c:pt idx="0">
                  <c:v>absolventky</c:v>
                </c:pt>
              </c:strCache>
            </c:strRef>
          </c:tx>
          <c:spPr>
            <a:ln w="19050">
              <a:solidFill>
                <a:schemeClr val="accent6"/>
              </a:solidFill>
              <a:prstDash val="dash"/>
            </a:ln>
          </c:spPr>
          <c:marker>
            <c:symbol val="none"/>
          </c:marker>
          <c:dLbls>
            <c:dLbl>
              <c:idx val="25"/>
              <c:layout>
                <c:manualLayout>
                  <c:x val="-5.5114638447972437E-2"/>
                  <c:y val="2.9629629629630005E-2"/>
                </c:manualLayout>
              </c:layout>
              <c:showVal val="1"/>
            </c:dLbl>
            <c:dLbl>
              <c:idx val="36"/>
              <c:layout>
                <c:manualLayout>
                  <c:x val="-3.7477954144621288E-2"/>
                  <c:y val="-2.9629629629630005E-2"/>
                </c:manualLayout>
              </c:layout>
              <c:showVal val="1"/>
            </c:dLbl>
            <c:delete val="1"/>
            <c:numFmt formatCode="#,##0.0" sourceLinked="0"/>
            <c:spPr>
              <a:solidFill>
                <a:sysClr val="window" lastClr="FFFFFF"/>
              </a:solidFill>
              <a:ln>
                <a:solidFill>
                  <a:schemeClr val="accent6"/>
                </a:solidFill>
              </a:ln>
            </c:spPr>
          </c:dLbls>
          <c:cat>
            <c:numRef>
              <c:f>List5!$D$3:$D$39</c:f>
              <c:numCache>
                <c:formatCode>General</c:formatCode>
                <c:ptCount val="37"/>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numCache>
            </c:numRef>
          </c:cat>
          <c:val>
            <c:numRef>
              <c:f>List5!$H$3:$H$39</c:f>
              <c:numCache>
                <c:formatCode>General</c:formatCode>
                <c:ptCount val="37"/>
                <c:pt idx="25" formatCode="0.0">
                  <c:v>51.796274691233855</c:v>
                </c:pt>
                <c:pt idx="26" formatCode="0.0">
                  <c:v>53.297464097796187</c:v>
                </c:pt>
                <c:pt idx="27" formatCode="0.0">
                  <c:v>54.202414395262295</c:v>
                </c:pt>
                <c:pt idx="28" formatCode="0.0">
                  <c:v>54.689071268692885</c:v>
                </c:pt>
                <c:pt idx="29" formatCode="0.0">
                  <c:v>56.025000000000013</c:v>
                </c:pt>
                <c:pt idx="30" formatCode="0.0">
                  <c:v>56.131714000417986</c:v>
                </c:pt>
                <c:pt idx="31" formatCode="0.0">
                  <c:v>56.48651378927164</c:v>
                </c:pt>
                <c:pt idx="32" formatCode="0.0">
                  <c:v>57.758233532934163</c:v>
                </c:pt>
                <c:pt idx="33" formatCode="0.0">
                  <c:v>60.409009009009004</c:v>
                </c:pt>
                <c:pt idx="34" formatCode="0.0">
                  <c:v>62.375822756080105</c:v>
                </c:pt>
                <c:pt idx="35" formatCode="0.0">
                  <c:v>63.420218993182289</c:v>
                </c:pt>
                <c:pt idx="36" formatCode="0.00">
                  <c:v>63.016600680697152</c:v>
                </c:pt>
              </c:numCache>
            </c:numRef>
          </c:val>
        </c:ser>
        <c:marker val="1"/>
        <c:axId val="111686784"/>
        <c:axId val="109210624"/>
      </c:lineChart>
      <c:catAx>
        <c:axId val="109021824"/>
        <c:scaling>
          <c:orientation val="minMax"/>
        </c:scaling>
        <c:axPos val="b"/>
        <c:numFmt formatCode="General" sourceLinked="1"/>
        <c:tickLblPos val="nextTo"/>
        <c:txPr>
          <a:bodyPr rot="-5400000" vert="horz"/>
          <a:lstStyle/>
          <a:p>
            <a:pPr>
              <a:defRPr/>
            </a:pPr>
            <a:endParaRPr lang="cs-CZ"/>
          </a:p>
        </c:txPr>
        <c:crossAx val="109208320"/>
        <c:crosses val="autoZero"/>
        <c:auto val="1"/>
        <c:lblAlgn val="ctr"/>
        <c:lblOffset val="100"/>
      </c:catAx>
      <c:valAx>
        <c:axId val="109208320"/>
        <c:scaling>
          <c:orientation val="minMax"/>
        </c:scaling>
        <c:axPos val="l"/>
        <c:majorGridlines>
          <c:spPr>
            <a:ln>
              <a:solidFill>
                <a:schemeClr val="bg1">
                  <a:lumMod val="85000"/>
                </a:schemeClr>
              </a:solidFill>
            </a:ln>
          </c:spPr>
        </c:majorGridlines>
        <c:title>
          <c:tx>
            <c:rich>
              <a:bodyPr rot="-5400000" vert="horz"/>
              <a:lstStyle/>
              <a:p>
                <a:pPr>
                  <a:defRPr/>
                </a:pPr>
                <a:r>
                  <a:rPr lang="en-US"/>
                  <a:t>podíl z celkového počtu sňatků</a:t>
                </a:r>
                <a:r>
                  <a:rPr lang="cs-CZ"/>
                  <a:t> (%)</a:t>
                </a:r>
                <a:endParaRPr lang="en-US"/>
              </a:p>
            </c:rich>
          </c:tx>
          <c:layout>
            <c:manualLayout>
              <c:xMode val="edge"/>
              <c:yMode val="edge"/>
              <c:x val="4.9287162968265396E-3"/>
              <c:y val="0.10876734158230222"/>
            </c:manualLayout>
          </c:layout>
        </c:title>
        <c:numFmt formatCode="0" sourceLinked="0"/>
        <c:tickLblPos val="nextTo"/>
        <c:crossAx val="109021824"/>
        <c:crosses val="autoZero"/>
        <c:crossBetween val="between"/>
      </c:valAx>
      <c:valAx>
        <c:axId val="109210624"/>
        <c:scaling>
          <c:orientation val="minMax"/>
        </c:scaling>
        <c:axPos val="r"/>
        <c:title>
          <c:tx>
            <c:rich>
              <a:bodyPr rot="-5400000" vert="horz"/>
              <a:lstStyle/>
              <a:p>
                <a:pPr>
                  <a:defRPr/>
                </a:pPr>
                <a:r>
                  <a:rPr lang="en-US"/>
                  <a:t>podíl žen z absolventů VŠ</a:t>
                </a:r>
                <a:r>
                  <a:rPr lang="cs-CZ"/>
                  <a:t> (%)</a:t>
                </a:r>
                <a:endParaRPr lang="en-US"/>
              </a:p>
            </c:rich>
          </c:tx>
          <c:layout>
            <c:manualLayout>
              <c:xMode val="edge"/>
              <c:yMode val="edge"/>
              <c:x val="0.9679743157105366"/>
              <c:y val="0.13226829979585891"/>
            </c:manualLayout>
          </c:layout>
        </c:title>
        <c:numFmt formatCode="General" sourceLinked="1"/>
        <c:tickLblPos val="nextTo"/>
        <c:crossAx val="111686784"/>
        <c:crosses val="max"/>
        <c:crossBetween val="between"/>
      </c:valAx>
      <c:catAx>
        <c:axId val="111686784"/>
        <c:scaling>
          <c:orientation val="minMax"/>
        </c:scaling>
        <c:delete val="1"/>
        <c:axPos val="b"/>
        <c:numFmt formatCode="General" sourceLinked="1"/>
        <c:tickLblPos val="none"/>
        <c:crossAx val="109210624"/>
        <c:crosses val="autoZero"/>
        <c:auto val="1"/>
        <c:lblAlgn val="ctr"/>
        <c:lblOffset val="100"/>
      </c:catAx>
    </c:plotArea>
    <c:legend>
      <c:legendPos val="b"/>
      <c:layout>
        <c:manualLayout>
          <c:xMode val="edge"/>
          <c:yMode val="edge"/>
          <c:x val="2.4049488487234625E-2"/>
          <c:y val="0.91225810756706249"/>
          <c:w val="0.93840111250298264"/>
          <c:h val="8.771925731505778E-2"/>
        </c:manualLayout>
      </c:layout>
      <c:spPr>
        <a:solidFill>
          <a:schemeClr val="bg1"/>
        </a:solidFill>
        <a:ln>
          <a:noFill/>
        </a:ln>
      </c:spPr>
    </c:legend>
    <c:plotVisOnly val="1"/>
  </c:chart>
  <c:txPr>
    <a:bodyPr/>
    <a:lstStyle/>
    <a:p>
      <a:pPr>
        <a:defRPr sz="900"/>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rot="0" vert="horz"/>
          <a:lstStyle/>
          <a:p>
            <a:pPr>
              <a:defRPr/>
            </a:pPr>
            <a:r>
              <a:rPr lang="en-US"/>
              <a:t>muži</a:t>
            </a:r>
          </a:p>
        </c:rich>
      </c:tx>
      <c:layout>
        <c:manualLayout>
          <c:xMode val="edge"/>
          <c:yMode val="edge"/>
          <c:x val="8.5080110517699897E-2"/>
          <c:y val="4.3095070422535332E-2"/>
        </c:manualLayout>
      </c:layout>
      <c:spPr>
        <a:solidFill>
          <a:schemeClr val="bg1"/>
        </a:solidFill>
        <a:ln>
          <a:solidFill>
            <a:schemeClr val="bg1">
              <a:lumMod val="85000"/>
            </a:schemeClr>
          </a:solidFill>
        </a:ln>
        <a:effectLst/>
      </c:spPr>
    </c:title>
    <c:plotArea>
      <c:layout>
        <c:manualLayout>
          <c:layoutTarget val="inner"/>
          <c:xMode val="edge"/>
          <c:yMode val="edge"/>
          <c:x val="7.4704446633728924E-2"/>
          <c:y val="1.6309573347632462E-2"/>
          <c:w val="0.9102825164258046"/>
          <c:h val="0.90801744202045909"/>
        </c:manualLayout>
      </c:layout>
      <c:lineChart>
        <c:grouping val="standard"/>
        <c:ser>
          <c:idx val="0"/>
          <c:order val="0"/>
          <c:tx>
            <c:strRef>
              <c:f>List1!$B$78:$B$79</c:f>
              <c:strCache>
                <c:ptCount val="1"/>
                <c:pt idx="0">
                  <c:v>manželé stejné vzdělání</c:v>
                </c:pt>
              </c:strCache>
            </c:strRef>
          </c:tx>
          <c:spPr>
            <a:ln w="19050" cap="rnd">
              <a:solidFill>
                <a:schemeClr val="tx2"/>
              </a:solidFill>
              <a:round/>
            </a:ln>
            <a:effectLst/>
          </c:spPr>
          <c:marker>
            <c:symbol val="none"/>
          </c:marker>
          <c:cat>
            <c:strRef>
              <c:f>List1!$A$80:$A$86</c:f>
              <c:strCache>
                <c:ptCount val="7"/>
                <c:pt idx="0">
                  <c:v>-24</c:v>
                </c:pt>
                <c:pt idx="1">
                  <c:v>25-29</c:v>
                </c:pt>
                <c:pt idx="2">
                  <c:v>30-34</c:v>
                </c:pt>
                <c:pt idx="3">
                  <c:v>35-39</c:v>
                </c:pt>
                <c:pt idx="4">
                  <c:v>40-44</c:v>
                </c:pt>
                <c:pt idx="5">
                  <c:v>45-49</c:v>
                </c:pt>
                <c:pt idx="6">
                  <c:v>50+</c:v>
                </c:pt>
              </c:strCache>
            </c:strRef>
          </c:cat>
          <c:val>
            <c:numRef>
              <c:f>List1!$B$80:$B$86</c:f>
              <c:numCache>
                <c:formatCode>0.0</c:formatCode>
                <c:ptCount val="7"/>
                <c:pt idx="0">
                  <c:v>48.489369638194702</c:v>
                </c:pt>
                <c:pt idx="1">
                  <c:v>50.943230417715995</c:v>
                </c:pt>
                <c:pt idx="2">
                  <c:v>50.858623960799825</c:v>
                </c:pt>
                <c:pt idx="3">
                  <c:v>51.003099408834792</c:v>
                </c:pt>
                <c:pt idx="4">
                  <c:v>51.27866810125149</c:v>
                </c:pt>
                <c:pt idx="5">
                  <c:v>50.515811961081646</c:v>
                </c:pt>
                <c:pt idx="6">
                  <c:v>46.689211010515322</c:v>
                </c:pt>
              </c:numCache>
            </c:numRef>
          </c:val>
        </c:ser>
        <c:ser>
          <c:idx val="1"/>
          <c:order val="1"/>
          <c:tx>
            <c:strRef>
              <c:f>List1!$C$78:$C$79</c:f>
              <c:strCache>
                <c:ptCount val="1"/>
                <c:pt idx="0">
                  <c:v>manželé muž nižší vzdělání</c:v>
                </c:pt>
              </c:strCache>
            </c:strRef>
          </c:tx>
          <c:spPr>
            <a:ln w="19050" cap="rnd">
              <a:solidFill>
                <a:schemeClr val="tx2"/>
              </a:solidFill>
              <a:prstDash val="sysDash"/>
              <a:round/>
            </a:ln>
            <a:effectLst/>
          </c:spPr>
          <c:marker>
            <c:symbol val="none"/>
          </c:marker>
          <c:cat>
            <c:strRef>
              <c:f>List1!$A$80:$A$86</c:f>
              <c:strCache>
                <c:ptCount val="7"/>
                <c:pt idx="0">
                  <c:v>-24</c:v>
                </c:pt>
                <c:pt idx="1">
                  <c:v>25-29</c:v>
                </c:pt>
                <c:pt idx="2">
                  <c:v>30-34</c:v>
                </c:pt>
                <c:pt idx="3">
                  <c:v>35-39</c:v>
                </c:pt>
                <c:pt idx="4">
                  <c:v>40-44</c:v>
                </c:pt>
                <c:pt idx="5">
                  <c:v>45-49</c:v>
                </c:pt>
                <c:pt idx="6">
                  <c:v>50+</c:v>
                </c:pt>
              </c:strCache>
            </c:strRef>
          </c:cat>
          <c:val>
            <c:numRef>
              <c:f>List1!$C$80:$C$86</c:f>
              <c:numCache>
                <c:formatCode>0.0</c:formatCode>
                <c:ptCount val="7"/>
                <c:pt idx="0">
                  <c:v>33.979858261841997</c:v>
                </c:pt>
                <c:pt idx="1">
                  <c:v>33.730739937899543</c:v>
                </c:pt>
                <c:pt idx="2">
                  <c:v>33.187926230793941</c:v>
                </c:pt>
                <c:pt idx="3">
                  <c:v>31.100537692970189</c:v>
                </c:pt>
                <c:pt idx="4">
                  <c:v>26.810691432130923</c:v>
                </c:pt>
                <c:pt idx="5">
                  <c:v>26.50011622372487</c:v>
                </c:pt>
                <c:pt idx="6">
                  <c:v>19.977323971899889</c:v>
                </c:pt>
              </c:numCache>
            </c:numRef>
          </c:val>
        </c:ser>
        <c:ser>
          <c:idx val="2"/>
          <c:order val="2"/>
          <c:tx>
            <c:strRef>
              <c:f>List1!$D$78:$D$79</c:f>
              <c:strCache>
                <c:ptCount val="1"/>
                <c:pt idx="0">
                  <c:v>manželé muž vyšší vzdělání</c:v>
                </c:pt>
              </c:strCache>
            </c:strRef>
          </c:tx>
          <c:spPr>
            <a:ln w="19050" cap="rnd">
              <a:solidFill>
                <a:schemeClr val="tx2"/>
              </a:solidFill>
              <a:prstDash val="lgDashDot"/>
              <a:round/>
            </a:ln>
            <a:effectLst/>
          </c:spPr>
          <c:marker>
            <c:symbol val="none"/>
          </c:marker>
          <c:cat>
            <c:strRef>
              <c:f>List1!$A$80:$A$86</c:f>
              <c:strCache>
                <c:ptCount val="7"/>
                <c:pt idx="0">
                  <c:v>-24</c:v>
                </c:pt>
                <c:pt idx="1">
                  <c:v>25-29</c:v>
                </c:pt>
                <c:pt idx="2">
                  <c:v>30-34</c:v>
                </c:pt>
                <c:pt idx="3">
                  <c:v>35-39</c:v>
                </c:pt>
                <c:pt idx="4">
                  <c:v>40-44</c:v>
                </c:pt>
                <c:pt idx="5">
                  <c:v>45-49</c:v>
                </c:pt>
                <c:pt idx="6">
                  <c:v>50+</c:v>
                </c:pt>
              </c:strCache>
            </c:strRef>
          </c:cat>
          <c:val>
            <c:numRef>
              <c:f>List1!$D$80:$D$86</c:f>
              <c:numCache>
                <c:formatCode>0.0</c:formatCode>
                <c:ptCount val="7"/>
                <c:pt idx="0">
                  <c:v>17.530772099962689</c:v>
                </c:pt>
                <c:pt idx="1">
                  <c:v>15.326029644384557</c:v>
                </c:pt>
                <c:pt idx="2">
                  <c:v>15.953449808406473</c:v>
                </c:pt>
                <c:pt idx="3">
                  <c:v>17.896362898194816</c:v>
                </c:pt>
                <c:pt idx="4">
                  <c:v>21.91064046661759</c:v>
                </c:pt>
                <c:pt idx="5">
                  <c:v>22.984071815193186</c:v>
                </c:pt>
                <c:pt idx="6">
                  <c:v>33.333465017584786</c:v>
                </c:pt>
              </c:numCache>
            </c:numRef>
          </c:val>
        </c:ser>
        <c:ser>
          <c:idx val="3"/>
          <c:order val="3"/>
          <c:tx>
            <c:strRef>
              <c:f>List1!$E$78:$E$79</c:f>
              <c:strCache>
                <c:ptCount val="1"/>
                <c:pt idx="0">
                  <c:v>NS bez dětí stejné vzdělání</c:v>
                </c:pt>
              </c:strCache>
            </c:strRef>
          </c:tx>
          <c:spPr>
            <a:ln w="19050" cap="rnd">
              <a:solidFill>
                <a:srgbClr val="FFC000"/>
              </a:solidFill>
              <a:round/>
            </a:ln>
            <a:effectLst/>
          </c:spPr>
          <c:marker>
            <c:symbol val="none"/>
          </c:marker>
          <c:cat>
            <c:strRef>
              <c:f>List1!$A$80:$A$86</c:f>
              <c:strCache>
                <c:ptCount val="7"/>
                <c:pt idx="0">
                  <c:v>-24</c:v>
                </c:pt>
                <c:pt idx="1">
                  <c:v>25-29</c:v>
                </c:pt>
                <c:pt idx="2">
                  <c:v>30-34</c:v>
                </c:pt>
                <c:pt idx="3">
                  <c:v>35-39</c:v>
                </c:pt>
                <c:pt idx="4">
                  <c:v>40-44</c:v>
                </c:pt>
                <c:pt idx="5">
                  <c:v>45-49</c:v>
                </c:pt>
                <c:pt idx="6">
                  <c:v>50+</c:v>
                </c:pt>
              </c:strCache>
            </c:strRef>
          </c:cat>
          <c:val>
            <c:numRef>
              <c:f>List1!$E$80:$E$86</c:f>
              <c:numCache>
                <c:formatCode>0.0</c:formatCode>
                <c:ptCount val="7"/>
                <c:pt idx="0">
                  <c:v>47.741433021806856</c:v>
                </c:pt>
                <c:pt idx="1">
                  <c:v>51.168947946848213</c:v>
                </c:pt>
                <c:pt idx="2">
                  <c:v>48.715686274509913</c:v>
                </c:pt>
                <c:pt idx="3">
                  <c:v>46.076823478635994</c:v>
                </c:pt>
                <c:pt idx="4">
                  <c:v>47.414658634538156</c:v>
                </c:pt>
                <c:pt idx="5">
                  <c:v>45.515911282546</c:v>
                </c:pt>
                <c:pt idx="6">
                  <c:v>43.949435982970215</c:v>
                </c:pt>
              </c:numCache>
            </c:numRef>
          </c:val>
        </c:ser>
        <c:ser>
          <c:idx val="4"/>
          <c:order val="4"/>
          <c:tx>
            <c:strRef>
              <c:f>List1!$F$78:$F$79</c:f>
              <c:strCache>
                <c:ptCount val="1"/>
                <c:pt idx="0">
                  <c:v>NS bez dětí muž nižší vzdělání</c:v>
                </c:pt>
              </c:strCache>
            </c:strRef>
          </c:tx>
          <c:spPr>
            <a:ln w="19050" cap="rnd">
              <a:solidFill>
                <a:srgbClr val="FFC000"/>
              </a:solidFill>
              <a:prstDash val="sysDash"/>
              <a:round/>
            </a:ln>
            <a:effectLst/>
          </c:spPr>
          <c:marker>
            <c:symbol val="none"/>
          </c:marker>
          <c:cat>
            <c:strRef>
              <c:f>List1!$A$80:$A$86</c:f>
              <c:strCache>
                <c:ptCount val="7"/>
                <c:pt idx="0">
                  <c:v>-24</c:v>
                </c:pt>
                <c:pt idx="1">
                  <c:v>25-29</c:v>
                </c:pt>
                <c:pt idx="2">
                  <c:v>30-34</c:v>
                </c:pt>
                <c:pt idx="3">
                  <c:v>35-39</c:v>
                </c:pt>
                <c:pt idx="4">
                  <c:v>40-44</c:v>
                </c:pt>
                <c:pt idx="5">
                  <c:v>45-49</c:v>
                </c:pt>
                <c:pt idx="6">
                  <c:v>50+</c:v>
                </c:pt>
              </c:strCache>
            </c:strRef>
          </c:cat>
          <c:val>
            <c:numRef>
              <c:f>List1!$F$80:$F$86</c:f>
              <c:numCache>
                <c:formatCode>0.0</c:formatCode>
                <c:ptCount val="7"/>
                <c:pt idx="0">
                  <c:v>38.590342679128113</c:v>
                </c:pt>
                <c:pt idx="1">
                  <c:v>33.839544410030946</c:v>
                </c:pt>
                <c:pt idx="2">
                  <c:v>35.156862745098024</c:v>
                </c:pt>
                <c:pt idx="3">
                  <c:v>35.028053517479513</c:v>
                </c:pt>
                <c:pt idx="4">
                  <c:v>28.313253012048335</c:v>
                </c:pt>
                <c:pt idx="5">
                  <c:v>26.04735883424409</c:v>
                </c:pt>
                <c:pt idx="6">
                  <c:v>23.234429179651496</c:v>
                </c:pt>
              </c:numCache>
            </c:numRef>
          </c:val>
        </c:ser>
        <c:ser>
          <c:idx val="5"/>
          <c:order val="5"/>
          <c:tx>
            <c:strRef>
              <c:f>List1!$G$78:$G$79</c:f>
              <c:strCache>
                <c:ptCount val="1"/>
                <c:pt idx="0">
                  <c:v>NS bez dětí muž vyšší vzdělání</c:v>
                </c:pt>
              </c:strCache>
            </c:strRef>
          </c:tx>
          <c:spPr>
            <a:ln w="19050" cap="rnd">
              <a:solidFill>
                <a:srgbClr val="FFC000"/>
              </a:solidFill>
              <a:prstDash val="lgDashDot"/>
              <a:round/>
            </a:ln>
            <a:effectLst/>
          </c:spPr>
          <c:marker>
            <c:symbol val="none"/>
          </c:marker>
          <c:cat>
            <c:strRef>
              <c:f>List1!$A$80:$A$86</c:f>
              <c:strCache>
                <c:ptCount val="7"/>
                <c:pt idx="0">
                  <c:v>-24</c:v>
                </c:pt>
                <c:pt idx="1">
                  <c:v>25-29</c:v>
                </c:pt>
                <c:pt idx="2">
                  <c:v>30-34</c:v>
                </c:pt>
                <c:pt idx="3">
                  <c:v>35-39</c:v>
                </c:pt>
                <c:pt idx="4">
                  <c:v>40-44</c:v>
                </c:pt>
                <c:pt idx="5">
                  <c:v>45-49</c:v>
                </c:pt>
                <c:pt idx="6">
                  <c:v>50+</c:v>
                </c:pt>
              </c:strCache>
            </c:strRef>
          </c:cat>
          <c:val>
            <c:numRef>
              <c:f>List1!$G$80:$G$86</c:f>
              <c:numCache>
                <c:formatCode>0.0</c:formatCode>
                <c:ptCount val="7"/>
                <c:pt idx="0">
                  <c:v>13.66822429906542</c:v>
                </c:pt>
                <c:pt idx="1">
                  <c:v>14.99150764312119</c:v>
                </c:pt>
                <c:pt idx="2">
                  <c:v>16.127450980392158</c:v>
                </c:pt>
                <c:pt idx="3">
                  <c:v>18.895123003884329</c:v>
                </c:pt>
                <c:pt idx="4">
                  <c:v>24.272088353413654</c:v>
                </c:pt>
                <c:pt idx="5">
                  <c:v>28.436729883209829</c:v>
                </c:pt>
                <c:pt idx="6">
                  <c:v>32.816134837378762</c:v>
                </c:pt>
              </c:numCache>
            </c:numRef>
          </c:val>
        </c:ser>
        <c:ser>
          <c:idx val="6"/>
          <c:order val="6"/>
          <c:tx>
            <c:strRef>
              <c:f>List1!$H$78:$H$79</c:f>
              <c:strCache>
                <c:ptCount val="1"/>
                <c:pt idx="0">
                  <c:v>NS s dětmi stejné vzdělání</c:v>
                </c:pt>
              </c:strCache>
            </c:strRef>
          </c:tx>
          <c:spPr>
            <a:ln w="19050" cap="rnd">
              <a:solidFill>
                <a:schemeClr val="accent6">
                  <a:lumMod val="75000"/>
                </a:schemeClr>
              </a:solidFill>
              <a:round/>
            </a:ln>
            <a:effectLst/>
          </c:spPr>
          <c:marker>
            <c:symbol val="none"/>
          </c:marker>
          <c:cat>
            <c:strRef>
              <c:f>List1!$A$80:$A$86</c:f>
              <c:strCache>
                <c:ptCount val="7"/>
                <c:pt idx="0">
                  <c:v>-24</c:v>
                </c:pt>
                <c:pt idx="1">
                  <c:v>25-29</c:v>
                </c:pt>
                <c:pt idx="2">
                  <c:v>30-34</c:v>
                </c:pt>
                <c:pt idx="3">
                  <c:v>35-39</c:v>
                </c:pt>
                <c:pt idx="4">
                  <c:v>40-44</c:v>
                </c:pt>
                <c:pt idx="5">
                  <c:v>45-49</c:v>
                </c:pt>
                <c:pt idx="6">
                  <c:v>50+</c:v>
                </c:pt>
              </c:strCache>
            </c:strRef>
          </c:cat>
          <c:val>
            <c:numRef>
              <c:f>List1!$H$80:$H$86</c:f>
              <c:numCache>
                <c:formatCode>0.0</c:formatCode>
                <c:ptCount val="7"/>
                <c:pt idx="0">
                  <c:v>48.017241379309944</c:v>
                </c:pt>
                <c:pt idx="1">
                  <c:v>45.603390156987381</c:v>
                </c:pt>
                <c:pt idx="2">
                  <c:v>46.488321344863813</c:v>
                </c:pt>
                <c:pt idx="3">
                  <c:v>47.135235444212476</c:v>
                </c:pt>
                <c:pt idx="4">
                  <c:v>47.802409021014846</c:v>
                </c:pt>
                <c:pt idx="5">
                  <c:v>47.074788902291921</c:v>
                </c:pt>
                <c:pt idx="6">
                  <c:v>45.055970149253731</c:v>
                </c:pt>
              </c:numCache>
            </c:numRef>
          </c:val>
        </c:ser>
        <c:ser>
          <c:idx val="7"/>
          <c:order val="7"/>
          <c:tx>
            <c:strRef>
              <c:f>List1!$I$78:$I$79</c:f>
              <c:strCache>
                <c:ptCount val="1"/>
                <c:pt idx="0">
                  <c:v>NS s dětmi muž nižší vzdělání</c:v>
                </c:pt>
              </c:strCache>
            </c:strRef>
          </c:tx>
          <c:spPr>
            <a:ln w="19050" cap="rnd">
              <a:solidFill>
                <a:schemeClr val="accent6">
                  <a:lumMod val="75000"/>
                </a:schemeClr>
              </a:solidFill>
              <a:prstDash val="sysDash"/>
              <a:round/>
            </a:ln>
            <a:effectLst/>
          </c:spPr>
          <c:marker>
            <c:symbol val="none"/>
          </c:marker>
          <c:cat>
            <c:strRef>
              <c:f>List1!$A$80:$A$86</c:f>
              <c:strCache>
                <c:ptCount val="7"/>
                <c:pt idx="0">
                  <c:v>-24</c:v>
                </c:pt>
                <c:pt idx="1">
                  <c:v>25-29</c:v>
                </c:pt>
                <c:pt idx="2">
                  <c:v>30-34</c:v>
                </c:pt>
                <c:pt idx="3">
                  <c:v>35-39</c:v>
                </c:pt>
                <c:pt idx="4">
                  <c:v>40-44</c:v>
                </c:pt>
                <c:pt idx="5">
                  <c:v>45-49</c:v>
                </c:pt>
                <c:pt idx="6">
                  <c:v>50+</c:v>
                </c:pt>
              </c:strCache>
            </c:strRef>
          </c:cat>
          <c:val>
            <c:numRef>
              <c:f>List1!$I$80:$I$86</c:f>
              <c:numCache>
                <c:formatCode>0.0</c:formatCode>
                <c:ptCount val="7"/>
                <c:pt idx="0">
                  <c:v>30.129310344827587</c:v>
                </c:pt>
                <c:pt idx="1">
                  <c:v>31.773090628912648</c:v>
                </c:pt>
                <c:pt idx="2">
                  <c:v>33.132627495352189</c:v>
                </c:pt>
                <c:pt idx="3">
                  <c:v>33.283074306038863</c:v>
                </c:pt>
                <c:pt idx="4">
                  <c:v>28.677601230138389</c:v>
                </c:pt>
                <c:pt idx="5">
                  <c:v>27.905106554080941</c:v>
                </c:pt>
                <c:pt idx="6">
                  <c:v>29.45429104477612</c:v>
                </c:pt>
              </c:numCache>
            </c:numRef>
          </c:val>
        </c:ser>
        <c:ser>
          <c:idx val="8"/>
          <c:order val="8"/>
          <c:tx>
            <c:strRef>
              <c:f>List1!$J$78:$J$79</c:f>
              <c:strCache>
                <c:ptCount val="1"/>
                <c:pt idx="0">
                  <c:v>NS s dětmi muž vyšší vzdělání</c:v>
                </c:pt>
              </c:strCache>
            </c:strRef>
          </c:tx>
          <c:spPr>
            <a:ln w="19050" cap="rnd">
              <a:solidFill>
                <a:schemeClr val="accent6">
                  <a:lumMod val="75000"/>
                </a:schemeClr>
              </a:solidFill>
              <a:prstDash val="lgDashDot"/>
              <a:round/>
            </a:ln>
            <a:effectLst/>
          </c:spPr>
          <c:marker>
            <c:symbol val="none"/>
          </c:marker>
          <c:cat>
            <c:strRef>
              <c:f>List1!$A$80:$A$86</c:f>
              <c:strCache>
                <c:ptCount val="7"/>
                <c:pt idx="0">
                  <c:v>-24</c:v>
                </c:pt>
                <c:pt idx="1">
                  <c:v>25-29</c:v>
                </c:pt>
                <c:pt idx="2">
                  <c:v>30-34</c:v>
                </c:pt>
                <c:pt idx="3">
                  <c:v>35-39</c:v>
                </c:pt>
                <c:pt idx="4">
                  <c:v>40-44</c:v>
                </c:pt>
                <c:pt idx="5">
                  <c:v>45-49</c:v>
                </c:pt>
                <c:pt idx="6">
                  <c:v>50+</c:v>
                </c:pt>
              </c:strCache>
            </c:strRef>
          </c:cat>
          <c:val>
            <c:numRef>
              <c:f>List1!$J$80:$J$86</c:f>
              <c:numCache>
                <c:formatCode>0.0</c:formatCode>
                <c:ptCount val="7"/>
                <c:pt idx="0">
                  <c:v>21.853448275862029</c:v>
                </c:pt>
                <c:pt idx="1">
                  <c:v>22.623519214099929</c:v>
                </c:pt>
                <c:pt idx="2">
                  <c:v>20.379051159783398</c:v>
                </c:pt>
                <c:pt idx="3">
                  <c:v>19.581690249748689</c:v>
                </c:pt>
                <c:pt idx="4">
                  <c:v>23.519989748846935</c:v>
                </c:pt>
                <c:pt idx="5">
                  <c:v>25.020104543626829</c:v>
                </c:pt>
                <c:pt idx="6">
                  <c:v>25.489738805969669</c:v>
                </c:pt>
              </c:numCache>
            </c:numRef>
          </c:val>
        </c:ser>
        <c:marker val="1"/>
        <c:axId val="98470912"/>
        <c:axId val="98521856"/>
      </c:lineChart>
      <c:catAx>
        <c:axId val="98470912"/>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98521856"/>
        <c:crosses val="autoZero"/>
        <c:auto val="1"/>
        <c:lblAlgn val="ctr"/>
        <c:lblOffset val="100"/>
      </c:catAx>
      <c:valAx>
        <c:axId val="98521856"/>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podíl (%)</a:t>
                </a:r>
              </a:p>
            </c:rich>
          </c:tx>
          <c:layout>
            <c:manualLayout>
              <c:xMode val="edge"/>
              <c:yMode val="edge"/>
              <c:x val="7.5066110621403578E-3"/>
              <c:y val="0.34283920187793432"/>
            </c:manualLayout>
          </c:layout>
        </c:title>
        <c:numFmt formatCode="0" sourceLinked="0"/>
        <c:majorTickMark val="none"/>
        <c:tickLblPos val="nextTo"/>
        <c:spPr>
          <a:noFill/>
          <a:ln>
            <a:noFill/>
          </a:ln>
          <a:effectLst/>
        </c:spPr>
        <c:txPr>
          <a:bodyPr rot="-60000000" vert="horz"/>
          <a:lstStyle/>
          <a:p>
            <a:pPr>
              <a:defRPr/>
            </a:pPr>
            <a:endParaRPr lang="cs-CZ"/>
          </a:p>
        </c:txPr>
        <c:crossAx val="98470912"/>
        <c:crosses val="autoZero"/>
        <c:crossBetween val="between"/>
        <c:majorUnit val="10"/>
      </c:valAx>
      <c:spPr>
        <a:noFill/>
        <a:ln>
          <a:solidFill>
            <a:sysClr val="window" lastClr="FFFFFF">
              <a:lumMod val="85000"/>
            </a:sysClr>
          </a:solidFill>
        </a:ln>
        <a:effectLst/>
      </c:spPr>
    </c:plotArea>
    <c:legend>
      <c:legendPos val="b"/>
      <c:layout>
        <c:manualLayout>
          <c:xMode val="edge"/>
          <c:yMode val="edge"/>
          <c:x val="8.2204020710957698E-2"/>
          <c:y val="0.78029303599374022"/>
          <c:w val="0.88510362886200356"/>
          <c:h val="0.13506142410015651"/>
        </c:manualLayout>
      </c:layout>
      <c:spPr>
        <a:solidFill>
          <a:sysClr val="window" lastClr="FFFFFF"/>
        </a:solidFill>
        <a:ln>
          <a:solidFill>
            <a:sysClr val="windowText" lastClr="000000">
              <a:lumMod val="15000"/>
              <a:lumOff val="85000"/>
            </a:sysClr>
          </a:solidFill>
        </a:ln>
        <a:effectLst/>
      </c:spPr>
      <c:txPr>
        <a:bodyPr rot="0" vert="horz"/>
        <a:lstStyle/>
        <a:p>
          <a:pPr>
            <a:defRPr sz="600"/>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latin typeface="Arial" pitchFamily="34" charset="0"/>
          <a:cs typeface="Arial" pitchFamily="34" charset="0"/>
        </a:defRPr>
      </a:pPr>
      <a:endParaRPr lang="cs-CZ"/>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rot="0" vert="horz"/>
          <a:lstStyle/>
          <a:p>
            <a:pPr>
              <a:defRPr/>
            </a:pPr>
            <a:r>
              <a:rPr lang="en-US"/>
              <a:t>ženy</a:t>
            </a:r>
          </a:p>
        </c:rich>
      </c:tx>
      <c:layout>
        <c:manualLayout>
          <c:xMode val="edge"/>
          <c:yMode val="edge"/>
          <c:x val="8.6051955170703728E-2"/>
          <c:y val="4.9528560250391512E-2"/>
        </c:manualLayout>
      </c:layout>
      <c:spPr>
        <a:solidFill>
          <a:sysClr val="window" lastClr="FFFFFF"/>
        </a:solidFill>
        <a:ln>
          <a:solidFill>
            <a:sysClr val="windowText" lastClr="000000">
              <a:lumMod val="15000"/>
              <a:lumOff val="85000"/>
            </a:sysClr>
          </a:solidFill>
        </a:ln>
        <a:effectLst/>
      </c:spPr>
    </c:title>
    <c:plotArea>
      <c:layout>
        <c:manualLayout>
          <c:layoutTarget val="inner"/>
          <c:xMode val="edge"/>
          <c:yMode val="edge"/>
          <c:x val="7.3099458522529456E-2"/>
          <c:y val="1.16338509956445E-2"/>
          <c:w val="0.91188731935319656"/>
          <c:h val="0.94193448318132578"/>
        </c:manualLayout>
      </c:layout>
      <c:lineChart>
        <c:grouping val="standard"/>
        <c:ser>
          <c:idx val="0"/>
          <c:order val="0"/>
          <c:tx>
            <c:strRef>
              <c:f>List1!$L$78:$L$79</c:f>
              <c:strCache>
                <c:ptCount val="1"/>
                <c:pt idx="0">
                  <c:v>manželé stejné vzdělání</c:v>
                </c:pt>
              </c:strCache>
            </c:strRef>
          </c:tx>
          <c:spPr>
            <a:ln w="19050" cap="rnd">
              <a:solidFill>
                <a:schemeClr val="tx2"/>
              </a:solidFill>
              <a:round/>
            </a:ln>
            <a:effectLst/>
          </c:spPr>
          <c:marker>
            <c:symbol val="none"/>
          </c:marker>
          <c:cat>
            <c:strRef>
              <c:f>List1!$K$80:$K$86</c:f>
              <c:strCache>
                <c:ptCount val="7"/>
                <c:pt idx="0">
                  <c:v>-24</c:v>
                </c:pt>
                <c:pt idx="1">
                  <c:v>25-29</c:v>
                </c:pt>
                <c:pt idx="2">
                  <c:v>30-34</c:v>
                </c:pt>
                <c:pt idx="3">
                  <c:v>35-39</c:v>
                </c:pt>
                <c:pt idx="4">
                  <c:v>40-44</c:v>
                </c:pt>
                <c:pt idx="5">
                  <c:v>45-49</c:v>
                </c:pt>
                <c:pt idx="6">
                  <c:v>50+</c:v>
                </c:pt>
              </c:strCache>
            </c:strRef>
          </c:cat>
          <c:val>
            <c:numRef>
              <c:f>List1!$L$80:$L$86</c:f>
              <c:numCache>
                <c:formatCode>0.0</c:formatCode>
                <c:ptCount val="7"/>
                <c:pt idx="0">
                  <c:v>46.770578647107058</c:v>
                </c:pt>
                <c:pt idx="1">
                  <c:v>48.653600340860677</c:v>
                </c:pt>
                <c:pt idx="2">
                  <c:v>50.012340139107032</c:v>
                </c:pt>
                <c:pt idx="3">
                  <c:v>51.928215156280281</c:v>
                </c:pt>
                <c:pt idx="4">
                  <c:v>51.073725055432107</c:v>
                </c:pt>
                <c:pt idx="5">
                  <c:v>50.011532505189628</c:v>
                </c:pt>
                <c:pt idx="6">
                  <c:v>46.457633901771999</c:v>
                </c:pt>
              </c:numCache>
            </c:numRef>
          </c:val>
        </c:ser>
        <c:ser>
          <c:idx val="1"/>
          <c:order val="1"/>
          <c:tx>
            <c:strRef>
              <c:f>List1!$M$78:$M$79</c:f>
              <c:strCache>
                <c:ptCount val="1"/>
                <c:pt idx="0">
                  <c:v>manželé žena vyšší vzdělání</c:v>
                </c:pt>
              </c:strCache>
            </c:strRef>
          </c:tx>
          <c:spPr>
            <a:ln w="19050" cap="rnd">
              <a:solidFill>
                <a:schemeClr val="tx2"/>
              </a:solidFill>
              <a:prstDash val="lgDashDot"/>
              <a:round/>
            </a:ln>
            <a:effectLst/>
          </c:spPr>
          <c:marker>
            <c:symbol val="none"/>
          </c:marker>
          <c:cat>
            <c:strRef>
              <c:f>List1!$K$80:$K$86</c:f>
              <c:strCache>
                <c:ptCount val="7"/>
                <c:pt idx="0">
                  <c:v>-24</c:v>
                </c:pt>
                <c:pt idx="1">
                  <c:v>25-29</c:v>
                </c:pt>
                <c:pt idx="2">
                  <c:v>30-34</c:v>
                </c:pt>
                <c:pt idx="3">
                  <c:v>35-39</c:v>
                </c:pt>
                <c:pt idx="4">
                  <c:v>40-44</c:v>
                </c:pt>
                <c:pt idx="5">
                  <c:v>45-49</c:v>
                </c:pt>
                <c:pt idx="6">
                  <c:v>50+</c:v>
                </c:pt>
              </c:strCache>
            </c:strRef>
          </c:cat>
          <c:val>
            <c:numRef>
              <c:f>List1!$M$80:$M$86</c:f>
              <c:numCache>
                <c:formatCode>0.0</c:formatCode>
                <c:ptCount val="7"/>
                <c:pt idx="0">
                  <c:v>29.513039934800329</c:v>
                </c:pt>
                <c:pt idx="1">
                  <c:v>35.602897315722196</c:v>
                </c:pt>
                <c:pt idx="2">
                  <c:v>33.079425622615993</c:v>
                </c:pt>
                <c:pt idx="3">
                  <c:v>26.880116787794929</c:v>
                </c:pt>
                <c:pt idx="4">
                  <c:v>27.247228381374722</c:v>
                </c:pt>
                <c:pt idx="5">
                  <c:v>27.488549869847155</c:v>
                </c:pt>
                <c:pt idx="6">
                  <c:v>19.050959379238293</c:v>
                </c:pt>
              </c:numCache>
            </c:numRef>
          </c:val>
        </c:ser>
        <c:ser>
          <c:idx val="2"/>
          <c:order val="2"/>
          <c:tx>
            <c:strRef>
              <c:f>List1!$N$78:$N$79</c:f>
              <c:strCache>
                <c:ptCount val="1"/>
                <c:pt idx="0">
                  <c:v>manželé ženy nižší vzdělání</c:v>
                </c:pt>
              </c:strCache>
            </c:strRef>
          </c:tx>
          <c:spPr>
            <a:ln w="19050" cap="rnd">
              <a:solidFill>
                <a:schemeClr val="tx2"/>
              </a:solidFill>
              <a:prstDash val="sysDash"/>
              <a:round/>
            </a:ln>
            <a:effectLst/>
          </c:spPr>
          <c:marker>
            <c:symbol val="none"/>
          </c:marker>
          <c:cat>
            <c:strRef>
              <c:f>List1!$K$80:$K$86</c:f>
              <c:strCache>
                <c:ptCount val="7"/>
                <c:pt idx="0">
                  <c:v>-24</c:v>
                </c:pt>
                <c:pt idx="1">
                  <c:v>25-29</c:v>
                </c:pt>
                <c:pt idx="2">
                  <c:v>30-34</c:v>
                </c:pt>
                <c:pt idx="3">
                  <c:v>35-39</c:v>
                </c:pt>
                <c:pt idx="4">
                  <c:v>40-44</c:v>
                </c:pt>
                <c:pt idx="5">
                  <c:v>45-49</c:v>
                </c:pt>
                <c:pt idx="6">
                  <c:v>50+</c:v>
                </c:pt>
              </c:strCache>
            </c:strRef>
          </c:cat>
          <c:val>
            <c:numRef>
              <c:f>List1!$N$80:$N$86</c:f>
              <c:numCache>
                <c:formatCode>0.0</c:formatCode>
                <c:ptCount val="7"/>
                <c:pt idx="0">
                  <c:v>23.716381418093057</c:v>
                </c:pt>
                <c:pt idx="1">
                  <c:v>15.743502343417118</c:v>
                </c:pt>
                <c:pt idx="2">
                  <c:v>16.908234238276698</c:v>
                </c:pt>
                <c:pt idx="3">
                  <c:v>21.19166805592479</c:v>
                </c:pt>
                <c:pt idx="4">
                  <c:v>21.679046563192902</c:v>
                </c:pt>
                <c:pt idx="5">
                  <c:v>22.499917624962929</c:v>
                </c:pt>
                <c:pt idx="6">
                  <c:v>34.491406718989943</c:v>
                </c:pt>
              </c:numCache>
            </c:numRef>
          </c:val>
        </c:ser>
        <c:ser>
          <c:idx val="3"/>
          <c:order val="3"/>
          <c:tx>
            <c:strRef>
              <c:f>List1!$O$78:$O$79</c:f>
              <c:strCache>
                <c:ptCount val="1"/>
                <c:pt idx="0">
                  <c:v>NS bez dětí stejné vzdělání</c:v>
                </c:pt>
              </c:strCache>
            </c:strRef>
          </c:tx>
          <c:spPr>
            <a:ln w="19050" cap="rnd">
              <a:solidFill>
                <a:srgbClr val="FFC000"/>
              </a:solidFill>
              <a:round/>
            </a:ln>
            <a:effectLst/>
          </c:spPr>
          <c:marker>
            <c:symbol val="none"/>
          </c:marker>
          <c:cat>
            <c:strRef>
              <c:f>List1!$K$80:$K$86</c:f>
              <c:strCache>
                <c:ptCount val="7"/>
                <c:pt idx="0">
                  <c:v>-24</c:v>
                </c:pt>
                <c:pt idx="1">
                  <c:v>25-29</c:v>
                </c:pt>
                <c:pt idx="2">
                  <c:v>30-34</c:v>
                </c:pt>
                <c:pt idx="3">
                  <c:v>35-39</c:v>
                </c:pt>
                <c:pt idx="4">
                  <c:v>40-44</c:v>
                </c:pt>
                <c:pt idx="5">
                  <c:v>45-49</c:v>
                </c:pt>
                <c:pt idx="6">
                  <c:v>50+</c:v>
                </c:pt>
              </c:strCache>
            </c:strRef>
          </c:cat>
          <c:val>
            <c:numRef>
              <c:f>List1!$O$80:$O$86</c:f>
              <c:numCache>
                <c:formatCode>0.0</c:formatCode>
                <c:ptCount val="7"/>
                <c:pt idx="0">
                  <c:v>45.860027572783785</c:v>
                </c:pt>
                <c:pt idx="1">
                  <c:v>49.714898013853244</c:v>
                </c:pt>
                <c:pt idx="2">
                  <c:v>49.565102793885387</c:v>
                </c:pt>
                <c:pt idx="3">
                  <c:v>49.016370890081213</c:v>
                </c:pt>
                <c:pt idx="4">
                  <c:v>48.109215017064862</c:v>
                </c:pt>
                <c:pt idx="5">
                  <c:v>45.462394474289994</c:v>
                </c:pt>
                <c:pt idx="6">
                  <c:v>43.60338573156001</c:v>
                </c:pt>
              </c:numCache>
            </c:numRef>
          </c:val>
        </c:ser>
        <c:ser>
          <c:idx val="4"/>
          <c:order val="4"/>
          <c:tx>
            <c:strRef>
              <c:f>List1!$P$78:$P$79</c:f>
              <c:strCache>
                <c:ptCount val="1"/>
                <c:pt idx="0">
                  <c:v>NS bez dětí žena vyšší vzdělání</c:v>
                </c:pt>
              </c:strCache>
            </c:strRef>
          </c:tx>
          <c:spPr>
            <a:ln w="19050" cap="rnd">
              <a:solidFill>
                <a:srgbClr val="FFC000"/>
              </a:solidFill>
              <a:prstDash val="lgDashDot"/>
              <a:round/>
            </a:ln>
            <a:effectLst/>
          </c:spPr>
          <c:marker>
            <c:symbol val="none"/>
          </c:marker>
          <c:cat>
            <c:strRef>
              <c:f>List1!$K$80:$K$86</c:f>
              <c:strCache>
                <c:ptCount val="7"/>
                <c:pt idx="0">
                  <c:v>-24</c:v>
                </c:pt>
                <c:pt idx="1">
                  <c:v>25-29</c:v>
                </c:pt>
                <c:pt idx="2">
                  <c:v>30-34</c:v>
                </c:pt>
                <c:pt idx="3">
                  <c:v>35-39</c:v>
                </c:pt>
                <c:pt idx="4">
                  <c:v>40-44</c:v>
                </c:pt>
                <c:pt idx="5">
                  <c:v>45-49</c:v>
                </c:pt>
                <c:pt idx="6">
                  <c:v>50+</c:v>
                </c:pt>
              </c:strCache>
            </c:strRef>
          </c:cat>
          <c:val>
            <c:numRef>
              <c:f>List1!$P$80:$P$86</c:f>
              <c:numCache>
                <c:formatCode>0.0</c:formatCode>
                <c:ptCount val="7"/>
                <c:pt idx="0">
                  <c:v>35.536452842430087</c:v>
                </c:pt>
                <c:pt idx="1">
                  <c:v>37.258428686234737</c:v>
                </c:pt>
                <c:pt idx="2">
                  <c:v>33.249868212967861</c:v>
                </c:pt>
                <c:pt idx="3">
                  <c:v>27.101389462099331</c:v>
                </c:pt>
                <c:pt idx="4">
                  <c:v>26.348122866894187</c:v>
                </c:pt>
                <c:pt idx="5">
                  <c:v>28.530314658480435</c:v>
                </c:pt>
                <c:pt idx="6">
                  <c:v>22.302297460701329</c:v>
                </c:pt>
              </c:numCache>
            </c:numRef>
          </c:val>
        </c:ser>
        <c:ser>
          <c:idx val="5"/>
          <c:order val="5"/>
          <c:tx>
            <c:strRef>
              <c:f>List1!$Q$78:$Q$79</c:f>
              <c:strCache>
                <c:ptCount val="1"/>
                <c:pt idx="0">
                  <c:v>NS bez dětí ženy nižší vzdělání</c:v>
                </c:pt>
              </c:strCache>
            </c:strRef>
          </c:tx>
          <c:spPr>
            <a:ln w="19050" cap="rnd">
              <a:solidFill>
                <a:srgbClr val="FFC000"/>
              </a:solidFill>
              <a:prstDash val="sysDash"/>
              <a:round/>
            </a:ln>
            <a:effectLst/>
          </c:spPr>
          <c:marker>
            <c:symbol val="none"/>
          </c:marker>
          <c:cat>
            <c:strRef>
              <c:f>List1!$K$80:$K$86</c:f>
              <c:strCache>
                <c:ptCount val="7"/>
                <c:pt idx="0">
                  <c:v>-24</c:v>
                </c:pt>
                <c:pt idx="1">
                  <c:v>25-29</c:v>
                </c:pt>
                <c:pt idx="2">
                  <c:v>30-34</c:v>
                </c:pt>
                <c:pt idx="3">
                  <c:v>35-39</c:v>
                </c:pt>
                <c:pt idx="4">
                  <c:v>40-44</c:v>
                </c:pt>
                <c:pt idx="5">
                  <c:v>45-49</c:v>
                </c:pt>
                <c:pt idx="6">
                  <c:v>50+</c:v>
                </c:pt>
              </c:strCache>
            </c:strRef>
          </c:cat>
          <c:val>
            <c:numRef>
              <c:f>List1!$Q$80:$Q$86</c:f>
              <c:numCache>
                <c:formatCode>0.0</c:formatCode>
                <c:ptCount val="7"/>
                <c:pt idx="0">
                  <c:v>18.603519584786159</c:v>
                </c:pt>
                <c:pt idx="1">
                  <c:v>13.02667329991198</c:v>
                </c:pt>
                <c:pt idx="2">
                  <c:v>17.185028993147029</c:v>
                </c:pt>
                <c:pt idx="3">
                  <c:v>23.882239647819489</c:v>
                </c:pt>
                <c:pt idx="4">
                  <c:v>25.542662116040926</c:v>
                </c:pt>
                <c:pt idx="5">
                  <c:v>26.007290867229475</c:v>
                </c:pt>
                <c:pt idx="6">
                  <c:v>34.094316807738863</c:v>
                </c:pt>
              </c:numCache>
            </c:numRef>
          </c:val>
        </c:ser>
        <c:ser>
          <c:idx val="6"/>
          <c:order val="6"/>
          <c:tx>
            <c:strRef>
              <c:f>List1!$R$78:$R$79</c:f>
              <c:strCache>
                <c:ptCount val="1"/>
                <c:pt idx="0">
                  <c:v>NS s dětmi stejné vzdělání</c:v>
                </c:pt>
              </c:strCache>
            </c:strRef>
          </c:tx>
          <c:spPr>
            <a:ln w="19050" cap="rnd">
              <a:solidFill>
                <a:schemeClr val="accent6">
                  <a:lumMod val="75000"/>
                </a:schemeClr>
              </a:solidFill>
              <a:round/>
            </a:ln>
            <a:effectLst/>
          </c:spPr>
          <c:marker>
            <c:symbol val="none"/>
          </c:marker>
          <c:cat>
            <c:strRef>
              <c:f>List1!$K$80:$K$86</c:f>
              <c:strCache>
                <c:ptCount val="7"/>
                <c:pt idx="0">
                  <c:v>-24</c:v>
                </c:pt>
                <c:pt idx="1">
                  <c:v>25-29</c:v>
                </c:pt>
                <c:pt idx="2">
                  <c:v>30-34</c:v>
                </c:pt>
                <c:pt idx="3">
                  <c:v>35-39</c:v>
                </c:pt>
                <c:pt idx="4">
                  <c:v>40-44</c:v>
                </c:pt>
                <c:pt idx="5">
                  <c:v>45-49</c:v>
                </c:pt>
                <c:pt idx="6">
                  <c:v>50+</c:v>
                </c:pt>
              </c:strCache>
            </c:strRef>
          </c:cat>
          <c:val>
            <c:numRef>
              <c:f>List1!$R$80:$R$86</c:f>
              <c:numCache>
                <c:formatCode>0.0</c:formatCode>
                <c:ptCount val="7"/>
                <c:pt idx="0">
                  <c:v>45.173813305099699</c:v>
                </c:pt>
                <c:pt idx="1">
                  <c:v>44.373483203474244</c:v>
                </c:pt>
                <c:pt idx="2">
                  <c:v>46.052907098485377</c:v>
                </c:pt>
                <c:pt idx="3">
                  <c:v>49.53393421154</c:v>
                </c:pt>
                <c:pt idx="4">
                  <c:v>47.762458599707308</c:v>
                </c:pt>
                <c:pt idx="5">
                  <c:v>44.988026000684194</c:v>
                </c:pt>
                <c:pt idx="6">
                  <c:v>43.246268656716055</c:v>
                </c:pt>
              </c:numCache>
            </c:numRef>
          </c:val>
        </c:ser>
        <c:ser>
          <c:idx val="7"/>
          <c:order val="7"/>
          <c:tx>
            <c:strRef>
              <c:f>List1!$S$78:$S$79</c:f>
              <c:strCache>
                <c:ptCount val="1"/>
                <c:pt idx="0">
                  <c:v>NS s dětmi žena vyšší vzdělání</c:v>
                </c:pt>
              </c:strCache>
            </c:strRef>
          </c:tx>
          <c:spPr>
            <a:ln w="19050" cap="rnd">
              <a:solidFill>
                <a:schemeClr val="accent6">
                  <a:lumMod val="75000"/>
                </a:schemeClr>
              </a:solidFill>
              <a:prstDash val="lgDashDot"/>
              <a:round/>
            </a:ln>
            <a:effectLst/>
          </c:spPr>
          <c:marker>
            <c:symbol val="none"/>
          </c:marker>
          <c:cat>
            <c:strRef>
              <c:f>List1!$K$80:$K$86</c:f>
              <c:strCache>
                <c:ptCount val="7"/>
                <c:pt idx="0">
                  <c:v>-24</c:v>
                </c:pt>
                <c:pt idx="1">
                  <c:v>25-29</c:v>
                </c:pt>
                <c:pt idx="2">
                  <c:v>30-34</c:v>
                </c:pt>
                <c:pt idx="3">
                  <c:v>35-39</c:v>
                </c:pt>
                <c:pt idx="4">
                  <c:v>40-44</c:v>
                </c:pt>
                <c:pt idx="5">
                  <c:v>45-49</c:v>
                </c:pt>
                <c:pt idx="6">
                  <c:v>50+</c:v>
                </c:pt>
              </c:strCache>
            </c:strRef>
          </c:cat>
          <c:val>
            <c:numRef>
              <c:f>List1!$S$80:$S$86</c:f>
              <c:numCache>
                <c:formatCode>0.0</c:formatCode>
                <c:ptCount val="7"/>
                <c:pt idx="0">
                  <c:v>25.657314275630842</c:v>
                </c:pt>
                <c:pt idx="1">
                  <c:v>33.874057989526094</c:v>
                </c:pt>
                <c:pt idx="2">
                  <c:v>34.483841697493787</c:v>
                </c:pt>
                <c:pt idx="3">
                  <c:v>28.664971881981327</c:v>
                </c:pt>
                <c:pt idx="4">
                  <c:v>30.11630593853501</c:v>
                </c:pt>
                <c:pt idx="5">
                  <c:v>32.295586725966473</c:v>
                </c:pt>
                <c:pt idx="6">
                  <c:v>26.380597014925165</c:v>
                </c:pt>
              </c:numCache>
            </c:numRef>
          </c:val>
        </c:ser>
        <c:ser>
          <c:idx val="8"/>
          <c:order val="8"/>
          <c:tx>
            <c:strRef>
              <c:f>List1!$T$78:$T$79</c:f>
              <c:strCache>
                <c:ptCount val="1"/>
                <c:pt idx="0">
                  <c:v>NS s dětmi ženy nižší vzdělání</c:v>
                </c:pt>
              </c:strCache>
            </c:strRef>
          </c:tx>
          <c:spPr>
            <a:ln w="19050" cap="rnd">
              <a:solidFill>
                <a:schemeClr val="accent6">
                  <a:lumMod val="75000"/>
                </a:schemeClr>
              </a:solidFill>
              <a:prstDash val="sysDash"/>
              <a:round/>
            </a:ln>
            <a:effectLst/>
          </c:spPr>
          <c:marker>
            <c:symbol val="none"/>
          </c:marker>
          <c:cat>
            <c:strRef>
              <c:f>List1!$K$80:$K$86</c:f>
              <c:strCache>
                <c:ptCount val="7"/>
                <c:pt idx="0">
                  <c:v>-24</c:v>
                </c:pt>
                <c:pt idx="1">
                  <c:v>25-29</c:v>
                </c:pt>
                <c:pt idx="2">
                  <c:v>30-34</c:v>
                </c:pt>
                <c:pt idx="3">
                  <c:v>35-39</c:v>
                </c:pt>
                <c:pt idx="4">
                  <c:v>40-44</c:v>
                </c:pt>
                <c:pt idx="5">
                  <c:v>45-49</c:v>
                </c:pt>
                <c:pt idx="6">
                  <c:v>50+</c:v>
                </c:pt>
              </c:strCache>
            </c:strRef>
          </c:cat>
          <c:val>
            <c:numRef>
              <c:f>List1!$T$80:$T$86</c:f>
              <c:numCache>
                <c:formatCode>0.0</c:formatCode>
                <c:ptCount val="7"/>
                <c:pt idx="0">
                  <c:v>29.168872419269455</c:v>
                </c:pt>
                <c:pt idx="1">
                  <c:v>21.752458806999616</c:v>
                </c:pt>
                <c:pt idx="2">
                  <c:v>19.463251204020249</c:v>
                </c:pt>
                <c:pt idx="3">
                  <c:v>21.801093906478698</c:v>
                </c:pt>
                <c:pt idx="4">
                  <c:v>22.121235461757731</c:v>
                </c:pt>
                <c:pt idx="5">
                  <c:v>22.716387273349152</c:v>
                </c:pt>
                <c:pt idx="6">
                  <c:v>30.373134328358208</c:v>
                </c:pt>
              </c:numCache>
            </c:numRef>
          </c:val>
        </c:ser>
        <c:marker val="1"/>
        <c:axId val="104008704"/>
        <c:axId val="104026880"/>
      </c:lineChart>
      <c:catAx>
        <c:axId val="104008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104026880"/>
        <c:crosses val="autoZero"/>
        <c:auto val="1"/>
        <c:lblAlgn val="ctr"/>
        <c:lblOffset val="100"/>
      </c:catAx>
      <c:valAx>
        <c:axId val="104026880"/>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podíl (%)</a:t>
                </a:r>
              </a:p>
            </c:rich>
          </c:tx>
          <c:layout>
            <c:manualLayout>
              <c:xMode val="edge"/>
              <c:yMode val="edge"/>
              <c:x val="8.2147539647854423E-4"/>
              <c:y val="0.35354929577465344"/>
            </c:manualLayout>
          </c:layout>
        </c:title>
        <c:numFmt formatCode="0" sourceLinked="0"/>
        <c:majorTickMark val="none"/>
        <c:tickLblPos val="nextTo"/>
        <c:spPr>
          <a:noFill/>
          <a:ln>
            <a:noFill/>
          </a:ln>
          <a:effectLst/>
        </c:spPr>
        <c:txPr>
          <a:bodyPr rot="-60000000" vert="horz"/>
          <a:lstStyle/>
          <a:p>
            <a:pPr>
              <a:defRPr/>
            </a:pPr>
            <a:endParaRPr lang="cs-CZ"/>
          </a:p>
        </c:txPr>
        <c:crossAx val="104008704"/>
        <c:crosses val="autoZero"/>
        <c:crossBetween val="between"/>
      </c:valAx>
      <c:spPr>
        <a:noFill/>
        <a:ln>
          <a:solidFill>
            <a:sysClr val="windowText" lastClr="000000">
              <a:lumMod val="15000"/>
              <a:lumOff val="85000"/>
            </a:sysClr>
          </a:solidFill>
        </a:ln>
        <a:effectLst/>
      </c:spPr>
    </c:plotArea>
    <c:legend>
      <c:legendPos val="b"/>
      <c:layout>
        <c:manualLayout>
          <c:xMode val="edge"/>
          <c:yMode val="edge"/>
          <c:x val="7.8466270620217923E-2"/>
          <c:y val="0.77738282714660678"/>
          <c:w val="0.89348134458262518"/>
          <c:h val="0.12512402190923164"/>
        </c:manualLayout>
      </c:layout>
      <c:spPr>
        <a:solidFill>
          <a:sysClr val="window" lastClr="FFFFFF"/>
        </a:solidFill>
        <a:ln>
          <a:solidFill>
            <a:sysClr val="windowText" lastClr="000000">
              <a:lumMod val="15000"/>
              <a:lumOff val="85000"/>
            </a:sysClr>
          </a:solidFill>
        </a:ln>
        <a:effectLst/>
      </c:spPr>
      <c:txPr>
        <a:bodyPr rot="0" vert="horz"/>
        <a:lstStyle/>
        <a:p>
          <a:pPr>
            <a:defRPr sz="600"/>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latin typeface="Arial" pitchFamily="34" charset="0"/>
          <a:cs typeface="Arial" pitchFamily="34" charset="0"/>
        </a:defRPr>
      </a:pPr>
      <a:endParaRPr lang="cs-CZ"/>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6.867449130006445E-2"/>
          <c:y val="2.329939049661725E-2"/>
          <c:w val="0.64880224342097448"/>
          <c:h val="0.8779569014868136"/>
        </c:manualLayout>
      </c:layout>
      <c:barChart>
        <c:barDir val="col"/>
        <c:grouping val="stacked"/>
        <c:ser>
          <c:idx val="0"/>
          <c:order val="0"/>
          <c:tx>
            <c:strRef>
              <c:f>List6!$Q$3</c:f>
              <c:strCache>
                <c:ptCount val="1"/>
                <c:pt idx="0">
                  <c:v>muž mladší o 10 let a více</c:v>
                </c:pt>
              </c:strCache>
            </c:strRef>
          </c:tx>
          <c:spPr>
            <a:solidFill>
              <a:schemeClr val="accent1">
                <a:lumMod val="50000"/>
              </a:schemeClr>
            </a:solidFill>
            <a:ln>
              <a:noFill/>
            </a:ln>
            <a:effectLst/>
          </c:spPr>
          <c:dLbls>
            <c:dLbl>
              <c:idx val="3"/>
              <c:showVal val="1"/>
            </c:dLbl>
            <c:delete val="1"/>
            <c:txPr>
              <a:bodyPr/>
              <a:lstStyle/>
              <a:p>
                <a:pPr>
                  <a:defRPr>
                    <a:solidFill>
                      <a:schemeClr val="bg1"/>
                    </a:solidFill>
                  </a:defRPr>
                </a:pPr>
                <a:endParaRPr lang="cs-CZ"/>
              </a:p>
            </c:txPr>
          </c:dLbls>
          <c:cat>
            <c:strRef>
              <c:f>List6!$P$4:$P$7</c:f>
              <c:strCache>
                <c:ptCount val="4"/>
                <c:pt idx="0">
                  <c:v>manželé</c:v>
                </c:pt>
                <c:pt idx="1">
                  <c:v>nesezdané soužití</c:v>
                </c:pt>
                <c:pt idx="2">
                  <c:v>NS - oba svobodní</c:v>
                </c:pt>
                <c:pt idx="3">
                  <c:v>NS - alepsoň jeden zkušenost s manželstvím</c:v>
                </c:pt>
              </c:strCache>
              <c:extLst>
                <c:ext xmlns:c15="http://schemas.microsoft.com/office/drawing/2012/chart" uri="{02D57815-91ED-43cb-92C2-25804820EDAC}">
                  <c15:fullRef>
                    <c15:sqref>List6!$P$4:$P$9</c15:sqref>
                  </c15:fullRef>
                </c:ext>
              </c:extLst>
            </c:strRef>
          </c:cat>
          <c:val>
            <c:numRef>
              <c:f>List6!$Q$4:$Q$7</c:f>
              <c:numCache>
                <c:formatCode>0.0</c:formatCode>
                <c:ptCount val="4"/>
                <c:pt idx="0">
                  <c:v>0.48467584268682251</c:v>
                </c:pt>
                <c:pt idx="1">
                  <c:v>2.9018285787441047</c:v>
                </c:pt>
                <c:pt idx="2">
                  <c:v>0.54092930438922604</c:v>
                </c:pt>
                <c:pt idx="3">
                  <c:v>4.6206397922445914</c:v>
                </c:pt>
              </c:numCache>
              <c:extLst>
                <c:ext xmlns:c15="http://schemas.microsoft.com/office/drawing/2012/chart" uri="{02D57815-91ED-43cb-92C2-25804820EDAC}">
                  <c15:fullRef>
                    <c15:sqref>List6!$Q$4:$Q$9</c15:sqref>
                  </c15:fullRef>
                </c:ext>
              </c:extLst>
            </c:numRef>
          </c:val>
        </c:ser>
        <c:ser>
          <c:idx val="1"/>
          <c:order val="1"/>
          <c:tx>
            <c:strRef>
              <c:f>List6!$R$3</c:f>
              <c:strCache>
                <c:ptCount val="1"/>
                <c:pt idx="0">
                  <c:v>muž mladší o 7-9 let</c:v>
                </c:pt>
              </c:strCache>
            </c:strRef>
          </c:tx>
          <c:spPr>
            <a:solidFill>
              <a:schemeClr val="accent1">
                <a:lumMod val="75000"/>
              </a:schemeClr>
            </a:solidFill>
            <a:ln>
              <a:noFill/>
            </a:ln>
            <a:effectLst/>
          </c:spPr>
          <c:dLbls>
            <c:dLbl>
              <c:idx val="1"/>
              <c:spPr/>
              <c:txPr>
                <a:bodyPr/>
                <a:lstStyle/>
                <a:p>
                  <a:pPr>
                    <a:defRPr sz="700">
                      <a:solidFill>
                        <a:schemeClr val="bg1"/>
                      </a:solidFill>
                    </a:defRPr>
                  </a:pPr>
                  <a:endParaRPr lang="cs-CZ"/>
                </a:p>
              </c:txPr>
              <c:showVal val="1"/>
            </c:dLbl>
            <c:dLbl>
              <c:idx val="3"/>
              <c:showVal val="1"/>
            </c:dLbl>
            <c:delete val="1"/>
            <c:txPr>
              <a:bodyPr/>
              <a:lstStyle/>
              <a:p>
                <a:pPr>
                  <a:defRPr>
                    <a:solidFill>
                      <a:schemeClr val="bg1"/>
                    </a:solidFill>
                  </a:defRPr>
                </a:pPr>
                <a:endParaRPr lang="cs-CZ"/>
              </a:p>
            </c:txPr>
          </c:dLbls>
          <c:cat>
            <c:strRef>
              <c:f>List6!$P$4:$P$7</c:f>
              <c:strCache>
                <c:ptCount val="4"/>
                <c:pt idx="0">
                  <c:v>manželé</c:v>
                </c:pt>
                <c:pt idx="1">
                  <c:v>nesezdané soužití</c:v>
                </c:pt>
                <c:pt idx="2">
                  <c:v>NS - oba svobodní</c:v>
                </c:pt>
                <c:pt idx="3">
                  <c:v>NS - alepsoň jeden zkušenost s manželstvím</c:v>
                </c:pt>
              </c:strCache>
              <c:extLst>
                <c:ext xmlns:c15="http://schemas.microsoft.com/office/drawing/2012/chart" uri="{02D57815-91ED-43cb-92C2-25804820EDAC}">
                  <c15:fullRef>
                    <c15:sqref>List6!$P$4:$P$9</c15:sqref>
                  </c15:fullRef>
                </c:ext>
              </c:extLst>
            </c:strRef>
          </c:cat>
          <c:val>
            <c:numRef>
              <c:f>List6!$R$4:$R$7</c:f>
              <c:numCache>
                <c:formatCode>0.0</c:formatCode>
                <c:ptCount val="4"/>
                <c:pt idx="0">
                  <c:v>0.82064866374570256</c:v>
                </c:pt>
                <c:pt idx="1">
                  <c:v>2.8719568139629161</c:v>
                </c:pt>
                <c:pt idx="2">
                  <c:v>1.0869234899056919</c:v>
                </c:pt>
                <c:pt idx="3">
                  <c:v>4.1713391961282014</c:v>
                </c:pt>
              </c:numCache>
              <c:extLst>
                <c:ext xmlns:c15="http://schemas.microsoft.com/office/drawing/2012/chart" uri="{02D57815-91ED-43cb-92C2-25804820EDAC}">
                  <c15:fullRef>
                    <c15:sqref>List6!$R$4:$R$9</c15:sqref>
                  </c15:fullRef>
                </c:ext>
              </c:extLst>
            </c:numRef>
          </c:val>
        </c:ser>
        <c:ser>
          <c:idx val="2"/>
          <c:order val="2"/>
          <c:tx>
            <c:strRef>
              <c:f>List6!$S$3</c:f>
              <c:strCache>
                <c:ptCount val="1"/>
                <c:pt idx="0">
                  <c:v>muž mladší o 5-6 let</c:v>
                </c:pt>
              </c:strCache>
            </c:strRef>
          </c:tx>
          <c:spPr>
            <a:solidFill>
              <a:schemeClr val="accent1">
                <a:lumMod val="60000"/>
                <a:lumOff val="40000"/>
              </a:schemeClr>
            </a:solidFill>
            <a:ln>
              <a:noFill/>
            </a:ln>
            <a:effectLst/>
          </c:spPr>
          <c:dLbls>
            <c:dLbl>
              <c:idx val="0"/>
              <c:delete val="1"/>
            </c:dLbl>
            <c:dLbl>
              <c:idx val="2"/>
              <c:delete val="1"/>
            </c:dLbl>
            <c:spPr>
              <a:noFill/>
              <a:ln>
                <a:noFill/>
              </a:ln>
              <a:effectLst/>
            </c:spPr>
            <c:txPr>
              <a:bodyPr rot="0" vert="horz"/>
              <a:lstStyle/>
              <a:p>
                <a:pPr>
                  <a:defRPr>
                    <a:solidFill>
                      <a:schemeClr val="bg1"/>
                    </a:solidFill>
                  </a:defRPr>
                </a:pPr>
                <a:endParaRPr lang="cs-CZ"/>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List6!$P$4:$P$7</c:f>
              <c:strCache>
                <c:ptCount val="4"/>
                <c:pt idx="0">
                  <c:v>manželé</c:v>
                </c:pt>
                <c:pt idx="1">
                  <c:v>nesezdané soužití</c:v>
                </c:pt>
                <c:pt idx="2">
                  <c:v>NS - oba svobodní</c:v>
                </c:pt>
                <c:pt idx="3">
                  <c:v>NS - alepsoň jeden zkušenost s manželstvím</c:v>
                </c:pt>
              </c:strCache>
              <c:extLst>
                <c:ext xmlns:c15="http://schemas.microsoft.com/office/drawing/2012/chart" uri="{02D57815-91ED-43cb-92C2-25804820EDAC}">
                  <c15:fullRef>
                    <c15:sqref>List6!$P$4:$P$9</c15:sqref>
                  </c15:fullRef>
                </c:ext>
              </c:extLst>
            </c:strRef>
          </c:cat>
          <c:val>
            <c:numRef>
              <c:f>List6!$S$4:$S$7</c:f>
              <c:numCache>
                <c:formatCode>0.0</c:formatCode>
                <c:ptCount val="4"/>
                <c:pt idx="0">
                  <c:v>1.257702445581022</c:v>
                </c:pt>
                <c:pt idx="1">
                  <c:v>3.4343994708430228</c:v>
                </c:pt>
                <c:pt idx="2">
                  <c:v>2.1242111447644372</c:v>
                </c:pt>
                <c:pt idx="3">
                  <c:v>4.3882429321843928</c:v>
                </c:pt>
              </c:numCache>
              <c:extLst>
                <c:ext xmlns:c15="http://schemas.microsoft.com/office/drawing/2012/chart" uri="{02D57815-91ED-43cb-92C2-25804820EDAC}">
                  <c15:fullRef>
                    <c15:sqref>List6!$S$4:$S$9</c15:sqref>
                  </c15:fullRef>
                </c:ext>
              </c:extLst>
            </c:numRef>
          </c:val>
        </c:ser>
        <c:ser>
          <c:idx val="3"/>
          <c:order val="3"/>
          <c:tx>
            <c:strRef>
              <c:f>List6!$T$3</c:f>
              <c:strCache>
                <c:ptCount val="1"/>
                <c:pt idx="0">
                  <c:v>muž mladší o 2-4 roky</c:v>
                </c:pt>
              </c:strCache>
            </c:strRef>
          </c:tx>
          <c:spPr>
            <a:solidFill>
              <a:schemeClr val="accent1">
                <a:lumMod val="40000"/>
                <a:lumOff val="60000"/>
              </a:schemeClr>
            </a:solidFill>
            <a:ln>
              <a:noFill/>
            </a:ln>
            <a:effectLst/>
          </c:spPr>
          <c:dLbls>
            <c:spPr>
              <a:noFill/>
              <a:ln>
                <a:noFill/>
              </a:ln>
              <a:effectLst/>
            </c:spPr>
            <c:txPr>
              <a:bodyPr rot="0" vert="horz"/>
              <a:lstStyle/>
              <a:p>
                <a:pPr>
                  <a:defRPr>
                    <a:solidFill>
                      <a:schemeClr val="bg1"/>
                    </a:solidFill>
                  </a:defRPr>
                </a:pPr>
                <a:endParaRPr lang="cs-CZ"/>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List6!$P$4:$P$7</c:f>
              <c:strCache>
                <c:ptCount val="4"/>
                <c:pt idx="0">
                  <c:v>manželé</c:v>
                </c:pt>
                <c:pt idx="1">
                  <c:v>nesezdané soužití</c:v>
                </c:pt>
                <c:pt idx="2">
                  <c:v>NS - oba svobodní</c:v>
                </c:pt>
                <c:pt idx="3">
                  <c:v>NS - alepsoň jeden zkušenost s manželstvím</c:v>
                </c:pt>
              </c:strCache>
              <c:extLst>
                <c:ext xmlns:c15="http://schemas.microsoft.com/office/drawing/2012/chart" uri="{02D57815-91ED-43cb-92C2-25804820EDAC}">
                  <c15:fullRef>
                    <c15:sqref>List6!$P$4:$P$9</c15:sqref>
                  </c15:fullRef>
                </c:ext>
              </c:extLst>
            </c:strRef>
          </c:cat>
          <c:val>
            <c:numRef>
              <c:f>List6!$T$4:$T$7</c:f>
              <c:numCache>
                <c:formatCode>0.0</c:formatCode>
                <c:ptCount val="4"/>
                <c:pt idx="0">
                  <c:v>5.7581235707926774</c:v>
                </c:pt>
                <c:pt idx="1">
                  <c:v>9.6242558730023209</c:v>
                </c:pt>
                <c:pt idx="2">
                  <c:v>8.971930428792831</c:v>
                </c:pt>
                <c:pt idx="3">
                  <c:v>10.098565779377914</c:v>
                </c:pt>
              </c:numCache>
              <c:extLst>
                <c:ext xmlns:c15="http://schemas.microsoft.com/office/drawing/2012/chart" uri="{02D57815-91ED-43cb-92C2-25804820EDAC}">
                  <c15:fullRef>
                    <c15:sqref>List6!$T$4:$T$9</c15:sqref>
                  </c15:fullRef>
                </c:ext>
              </c:extLst>
            </c:numRef>
          </c:val>
        </c:ser>
        <c:ser>
          <c:idx val="4"/>
          <c:order val="4"/>
          <c:tx>
            <c:strRef>
              <c:f>List6!$U$3</c:f>
              <c:strCache>
                <c:ptCount val="1"/>
                <c:pt idx="0">
                  <c:v>podobně staří (0-1 rok)</c:v>
                </c:pt>
              </c:strCache>
            </c:strRef>
          </c:tx>
          <c:spPr>
            <a:solidFill>
              <a:srgbClr val="512373"/>
            </a:solidFill>
            <a:ln>
              <a:noFill/>
            </a:ln>
            <a:effectLst/>
          </c:spPr>
          <c:dLbls>
            <c:spPr>
              <a:noFill/>
              <a:ln>
                <a:noFill/>
              </a:ln>
              <a:effectLst/>
            </c:spPr>
            <c:txPr>
              <a:bodyPr rot="0" vert="horz"/>
              <a:lstStyle/>
              <a:p>
                <a:pPr>
                  <a:defRPr>
                    <a:solidFill>
                      <a:schemeClr val="bg1"/>
                    </a:solidFill>
                  </a:defRPr>
                </a:pPr>
                <a:endParaRPr lang="cs-CZ"/>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List6!$P$4:$P$7</c:f>
              <c:strCache>
                <c:ptCount val="4"/>
                <c:pt idx="0">
                  <c:v>manželé</c:v>
                </c:pt>
                <c:pt idx="1">
                  <c:v>nesezdané soužití</c:v>
                </c:pt>
                <c:pt idx="2">
                  <c:v>NS - oba svobodní</c:v>
                </c:pt>
                <c:pt idx="3">
                  <c:v>NS - alepsoň jeden zkušenost s manželstvím</c:v>
                </c:pt>
              </c:strCache>
              <c:extLst>
                <c:ext xmlns:c15="http://schemas.microsoft.com/office/drawing/2012/chart" uri="{02D57815-91ED-43cb-92C2-25804820EDAC}">
                  <c15:fullRef>
                    <c15:sqref>List6!$P$4:$P$9</c15:sqref>
                  </c15:fullRef>
                </c:ext>
              </c:extLst>
            </c:strRef>
          </c:cat>
          <c:val>
            <c:numRef>
              <c:f>List6!$U$4:$U$7</c:f>
              <c:numCache>
                <c:formatCode>0.0</c:formatCode>
                <c:ptCount val="4"/>
                <c:pt idx="0">
                  <c:v>28.622495068689236</c:v>
                </c:pt>
                <c:pt idx="1">
                  <c:v>23.936671858663846</c:v>
                </c:pt>
                <c:pt idx="2">
                  <c:v>30.351806643098126</c:v>
                </c:pt>
                <c:pt idx="3">
                  <c:v>19.263855279466448</c:v>
                </c:pt>
              </c:numCache>
              <c:extLst>
                <c:ext xmlns:c15="http://schemas.microsoft.com/office/drawing/2012/chart" uri="{02D57815-91ED-43cb-92C2-25804820EDAC}">
                  <c15:fullRef>
                    <c15:sqref>List6!$U$4:$U$9</c15:sqref>
                  </c15:fullRef>
                </c:ext>
              </c:extLst>
            </c:numRef>
          </c:val>
        </c:ser>
        <c:ser>
          <c:idx val="5"/>
          <c:order val="5"/>
          <c:tx>
            <c:strRef>
              <c:f>List6!$V$3</c:f>
              <c:strCache>
                <c:ptCount val="1"/>
                <c:pt idx="0">
                  <c:v>žena mladší o 2-4 roky</c:v>
                </c:pt>
              </c:strCache>
            </c:strRef>
          </c:tx>
          <c:spPr>
            <a:solidFill>
              <a:srgbClr val="FFA7A7"/>
            </a:solidFill>
            <a:ln>
              <a:noFill/>
            </a:ln>
            <a:effectLst/>
          </c:spPr>
          <c:dLbls>
            <c:spPr>
              <a:noFill/>
              <a:ln>
                <a:noFill/>
              </a:ln>
              <a:effectLst/>
            </c:spPr>
            <c:txPr>
              <a:bodyPr rot="0" vert="horz"/>
              <a:lstStyle/>
              <a:p>
                <a:pPr>
                  <a:defRPr>
                    <a:solidFill>
                      <a:schemeClr val="bg1"/>
                    </a:solidFill>
                  </a:defRPr>
                </a:pPr>
                <a:endParaRPr lang="cs-CZ"/>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List6!$P$4:$P$7</c:f>
              <c:strCache>
                <c:ptCount val="4"/>
                <c:pt idx="0">
                  <c:v>manželé</c:v>
                </c:pt>
                <c:pt idx="1">
                  <c:v>nesezdané soužití</c:v>
                </c:pt>
                <c:pt idx="2">
                  <c:v>NS - oba svobodní</c:v>
                </c:pt>
                <c:pt idx="3">
                  <c:v>NS - alepsoň jeden zkušenost s manželstvím</c:v>
                </c:pt>
              </c:strCache>
              <c:extLst>
                <c:ext xmlns:c15="http://schemas.microsoft.com/office/drawing/2012/chart" uri="{02D57815-91ED-43cb-92C2-25804820EDAC}">
                  <c15:fullRef>
                    <c15:sqref>List6!$P$4:$P$9</c15:sqref>
                  </c15:fullRef>
                </c:ext>
              </c:extLst>
            </c:strRef>
          </c:cat>
          <c:val>
            <c:numRef>
              <c:f>List6!$V$4:$V$7</c:f>
              <c:numCache>
                <c:formatCode>0.0</c:formatCode>
                <c:ptCount val="4"/>
                <c:pt idx="0">
                  <c:v>35.688179691727605</c:v>
                </c:pt>
                <c:pt idx="1">
                  <c:v>24.712911003477927</c:v>
                </c:pt>
                <c:pt idx="2">
                  <c:v>30.728633798964687</c:v>
                </c:pt>
                <c:pt idx="3">
                  <c:v>20.333618603553088</c:v>
                </c:pt>
              </c:numCache>
              <c:extLst>
                <c:ext xmlns:c15="http://schemas.microsoft.com/office/drawing/2012/chart" uri="{02D57815-91ED-43cb-92C2-25804820EDAC}">
                  <c15:fullRef>
                    <c15:sqref>List6!$V$4:$V$9</c15:sqref>
                  </c15:fullRef>
                </c:ext>
              </c:extLst>
            </c:numRef>
          </c:val>
        </c:ser>
        <c:ser>
          <c:idx val="6"/>
          <c:order val="6"/>
          <c:tx>
            <c:strRef>
              <c:f>List6!$W$3</c:f>
              <c:strCache>
                <c:ptCount val="1"/>
                <c:pt idx="0">
                  <c:v>žena mladší o 5-6 let</c:v>
                </c:pt>
              </c:strCache>
            </c:strRef>
          </c:tx>
          <c:spPr>
            <a:solidFill>
              <a:srgbClr val="F97777"/>
            </a:solidFill>
            <a:ln>
              <a:noFill/>
            </a:ln>
            <a:effectLst/>
          </c:spPr>
          <c:dLbls>
            <c:spPr>
              <a:noFill/>
              <a:ln>
                <a:noFill/>
              </a:ln>
              <a:effectLst/>
            </c:spPr>
            <c:txPr>
              <a:bodyPr rot="0" vert="horz"/>
              <a:lstStyle/>
              <a:p>
                <a:pPr>
                  <a:defRPr>
                    <a:solidFill>
                      <a:schemeClr val="bg1"/>
                    </a:solidFill>
                  </a:defRPr>
                </a:pPr>
                <a:endParaRPr lang="cs-CZ"/>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List6!$P$4:$P$7</c:f>
              <c:strCache>
                <c:ptCount val="4"/>
                <c:pt idx="0">
                  <c:v>manželé</c:v>
                </c:pt>
                <c:pt idx="1">
                  <c:v>nesezdané soužití</c:v>
                </c:pt>
                <c:pt idx="2">
                  <c:v>NS - oba svobodní</c:v>
                </c:pt>
                <c:pt idx="3">
                  <c:v>NS - alepsoň jeden zkušenost s manželstvím</c:v>
                </c:pt>
              </c:strCache>
              <c:extLst>
                <c:ext xmlns:c15="http://schemas.microsoft.com/office/drawing/2012/chart" uri="{02D57815-91ED-43cb-92C2-25804820EDAC}">
                  <c15:fullRef>
                    <c15:sqref>List6!$P$4:$P$9</c15:sqref>
                  </c15:fullRef>
                </c:ext>
              </c:extLst>
            </c:strRef>
          </c:cat>
          <c:val>
            <c:numRef>
              <c:f>List6!$W$4:$W$7</c:f>
              <c:numCache>
                <c:formatCode>0.0</c:formatCode>
                <c:ptCount val="4"/>
                <c:pt idx="0">
                  <c:v>13.619145704959244</c:v>
                </c:pt>
                <c:pt idx="1">
                  <c:v>11.123391725521136</c:v>
                </c:pt>
                <c:pt idx="2">
                  <c:v>11.808263860047205</c:v>
                </c:pt>
                <c:pt idx="3">
                  <c:v>10.624594227704677</c:v>
                </c:pt>
              </c:numCache>
              <c:extLst>
                <c:ext xmlns:c15="http://schemas.microsoft.com/office/drawing/2012/chart" uri="{02D57815-91ED-43cb-92C2-25804820EDAC}">
                  <c15:fullRef>
                    <c15:sqref>List6!$W$4:$W$9</c15:sqref>
                  </c15:fullRef>
                </c:ext>
              </c:extLst>
            </c:numRef>
          </c:val>
        </c:ser>
        <c:ser>
          <c:idx val="7"/>
          <c:order val="7"/>
          <c:tx>
            <c:strRef>
              <c:f>List6!$X$3</c:f>
              <c:strCache>
                <c:ptCount val="1"/>
                <c:pt idx="0">
                  <c:v>žena mladší o 7-9 let</c:v>
                </c:pt>
              </c:strCache>
            </c:strRef>
          </c:tx>
          <c:spPr>
            <a:solidFill>
              <a:srgbClr val="ED0909"/>
            </a:solidFill>
            <a:ln>
              <a:noFill/>
            </a:ln>
            <a:effectLst/>
          </c:spPr>
          <c:dLbls>
            <c:spPr>
              <a:noFill/>
              <a:ln>
                <a:noFill/>
              </a:ln>
              <a:effectLst/>
            </c:spPr>
            <c:txPr>
              <a:bodyPr rot="0" vert="horz"/>
              <a:lstStyle/>
              <a:p>
                <a:pPr>
                  <a:defRPr>
                    <a:solidFill>
                      <a:schemeClr val="bg1"/>
                    </a:solidFill>
                  </a:defRPr>
                </a:pPr>
                <a:endParaRPr lang="cs-CZ"/>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List6!$P$4:$P$7</c:f>
              <c:strCache>
                <c:ptCount val="4"/>
                <c:pt idx="0">
                  <c:v>manželé</c:v>
                </c:pt>
                <c:pt idx="1">
                  <c:v>nesezdané soužití</c:v>
                </c:pt>
                <c:pt idx="2">
                  <c:v>NS - oba svobodní</c:v>
                </c:pt>
                <c:pt idx="3">
                  <c:v>NS - alepsoň jeden zkušenost s manželstvím</c:v>
                </c:pt>
              </c:strCache>
              <c:extLst>
                <c:ext xmlns:c15="http://schemas.microsoft.com/office/drawing/2012/chart" uri="{02D57815-91ED-43cb-92C2-25804820EDAC}">
                  <c15:fullRef>
                    <c15:sqref>List6!$P$4:$P$9</c15:sqref>
                  </c15:fullRef>
                </c:ext>
              </c:extLst>
            </c:strRef>
          </c:cat>
          <c:val>
            <c:numRef>
              <c:f>List6!$X$4:$X$7</c:f>
              <c:numCache>
                <c:formatCode>0.0</c:formatCode>
                <c:ptCount val="4"/>
                <c:pt idx="0">
                  <c:v>8.4557796707804567</c:v>
                </c:pt>
                <c:pt idx="1">
                  <c:v>10.168775471013701</c:v>
                </c:pt>
                <c:pt idx="2">
                  <c:v>9.0458776932505174</c:v>
                </c:pt>
                <c:pt idx="3">
                  <c:v>10.989789293513564</c:v>
                </c:pt>
              </c:numCache>
              <c:extLst>
                <c:ext xmlns:c15="http://schemas.microsoft.com/office/drawing/2012/chart" uri="{02D57815-91ED-43cb-92C2-25804820EDAC}">
                  <c15:fullRef>
                    <c15:sqref>List6!$X$4:$X$9</c15:sqref>
                  </c15:fullRef>
                </c:ext>
              </c:extLst>
            </c:numRef>
          </c:val>
        </c:ser>
        <c:ser>
          <c:idx val="8"/>
          <c:order val="8"/>
          <c:tx>
            <c:strRef>
              <c:f>List6!$Y$3</c:f>
              <c:strCache>
                <c:ptCount val="1"/>
                <c:pt idx="0">
                  <c:v>žena mladší o 10 let a více</c:v>
                </c:pt>
              </c:strCache>
            </c:strRef>
          </c:tx>
          <c:spPr>
            <a:solidFill>
              <a:srgbClr val="C00000"/>
            </a:solidFill>
            <a:ln>
              <a:noFill/>
            </a:ln>
            <a:effectLst/>
          </c:spPr>
          <c:dLbls>
            <c:spPr>
              <a:noFill/>
              <a:ln>
                <a:noFill/>
              </a:ln>
              <a:effectLst/>
            </c:spPr>
            <c:txPr>
              <a:bodyPr rot="0" vert="horz"/>
              <a:lstStyle/>
              <a:p>
                <a:pPr>
                  <a:defRPr>
                    <a:solidFill>
                      <a:schemeClr val="bg1"/>
                    </a:solidFill>
                  </a:defRPr>
                </a:pPr>
                <a:endParaRPr lang="cs-CZ"/>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List6!$P$4:$P$7</c:f>
              <c:strCache>
                <c:ptCount val="4"/>
                <c:pt idx="0">
                  <c:v>manželé</c:v>
                </c:pt>
                <c:pt idx="1">
                  <c:v>nesezdané soužití</c:v>
                </c:pt>
                <c:pt idx="2">
                  <c:v>NS - oba svobodní</c:v>
                </c:pt>
                <c:pt idx="3">
                  <c:v>NS - alepsoň jeden zkušenost s manželstvím</c:v>
                </c:pt>
              </c:strCache>
              <c:extLst>
                <c:ext xmlns:c15="http://schemas.microsoft.com/office/drawing/2012/chart" uri="{02D57815-91ED-43cb-92C2-25804820EDAC}">
                  <c15:fullRef>
                    <c15:sqref>List6!$P$4:$P$9</c15:sqref>
                  </c15:fullRef>
                </c:ext>
              </c:extLst>
            </c:strRef>
          </c:cat>
          <c:val>
            <c:numRef>
              <c:f>List6!$Y$4:$Y$7</c:f>
              <c:numCache>
                <c:formatCode>0.0</c:formatCode>
                <c:ptCount val="4"/>
                <c:pt idx="0">
                  <c:v>5.2932493410372334</c:v>
                </c:pt>
                <c:pt idx="1">
                  <c:v>11.22580920477095</c:v>
                </c:pt>
                <c:pt idx="2">
                  <c:v>5.341423636787245</c:v>
                </c:pt>
                <c:pt idx="3">
                  <c:v>15.509354895827201</c:v>
                </c:pt>
              </c:numCache>
              <c:extLst>
                <c:ext xmlns:c15="http://schemas.microsoft.com/office/drawing/2012/chart" uri="{02D57815-91ED-43cb-92C2-25804820EDAC}">
                  <c15:fullRef>
                    <c15:sqref>List6!$Y$4:$Y$9</c15:sqref>
                  </c15:fullRef>
                </c:ext>
              </c:extLst>
            </c:numRef>
          </c:val>
        </c:ser>
        <c:gapWidth val="27"/>
        <c:overlap val="100"/>
        <c:axId val="105388288"/>
        <c:axId val="105402368"/>
      </c:barChart>
      <c:catAx>
        <c:axId val="1053882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sz="650"/>
            </a:pPr>
            <a:endParaRPr lang="cs-CZ"/>
          </a:p>
        </c:txPr>
        <c:crossAx val="105402368"/>
        <c:crosses val="autoZero"/>
        <c:auto val="1"/>
        <c:lblAlgn val="ctr"/>
        <c:lblOffset val="100"/>
      </c:catAx>
      <c:valAx>
        <c:axId val="105402368"/>
        <c:scaling>
          <c:orientation val="minMax"/>
          <c:max val="100"/>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podíl z daného typu soužití (%)</a:t>
                </a:r>
              </a:p>
            </c:rich>
          </c:tx>
          <c:layout>
            <c:manualLayout>
              <c:xMode val="edge"/>
              <c:yMode val="edge"/>
              <c:x val="2.0472070577255367E-3"/>
              <c:y val="7.8417760279964999E-2"/>
            </c:manualLayout>
          </c:layout>
        </c:title>
        <c:numFmt formatCode="0" sourceLinked="0"/>
        <c:majorTickMark val="none"/>
        <c:tickLblPos val="nextTo"/>
        <c:spPr>
          <a:noFill/>
          <a:ln>
            <a:noFill/>
          </a:ln>
          <a:effectLst/>
        </c:spPr>
        <c:txPr>
          <a:bodyPr rot="-60000000" vert="horz"/>
          <a:lstStyle/>
          <a:p>
            <a:pPr>
              <a:defRPr/>
            </a:pPr>
            <a:endParaRPr lang="cs-CZ"/>
          </a:p>
        </c:txPr>
        <c:crossAx val="105388288"/>
        <c:crosses val="autoZero"/>
        <c:crossBetween val="between"/>
      </c:valAx>
      <c:spPr>
        <a:noFill/>
        <a:ln>
          <a:solidFill>
            <a:schemeClr val="bg1">
              <a:lumMod val="85000"/>
            </a:schemeClr>
          </a:solidFill>
        </a:ln>
        <a:effectLst/>
      </c:spPr>
    </c:plotArea>
    <c:legend>
      <c:legendPos val="b"/>
      <c:layout>
        <c:manualLayout>
          <c:xMode val="edge"/>
          <c:yMode val="edge"/>
          <c:x val="0.7731720505774079"/>
          <c:y val="1.8073338284014289E-2"/>
          <c:w val="0.22505759216598395"/>
          <c:h val="0.95625459317585304"/>
        </c:manualLayout>
      </c:layout>
      <c:spPr>
        <a:noFill/>
        <a:ln>
          <a:noFill/>
        </a:ln>
        <a:effectLst/>
      </c:spPr>
      <c:txPr>
        <a:bodyPr rot="0" vert="horz"/>
        <a:lstStyle/>
        <a:p>
          <a:pPr>
            <a:defRPr sz="700"/>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rot="0" vert="horz"/>
          <a:lstStyle/>
          <a:p>
            <a:pPr>
              <a:defRPr/>
            </a:pPr>
            <a:r>
              <a:rPr lang="en-US"/>
              <a:t>muži</a:t>
            </a:r>
          </a:p>
        </c:rich>
      </c:tx>
      <c:layout>
        <c:manualLayout>
          <c:xMode val="edge"/>
          <c:yMode val="edge"/>
          <c:x val="0.91689728224235378"/>
          <c:y val="5.1019931102362234E-2"/>
        </c:manualLayout>
      </c:layout>
      <c:spPr>
        <a:solidFill>
          <a:sysClr val="window" lastClr="FFFFFF"/>
        </a:solidFill>
        <a:ln>
          <a:solidFill>
            <a:sysClr val="window" lastClr="FFFFFF">
              <a:lumMod val="85000"/>
            </a:sysClr>
          </a:solidFill>
        </a:ln>
        <a:effectLst/>
      </c:spPr>
    </c:title>
    <c:plotArea>
      <c:layout>
        <c:manualLayout>
          <c:layoutTarget val="inner"/>
          <c:xMode val="edge"/>
          <c:yMode val="edge"/>
          <c:x val="6.7840423404271114E-2"/>
          <c:y val="2.3945209973753292E-2"/>
          <c:w val="0.93215957659573323"/>
          <c:h val="0.74370845619606918"/>
        </c:manualLayout>
      </c:layout>
      <c:lineChart>
        <c:grouping val="standard"/>
        <c:ser>
          <c:idx val="0"/>
          <c:order val="0"/>
          <c:tx>
            <c:strRef>
              <c:f>List4!$U$2:$U$3</c:f>
              <c:strCache>
                <c:ptCount val="1"/>
                <c:pt idx="0">
                  <c:v>manželé muž - podobně staří</c:v>
                </c:pt>
              </c:strCache>
            </c:strRef>
          </c:tx>
          <c:spPr>
            <a:ln w="19050" cap="rnd">
              <a:solidFill>
                <a:schemeClr val="tx2"/>
              </a:solidFill>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List4!$U$4:$U$10</c:f>
              <c:numCache>
                <c:formatCode>###0%</c:formatCode>
                <c:ptCount val="7"/>
                <c:pt idx="0">
                  <c:v>0.45114595898672938</c:v>
                </c:pt>
                <c:pt idx="1">
                  <c:v>0.43734464498000841</c:v>
                </c:pt>
                <c:pt idx="2">
                  <c:v>0.40294894366197181</c:v>
                </c:pt>
                <c:pt idx="3">
                  <c:v>0.3583950891695965</c:v>
                </c:pt>
                <c:pt idx="4">
                  <c:v>0.28566799870396381</c:v>
                </c:pt>
                <c:pt idx="5">
                  <c:v>0.27840585217556535</c:v>
                </c:pt>
                <c:pt idx="6">
                  <c:v>0.25220824229073624</c:v>
                </c:pt>
              </c:numCache>
            </c:numRef>
          </c:val>
        </c:ser>
        <c:ser>
          <c:idx val="1"/>
          <c:order val="1"/>
          <c:tx>
            <c:strRef>
              <c:f>List4!$V$2:$V$3</c:f>
              <c:strCache>
                <c:ptCount val="1"/>
                <c:pt idx="0">
                  <c:v>manželé muž mladší</c:v>
                </c:pt>
              </c:strCache>
            </c:strRef>
          </c:tx>
          <c:spPr>
            <a:ln w="19050" cap="rnd">
              <a:solidFill>
                <a:schemeClr val="tx2"/>
              </a:solidFill>
              <a:prstDash val="sysDash"/>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List4!$V$4:$V$10</c:f>
              <c:numCache>
                <c:formatCode>###0%</c:formatCode>
                <c:ptCount val="7"/>
                <c:pt idx="0">
                  <c:v>0.37846803377563593</c:v>
                </c:pt>
                <c:pt idx="1">
                  <c:v>0.25156705933210849</c:v>
                </c:pt>
                <c:pt idx="2">
                  <c:v>0.16733161063153112</c:v>
                </c:pt>
                <c:pt idx="3">
                  <c:v>9.6055350885075774E-2</c:v>
                </c:pt>
                <c:pt idx="4">
                  <c:v>7.7756777189761817E-2</c:v>
                </c:pt>
                <c:pt idx="5">
                  <c:v>7.3310532649312823E-2</c:v>
                </c:pt>
                <c:pt idx="6">
                  <c:v>6.5489687989319922E-2</c:v>
                </c:pt>
              </c:numCache>
            </c:numRef>
          </c:val>
        </c:ser>
        <c:ser>
          <c:idx val="2"/>
          <c:order val="2"/>
          <c:tx>
            <c:strRef>
              <c:f>List4!$W$2:$W$3</c:f>
              <c:strCache>
                <c:ptCount val="1"/>
                <c:pt idx="0">
                  <c:v>manželé muž starší</c:v>
                </c:pt>
              </c:strCache>
            </c:strRef>
          </c:tx>
          <c:spPr>
            <a:ln w="19050" cap="rnd">
              <a:solidFill>
                <a:schemeClr val="tx2"/>
              </a:solidFill>
              <a:prstDash val="lgDashDot"/>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List4!$W$4:$W$10</c:f>
              <c:numCache>
                <c:formatCode>###0%</c:formatCode>
                <c:ptCount val="7"/>
                <c:pt idx="0">
                  <c:v>0.17038600723763569</c:v>
                </c:pt>
                <c:pt idx="1">
                  <c:v>0.31108829568788943</c:v>
                </c:pt>
                <c:pt idx="2">
                  <c:v>0.42971944570649706</c:v>
                </c:pt>
                <c:pt idx="3">
                  <c:v>0.5455495599453295</c:v>
                </c:pt>
                <c:pt idx="4">
                  <c:v>0.63657522410627565</c:v>
                </c:pt>
                <c:pt idx="5">
                  <c:v>0.64828361517512523</c:v>
                </c:pt>
                <c:pt idx="6">
                  <c:v>0.68230206971993845</c:v>
                </c:pt>
              </c:numCache>
            </c:numRef>
          </c:val>
        </c:ser>
        <c:ser>
          <c:idx val="3"/>
          <c:order val="3"/>
          <c:tx>
            <c:strRef>
              <c:f>List4!$X$2:$X$3</c:f>
              <c:strCache>
                <c:ptCount val="1"/>
                <c:pt idx="0">
                  <c:v>NSS muž - podobně staří</c:v>
                </c:pt>
              </c:strCache>
            </c:strRef>
          </c:tx>
          <c:spPr>
            <a:ln w="19050" cap="rnd">
              <a:solidFill>
                <a:srgbClr val="00B0F0"/>
              </a:solidFill>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List4!$X$4:$X$10</c:f>
              <c:numCache>
                <c:formatCode>###0%</c:formatCode>
                <c:ptCount val="7"/>
                <c:pt idx="0">
                  <c:v>0.45195729537366741</c:v>
                </c:pt>
                <c:pt idx="1">
                  <c:v>0.3562061239731143</c:v>
                </c:pt>
                <c:pt idx="2">
                  <c:v>0.27038709990771992</c:v>
                </c:pt>
                <c:pt idx="3">
                  <c:v>0.21954556762583971</c:v>
                </c:pt>
                <c:pt idx="4">
                  <c:v>0.16095204430305168</c:v>
                </c:pt>
                <c:pt idx="5">
                  <c:v>0.15307372030369817</c:v>
                </c:pt>
                <c:pt idx="6">
                  <c:v>0.15987411487018099</c:v>
                </c:pt>
              </c:numCache>
            </c:numRef>
          </c:val>
        </c:ser>
        <c:ser>
          <c:idx val="4"/>
          <c:order val="4"/>
          <c:tx>
            <c:strRef>
              <c:f>List4!$Y$2:$Y$3</c:f>
              <c:strCache>
                <c:ptCount val="1"/>
                <c:pt idx="0">
                  <c:v>NSS muž mladší</c:v>
                </c:pt>
              </c:strCache>
            </c:strRef>
          </c:tx>
          <c:spPr>
            <a:ln w="19050" cap="rnd">
              <a:solidFill>
                <a:srgbClr val="00B0F0"/>
              </a:solidFill>
              <a:prstDash val="sysDash"/>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List4!$Y$4:$Y$10</c:f>
              <c:numCache>
                <c:formatCode>###0%</c:formatCode>
                <c:ptCount val="7"/>
                <c:pt idx="0">
                  <c:v>0.31540416878495553</c:v>
                </c:pt>
                <c:pt idx="1">
                  <c:v>0.21415982076176251</c:v>
                </c:pt>
                <c:pt idx="2">
                  <c:v>0.19745980863567925</c:v>
                </c:pt>
                <c:pt idx="3">
                  <c:v>0.16705365287337259</c:v>
                </c:pt>
                <c:pt idx="4">
                  <c:v>0.20572640509013879</c:v>
                </c:pt>
                <c:pt idx="5">
                  <c:v>0.28924810188587013</c:v>
                </c:pt>
                <c:pt idx="6">
                  <c:v>0.37560975609756098</c:v>
                </c:pt>
              </c:numCache>
            </c:numRef>
          </c:val>
        </c:ser>
        <c:ser>
          <c:idx val="5"/>
          <c:order val="5"/>
          <c:tx>
            <c:strRef>
              <c:f>List4!$Z$2:$Z$3</c:f>
              <c:strCache>
                <c:ptCount val="1"/>
                <c:pt idx="0">
                  <c:v>NSS muž starší</c:v>
                </c:pt>
              </c:strCache>
            </c:strRef>
          </c:tx>
          <c:spPr>
            <a:ln w="19050" cap="rnd">
              <a:solidFill>
                <a:srgbClr val="00B0F0"/>
              </a:solidFill>
              <a:prstDash val="lgDashDot"/>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List4!$Z$4:$Z$10</c:f>
              <c:numCache>
                <c:formatCode>###0%</c:formatCode>
                <c:ptCount val="7"/>
                <c:pt idx="0">
                  <c:v>0.23263853584138294</c:v>
                </c:pt>
                <c:pt idx="1">
                  <c:v>0.42963405526512327</c:v>
                </c:pt>
                <c:pt idx="2">
                  <c:v>0.53215309145660306</c:v>
                </c:pt>
                <c:pt idx="3">
                  <c:v>0.61340077950078775</c:v>
                </c:pt>
                <c:pt idx="4">
                  <c:v>0.63332155060681472</c:v>
                </c:pt>
                <c:pt idx="5">
                  <c:v>0.55767817781043361</c:v>
                </c:pt>
                <c:pt idx="6">
                  <c:v>0.46451612903226036</c:v>
                </c:pt>
              </c:numCache>
            </c:numRef>
          </c:val>
        </c:ser>
        <c:ser>
          <c:idx val="6"/>
          <c:order val="6"/>
          <c:tx>
            <c:strRef>
              <c:f>List4!$AA$2:$AA$3</c:f>
              <c:strCache>
                <c:ptCount val="1"/>
                <c:pt idx="0">
                  <c:v>NSZM muž - podobně staří</c:v>
                </c:pt>
              </c:strCache>
            </c:strRef>
          </c:tx>
          <c:spPr>
            <a:ln w="19050" cap="rnd">
              <a:solidFill>
                <a:schemeClr val="accent3"/>
              </a:solidFill>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List4!$AA$4:$AA$10</c:f>
              <c:numCache>
                <c:formatCode>###0%</c:formatCode>
                <c:ptCount val="7"/>
                <c:pt idx="0">
                  <c:v>0.41666666666666857</c:v>
                </c:pt>
                <c:pt idx="1">
                  <c:v>0.2929210740439383</c:v>
                </c:pt>
                <c:pt idx="2">
                  <c:v>0.26268831358783257</c:v>
                </c:pt>
                <c:pt idx="3">
                  <c:v>0.23013517969007583</c:v>
                </c:pt>
                <c:pt idx="4">
                  <c:v>0.18205853418593312</c:v>
                </c:pt>
                <c:pt idx="5">
                  <c:v>0.17694535148789581</c:v>
                </c:pt>
                <c:pt idx="6">
                  <c:v>0.17200227687596994</c:v>
                </c:pt>
              </c:numCache>
            </c:numRef>
          </c:val>
        </c:ser>
        <c:ser>
          <c:idx val="7"/>
          <c:order val="7"/>
          <c:tx>
            <c:strRef>
              <c:f>List4!$AB$2:$AB$3</c:f>
              <c:strCache>
                <c:ptCount val="1"/>
                <c:pt idx="0">
                  <c:v>NSZM muž mladší</c:v>
                </c:pt>
              </c:strCache>
            </c:strRef>
          </c:tx>
          <c:spPr>
            <a:ln w="19050" cap="rnd">
              <a:solidFill>
                <a:schemeClr val="accent3"/>
              </a:solidFill>
              <a:prstDash val="sysDash"/>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List4!$AB$4:$AB$10</c:f>
              <c:numCache>
                <c:formatCode>###0%</c:formatCode>
                <c:ptCount val="7"/>
                <c:pt idx="0">
                  <c:v>0.35714285714285987</c:v>
                </c:pt>
                <c:pt idx="1">
                  <c:v>0.3043124491456507</c:v>
                </c:pt>
                <c:pt idx="2">
                  <c:v>0.22539125347374578</c:v>
                </c:pt>
                <c:pt idx="3">
                  <c:v>0.1657764589515332</c:v>
                </c:pt>
                <c:pt idx="4">
                  <c:v>0.15100836202656268</c:v>
                </c:pt>
                <c:pt idx="5">
                  <c:v>0.15008317417287986</c:v>
                </c:pt>
                <c:pt idx="6">
                  <c:v>0.1378687655799164</c:v>
                </c:pt>
              </c:numCache>
            </c:numRef>
          </c:val>
        </c:ser>
        <c:ser>
          <c:idx val="8"/>
          <c:order val="8"/>
          <c:tx>
            <c:strRef>
              <c:f>List4!$AC$2:$AC$3</c:f>
              <c:strCache>
                <c:ptCount val="1"/>
                <c:pt idx="0">
                  <c:v>NSZM muž starší</c:v>
                </c:pt>
              </c:strCache>
            </c:strRef>
          </c:tx>
          <c:spPr>
            <a:ln w="19050" cap="rnd">
              <a:solidFill>
                <a:schemeClr val="accent3"/>
              </a:solidFill>
              <a:prstDash val="lgDashDot"/>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List4!$AC$4:$AC$10</c:f>
              <c:numCache>
                <c:formatCode>###0%</c:formatCode>
                <c:ptCount val="7"/>
                <c:pt idx="0">
                  <c:v>0.22619047619047641</c:v>
                </c:pt>
                <c:pt idx="1">
                  <c:v>0.40276647681041644</c:v>
                </c:pt>
                <c:pt idx="2">
                  <c:v>0.51192043293842715</c:v>
                </c:pt>
                <c:pt idx="3">
                  <c:v>0.60408836135839161</c:v>
                </c:pt>
                <c:pt idx="4">
                  <c:v>0.66693310378750614</c:v>
                </c:pt>
                <c:pt idx="5">
                  <c:v>0.67297147433923343</c:v>
                </c:pt>
                <c:pt idx="6">
                  <c:v>0.69012895754411885</c:v>
                </c:pt>
              </c:numCache>
            </c:numRef>
          </c:val>
        </c:ser>
        <c:marker val="1"/>
        <c:axId val="105441152"/>
        <c:axId val="105442688"/>
        <c:extLst/>
      </c:lineChart>
      <c:catAx>
        <c:axId val="105441152"/>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105442688"/>
        <c:crosses val="autoZero"/>
        <c:auto val="1"/>
        <c:lblAlgn val="ctr"/>
        <c:lblOffset val="100"/>
      </c:catAx>
      <c:valAx>
        <c:axId val="105442688"/>
        <c:scaling>
          <c:orientation val="minMax"/>
          <c:max val="1"/>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vert="horz"/>
          <a:lstStyle/>
          <a:p>
            <a:pPr>
              <a:defRPr/>
            </a:pPr>
            <a:endParaRPr lang="cs-CZ"/>
          </a:p>
        </c:txPr>
        <c:crossAx val="105441152"/>
        <c:crosses val="autoZero"/>
        <c:crossBetween val="between"/>
      </c:valAx>
      <c:spPr>
        <a:noFill/>
        <a:ln>
          <a:solidFill>
            <a:sysClr val="window" lastClr="FFFFFF">
              <a:lumMod val="85000"/>
            </a:sysClr>
          </a:solidFill>
        </a:ln>
        <a:effectLst/>
      </c:spPr>
    </c:plotArea>
    <c:legend>
      <c:legendPos val="b"/>
      <c:layout>
        <c:manualLayout>
          <c:xMode val="edge"/>
          <c:yMode val="edge"/>
          <c:x val="4.2365810399183593E-2"/>
          <c:y val="0.84368793406996978"/>
          <c:w val="0.94392969000532745"/>
          <c:h val="0.14360346931942194"/>
        </c:manualLayout>
      </c:layout>
      <c:spPr>
        <a:noFill/>
        <a:ln>
          <a:noFill/>
        </a:ln>
        <a:effectLst/>
      </c:spPr>
      <c:txPr>
        <a:bodyPr rot="0" vert="horz"/>
        <a:lstStyle/>
        <a:p>
          <a:pPr>
            <a:defRPr sz="700"/>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latin typeface="Arial" pitchFamily="34" charset="0"/>
          <a:cs typeface="Arial" pitchFamily="34" charset="0"/>
        </a:defRPr>
      </a:pPr>
      <a:endParaRPr lang="cs-CZ"/>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rot="0" vert="horz"/>
          <a:lstStyle/>
          <a:p>
            <a:pPr>
              <a:defRPr/>
            </a:pPr>
            <a:r>
              <a:rPr lang="en-US"/>
              <a:t>ženy</a:t>
            </a:r>
          </a:p>
        </c:rich>
      </c:tx>
      <c:layout>
        <c:manualLayout>
          <c:xMode val="edge"/>
          <c:yMode val="edge"/>
          <c:x val="0.90830512366575067"/>
          <c:y val="7.1509929427211572E-2"/>
        </c:manualLayout>
      </c:layout>
      <c:spPr>
        <a:solidFill>
          <a:sysClr val="window" lastClr="FFFFFF"/>
        </a:solidFill>
        <a:ln>
          <a:solidFill>
            <a:sysClr val="windowText" lastClr="000000">
              <a:lumMod val="15000"/>
              <a:lumOff val="85000"/>
            </a:sysClr>
          </a:solidFill>
        </a:ln>
        <a:effectLst/>
      </c:spPr>
    </c:title>
    <c:plotArea>
      <c:layout>
        <c:manualLayout>
          <c:layoutTarget val="inner"/>
          <c:xMode val="edge"/>
          <c:yMode val="edge"/>
          <c:x val="6.7840423404271114E-2"/>
          <c:y val="2.2663952573982456E-2"/>
          <c:w val="0.93215957659573323"/>
          <c:h val="0.72561819595645349"/>
        </c:manualLayout>
      </c:layout>
      <c:lineChart>
        <c:grouping val="standard"/>
        <c:ser>
          <c:idx val="0"/>
          <c:order val="0"/>
          <c:tx>
            <c:strRef>
              <c:f>List4!$AD$2:$AD$3</c:f>
              <c:strCache>
                <c:ptCount val="1"/>
                <c:pt idx="0">
                  <c:v>manželé žena - podobně staří</c:v>
                </c:pt>
              </c:strCache>
            </c:strRef>
          </c:tx>
          <c:spPr>
            <a:ln w="19050" cap="rnd">
              <a:solidFill>
                <a:schemeClr val="tx2"/>
              </a:solidFill>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List4!$AD$4:$AD$10</c:f>
              <c:numCache>
                <c:formatCode>###0%</c:formatCode>
                <c:ptCount val="7"/>
                <c:pt idx="0">
                  <c:v>0.14407720556836706</c:v>
                </c:pt>
                <c:pt idx="1">
                  <c:v>0.230091552945241</c:v>
                </c:pt>
                <c:pt idx="2">
                  <c:v>0.31213180656680672</c:v>
                </c:pt>
                <c:pt idx="3">
                  <c:v>0.32546454957204946</c:v>
                </c:pt>
                <c:pt idx="4">
                  <c:v>0.27995255669633629</c:v>
                </c:pt>
                <c:pt idx="5">
                  <c:v>0.27458421347814038</c:v>
                </c:pt>
                <c:pt idx="6">
                  <c:v>0.28129908957316324</c:v>
                </c:pt>
              </c:numCache>
            </c:numRef>
          </c:val>
        </c:ser>
        <c:ser>
          <c:idx val="1"/>
          <c:order val="1"/>
          <c:tx>
            <c:strRef>
              <c:f>List4!$AE$2:$AE$3</c:f>
              <c:strCache>
                <c:ptCount val="1"/>
                <c:pt idx="0">
                  <c:v>manželé žena starší</c:v>
                </c:pt>
              </c:strCache>
            </c:strRef>
          </c:tx>
          <c:spPr>
            <a:ln w="19050" cap="rnd">
              <a:solidFill>
                <a:schemeClr val="tx2"/>
              </a:solidFill>
              <a:prstDash val="lgDashDot"/>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List4!$AE$4:$AE$10</c:f>
              <c:numCache>
                <c:formatCode>###0%</c:formatCode>
                <c:ptCount val="7"/>
                <c:pt idx="0">
                  <c:v>7.7717994704928619E-3</c:v>
                </c:pt>
                <c:pt idx="1">
                  <c:v>3.0867560492711651E-2</c:v>
                </c:pt>
                <c:pt idx="2">
                  <c:v>7.2184623279982082E-2</c:v>
                </c:pt>
                <c:pt idx="3">
                  <c:v>9.9212978111492711E-2</c:v>
                </c:pt>
                <c:pt idx="4">
                  <c:v>8.9215649936195143E-2</c:v>
                </c:pt>
                <c:pt idx="5">
                  <c:v>7.6552942348112774E-2</c:v>
                </c:pt>
                <c:pt idx="6">
                  <c:v>8.6700631724743696E-2</c:v>
                </c:pt>
              </c:numCache>
            </c:numRef>
          </c:val>
        </c:ser>
        <c:ser>
          <c:idx val="2"/>
          <c:order val="2"/>
          <c:tx>
            <c:strRef>
              <c:f>List4!$AF$2:$AF$3</c:f>
              <c:strCache>
                <c:ptCount val="1"/>
                <c:pt idx="0">
                  <c:v>manželé žena mladší</c:v>
                </c:pt>
              </c:strCache>
            </c:strRef>
          </c:tx>
          <c:spPr>
            <a:ln w="19050" cap="rnd">
              <a:solidFill>
                <a:schemeClr val="tx2"/>
              </a:solidFill>
              <a:prstDash val="sysDash"/>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List4!$AF$4:$AF$10</c:f>
              <c:numCache>
                <c:formatCode>###0%</c:formatCode>
                <c:ptCount val="7"/>
                <c:pt idx="0">
                  <c:v>0.84815099496114099</c:v>
                </c:pt>
                <c:pt idx="1">
                  <c:v>0.73904088656205125</c:v>
                </c:pt>
                <c:pt idx="2">
                  <c:v>0.61568357015321162</c:v>
                </c:pt>
                <c:pt idx="3">
                  <c:v>0.57532247231646205</c:v>
                </c:pt>
                <c:pt idx="4">
                  <c:v>0.63083179336746864</c:v>
                </c:pt>
                <c:pt idx="5">
                  <c:v>0.64886284417374762</c:v>
                </c:pt>
                <c:pt idx="6">
                  <c:v>0.63200027870209285</c:v>
                </c:pt>
              </c:numCache>
            </c:numRef>
          </c:val>
        </c:ser>
        <c:ser>
          <c:idx val="3"/>
          <c:order val="3"/>
          <c:tx>
            <c:strRef>
              <c:f>List4!$AG$2:$AG$3</c:f>
              <c:strCache>
                <c:ptCount val="1"/>
                <c:pt idx="0">
                  <c:v>NSS žena - podobně staří</c:v>
                </c:pt>
              </c:strCache>
            </c:strRef>
          </c:tx>
          <c:spPr>
            <a:ln w="19050" cap="rnd">
              <a:solidFill>
                <a:srgbClr val="00B0F0"/>
              </a:solidFill>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List4!$AG$4:$AG$10</c:f>
              <c:numCache>
                <c:formatCode>###0%</c:formatCode>
                <c:ptCount val="7"/>
                <c:pt idx="0">
                  <c:v>0.20583510615204359</c:v>
                </c:pt>
                <c:pt idx="1">
                  <c:v>0.27935155602887235</c:v>
                </c:pt>
                <c:pt idx="2">
                  <c:v>0.29313101363332311</c:v>
                </c:pt>
                <c:pt idx="3">
                  <c:v>0.26640171998175782</c:v>
                </c:pt>
                <c:pt idx="4">
                  <c:v>0.20257640818388481</c:v>
                </c:pt>
                <c:pt idx="5">
                  <c:v>0.16350275566442141</c:v>
                </c:pt>
                <c:pt idx="6">
                  <c:v>0.16914230953521844</c:v>
                </c:pt>
              </c:numCache>
            </c:numRef>
          </c:val>
        </c:ser>
        <c:ser>
          <c:idx val="4"/>
          <c:order val="4"/>
          <c:tx>
            <c:strRef>
              <c:f>List4!$AH$2:$AH$3</c:f>
              <c:strCache>
                <c:ptCount val="1"/>
                <c:pt idx="0">
                  <c:v>NSS žena starší</c:v>
                </c:pt>
              </c:strCache>
            </c:strRef>
          </c:tx>
          <c:spPr>
            <a:ln w="19050" cap="rnd">
              <a:solidFill>
                <a:srgbClr val="00B0F0"/>
              </a:solidFill>
              <a:prstDash val="lgDashDot"/>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List4!$AH$4:$AH$10</c:f>
              <c:numCache>
                <c:formatCode>###0%</c:formatCode>
                <c:ptCount val="7"/>
                <c:pt idx="0">
                  <c:v>1.8364954630313138E-2</c:v>
                </c:pt>
                <c:pt idx="1">
                  <c:v>6.9009584664536813E-2</c:v>
                </c:pt>
                <c:pt idx="2">
                  <c:v>0.14833871108398011</c:v>
                </c:pt>
                <c:pt idx="3">
                  <c:v>0.21981888070884184</c:v>
                </c:pt>
                <c:pt idx="4">
                  <c:v>0.22960343521091189</c:v>
                </c:pt>
                <c:pt idx="5">
                  <c:v>0.20024494794856093</c:v>
                </c:pt>
                <c:pt idx="6">
                  <c:v>0.27886919022520534</c:v>
                </c:pt>
              </c:numCache>
            </c:numRef>
          </c:val>
        </c:ser>
        <c:ser>
          <c:idx val="5"/>
          <c:order val="5"/>
          <c:tx>
            <c:strRef>
              <c:f>List4!$AI$2:$AI$3</c:f>
              <c:strCache>
                <c:ptCount val="1"/>
                <c:pt idx="0">
                  <c:v>NSS žena mladší</c:v>
                </c:pt>
              </c:strCache>
            </c:strRef>
          </c:tx>
          <c:spPr>
            <a:ln w="19050" cap="rnd">
              <a:solidFill>
                <a:srgbClr val="00B0F0"/>
              </a:solidFill>
              <a:prstDash val="sysDash"/>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List4!$AI$4:$AI$10</c:f>
              <c:numCache>
                <c:formatCode>###0%</c:formatCode>
                <c:ptCount val="7"/>
                <c:pt idx="0">
                  <c:v>0.77579993921764756</c:v>
                </c:pt>
                <c:pt idx="1">
                  <c:v>0.65163885930659782</c:v>
                </c:pt>
                <c:pt idx="2">
                  <c:v>0.55853027528269528</c:v>
                </c:pt>
                <c:pt idx="3">
                  <c:v>0.51377939930940164</c:v>
                </c:pt>
                <c:pt idx="4">
                  <c:v>0.56782015660520679</c:v>
                </c:pt>
                <c:pt idx="5">
                  <c:v>0.63625229638701775</c:v>
                </c:pt>
                <c:pt idx="6">
                  <c:v>0.55198850023958179</c:v>
                </c:pt>
              </c:numCache>
            </c:numRef>
          </c:val>
        </c:ser>
        <c:ser>
          <c:idx val="6"/>
          <c:order val="6"/>
          <c:tx>
            <c:strRef>
              <c:f>List4!$AJ$2:$AJ$3</c:f>
              <c:strCache>
                <c:ptCount val="1"/>
                <c:pt idx="0">
                  <c:v>NSZM žena - podobně staří</c:v>
                </c:pt>
              </c:strCache>
            </c:strRef>
          </c:tx>
          <c:spPr>
            <a:ln w="19050" cap="rnd">
              <a:solidFill>
                <a:schemeClr val="accent3"/>
              </a:solidFill>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List4!$AJ$4:$AJ$10</c:f>
              <c:numCache>
                <c:formatCode>###0%</c:formatCode>
                <c:ptCount val="7"/>
                <c:pt idx="0">
                  <c:v>0.16856492027334852</c:v>
                </c:pt>
                <c:pt idx="1">
                  <c:v>0.19646799116997896</c:v>
                </c:pt>
                <c:pt idx="2">
                  <c:v>0.23434577358154449</c:v>
                </c:pt>
                <c:pt idx="3">
                  <c:v>0.23772823669373624</c:v>
                </c:pt>
                <c:pt idx="4">
                  <c:v>0.19747535881030701</c:v>
                </c:pt>
                <c:pt idx="5">
                  <c:v>0.20696112617848444</c:v>
                </c:pt>
                <c:pt idx="6">
                  <c:v>0.21055936841160924</c:v>
                </c:pt>
              </c:numCache>
            </c:numRef>
          </c:val>
        </c:ser>
        <c:ser>
          <c:idx val="7"/>
          <c:order val="7"/>
          <c:tx>
            <c:strRef>
              <c:f>List4!$AK$2:$AK$3</c:f>
              <c:strCache>
                <c:ptCount val="1"/>
                <c:pt idx="0">
                  <c:v>NSZM žena starší</c:v>
                </c:pt>
              </c:strCache>
            </c:strRef>
          </c:tx>
          <c:spPr>
            <a:ln w="19050" cap="rnd">
              <a:solidFill>
                <a:schemeClr val="accent3"/>
              </a:solidFill>
              <a:prstDash val="lgDashDot"/>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List4!$AK$4:$AK$10</c:f>
              <c:numCache>
                <c:formatCode>###0%</c:formatCode>
                <c:ptCount val="7"/>
                <c:pt idx="0">
                  <c:v>1.5945330296127679E-2</c:v>
                </c:pt>
                <c:pt idx="1">
                  <c:v>9.7445600756859041E-2</c:v>
                </c:pt>
                <c:pt idx="2">
                  <c:v>0.18785071702146641</c:v>
                </c:pt>
                <c:pt idx="3">
                  <c:v>0.25836652356075301</c:v>
                </c:pt>
                <c:pt idx="4">
                  <c:v>0.29269698541702732</c:v>
                </c:pt>
                <c:pt idx="5">
                  <c:v>0.27037324034611904</c:v>
                </c:pt>
                <c:pt idx="6">
                  <c:v>0.30964876867178037</c:v>
                </c:pt>
              </c:numCache>
            </c:numRef>
          </c:val>
        </c:ser>
        <c:ser>
          <c:idx val="8"/>
          <c:order val="8"/>
          <c:tx>
            <c:strRef>
              <c:f>List4!$AL$2:$AL$3</c:f>
              <c:strCache>
                <c:ptCount val="1"/>
                <c:pt idx="0">
                  <c:v>NSZM žena mladší</c:v>
                </c:pt>
              </c:strCache>
            </c:strRef>
          </c:tx>
          <c:spPr>
            <a:ln w="19050" cap="rnd">
              <a:solidFill>
                <a:schemeClr val="accent3"/>
              </a:solidFill>
              <a:prstDash val="sysDash"/>
              <a:round/>
            </a:ln>
            <a:effectLst/>
          </c:spPr>
          <c:marker>
            <c:symbol val="none"/>
          </c:marker>
          <c:cat>
            <c:strRef>
              <c:f>List4!$T$4:$T$10</c:f>
              <c:strCache>
                <c:ptCount val="7"/>
                <c:pt idx="0">
                  <c:v>-24</c:v>
                </c:pt>
                <c:pt idx="1">
                  <c:v>25-29</c:v>
                </c:pt>
                <c:pt idx="2">
                  <c:v>30-34</c:v>
                </c:pt>
                <c:pt idx="3">
                  <c:v>35-39</c:v>
                </c:pt>
                <c:pt idx="4">
                  <c:v>40-44</c:v>
                </c:pt>
                <c:pt idx="5">
                  <c:v>45-49</c:v>
                </c:pt>
                <c:pt idx="6">
                  <c:v>50+</c:v>
                </c:pt>
              </c:strCache>
            </c:strRef>
          </c:cat>
          <c:val>
            <c:numRef>
              <c:f>List4!$AL$4:$AL$10</c:f>
              <c:numCache>
                <c:formatCode>###0%</c:formatCode>
                <c:ptCount val="7"/>
                <c:pt idx="0">
                  <c:v>0.81548974943052388</c:v>
                </c:pt>
                <c:pt idx="1">
                  <c:v>0.70608640807316303</c:v>
                </c:pt>
                <c:pt idx="2">
                  <c:v>0.57780350939698943</c:v>
                </c:pt>
                <c:pt idx="3">
                  <c:v>0.50390523974551282</c:v>
                </c:pt>
                <c:pt idx="4">
                  <c:v>0.50982765577266376</c:v>
                </c:pt>
                <c:pt idx="5">
                  <c:v>0.52266563347540174</c:v>
                </c:pt>
                <c:pt idx="6">
                  <c:v>0.47979186291661058</c:v>
                </c:pt>
              </c:numCache>
            </c:numRef>
          </c:val>
        </c:ser>
        <c:marker val="1"/>
        <c:axId val="105637376"/>
        <c:axId val="105638912"/>
        <c:extLst/>
      </c:lineChart>
      <c:catAx>
        <c:axId val="105637376"/>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105638912"/>
        <c:crosses val="autoZero"/>
        <c:auto val="1"/>
        <c:lblAlgn val="ctr"/>
        <c:lblOffset val="100"/>
      </c:catAx>
      <c:valAx>
        <c:axId val="10563891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vert="horz"/>
          <a:lstStyle/>
          <a:p>
            <a:pPr>
              <a:defRPr/>
            </a:pPr>
            <a:endParaRPr lang="cs-CZ"/>
          </a:p>
        </c:txPr>
        <c:crossAx val="105637376"/>
        <c:crosses val="autoZero"/>
        <c:crossBetween val="between"/>
        <c:majorUnit val="0.2"/>
      </c:valAx>
      <c:spPr>
        <a:noFill/>
        <a:ln>
          <a:solidFill>
            <a:schemeClr val="bg1">
              <a:lumMod val="85000"/>
            </a:schemeClr>
          </a:solidFill>
        </a:ln>
        <a:effectLst/>
      </c:spPr>
    </c:plotArea>
    <c:legend>
      <c:legendPos val="b"/>
      <c:layout>
        <c:manualLayout>
          <c:xMode val="edge"/>
          <c:yMode val="edge"/>
          <c:x val="8.7969718742824127E-3"/>
          <c:y val="0.83073613271124858"/>
          <c:w val="0.98830490144517469"/>
          <c:h val="0.15655564195610874"/>
        </c:manualLayout>
      </c:layout>
      <c:spPr>
        <a:noFill/>
        <a:ln>
          <a:noFill/>
        </a:ln>
        <a:effectLst/>
      </c:spPr>
      <c:txPr>
        <a:bodyPr rot="0" vert="horz"/>
        <a:lstStyle/>
        <a:p>
          <a:pPr>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latin typeface="Arial" pitchFamily="34" charset="0"/>
          <a:cs typeface="Arial" pitchFamily="34" charset="0"/>
        </a:defRPr>
      </a:pPr>
      <a:endParaRPr lang="cs-CZ"/>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cs-CZ"/>
  <c:chart>
    <c:autoTitleDeleted val="1"/>
    <c:plotArea>
      <c:layout>
        <c:manualLayout>
          <c:layoutTarget val="inner"/>
          <c:xMode val="edge"/>
          <c:yMode val="edge"/>
          <c:x val="8.0634587891941556E-2"/>
          <c:y val="5.2566007591028821E-2"/>
          <c:w val="0.90984529744224163"/>
          <c:h val="0.71580434263899306"/>
        </c:manualLayout>
      </c:layout>
      <c:barChart>
        <c:barDir val="col"/>
        <c:grouping val="clustered"/>
        <c:ser>
          <c:idx val="0"/>
          <c:order val="0"/>
          <c:tx>
            <c:strRef>
              <c:f>'podle dom'!$AF$4:$AF$5</c:f>
              <c:strCache>
                <c:ptCount val="1"/>
                <c:pt idx="0">
                  <c:v>muži v manželství</c:v>
                </c:pt>
              </c:strCache>
            </c:strRef>
          </c:tx>
          <c:spPr>
            <a:solidFill>
              <a:schemeClr val="accent1">
                <a:lumMod val="50000"/>
              </a:schemeClr>
            </a:solidFill>
            <a:ln>
              <a:noFill/>
            </a:ln>
            <a:effectLst/>
          </c:spPr>
          <c:dLbls>
            <c:dLbl>
              <c:idx val="0"/>
              <c:layout>
                <c:manualLayout>
                  <c:x val="-2.3518344308560675E-3"/>
                  <c:y val="8.8888888888889767E-2"/>
                </c:manualLayout>
              </c:layout>
              <c:showVal val="1"/>
            </c:dLbl>
            <c:dLbl>
              <c:idx val="4"/>
              <c:layout>
                <c:manualLayout>
                  <c:x val="0"/>
                  <c:y val="-2.9630096237970256E-2"/>
                </c:manualLayout>
              </c:layout>
              <c:showVal val="1"/>
            </c:dLbl>
            <c:spPr>
              <a:solidFill>
                <a:schemeClr val="bg1"/>
              </a:solidFill>
              <a:ln>
                <a:solidFill>
                  <a:schemeClr val="tx2"/>
                </a:solidFill>
              </a:ln>
            </c:spPr>
            <c:txPr>
              <a:bodyPr/>
              <a:lstStyle/>
              <a:p>
                <a:pPr>
                  <a:defRPr sz="600"/>
                </a:pPr>
                <a:endParaRPr lang="cs-CZ"/>
              </a:p>
            </c:txPr>
            <c:showVal val="1"/>
          </c:dLbls>
          <c:cat>
            <c:strRef>
              <c:f>'podle dom'!$AE$6:$AE$13</c:f>
              <c:strCache>
                <c:ptCount val="8"/>
                <c:pt idx="0">
                  <c:v>bez víry a ateisté</c:v>
                </c:pt>
                <c:pt idx="1">
                  <c:v>křesťanské církve</c:v>
                </c:pt>
                <c:pt idx="2">
                  <c:v>judaismus</c:v>
                </c:pt>
                <c:pt idx="3">
                  <c:v>islám</c:v>
                </c:pt>
                <c:pt idx="4">
                  <c:v>budhismus</c:v>
                </c:pt>
                <c:pt idx="5">
                  <c:v>hinduismus</c:v>
                </c:pt>
                <c:pt idx="6">
                  <c:v>jiné</c:v>
                </c:pt>
                <c:pt idx="7">
                  <c:v>veřící, nehlásí se k žádné církvi</c:v>
                </c:pt>
              </c:strCache>
            </c:strRef>
          </c:cat>
          <c:val>
            <c:numRef>
              <c:f>'podle dom'!$AF$6:$AF$13</c:f>
              <c:numCache>
                <c:formatCode>0.0</c:formatCode>
                <c:ptCount val="8"/>
                <c:pt idx="0">
                  <c:v>85.012721200105645</c:v>
                </c:pt>
                <c:pt idx="1">
                  <c:v>77.61738547397897</c:v>
                </c:pt>
                <c:pt idx="2">
                  <c:v>28.504672897196226</c:v>
                </c:pt>
                <c:pt idx="3">
                  <c:v>32.976827094474146</c:v>
                </c:pt>
                <c:pt idx="4">
                  <c:v>34.44148936170189</c:v>
                </c:pt>
                <c:pt idx="5">
                  <c:v>31.578947368421026</c:v>
                </c:pt>
                <c:pt idx="6">
                  <c:v>51.044159234283228</c:v>
                </c:pt>
                <c:pt idx="7">
                  <c:v>61.504601840736171</c:v>
                </c:pt>
              </c:numCache>
            </c:numRef>
          </c:val>
        </c:ser>
        <c:ser>
          <c:idx val="1"/>
          <c:order val="1"/>
          <c:tx>
            <c:strRef>
              <c:f>'podle dom'!$AG$4:$AG$5</c:f>
              <c:strCache>
                <c:ptCount val="1"/>
                <c:pt idx="0">
                  <c:v>muži v nesezdaném soužití</c:v>
                </c:pt>
              </c:strCache>
            </c:strRef>
          </c:tx>
          <c:spPr>
            <a:solidFill>
              <a:schemeClr val="accent1"/>
            </a:solidFill>
            <a:ln>
              <a:noFill/>
            </a:ln>
            <a:effectLst/>
          </c:spPr>
          <c:dLbls>
            <c:dLbl>
              <c:idx val="0"/>
              <c:layout>
                <c:manualLayout>
                  <c:x val="-4.703668861712214E-3"/>
                  <c:y val="5.9259259259259274E-3"/>
                </c:manualLayout>
              </c:layout>
              <c:showVal val="1"/>
            </c:dLbl>
            <c:dLbl>
              <c:idx val="4"/>
              <c:layout>
                <c:manualLayout>
                  <c:x val="2.3518344308560675E-3"/>
                  <c:y val="-5.9259259259259274E-3"/>
                </c:manualLayout>
              </c:layout>
              <c:showVal val="1"/>
            </c:dLbl>
            <c:dLbl>
              <c:idx val="7"/>
              <c:layout>
                <c:manualLayout>
                  <c:x val="0"/>
                  <c:y val="8.8888888888889767E-2"/>
                </c:manualLayout>
              </c:layout>
              <c:showVal val="1"/>
            </c:dLbl>
            <c:spPr>
              <a:solidFill>
                <a:sysClr val="window" lastClr="FFFFFF"/>
              </a:solidFill>
              <a:ln>
                <a:solidFill>
                  <a:schemeClr val="accent1"/>
                </a:solidFill>
              </a:ln>
            </c:spPr>
            <c:txPr>
              <a:bodyPr/>
              <a:lstStyle/>
              <a:p>
                <a:pPr>
                  <a:defRPr sz="600"/>
                </a:pPr>
                <a:endParaRPr lang="cs-CZ"/>
              </a:p>
            </c:txPr>
            <c:showVal val="1"/>
          </c:dLbls>
          <c:cat>
            <c:strRef>
              <c:f>'podle dom'!$AE$6:$AE$13</c:f>
              <c:strCache>
                <c:ptCount val="8"/>
                <c:pt idx="0">
                  <c:v>bez víry a ateisté</c:v>
                </c:pt>
                <c:pt idx="1">
                  <c:v>křesťanské církve</c:v>
                </c:pt>
                <c:pt idx="2">
                  <c:v>judaismus</c:v>
                </c:pt>
                <c:pt idx="3">
                  <c:v>islám</c:v>
                </c:pt>
                <c:pt idx="4">
                  <c:v>budhismus</c:v>
                </c:pt>
                <c:pt idx="5">
                  <c:v>hinduismus</c:v>
                </c:pt>
                <c:pt idx="6">
                  <c:v>jiné</c:v>
                </c:pt>
                <c:pt idx="7">
                  <c:v>veřící, nehlásí se k žádné církvi</c:v>
                </c:pt>
              </c:strCache>
            </c:strRef>
          </c:cat>
          <c:val>
            <c:numRef>
              <c:f>'podle dom'!$AG$6:$AG$13</c:f>
              <c:numCache>
                <c:formatCode>0.0</c:formatCode>
                <c:ptCount val="8"/>
                <c:pt idx="0">
                  <c:v>85.544415202497532</c:v>
                </c:pt>
                <c:pt idx="1">
                  <c:v>51.760875998816211</c:v>
                </c:pt>
                <c:pt idx="2">
                  <c:v>4.6511627906976925</c:v>
                </c:pt>
                <c:pt idx="3">
                  <c:v>21.649484536082475</c:v>
                </c:pt>
                <c:pt idx="4">
                  <c:v>31.16883116883119</c:v>
                </c:pt>
                <c:pt idx="5">
                  <c:v>11.702127659574469</c:v>
                </c:pt>
                <c:pt idx="6">
                  <c:v>32.052161976664344</c:v>
                </c:pt>
                <c:pt idx="7">
                  <c:v>51.462678735406008</c:v>
                </c:pt>
              </c:numCache>
            </c:numRef>
          </c:val>
        </c:ser>
        <c:ser>
          <c:idx val="2"/>
          <c:order val="2"/>
          <c:tx>
            <c:strRef>
              <c:f>'podle dom'!$AH$4:$AH$5</c:f>
              <c:strCache>
                <c:ptCount val="1"/>
                <c:pt idx="0">
                  <c:v>ženy v manželství</c:v>
                </c:pt>
              </c:strCache>
            </c:strRef>
          </c:tx>
          <c:spPr>
            <a:solidFill>
              <a:srgbClr val="C00000"/>
            </a:solidFill>
            <a:ln>
              <a:noFill/>
            </a:ln>
            <a:effectLst/>
          </c:spPr>
          <c:dLbls>
            <c:dLbl>
              <c:idx val="0"/>
              <c:layout>
                <c:manualLayout>
                  <c:x val="0"/>
                  <c:y val="-1.1851851851851863E-2"/>
                </c:manualLayout>
              </c:layout>
              <c:showVal val="1"/>
            </c:dLbl>
            <c:dLbl>
              <c:idx val="4"/>
              <c:layout>
                <c:manualLayout>
                  <c:x val="0"/>
                  <c:y val="-1.1851851851851863E-2"/>
                </c:manualLayout>
              </c:layout>
              <c:showVal val="1"/>
            </c:dLbl>
            <c:spPr>
              <a:solidFill>
                <a:sysClr val="window" lastClr="FFFFFF"/>
              </a:solidFill>
              <a:ln>
                <a:solidFill>
                  <a:srgbClr val="C00000"/>
                </a:solidFill>
              </a:ln>
            </c:spPr>
            <c:txPr>
              <a:bodyPr/>
              <a:lstStyle/>
              <a:p>
                <a:pPr>
                  <a:defRPr sz="600"/>
                </a:pPr>
                <a:endParaRPr lang="cs-CZ"/>
              </a:p>
            </c:txPr>
            <c:showVal val="1"/>
          </c:dLbls>
          <c:cat>
            <c:strRef>
              <c:f>'podle dom'!$AE$6:$AE$13</c:f>
              <c:strCache>
                <c:ptCount val="8"/>
                <c:pt idx="0">
                  <c:v>bez víry a ateisté</c:v>
                </c:pt>
                <c:pt idx="1">
                  <c:v>křesťanské církve</c:v>
                </c:pt>
                <c:pt idx="2">
                  <c:v>judaismus</c:v>
                </c:pt>
                <c:pt idx="3">
                  <c:v>islám</c:v>
                </c:pt>
                <c:pt idx="4">
                  <c:v>budhismus</c:v>
                </c:pt>
                <c:pt idx="5">
                  <c:v>hinduismus</c:v>
                </c:pt>
                <c:pt idx="6">
                  <c:v>jiné</c:v>
                </c:pt>
                <c:pt idx="7">
                  <c:v>veřící, nehlásí se k žádné církvi</c:v>
                </c:pt>
              </c:strCache>
            </c:strRef>
          </c:cat>
          <c:val>
            <c:numRef>
              <c:f>'podle dom'!$AH$6:$AH$13</c:f>
              <c:numCache>
                <c:formatCode>0.0</c:formatCode>
                <c:ptCount val="8"/>
                <c:pt idx="0">
                  <c:v>90.691009863417264</c:v>
                </c:pt>
                <c:pt idx="1">
                  <c:v>70.885442180790875</c:v>
                </c:pt>
                <c:pt idx="2">
                  <c:v>40.397350993377486</c:v>
                </c:pt>
                <c:pt idx="3">
                  <c:v>81.140350877192958</c:v>
                </c:pt>
                <c:pt idx="4">
                  <c:v>49.146110056926013</c:v>
                </c:pt>
                <c:pt idx="5">
                  <c:v>47.222222222222342</c:v>
                </c:pt>
                <c:pt idx="6">
                  <c:v>59.639090100393958</c:v>
                </c:pt>
                <c:pt idx="7">
                  <c:v>54.226394545301162</c:v>
                </c:pt>
              </c:numCache>
            </c:numRef>
          </c:val>
        </c:ser>
        <c:ser>
          <c:idx val="3"/>
          <c:order val="3"/>
          <c:tx>
            <c:strRef>
              <c:f>'podle dom'!$AI$4:$AI$5</c:f>
              <c:strCache>
                <c:ptCount val="1"/>
                <c:pt idx="0">
                  <c:v>ženy v nesezdaném soužití</c:v>
                </c:pt>
              </c:strCache>
            </c:strRef>
          </c:tx>
          <c:spPr>
            <a:solidFill>
              <a:schemeClr val="accent2">
                <a:lumMod val="60000"/>
                <a:lumOff val="40000"/>
              </a:schemeClr>
            </a:solidFill>
            <a:ln>
              <a:noFill/>
            </a:ln>
            <a:effectLst/>
          </c:spPr>
          <c:dLbls>
            <c:dLbl>
              <c:idx val="0"/>
              <c:layout>
                <c:manualLayout>
                  <c:x val="0"/>
                  <c:y val="2.370370370370381E-2"/>
                </c:manualLayout>
              </c:layout>
              <c:showVal val="1"/>
            </c:dLbl>
            <c:dLbl>
              <c:idx val="4"/>
              <c:layout>
                <c:manualLayout>
                  <c:x val="0"/>
                  <c:y val="1.7777777777777781E-2"/>
                </c:manualLayout>
              </c:layout>
              <c:showVal val="1"/>
            </c:dLbl>
            <c:spPr>
              <a:solidFill>
                <a:sysClr val="window" lastClr="FFFFFF"/>
              </a:solidFill>
              <a:ln>
                <a:solidFill>
                  <a:schemeClr val="accent2">
                    <a:lumMod val="60000"/>
                    <a:lumOff val="40000"/>
                  </a:schemeClr>
                </a:solidFill>
              </a:ln>
            </c:spPr>
            <c:txPr>
              <a:bodyPr/>
              <a:lstStyle/>
              <a:p>
                <a:pPr>
                  <a:defRPr sz="600"/>
                </a:pPr>
                <a:endParaRPr lang="cs-CZ"/>
              </a:p>
            </c:txPr>
            <c:showVal val="1"/>
          </c:dLbls>
          <c:cat>
            <c:strRef>
              <c:f>'podle dom'!$AE$6:$AE$13</c:f>
              <c:strCache>
                <c:ptCount val="8"/>
                <c:pt idx="0">
                  <c:v>bez víry a ateisté</c:v>
                </c:pt>
                <c:pt idx="1">
                  <c:v>křesťanské církve</c:v>
                </c:pt>
                <c:pt idx="2">
                  <c:v>judaismus</c:v>
                </c:pt>
                <c:pt idx="3">
                  <c:v>islám</c:v>
                </c:pt>
                <c:pt idx="4">
                  <c:v>budhismus</c:v>
                </c:pt>
                <c:pt idx="5">
                  <c:v>hinduismus</c:v>
                </c:pt>
                <c:pt idx="6">
                  <c:v>jiné</c:v>
                </c:pt>
                <c:pt idx="7">
                  <c:v>veřící, nehlásí se k žádné církvi</c:v>
                </c:pt>
              </c:strCache>
            </c:strRef>
          </c:cat>
          <c:val>
            <c:numRef>
              <c:f>'podle dom'!$AI$6:$AI$13</c:f>
              <c:numCache>
                <c:formatCode>0.0</c:formatCode>
                <c:ptCount val="8"/>
                <c:pt idx="0">
                  <c:v>88.814894299589582</c:v>
                </c:pt>
                <c:pt idx="1">
                  <c:v>45.511319281811076</c:v>
                </c:pt>
                <c:pt idx="2">
                  <c:v>9.5238095238095237</c:v>
                </c:pt>
                <c:pt idx="3">
                  <c:v>65.624999999999986</c:v>
                </c:pt>
                <c:pt idx="4">
                  <c:v>45.283018867924532</c:v>
                </c:pt>
                <c:pt idx="5">
                  <c:v>26.829268292682933</c:v>
                </c:pt>
                <c:pt idx="6">
                  <c:v>53.249714937286207</c:v>
                </c:pt>
                <c:pt idx="7">
                  <c:v>44.483501530785801</c:v>
                </c:pt>
              </c:numCache>
            </c:numRef>
          </c:val>
        </c:ser>
        <c:gapWidth val="54"/>
        <c:overlap val="-27"/>
        <c:axId val="105761408"/>
        <c:axId val="105771392"/>
      </c:barChart>
      <c:catAx>
        <c:axId val="105761408"/>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vert="horz" anchor="ctr" anchorCtr="0"/>
          <a:lstStyle/>
          <a:p>
            <a:pPr>
              <a:defRPr sz="700"/>
            </a:pPr>
            <a:endParaRPr lang="cs-CZ"/>
          </a:p>
        </c:txPr>
        <c:crossAx val="105771392"/>
        <c:crosses val="autoZero"/>
        <c:auto val="1"/>
        <c:lblAlgn val="ctr"/>
        <c:lblOffset val="100"/>
      </c:catAx>
      <c:valAx>
        <c:axId val="105771392"/>
        <c:scaling>
          <c:orientation val="minMax"/>
          <c:max val="100"/>
        </c:scaling>
        <c:axPos val="l"/>
        <c:majorGridlines>
          <c:spPr>
            <a:ln w="9525" cap="flat" cmpd="sng" algn="ctr">
              <a:solidFill>
                <a:schemeClr val="tx1">
                  <a:lumMod val="15000"/>
                  <a:lumOff val="85000"/>
                </a:schemeClr>
              </a:solidFill>
              <a:round/>
            </a:ln>
            <a:effectLst/>
          </c:spPr>
        </c:majorGridlines>
        <c:title>
          <c:tx>
            <c:rich>
              <a:bodyPr rot="-5400000" vert="horz"/>
              <a:lstStyle/>
              <a:p>
                <a:pPr>
                  <a:defRPr sz="800"/>
                </a:pPr>
                <a:r>
                  <a:rPr lang="en-US" sz="800"/>
                  <a:t>podíl (%)</a:t>
                </a:r>
              </a:p>
            </c:rich>
          </c:tx>
          <c:layout>
            <c:manualLayout>
              <c:xMode val="edge"/>
              <c:yMode val="edge"/>
              <c:x val="6.9060599551115211E-3"/>
              <c:y val="0.23145826771653544"/>
            </c:manualLayout>
          </c:layout>
          <c:spPr>
            <a:noFill/>
            <a:ln>
              <a:noFill/>
            </a:ln>
            <a:effectLst/>
          </c:spPr>
        </c:title>
        <c:numFmt formatCode="0" sourceLinked="0"/>
        <c:majorTickMark val="none"/>
        <c:tickLblPos val="nextTo"/>
        <c:spPr>
          <a:noFill/>
          <a:ln>
            <a:noFill/>
          </a:ln>
          <a:effectLst/>
        </c:spPr>
        <c:txPr>
          <a:bodyPr rot="-60000000" vert="horz"/>
          <a:lstStyle/>
          <a:p>
            <a:pPr>
              <a:defRPr sz="800"/>
            </a:pPr>
            <a:endParaRPr lang="cs-CZ"/>
          </a:p>
        </c:txPr>
        <c:crossAx val="105761408"/>
        <c:crosses val="autoZero"/>
        <c:crossBetween val="between"/>
        <c:majorUnit val="10"/>
      </c:valAx>
      <c:spPr>
        <a:noFill/>
        <a:ln>
          <a:solidFill>
            <a:schemeClr val="bg1">
              <a:lumMod val="85000"/>
            </a:schemeClr>
          </a:solidFill>
        </a:ln>
        <a:effectLst/>
      </c:spPr>
    </c:plotArea>
    <c:legend>
      <c:legendPos val="b"/>
      <c:layout>
        <c:manualLayout>
          <c:xMode val="edge"/>
          <c:yMode val="edge"/>
          <c:x val="0"/>
          <c:y val="0.90050183727034161"/>
          <c:w val="0.99877704609595486"/>
          <c:h val="9.8260844667144048E-2"/>
        </c:manualLayout>
      </c:layout>
      <c:spPr>
        <a:noFill/>
        <a:ln>
          <a:noFill/>
        </a:ln>
        <a:effectLst/>
      </c:spPr>
      <c:txPr>
        <a:bodyPr rot="0" vert="horz"/>
        <a:lstStyle/>
        <a:p>
          <a:pPr>
            <a:defRPr sz="800"/>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cs-CZ"/>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9.5583366049140528E-2"/>
          <c:y val="5.0925925925925923E-2"/>
          <c:w val="0.90441663395085958"/>
          <c:h val="0.75209610993747733"/>
        </c:manualLayout>
      </c:layout>
      <c:barChart>
        <c:barDir val="col"/>
        <c:grouping val="clustered"/>
        <c:ser>
          <c:idx val="0"/>
          <c:order val="0"/>
          <c:tx>
            <c:strRef>
              <c:f>'nar ženy'!$AC$20</c:f>
              <c:strCache>
                <c:ptCount val="1"/>
                <c:pt idx="0">
                  <c:v>manželé</c:v>
                </c:pt>
              </c:strCache>
            </c:strRef>
          </c:tx>
          <c:spPr>
            <a:solidFill>
              <a:schemeClr val="accent1">
                <a:lumMod val="50000"/>
              </a:schemeClr>
            </a:solidFill>
            <a:ln>
              <a:noFill/>
            </a:ln>
            <a:effectLst/>
          </c:spPr>
          <c:dLbls>
            <c:dLbl>
              <c:idx val="0"/>
              <c:layout>
                <c:manualLayout>
                  <c:x val="0"/>
                  <c:y val="7.407407407407407E-2"/>
                </c:manualLayout>
              </c:layout>
              <c:showVal val="1"/>
              <c:extLst>
                <c:ext xmlns:c15="http://schemas.microsoft.com/office/drawing/2012/chart" uri="{CE6537A1-D6FC-4f65-9D91-7224C49458BB}">
                  <c15:layout/>
                </c:ext>
              </c:extLst>
            </c:dLbl>
            <c:dLbl>
              <c:idx val="2"/>
              <c:layout>
                <c:manualLayout>
                  <c:x val="0"/>
                  <c:y val="-3.7037037037037056E-2"/>
                </c:manualLayout>
              </c:layout>
              <c:showVal val="1"/>
              <c:extLst>
                <c:ext xmlns:c15="http://schemas.microsoft.com/office/drawing/2012/chart" uri="{CE6537A1-D6FC-4f65-9D91-7224C49458BB}">
                  <c15:layout/>
                </c:ext>
              </c:extLst>
            </c:dLbl>
            <c:dLbl>
              <c:idx val="4"/>
              <c:layout>
                <c:manualLayout>
                  <c:x val="-5.0925337632081943E-17"/>
                  <c:y val="-3.7037037037037056E-2"/>
                </c:manualLayout>
              </c:layout>
              <c:showVal val="1"/>
              <c:extLst>
                <c:ext xmlns:c15="http://schemas.microsoft.com/office/drawing/2012/chart" uri="{CE6537A1-D6FC-4f65-9D91-7224C49458BB}">
                  <c15:layout/>
                </c:ext>
              </c:extLst>
            </c:dLbl>
            <c:dLbl>
              <c:idx val="6"/>
              <c:layout>
                <c:manualLayout>
                  <c:x val="-1.0185067526416327E-16"/>
                  <c:y val="-4.6296296296296944E-3"/>
                </c:manualLayout>
              </c:layout>
              <c:showVal val="1"/>
              <c:extLst>
                <c:ext xmlns:c15="http://schemas.microsoft.com/office/drawing/2012/chart" uri="{CE6537A1-D6FC-4f65-9D91-7224C49458BB}">
                  <c15:layout/>
                </c:ext>
              </c:extLst>
            </c:dLbl>
            <c:dLbl>
              <c:idx val="7"/>
              <c:layout>
                <c:manualLayout>
                  <c:x val="-8.3333333333333367E-3"/>
                  <c:y val="-2.3148148148148147E-2"/>
                </c:manualLayout>
              </c:layout>
              <c:showVal val="1"/>
              <c:extLst>
                <c:ext xmlns:c15="http://schemas.microsoft.com/office/drawing/2012/chart" uri="{CE6537A1-D6FC-4f65-9D91-7224C49458BB}">
                  <c15:layout/>
                </c:ext>
              </c:extLst>
            </c:dLbl>
            <c:dLbl>
              <c:idx val="8"/>
              <c:layout>
                <c:manualLayout>
                  <c:x val="-8.3333333333333367E-3"/>
                  <c:y val="-1.3888888888889055E-2"/>
                </c:manualLayout>
              </c:layout>
              <c:showVal val="1"/>
              <c:extLst>
                <c:ext xmlns:c15="http://schemas.microsoft.com/office/drawing/2012/chart" uri="{CE6537A1-D6FC-4f65-9D91-7224C49458BB}">
                  <c15:layout/>
                </c:ext>
              </c:extLst>
            </c:dLbl>
            <c:dLbl>
              <c:idx val="10"/>
              <c:layout>
                <c:manualLayout>
                  <c:x val="-2.7777777777778382E-3"/>
                  <c:y val="-4.1666666666666664E-2"/>
                </c:manualLayout>
              </c:layout>
              <c:showVal val="1"/>
              <c:extLst>
                <c:ext xmlns:c15="http://schemas.microsoft.com/office/drawing/2012/chart" uri="{CE6537A1-D6FC-4f65-9D91-7224C49458BB}">
                  <c15:layout/>
                </c:ext>
              </c:extLst>
            </c:dLbl>
            <c:spPr>
              <a:solidFill>
                <a:schemeClr val="bg1"/>
              </a:solidFill>
              <a:ln>
                <a:solidFill>
                  <a:schemeClr val="accent1">
                    <a:lumMod val="50000"/>
                  </a:schemeClr>
                </a:solidFill>
              </a:ln>
              <a:effectLst/>
            </c:spPr>
            <c:txPr>
              <a:bodyPr rot="0" vert="horz"/>
              <a:lstStyle/>
              <a:p>
                <a:pPr>
                  <a:defRPr/>
                </a:pPr>
                <a:endParaRPr lang="cs-CZ"/>
              </a:p>
            </c:txPr>
            <c:showVal val="1"/>
            <c:extLst>
              <c:ext xmlns:c15="http://schemas.microsoft.com/office/drawing/2012/chart" uri="{CE6537A1-D6FC-4f65-9D91-7224C49458BB}">
                <c15:layout/>
                <c15:showLeaderLines val="0"/>
              </c:ext>
            </c:extLst>
          </c:dLbls>
          <c:cat>
            <c:multiLvlStrRef>
              <c:f>'nar ženy'!$AA$21:$AB$32</c:f>
              <c:multiLvlStrCache>
                <c:ptCount val="12"/>
                <c:lvl>
                  <c:pt idx="0">
                    <c:v>slovenská</c:v>
                  </c:pt>
                  <c:pt idx="1">
                    <c:v>polská</c:v>
                  </c:pt>
                  <c:pt idx="2">
                    <c:v>německá</c:v>
                  </c:pt>
                  <c:pt idx="3">
                    <c:v>ukrajinská</c:v>
                  </c:pt>
                  <c:pt idx="4">
                    <c:v>ruská</c:v>
                  </c:pt>
                  <c:pt idx="5">
                    <c:v>maďarská</c:v>
                  </c:pt>
                  <c:pt idx="6">
                    <c:v>slovenská</c:v>
                  </c:pt>
                  <c:pt idx="7">
                    <c:v>německá</c:v>
                  </c:pt>
                  <c:pt idx="8">
                    <c:v>polská</c:v>
                  </c:pt>
                  <c:pt idx="9">
                    <c:v>maďarská</c:v>
                  </c:pt>
                  <c:pt idx="10">
                    <c:v>ukrajinská</c:v>
                  </c:pt>
                  <c:pt idx="11">
                    <c:v>bulharská</c:v>
                  </c:pt>
                </c:lvl>
                <c:lvl>
                  <c:pt idx="0">
                    <c:v>muž</c:v>
                  </c:pt>
                  <c:pt idx="6">
                    <c:v>ženy</c:v>
                  </c:pt>
                </c:lvl>
              </c:multiLvlStrCache>
            </c:multiLvlStrRef>
          </c:cat>
          <c:val>
            <c:numRef>
              <c:f>'nar ženy'!$AC$21:$AC$32</c:f>
              <c:numCache>
                <c:formatCode>0.0</c:formatCode>
                <c:ptCount val="12"/>
                <c:pt idx="0">
                  <c:v>59.143147913719055</c:v>
                </c:pt>
                <c:pt idx="1">
                  <c:v>13.962320351478144</c:v>
                </c:pt>
                <c:pt idx="2">
                  <c:v>7.7121652145853465</c:v>
                </c:pt>
                <c:pt idx="3">
                  <c:v>6.2203688534763071</c:v>
                </c:pt>
                <c:pt idx="4">
                  <c:v>2.9190557748156967</c:v>
                </c:pt>
                <c:pt idx="5">
                  <c:v>2.8743763496909671</c:v>
                </c:pt>
                <c:pt idx="6">
                  <c:v>56.966510200397181</c:v>
                </c:pt>
                <c:pt idx="7">
                  <c:v>10.633688391406396</c:v>
                </c:pt>
                <c:pt idx="8">
                  <c:v>8.8418487091532683</c:v>
                </c:pt>
                <c:pt idx="9">
                  <c:v>3.7439068423903619</c:v>
                </c:pt>
                <c:pt idx="10">
                  <c:v>1.7083408557501356</c:v>
                </c:pt>
                <c:pt idx="11">
                  <c:v>1.1780104712041901</c:v>
                </c:pt>
              </c:numCache>
            </c:numRef>
          </c:val>
        </c:ser>
        <c:ser>
          <c:idx val="1"/>
          <c:order val="1"/>
          <c:tx>
            <c:strRef>
              <c:f>'nar ženy'!$AD$20</c:f>
              <c:strCache>
                <c:ptCount val="1"/>
                <c:pt idx="0">
                  <c:v>nesezdaná soužití</c:v>
                </c:pt>
              </c:strCache>
            </c:strRef>
          </c:tx>
          <c:spPr>
            <a:solidFill>
              <a:schemeClr val="accent3"/>
            </a:solidFill>
            <a:ln>
              <a:noFill/>
            </a:ln>
            <a:effectLst/>
          </c:spPr>
          <c:dLbls>
            <c:dLbl>
              <c:idx val="0"/>
              <c:layout>
                <c:manualLayout>
                  <c:x val="-1.2731334408020461E-17"/>
                  <c:y val="-5.3047226700085297E-18"/>
                </c:manualLayout>
              </c:layout>
              <c:showVal val="1"/>
              <c:extLst>
                <c:ext xmlns:c15="http://schemas.microsoft.com/office/drawing/2012/chart" uri="{CE6537A1-D6FC-4f65-9D91-7224C49458BB}">
                  <c15:layout/>
                </c:ext>
              </c:extLst>
            </c:dLbl>
            <c:dLbl>
              <c:idx val="1"/>
              <c:layout>
                <c:manualLayout>
                  <c:x val="0"/>
                  <c:y val="7.8703703703703734E-2"/>
                </c:manualLayout>
              </c:layout>
              <c:showVal val="1"/>
              <c:extLst>
                <c:ext xmlns:c15="http://schemas.microsoft.com/office/drawing/2012/chart" uri="{CE6537A1-D6FC-4f65-9D91-7224C49458BB}">
                  <c15:layout/>
                </c:ext>
              </c:extLst>
            </c:dLbl>
            <c:dLbl>
              <c:idx val="2"/>
              <c:layout>
                <c:manualLayout>
                  <c:x val="0"/>
                  <c:y val="9.2592592592593316E-3"/>
                </c:manualLayout>
              </c:layout>
              <c:showVal val="1"/>
              <c:extLst>
                <c:ext xmlns:c15="http://schemas.microsoft.com/office/drawing/2012/chart" uri="{CE6537A1-D6FC-4f65-9D91-7224C49458BB}">
                  <c15:layout/>
                </c:ext>
              </c:extLst>
            </c:dLbl>
            <c:dLbl>
              <c:idx val="3"/>
              <c:layout>
                <c:manualLayout>
                  <c:x val="2.7777777777778382E-3"/>
                  <c:y val="-3.7037037037037056E-2"/>
                </c:manualLayout>
              </c:layout>
              <c:showVal val="1"/>
              <c:extLst>
                <c:ext xmlns:c15="http://schemas.microsoft.com/office/drawing/2012/chart" uri="{CE6537A1-D6FC-4f65-9D91-7224C49458BB}">
                  <c15:layout/>
                </c:ext>
              </c:extLst>
            </c:dLbl>
            <c:dLbl>
              <c:idx val="5"/>
              <c:layout>
                <c:manualLayout>
                  <c:x val="0"/>
                  <c:y val="-3.7037037037037056E-2"/>
                </c:manualLayout>
              </c:layout>
              <c:showVal val="1"/>
              <c:extLst>
                <c:ext xmlns:c15="http://schemas.microsoft.com/office/drawing/2012/chart" uri="{CE6537A1-D6FC-4f65-9D91-7224C49458BB}">
                  <c15:layout/>
                </c:ext>
              </c:extLst>
            </c:dLbl>
            <c:dLbl>
              <c:idx val="6"/>
              <c:layout>
                <c:manualLayout>
                  <c:x val="0"/>
                  <c:y val="8.7962962962963548E-2"/>
                </c:manualLayout>
              </c:layout>
              <c:showVal val="1"/>
              <c:extLst>
                <c:ext xmlns:c15="http://schemas.microsoft.com/office/drawing/2012/chart" uri="{CE6537A1-D6FC-4f65-9D91-7224C49458BB}">
                  <c15:layout/>
                </c:ext>
              </c:extLst>
            </c:dLbl>
            <c:dLbl>
              <c:idx val="9"/>
              <c:layout>
                <c:manualLayout>
                  <c:x val="-1.0185067526416327E-16"/>
                  <c:y val="-2.7777777777778297E-2"/>
                </c:manualLayout>
              </c:layout>
              <c:showVal val="1"/>
              <c:extLst>
                <c:ext xmlns:c15="http://schemas.microsoft.com/office/drawing/2012/chart" uri="{CE6537A1-D6FC-4f65-9D91-7224C49458BB}">
                  <c15:layout/>
                </c:ext>
              </c:extLst>
            </c:dLbl>
            <c:dLbl>
              <c:idx val="11"/>
              <c:layout>
                <c:manualLayout>
                  <c:x val="0"/>
                  <c:y val="-3.7037037037037056E-2"/>
                </c:manualLayout>
              </c:layout>
              <c:showVal val="1"/>
              <c:extLst>
                <c:ext xmlns:c15="http://schemas.microsoft.com/office/drawing/2012/chart" uri="{CE6537A1-D6FC-4f65-9D91-7224C49458BB}">
                  <c15:layout/>
                </c:ext>
              </c:extLst>
            </c:dLbl>
            <c:spPr>
              <a:solidFill>
                <a:schemeClr val="bg1"/>
              </a:solidFill>
              <a:ln>
                <a:solidFill>
                  <a:schemeClr val="accent3"/>
                </a:solidFill>
              </a:ln>
              <a:effectLst/>
            </c:spPr>
            <c:txPr>
              <a:bodyPr rot="0" vert="horz"/>
              <a:lstStyle/>
              <a:p>
                <a:pPr>
                  <a:defRPr/>
                </a:pPr>
                <a:endParaRPr lang="cs-CZ"/>
              </a:p>
            </c:txPr>
            <c:showVal val="1"/>
            <c:extLst>
              <c:ext xmlns:c15="http://schemas.microsoft.com/office/drawing/2012/chart" uri="{CE6537A1-D6FC-4f65-9D91-7224C49458BB}">
                <c15:layout/>
                <c15:showLeaderLines val="0"/>
              </c:ext>
            </c:extLst>
          </c:dLbls>
          <c:cat>
            <c:multiLvlStrRef>
              <c:f>'nar ženy'!$AA$21:$AB$32</c:f>
              <c:multiLvlStrCache>
                <c:ptCount val="12"/>
                <c:lvl>
                  <c:pt idx="0">
                    <c:v>slovenská</c:v>
                  </c:pt>
                  <c:pt idx="1">
                    <c:v>polská</c:v>
                  </c:pt>
                  <c:pt idx="2">
                    <c:v>německá</c:v>
                  </c:pt>
                  <c:pt idx="3">
                    <c:v>ukrajinská</c:v>
                  </c:pt>
                  <c:pt idx="4">
                    <c:v>ruská</c:v>
                  </c:pt>
                  <c:pt idx="5">
                    <c:v>maďarská</c:v>
                  </c:pt>
                  <c:pt idx="6">
                    <c:v>slovenská</c:v>
                  </c:pt>
                  <c:pt idx="7">
                    <c:v>německá</c:v>
                  </c:pt>
                  <c:pt idx="8">
                    <c:v>polská</c:v>
                  </c:pt>
                  <c:pt idx="9">
                    <c:v>maďarská</c:v>
                  </c:pt>
                  <c:pt idx="10">
                    <c:v>ukrajinská</c:v>
                  </c:pt>
                  <c:pt idx="11">
                    <c:v>bulharská</c:v>
                  </c:pt>
                </c:lvl>
                <c:lvl>
                  <c:pt idx="0">
                    <c:v>muž</c:v>
                  </c:pt>
                  <c:pt idx="6">
                    <c:v>ženy</c:v>
                  </c:pt>
                </c:lvl>
              </c:multiLvlStrCache>
            </c:multiLvlStrRef>
          </c:cat>
          <c:val>
            <c:numRef>
              <c:f>'nar ženy'!$AD$21:$AD$32</c:f>
              <c:numCache>
                <c:formatCode>0.0</c:formatCode>
                <c:ptCount val="12"/>
                <c:pt idx="0">
                  <c:v>63.683915561367208</c:v>
                </c:pt>
                <c:pt idx="1">
                  <c:v>9.3218755837847933</c:v>
                </c:pt>
                <c:pt idx="2">
                  <c:v>5.3988417709695495</c:v>
                </c:pt>
                <c:pt idx="3">
                  <c:v>6.9680552960956446</c:v>
                </c:pt>
                <c:pt idx="4">
                  <c:v>2.4098636278722187</c:v>
                </c:pt>
                <c:pt idx="5">
                  <c:v>2.9329348029142541</c:v>
                </c:pt>
                <c:pt idx="6">
                  <c:v>55.771652441583882</c:v>
                </c:pt>
                <c:pt idx="7">
                  <c:v>6.9819504687281384</c:v>
                </c:pt>
                <c:pt idx="8">
                  <c:v>5.6807051909892294</c:v>
                </c:pt>
                <c:pt idx="9">
                  <c:v>3.2601091367007142</c:v>
                </c:pt>
                <c:pt idx="10">
                  <c:v>2.2526934378060726</c:v>
                </c:pt>
                <c:pt idx="11">
                  <c:v>0.965440044774031</c:v>
                </c:pt>
              </c:numCache>
            </c:numRef>
          </c:val>
        </c:ser>
        <c:gapWidth val="84"/>
        <c:overlap val="-27"/>
        <c:axId val="105892096"/>
        <c:axId val="106348544"/>
      </c:barChart>
      <c:catAx>
        <c:axId val="105892096"/>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106348544"/>
        <c:crosses val="autoZero"/>
        <c:auto val="1"/>
        <c:lblAlgn val="ctr"/>
        <c:lblOffset val="100"/>
      </c:catAx>
      <c:valAx>
        <c:axId val="106348544"/>
        <c:scaling>
          <c:orientation val="minMax"/>
        </c:scaling>
        <c:axPos val="l"/>
        <c:majorGridlines>
          <c:spPr>
            <a:ln w="9525" cap="flat" cmpd="sng" algn="ctr">
              <a:solidFill>
                <a:schemeClr val="bg1">
                  <a:lumMod val="85000"/>
                </a:schemeClr>
              </a:solidFill>
              <a:round/>
            </a:ln>
            <a:effectLst/>
          </c:spPr>
        </c:majorGridlines>
        <c:title>
          <c:tx>
            <c:rich>
              <a:bodyPr rot="-5400000" vert="horz"/>
              <a:lstStyle/>
              <a:p>
                <a:pPr>
                  <a:defRPr/>
                </a:pPr>
                <a:r>
                  <a:rPr lang="cs-CZ"/>
                  <a:t>podíl z heterogamních svazků (%)</a:t>
                </a:r>
              </a:p>
            </c:rich>
          </c:tx>
        </c:title>
        <c:numFmt formatCode="0" sourceLinked="0"/>
        <c:majorTickMark val="none"/>
        <c:tickLblPos val="nextTo"/>
        <c:spPr>
          <a:noFill/>
          <a:ln>
            <a:noFill/>
          </a:ln>
          <a:effectLst/>
        </c:spPr>
        <c:txPr>
          <a:bodyPr rot="-60000000" vert="horz"/>
          <a:lstStyle/>
          <a:p>
            <a:pPr>
              <a:defRPr/>
            </a:pPr>
            <a:endParaRPr lang="cs-CZ"/>
          </a:p>
        </c:txPr>
        <c:crossAx val="105892096"/>
        <c:crosses val="autoZero"/>
        <c:crossBetween val="between"/>
      </c:valAx>
      <c:spPr>
        <a:noFill/>
        <a:ln>
          <a:solidFill>
            <a:schemeClr val="bg1">
              <a:lumMod val="95000"/>
            </a:schemeClr>
          </a:solidFill>
        </a:ln>
        <a:effectLst/>
      </c:spPr>
    </c:plotArea>
    <c:legend>
      <c:legendPos val="b"/>
      <c:layout>
        <c:manualLayout>
          <c:xMode val="edge"/>
          <c:yMode val="edge"/>
          <c:x val="0.77858219568743936"/>
          <c:y val="7.3905055346342577E-2"/>
          <c:w val="0.20611291768209197"/>
          <c:h val="0.14339779218774173"/>
        </c:manualLayout>
      </c:layout>
      <c:spPr>
        <a:solidFill>
          <a:schemeClr val="bg1"/>
        </a:solidFill>
        <a:ln>
          <a:solidFill>
            <a:schemeClr val="bg1">
              <a:lumMod val="85000"/>
            </a:schemeClr>
          </a:solidFill>
        </a:ln>
        <a:effectLst/>
      </c:spPr>
      <c:txPr>
        <a:bodyPr rot="0" vert="horz"/>
        <a:lstStyle/>
        <a:p>
          <a:pPr>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7.6831715480009444E-2"/>
          <c:y val="3.1148450941239983E-2"/>
          <c:w val="0.91251913053121858"/>
          <c:h val="0.72114643897360964"/>
        </c:manualLayout>
      </c:layout>
      <c:barChart>
        <c:barDir val="col"/>
        <c:grouping val="stacked"/>
        <c:ser>
          <c:idx val="0"/>
          <c:order val="0"/>
          <c:tx>
            <c:strRef>
              <c:f>'rozdil vek 3 kategorie'!$Q$2</c:f>
              <c:strCache>
                <c:ptCount val="1"/>
                <c:pt idx="0">
                  <c:v>podobně staří (0-1 rok)</c:v>
                </c:pt>
              </c:strCache>
            </c:strRef>
          </c:tx>
          <c:spPr>
            <a:solidFill>
              <a:schemeClr val="accent1">
                <a:lumMod val="50000"/>
              </a:schemeClr>
            </a:solidFill>
            <a:ln>
              <a:noFill/>
            </a:ln>
            <a:effectLst/>
          </c:spPr>
          <c:dLbls>
            <c:spPr>
              <a:noFill/>
              <a:ln>
                <a:noFill/>
              </a:ln>
              <a:effectLst/>
            </c:spPr>
            <c:txPr>
              <a:bodyPr rot="-5400000" vert="horz"/>
              <a:lstStyle/>
              <a:p>
                <a:pPr>
                  <a:defRPr>
                    <a:solidFill>
                      <a:schemeClr val="bg1"/>
                    </a:solidFill>
                  </a:defRPr>
                </a:pPr>
                <a:endParaRPr lang="cs-CZ"/>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'rozdil vek 3 kategorie'!$P$3:$P$22</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'rozdil vek 3 kategorie'!$Q$3:$Q$22</c:f>
              <c:numCache>
                <c:formatCode>0.0</c:formatCode>
                <c:ptCount val="20"/>
                <c:pt idx="0">
                  <c:v>33.313646207199341</c:v>
                </c:pt>
                <c:pt idx="1">
                  <c:v>33.268309377139055</c:v>
                </c:pt>
                <c:pt idx="2">
                  <c:v>33.070092437586425</c:v>
                </c:pt>
                <c:pt idx="3">
                  <c:v>32.627653258126763</c:v>
                </c:pt>
                <c:pt idx="4">
                  <c:v>31.656978755795514</c:v>
                </c:pt>
                <c:pt idx="5">
                  <c:v>32.095153288385845</c:v>
                </c:pt>
                <c:pt idx="6">
                  <c:v>31.420137137305424</c:v>
                </c:pt>
                <c:pt idx="7">
                  <c:v>31.382296053939683</c:v>
                </c:pt>
                <c:pt idx="8">
                  <c:v>30.969565051361304</c:v>
                </c:pt>
                <c:pt idx="9">
                  <c:v>30.471061215201392</c:v>
                </c:pt>
                <c:pt idx="10">
                  <c:v>29.865353574566271</c:v>
                </c:pt>
                <c:pt idx="11">
                  <c:v>29.366143798472216</c:v>
                </c:pt>
                <c:pt idx="12">
                  <c:v>29.153562677265622</c:v>
                </c:pt>
                <c:pt idx="13">
                  <c:v>29.460839954597009</c:v>
                </c:pt>
                <c:pt idx="14">
                  <c:v>28.790874258620992</c:v>
                </c:pt>
                <c:pt idx="15">
                  <c:v>28.417561050002892</c:v>
                </c:pt>
                <c:pt idx="16">
                  <c:v>27.852994024487106</c:v>
                </c:pt>
                <c:pt idx="17">
                  <c:v>28.524365721131218</c:v>
                </c:pt>
                <c:pt idx="18">
                  <c:v>28.163147750182777</c:v>
                </c:pt>
                <c:pt idx="19">
                  <c:v>28.524974560899036</c:v>
                </c:pt>
              </c:numCache>
            </c:numRef>
          </c:val>
        </c:ser>
        <c:ser>
          <c:idx val="1"/>
          <c:order val="1"/>
          <c:tx>
            <c:strRef>
              <c:f>'rozdil vek 3 kategorie'!$R$2</c:f>
              <c:strCache>
                <c:ptCount val="1"/>
                <c:pt idx="0">
                  <c:v>muž mladší</c:v>
                </c:pt>
              </c:strCache>
            </c:strRef>
          </c:tx>
          <c:spPr>
            <a:solidFill>
              <a:schemeClr val="accent1"/>
            </a:solidFill>
            <a:ln>
              <a:noFill/>
            </a:ln>
            <a:effectLst/>
          </c:spPr>
          <c:dLbls>
            <c:spPr>
              <a:noFill/>
              <a:ln>
                <a:noFill/>
              </a:ln>
              <a:effectLst/>
            </c:spPr>
            <c:txPr>
              <a:bodyPr rot="-5400000" vert="horz"/>
              <a:lstStyle/>
              <a:p>
                <a:pPr>
                  <a:defRPr>
                    <a:solidFill>
                      <a:schemeClr val="bg1"/>
                    </a:solidFill>
                  </a:defRPr>
                </a:pPr>
                <a:endParaRPr lang="cs-CZ"/>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'rozdil vek 3 kategorie'!$P$3:$P$22</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'rozdil vek 3 kategorie'!$R$3:$R$22</c:f>
              <c:numCache>
                <c:formatCode>0.0</c:formatCode>
                <c:ptCount val="20"/>
                <c:pt idx="0">
                  <c:v>11.865279481471385</c:v>
                </c:pt>
                <c:pt idx="1">
                  <c:v>12.421286789869956</c:v>
                </c:pt>
                <c:pt idx="2">
                  <c:v>13.410728582866296</c:v>
                </c:pt>
                <c:pt idx="3">
                  <c:v>14.104942852901885</c:v>
                </c:pt>
                <c:pt idx="4">
                  <c:v>15.149470624870251</c:v>
                </c:pt>
                <c:pt idx="5">
                  <c:v>14.73458484016937</c:v>
                </c:pt>
                <c:pt idx="6">
                  <c:v>15.206546718233303</c:v>
                </c:pt>
                <c:pt idx="7">
                  <c:v>15.664937365557382</c:v>
                </c:pt>
                <c:pt idx="8">
                  <c:v>16.179783862221687</c:v>
                </c:pt>
                <c:pt idx="9">
                  <c:v>16.327846468937267</c:v>
                </c:pt>
                <c:pt idx="10">
                  <c:v>16.531475389739093</c:v>
                </c:pt>
                <c:pt idx="11">
                  <c:v>17.071938111065791</c:v>
                </c:pt>
                <c:pt idx="12">
                  <c:v>17.069594242605486</c:v>
                </c:pt>
                <c:pt idx="13">
                  <c:v>17.137722285281843</c:v>
                </c:pt>
                <c:pt idx="14">
                  <c:v>17.348706195216685</c:v>
                </c:pt>
                <c:pt idx="15">
                  <c:v>17.541986770116491</c:v>
                </c:pt>
                <c:pt idx="16">
                  <c:v>17.205716434749842</c:v>
                </c:pt>
                <c:pt idx="17">
                  <c:v>16.782184571941904</c:v>
                </c:pt>
                <c:pt idx="18">
                  <c:v>17.014865852848061</c:v>
                </c:pt>
                <c:pt idx="19">
                  <c:v>16.701322833252185</c:v>
                </c:pt>
              </c:numCache>
            </c:numRef>
          </c:val>
        </c:ser>
        <c:ser>
          <c:idx val="2"/>
          <c:order val="2"/>
          <c:tx>
            <c:strRef>
              <c:f>'rozdil vek 3 kategorie'!$S$2</c:f>
              <c:strCache>
                <c:ptCount val="1"/>
                <c:pt idx="0">
                  <c:v>muž starší</c:v>
                </c:pt>
              </c:strCache>
            </c:strRef>
          </c:tx>
          <c:spPr>
            <a:solidFill>
              <a:schemeClr val="accent1">
                <a:lumMod val="40000"/>
                <a:lumOff val="60000"/>
              </a:schemeClr>
            </a:solidFill>
            <a:ln>
              <a:noFill/>
            </a:ln>
            <a:effectLst/>
          </c:spPr>
          <c:dLbls>
            <c:spPr>
              <a:noFill/>
              <a:ln>
                <a:noFill/>
              </a:ln>
              <a:effectLst/>
            </c:spPr>
            <c:txPr>
              <a:bodyPr rot="-5400000" vert="horz"/>
              <a:lstStyle/>
              <a:p>
                <a:pPr>
                  <a:defRPr>
                    <a:solidFill>
                      <a:schemeClr val="bg1"/>
                    </a:solidFill>
                  </a:defRPr>
                </a:pPr>
                <a:endParaRPr lang="cs-CZ"/>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'rozdil vek 3 kategorie'!$P$3:$P$22</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'rozdil vek 3 kategorie'!$S$3:$S$22</c:f>
              <c:numCache>
                <c:formatCode>0.0</c:formatCode>
                <c:ptCount val="20"/>
                <c:pt idx="0">
                  <c:v>54.821074311329184</c:v>
                </c:pt>
                <c:pt idx="1">
                  <c:v>54.310403832991106</c:v>
                </c:pt>
                <c:pt idx="2">
                  <c:v>53.519178979547277</c:v>
                </c:pt>
                <c:pt idx="3">
                  <c:v>53.267403888971423</c:v>
                </c:pt>
                <c:pt idx="4">
                  <c:v>53.193550619334303</c:v>
                </c:pt>
                <c:pt idx="5">
                  <c:v>53.170261871444858</c:v>
                </c:pt>
                <c:pt idx="6">
                  <c:v>53.373316144461263</c:v>
                </c:pt>
                <c:pt idx="7">
                  <c:v>52.952766580502875</c:v>
                </c:pt>
                <c:pt idx="8">
                  <c:v>52.850651086416818</c:v>
                </c:pt>
                <c:pt idx="9">
                  <c:v>53.201092315861331</c:v>
                </c:pt>
                <c:pt idx="10">
                  <c:v>53.603171035694544</c:v>
                </c:pt>
                <c:pt idx="11">
                  <c:v>53.561918090462022</c:v>
                </c:pt>
                <c:pt idx="12">
                  <c:v>53.776843080128913</c:v>
                </c:pt>
                <c:pt idx="13">
                  <c:v>53.40143776012107</c:v>
                </c:pt>
                <c:pt idx="14">
                  <c:v>53.860419546162326</c:v>
                </c:pt>
                <c:pt idx="15">
                  <c:v>54.040452179880646</c:v>
                </c:pt>
                <c:pt idx="16">
                  <c:v>54.941289540762916</c:v>
                </c:pt>
                <c:pt idx="17">
                  <c:v>54.693449706926813</c:v>
                </c:pt>
                <c:pt idx="18">
                  <c:v>54.821986396969223</c:v>
                </c:pt>
                <c:pt idx="19">
                  <c:v>54.773702605848783</c:v>
                </c:pt>
              </c:numCache>
            </c:numRef>
          </c:val>
        </c:ser>
        <c:gapWidth val="54"/>
        <c:overlap val="100"/>
        <c:axId val="178589056"/>
        <c:axId val="178664576"/>
      </c:barChart>
      <c:catAx>
        <c:axId val="1785890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5400000" vert="horz"/>
          <a:lstStyle/>
          <a:p>
            <a:pPr>
              <a:defRPr/>
            </a:pPr>
            <a:endParaRPr lang="cs-CZ"/>
          </a:p>
        </c:txPr>
        <c:crossAx val="178664576"/>
        <c:crosses val="autoZero"/>
        <c:auto val="1"/>
        <c:lblAlgn val="ctr"/>
        <c:lblOffset val="100"/>
      </c:catAx>
      <c:valAx>
        <c:axId val="178664576"/>
        <c:scaling>
          <c:orientation val="minMax"/>
          <c:max val="100"/>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cs-CZ"/>
                  <a:t>podíl z  celkového počtu sňatků (%)</a:t>
                </a:r>
              </a:p>
            </c:rich>
          </c:tx>
          <c:layout>
            <c:manualLayout>
              <c:xMode val="edge"/>
              <c:yMode val="edge"/>
              <c:x val="4.4091710758377934E-3"/>
              <c:y val="7.6885054439965336E-2"/>
            </c:manualLayout>
          </c:layout>
        </c:title>
        <c:numFmt formatCode="0" sourceLinked="0"/>
        <c:majorTickMark val="none"/>
        <c:tickLblPos val="nextTo"/>
        <c:spPr>
          <a:noFill/>
          <a:ln>
            <a:noFill/>
          </a:ln>
          <a:effectLst/>
        </c:spPr>
        <c:txPr>
          <a:bodyPr rot="-60000000" vert="horz"/>
          <a:lstStyle/>
          <a:p>
            <a:pPr>
              <a:defRPr/>
            </a:pPr>
            <a:endParaRPr lang="cs-CZ"/>
          </a:p>
        </c:txPr>
        <c:crossAx val="178589056"/>
        <c:crosses val="autoZero"/>
        <c:crossBetween val="between"/>
      </c:valAx>
      <c:spPr>
        <a:noFill/>
        <a:ln>
          <a:noFill/>
        </a:ln>
        <a:effectLst/>
      </c:spPr>
    </c:plotArea>
    <c:legend>
      <c:legendPos val="b"/>
      <c:layout>
        <c:manualLayout>
          <c:xMode val="edge"/>
          <c:yMode val="edge"/>
          <c:x val="0.10483172729519002"/>
          <c:y val="0.92008137738763518"/>
          <c:w val="0.86088318821258469"/>
          <c:h val="7.6240013793896166E-2"/>
        </c:manualLayout>
      </c:layout>
      <c:spPr>
        <a:noFill/>
        <a:ln>
          <a:noFill/>
        </a:ln>
        <a:effectLst/>
      </c:spPr>
      <c:txPr>
        <a:bodyPr rot="0" vert="horz"/>
        <a:lstStyle/>
        <a:p>
          <a:pPr>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900"/>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8.1834208635491595E-2"/>
          <c:y val="2.5732055232226405E-2"/>
          <c:w val="0.91581395693365231"/>
          <c:h val="0.73805018016815704"/>
        </c:manualLayout>
      </c:layout>
      <c:lineChart>
        <c:grouping val="standard"/>
        <c:ser>
          <c:idx val="0"/>
          <c:order val="0"/>
          <c:tx>
            <c:strRef>
              <c:f>věk!$B$79</c:f>
              <c:strCache>
                <c:ptCount val="1"/>
                <c:pt idx="0">
                  <c:v>muž - podobně staří (0-1 rok)</c:v>
                </c:pt>
              </c:strCache>
            </c:strRef>
          </c:tx>
          <c:spPr>
            <a:ln w="22225" cap="rnd">
              <a:solidFill>
                <a:schemeClr val="tx2"/>
              </a:solidFill>
              <a:round/>
            </a:ln>
            <a:effectLst/>
          </c:spPr>
          <c:marker>
            <c:symbol val="none"/>
          </c:marker>
          <c:cat>
            <c:strRef>
              <c:f>věk!$A$80:$A$111</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věk!$B$80:$B$111</c:f>
              <c:numCache>
                <c:formatCode>0.0</c:formatCode>
                <c:ptCount val="32"/>
                <c:pt idx="0">
                  <c:v>43.820224719101127</c:v>
                </c:pt>
                <c:pt idx="1">
                  <c:v>52.85714285714279</c:v>
                </c:pt>
                <c:pt idx="2">
                  <c:v>47.058823529411754</c:v>
                </c:pt>
                <c:pt idx="3">
                  <c:v>47.021276595744588</c:v>
                </c:pt>
                <c:pt idx="4">
                  <c:v>46.084337349397543</c:v>
                </c:pt>
                <c:pt idx="5">
                  <c:v>43.433476394849812</c:v>
                </c:pt>
                <c:pt idx="6">
                  <c:v>46.644951140065153</c:v>
                </c:pt>
                <c:pt idx="7">
                  <c:v>47.582938388625642</c:v>
                </c:pt>
                <c:pt idx="8">
                  <c:v>45.988023952095809</c:v>
                </c:pt>
                <c:pt idx="9">
                  <c:v>42.456747404844194</c:v>
                </c:pt>
                <c:pt idx="10">
                  <c:v>39.021922428330527</c:v>
                </c:pt>
                <c:pt idx="11">
                  <c:v>35.500650195058505</c:v>
                </c:pt>
                <c:pt idx="12">
                  <c:v>28.465083303792955</c:v>
                </c:pt>
                <c:pt idx="13">
                  <c:v>25.513196480938415</c:v>
                </c:pt>
                <c:pt idx="14">
                  <c:v>22.48123271434212</c:v>
                </c:pt>
                <c:pt idx="15">
                  <c:v>22.683142100617829</c:v>
                </c:pt>
                <c:pt idx="16">
                  <c:v>19.625695498229643</c:v>
                </c:pt>
                <c:pt idx="17">
                  <c:v>17.554125219426588</c:v>
                </c:pt>
                <c:pt idx="18">
                  <c:v>16.712141882673908</c:v>
                </c:pt>
                <c:pt idx="19">
                  <c:v>16.146230007616147</c:v>
                </c:pt>
                <c:pt idx="20">
                  <c:v>15.219512195121952</c:v>
                </c:pt>
                <c:pt idx="21">
                  <c:v>16.401468788249694</c:v>
                </c:pt>
                <c:pt idx="22">
                  <c:v>17.138810198300291</c:v>
                </c:pt>
                <c:pt idx="23">
                  <c:v>15.52511415525114</c:v>
                </c:pt>
                <c:pt idx="24">
                  <c:v>14.711359404096813</c:v>
                </c:pt>
                <c:pt idx="25">
                  <c:v>14.770459081836327</c:v>
                </c:pt>
                <c:pt idx="26">
                  <c:v>12.184873949579814</c:v>
                </c:pt>
                <c:pt idx="27">
                  <c:v>15.212527964205815</c:v>
                </c:pt>
                <c:pt idx="28">
                  <c:v>14.912280701754385</c:v>
                </c:pt>
                <c:pt idx="29">
                  <c:v>15.914489311163919</c:v>
                </c:pt>
                <c:pt idx="30">
                  <c:v>19.230769230769177</c:v>
                </c:pt>
                <c:pt idx="31">
                  <c:v>13.188976377952748</c:v>
                </c:pt>
              </c:numCache>
            </c:numRef>
          </c:val>
        </c:ser>
        <c:ser>
          <c:idx val="1"/>
          <c:order val="1"/>
          <c:tx>
            <c:strRef>
              <c:f>věk!$C$79</c:f>
              <c:strCache>
                <c:ptCount val="1"/>
                <c:pt idx="0">
                  <c:v>muž mladší</c:v>
                </c:pt>
              </c:strCache>
            </c:strRef>
          </c:tx>
          <c:spPr>
            <a:ln w="22225" cap="rnd">
              <a:solidFill>
                <a:schemeClr val="tx2"/>
              </a:solidFill>
              <a:prstDash val="dashDot"/>
              <a:round/>
            </a:ln>
            <a:effectLst/>
          </c:spPr>
          <c:marker>
            <c:symbol val="none"/>
          </c:marker>
          <c:cat>
            <c:strRef>
              <c:f>věk!$A$80:$A$111</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věk!$C$80:$C$111</c:f>
              <c:numCache>
                <c:formatCode>0.0</c:formatCode>
                <c:ptCount val="32"/>
                <c:pt idx="0">
                  <c:v>52.80898876404494</c:v>
                </c:pt>
                <c:pt idx="1">
                  <c:v>39.285714285714285</c:v>
                </c:pt>
                <c:pt idx="2">
                  <c:v>42.906574394463654</c:v>
                </c:pt>
                <c:pt idx="3">
                  <c:v>39.361702127659576</c:v>
                </c:pt>
                <c:pt idx="4">
                  <c:v>36.897590361445779</c:v>
                </c:pt>
                <c:pt idx="5">
                  <c:v>34.763948497854081</c:v>
                </c:pt>
                <c:pt idx="6">
                  <c:v>29.837133550488598</c:v>
                </c:pt>
                <c:pt idx="7">
                  <c:v>24.928909952606627</c:v>
                </c:pt>
                <c:pt idx="8">
                  <c:v>21.2375249500998</c:v>
                </c:pt>
                <c:pt idx="9">
                  <c:v>18.823529411764689</c:v>
                </c:pt>
                <c:pt idx="10">
                  <c:v>16.256323777403029</c:v>
                </c:pt>
                <c:pt idx="11">
                  <c:v>14.759427828348516</c:v>
                </c:pt>
                <c:pt idx="12">
                  <c:v>16.625310173697269</c:v>
                </c:pt>
                <c:pt idx="13">
                  <c:v>14.552785923753676</c:v>
                </c:pt>
                <c:pt idx="14">
                  <c:v>13.591465823785066</c:v>
                </c:pt>
                <c:pt idx="15">
                  <c:v>12.180052956751986</c:v>
                </c:pt>
                <c:pt idx="16">
                  <c:v>12.392513909964608</c:v>
                </c:pt>
                <c:pt idx="17">
                  <c:v>12.580456407255706</c:v>
                </c:pt>
                <c:pt idx="18">
                  <c:v>12.482946793997284</c:v>
                </c:pt>
                <c:pt idx="19">
                  <c:v>11.881188118811881</c:v>
                </c:pt>
                <c:pt idx="20">
                  <c:v>11.219512195121952</c:v>
                </c:pt>
                <c:pt idx="21">
                  <c:v>13.0966952264382</c:v>
                </c:pt>
                <c:pt idx="22">
                  <c:v>9.6317280453257599</c:v>
                </c:pt>
                <c:pt idx="23">
                  <c:v>11.263318112633163</c:v>
                </c:pt>
                <c:pt idx="24">
                  <c:v>13.780260707634998</c:v>
                </c:pt>
                <c:pt idx="25">
                  <c:v>13.373253493013973</c:v>
                </c:pt>
                <c:pt idx="26">
                  <c:v>17.647058823529431</c:v>
                </c:pt>
                <c:pt idx="27">
                  <c:v>14.541387024608499</c:v>
                </c:pt>
                <c:pt idx="28">
                  <c:v>14.692982456140356</c:v>
                </c:pt>
                <c:pt idx="29">
                  <c:v>13.064133016627091</c:v>
                </c:pt>
                <c:pt idx="30">
                  <c:v>11.538461538461538</c:v>
                </c:pt>
                <c:pt idx="31">
                  <c:v>9.5226377952755907</c:v>
                </c:pt>
              </c:numCache>
            </c:numRef>
          </c:val>
        </c:ser>
        <c:ser>
          <c:idx val="2"/>
          <c:order val="2"/>
          <c:tx>
            <c:strRef>
              <c:f>věk!$D$79</c:f>
              <c:strCache>
                <c:ptCount val="1"/>
                <c:pt idx="0">
                  <c:v>muž starší</c:v>
                </c:pt>
              </c:strCache>
            </c:strRef>
          </c:tx>
          <c:spPr>
            <a:ln w="22225" cap="rnd">
              <a:solidFill>
                <a:schemeClr val="tx2"/>
              </a:solidFill>
              <a:prstDash val="sysDash"/>
              <a:round/>
            </a:ln>
            <a:effectLst/>
          </c:spPr>
          <c:marker>
            <c:symbol val="none"/>
          </c:marker>
          <c:cat>
            <c:strRef>
              <c:f>věk!$A$80:$A$111</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věk!$D$80:$D$111</c:f>
              <c:numCache>
                <c:formatCode>0.0</c:formatCode>
                <c:ptCount val="32"/>
                <c:pt idx="0">
                  <c:v>3.3707865168539342</c:v>
                </c:pt>
                <c:pt idx="1">
                  <c:v>7.8571428571428488</c:v>
                </c:pt>
                <c:pt idx="2">
                  <c:v>10.034602076124569</c:v>
                </c:pt>
                <c:pt idx="3">
                  <c:v>13.617021276595745</c:v>
                </c:pt>
                <c:pt idx="4">
                  <c:v>17.018072289156628</c:v>
                </c:pt>
                <c:pt idx="5">
                  <c:v>21.802575107296164</c:v>
                </c:pt>
                <c:pt idx="6">
                  <c:v>23.517915309446298</c:v>
                </c:pt>
                <c:pt idx="7">
                  <c:v>27.488151658767741</c:v>
                </c:pt>
                <c:pt idx="8">
                  <c:v>32.774451097804345</c:v>
                </c:pt>
                <c:pt idx="9">
                  <c:v>38.719723183391004</c:v>
                </c:pt>
                <c:pt idx="10">
                  <c:v>44.721753794266448</c:v>
                </c:pt>
                <c:pt idx="11">
                  <c:v>49.739921976592981</c:v>
                </c:pt>
                <c:pt idx="12">
                  <c:v>54.909606522509762</c:v>
                </c:pt>
                <c:pt idx="13">
                  <c:v>59.934017595307871</c:v>
                </c:pt>
                <c:pt idx="14">
                  <c:v>63.927301461872744</c:v>
                </c:pt>
                <c:pt idx="15">
                  <c:v>65.136804942630178</c:v>
                </c:pt>
                <c:pt idx="16">
                  <c:v>67.981790591805762</c:v>
                </c:pt>
                <c:pt idx="17">
                  <c:v>69.865418373317738</c:v>
                </c:pt>
                <c:pt idx="18">
                  <c:v>70.804911323328781</c:v>
                </c:pt>
                <c:pt idx="19">
                  <c:v>71.972581873571755</c:v>
                </c:pt>
                <c:pt idx="20">
                  <c:v>73.560975609756099</c:v>
                </c:pt>
                <c:pt idx="21">
                  <c:v>70.501835985312297</c:v>
                </c:pt>
                <c:pt idx="22">
                  <c:v>73.229461756373908</c:v>
                </c:pt>
                <c:pt idx="23">
                  <c:v>73.211567732115697</c:v>
                </c:pt>
                <c:pt idx="24">
                  <c:v>71.508379888268152</c:v>
                </c:pt>
                <c:pt idx="25">
                  <c:v>71.856287425149702</c:v>
                </c:pt>
                <c:pt idx="26">
                  <c:v>70.168067226890642</c:v>
                </c:pt>
                <c:pt idx="27">
                  <c:v>70.24608501118567</c:v>
                </c:pt>
                <c:pt idx="28">
                  <c:v>70.394736842105218</c:v>
                </c:pt>
                <c:pt idx="29">
                  <c:v>71.021377672208914</c:v>
                </c:pt>
                <c:pt idx="30">
                  <c:v>69.230769230769212</c:v>
                </c:pt>
                <c:pt idx="31">
                  <c:v>77.288385826771488</c:v>
                </c:pt>
              </c:numCache>
            </c:numRef>
          </c:val>
        </c:ser>
        <c:ser>
          <c:idx val="3"/>
          <c:order val="3"/>
          <c:tx>
            <c:strRef>
              <c:f>věk!$E$79</c:f>
              <c:strCache>
                <c:ptCount val="1"/>
                <c:pt idx="0">
                  <c:v>žena - podobně staří (0-1 rok)</c:v>
                </c:pt>
              </c:strCache>
            </c:strRef>
          </c:tx>
          <c:spPr>
            <a:ln w="22225" cap="rnd">
              <a:solidFill>
                <a:srgbClr val="C00000"/>
              </a:solidFill>
              <a:round/>
            </a:ln>
            <a:effectLst/>
          </c:spPr>
          <c:marker>
            <c:symbol val="none"/>
          </c:marker>
          <c:cat>
            <c:strRef>
              <c:f>věk!$A$80:$A$111</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věk!$E$80:$E$111</c:f>
              <c:numCache>
                <c:formatCode>0.0</c:formatCode>
                <c:ptCount val="32"/>
                <c:pt idx="0">
                  <c:v>17.286652078774576</c:v>
                </c:pt>
                <c:pt idx="1">
                  <c:v>19.556451612903224</c:v>
                </c:pt>
                <c:pt idx="2">
                  <c:v>22.505800464037133</c:v>
                </c:pt>
                <c:pt idx="3">
                  <c:v>23.628691983122323</c:v>
                </c:pt>
                <c:pt idx="4">
                  <c:v>23.509174311926607</c:v>
                </c:pt>
                <c:pt idx="5">
                  <c:v>26.758682101513774</c:v>
                </c:pt>
                <c:pt idx="6">
                  <c:v>29.39597315436243</c:v>
                </c:pt>
                <c:pt idx="7">
                  <c:v>32.743619489559165</c:v>
                </c:pt>
                <c:pt idx="8">
                  <c:v>34.040770734431796</c:v>
                </c:pt>
                <c:pt idx="9">
                  <c:v>33.926090580716846</c:v>
                </c:pt>
                <c:pt idx="10">
                  <c:v>34.220532319391687</c:v>
                </c:pt>
                <c:pt idx="11">
                  <c:v>33.796940194714928</c:v>
                </c:pt>
                <c:pt idx="12">
                  <c:v>32.225762403277201</c:v>
                </c:pt>
                <c:pt idx="13">
                  <c:v>31.107660455486592</c:v>
                </c:pt>
                <c:pt idx="14">
                  <c:v>30.22432113341204</c:v>
                </c:pt>
                <c:pt idx="15">
                  <c:v>29.65702757229321</c:v>
                </c:pt>
                <c:pt idx="16">
                  <c:v>27.935222672064729</c:v>
                </c:pt>
                <c:pt idx="17">
                  <c:v>26.21722846441952</c:v>
                </c:pt>
                <c:pt idx="18">
                  <c:v>23.578947368421026</c:v>
                </c:pt>
                <c:pt idx="19">
                  <c:v>21.315468940316691</c:v>
                </c:pt>
                <c:pt idx="20">
                  <c:v>20.161290322580644</c:v>
                </c:pt>
                <c:pt idx="21">
                  <c:v>19.830508474576273</c:v>
                </c:pt>
                <c:pt idx="22">
                  <c:v>17.832167832167805</c:v>
                </c:pt>
                <c:pt idx="23">
                  <c:v>22.988505747126407</c:v>
                </c:pt>
                <c:pt idx="24">
                  <c:v>18.248175182481752</c:v>
                </c:pt>
                <c:pt idx="25">
                  <c:v>20.29411764705883</c:v>
                </c:pt>
                <c:pt idx="26">
                  <c:v>17.134831460674206</c:v>
                </c:pt>
                <c:pt idx="27">
                  <c:v>19.938650306748464</c:v>
                </c:pt>
                <c:pt idx="28">
                  <c:v>19.939577039274926</c:v>
                </c:pt>
                <c:pt idx="29">
                  <c:v>24.316109422492442</c:v>
                </c:pt>
                <c:pt idx="30">
                  <c:v>21.140939597315427</c:v>
                </c:pt>
                <c:pt idx="31">
                  <c:v>20.447154471544714</c:v>
                </c:pt>
              </c:numCache>
            </c:numRef>
          </c:val>
        </c:ser>
        <c:ser>
          <c:idx val="4"/>
          <c:order val="4"/>
          <c:tx>
            <c:strRef>
              <c:f>věk!$F$79</c:f>
              <c:strCache>
                <c:ptCount val="1"/>
                <c:pt idx="0">
                  <c:v>žena starší</c:v>
                </c:pt>
              </c:strCache>
            </c:strRef>
          </c:tx>
          <c:spPr>
            <a:ln w="22225" cap="rnd">
              <a:solidFill>
                <a:srgbClr val="C00000"/>
              </a:solidFill>
              <a:prstDash val="sysDash"/>
              <a:round/>
            </a:ln>
            <a:effectLst/>
          </c:spPr>
          <c:marker>
            <c:symbol val="none"/>
          </c:marker>
          <c:cat>
            <c:strRef>
              <c:f>věk!$A$80:$A$111</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věk!$F$80:$F$111</c:f>
              <c:numCache>
                <c:formatCode>0.0</c:formatCode>
                <c:ptCount val="32"/>
                <c:pt idx="0">
                  <c:v>0.65645514223194745</c:v>
                </c:pt>
                <c:pt idx="1">
                  <c:v>1.4112903225806432</c:v>
                </c:pt>
                <c:pt idx="2">
                  <c:v>1.740139211136891</c:v>
                </c:pt>
                <c:pt idx="3">
                  <c:v>2.3628691983122363</c:v>
                </c:pt>
                <c:pt idx="4">
                  <c:v>3.5550458715596327</c:v>
                </c:pt>
                <c:pt idx="5">
                  <c:v>4.3187889581478114</c:v>
                </c:pt>
                <c:pt idx="6">
                  <c:v>5.6711409395973158</c:v>
                </c:pt>
                <c:pt idx="7">
                  <c:v>6.3515081206496511</c:v>
                </c:pt>
                <c:pt idx="8">
                  <c:v>9.243228148561828</c:v>
                </c:pt>
                <c:pt idx="9">
                  <c:v>11.253125868296749</c:v>
                </c:pt>
                <c:pt idx="10">
                  <c:v>13.276299112801016</c:v>
                </c:pt>
                <c:pt idx="11">
                  <c:v>17.524339360222527</c:v>
                </c:pt>
                <c:pt idx="12">
                  <c:v>18.980427856167449</c:v>
                </c:pt>
                <c:pt idx="13">
                  <c:v>23.706004140786749</c:v>
                </c:pt>
                <c:pt idx="14">
                  <c:v>25.974025974025945</c:v>
                </c:pt>
                <c:pt idx="15">
                  <c:v>26.967047747141866</c:v>
                </c:pt>
                <c:pt idx="16">
                  <c:v>30.607287449392743</c:v>
                </c:pt>
                <c:pt idx="17">
                  <c:v>31.928838951310862</c:v>
                </c:pt>
                <c:pt idx="18">
                  <c:v>31.684210526315788</c:v>
                </c:pt>
                <c:pt idx="19">
                  <c:v>36.4190012180268</c:v>
                </c:pt>
                <c:pt idx="20">
                  <c:v>37.768817204301129</c:v>
                </c:pt>
                <c:pt idx="21">
                  <c:v>34.915254237288124</c:v>
                </c:pt>
                <c:pt idx="22">
                  <c:v>36.188811188811187</c:v>
                </c:pt>
                <c:pt idx="23">
                  <c:v>31.26436781609193</c:v>
                </c:pt>
                <c:pt idx="24">
                  <c:v>35.036496350364956</c:v>
                </c:pt>
                <c:pt idx="25">
                  <c:v>30.588235294117613</c:v>
                </c:pt>
                <c:pt idx="26">
                  <c:v>28.932584269662893</c:v>
                </c:pt>
                <c:pt idx="27">
                  <c:v>33.128834355828218</c:v>
                </c:pt>
                <c:pt idx="28">
                  <c:v>27.492447129909319</c:v>
                </c:pt>
                <c:pt idx="29">
                  <c:v>23.100303951367756</c:v>
                </c:pt>
                <c:pt idx="30">
                  <c:v>27.516778523489933</c:v>
                </c:pt>
                <c:pt idx="31">
                  <c:v>29.186991869918725</c:v>
                </c:pt>
              </c:numCache>
            </c:numRef>
          </c:val>
        </c:ser>
        <c:ser>
          <c:idx val="5"/>
          <c:order val="5"/>
          <c:tx>
            <c:strRef>
              <c:f>věk!$G$79</c:f>
              <c:strCache>
                <c:ptCount val="1"/>
                <c:pt idx="0">
                  <c:v>žena mladší</c:v>
                </c:pt>
              </c:strCache>
            </c:strRef>
          </c:tx>
          <c:spPr>
            <a:ln w="22225" cap="rnd">
              <a:solidFill>
                <a:srgbClr val="C00000"/>
              </a:solidFill>
              <a:prstDash val="dashDot"/>
              <a:round/>
            </a:ln>
            <a:effectLst/>
          </c:spPr>
          <c:marker>
            <c:symbol val="none"/>
          </c:marker>
          <c:cat>
            <c:strRef>
              <c:f>věk!$A$80:$A$111</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věk!$G$80:$G$111</c:f>
              <c:numCache>
                <c:formatCode>0.0</c:formatCode>
                <c:ptCount val="32"/>
                <c:pt idx="0">
                  <c:v>82.056892778993358</c:v>
                </c:pt>
                <c:pt idx="1">
                  <c:v>79.032258064516128</c:v>
                </c:pt>
                <c:pt idx="2">
                  <c:v>75.754060324825986</c:v>
                </c:pt>
                <c:pt idx="3">
                  <c:v>74.008438818565182</c:v>
                </c:pt>
                <c:pt idx="4">
                  <c:v>72.935779816513588</c:v>
                </c:pt>
                <c:pt idx="5">
                  <c:v>68.922528940338395</c:v>
                </c:pt>
                <c:pt idx="6">
                  <c:v>64.932885906040269</c:v>
                </c:pt>
                <c:pt idx="7">
                  <c:v>60.904872389791144</c:v>
                </c:pt>
                <c:pt idx="8">
                  <c:v>56.716001117006371</c:v>
                </c:pt>
                <c:pt idx="9">
                  <c:v>54.820783550986327</c:v>
                </c:pt>
                <c:pt idx="10">
                  <c:v>52.503168567807293</c:v>
                </c:pt>
                <c:pt idx="11">
                  <c:v>48.678720445062574</c:v>
                </c:pt>
                <c:pt idx="12">
                  <c:v>48.793809740555375</c:v>
                </c:pt>
                <c:pt idx="13">
                  <c:v>45.186335403726709</c:v>
                </c:pt>
                <c:pt idx="14">
                  <c:v>43.801652892561982</c:v>
                </c:pt>
                <c:pt idx="15">
                  <c:v>43.3759246805649</c:v>
                </c:pt>
                <c:pt idx="16">
                  <c:v>41.457489878542376</c:v>
                </c:pt>
                <c:pt idx="17">
                  <c:v>41.853932584269614</c:v>
                </c:pt>
                <c:pt idx="18">
                  <c:v>44.736842105263108</c:v>
                </c:pt>
                <c:pt idx="19">
                  <c:v>42.265529841656516</c:v>
                </c:pt>
                <c:pt idx="20">
                  <c:v>42.069892473118244</c:v>
                </c:pt>
                <c:pt idx="21">
                  <c:v>45.254237288135599</c:v>
                </c:pt>
                <c:pt idx="22">
                  <c:v>45.97902097902098</c:v>
                </c:pt>
                <c:pt idx="23">
                  <c:v>45.747126436781606</c:v>
                </c:pt>
                <c:pt idx="24">
                  <c:v>46.715328467153284</c:v>
                </c:pt>
                <c:pt idx="25">
                  <c:v>49.117647058823437</c:v>
                </c:pt>
                <c:pt idx="26">
                  <c:v>53.932584269662847</c:v>
                </c:pt>
                <c:pt idx="27">
                  <c:v>46.932515337423375</c:v>
                </c:pt>
                <c:pt idx="28">
                  <c:v>52.56797583081579</c:v>
                </c:pt>
                <c:pt idx="29">
                  <c:v>52.583586626139819</c:v>
                </c:pt>
                <c:pt idx="30">
                  <c:v>51.342281879194537</c:v>
                </c:pt>
                <c:pt idx="31">
                  <c:v>50.365853658536544</c:v>
                </c:pt>
              </c:numCache>
            </c:numRef>
          </c:val>
        </c:ser>
        <c:marker val="1"/>
        <c:axId val="7586560"/>
        <c:axId val="7588096"/>
      </c:lineChart>
      <c:catAx>
        <c:axId val="7586560"/>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7588096"/>
        <c:crosses val="autoZero"/>
        <c:auto val="1"/>
        <c:lblAlgn val="ctr"/>
        <c:lblOffset val="100"/>
      </c:catAx>
      <c:valAx>
        <c:axId val="7588096"/>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podíl ze sňatků v daném věku (%)</a:t>
                </a:r>
              </a:p>
            </c:rich>
          </c:tx>
          <c:layout>
            <c:manualLayout>
              <c:xMode val="edge"/>
              <c:yMode val="edge"/>
              <c:x val="3.4853445530033476E-3"/>
              <c:y val="0.15395754878466344"/>
            </c:manualLayout>
          </c:layout>
        </c:title>
        <c:numFmt formatCode="0" sourceLinked="0"/>
        <c:majorTickMark val="none"/>
        <c:tickLblPos val="nextTo"/>
        <c:spPr>
          <a:noFill/>
          <a:ln>
            <a:noFill/>
          </a:ln>
          <a:effectLst/>
        </c:spPr>
        <c:txPr>
          <a:bodyPr rot="-60000000" vert="horz"/>
          <a:lstStyle/>
          <a:p>
            <a:pPr>
              <a:defRPr/>
            </a:pPr>
            <a:endParaRPr lang="cs-CZ"/>
          </a:p>
        </c:txPr>
        <c:crossAx val="7586560"/>
        <c:crosses val="autoZero"/>
        <c:crossBetween val="between"/>
      </c:valAx>
      <c:spPr>
        <a:noFill/>
        <a:ln>
          <a:solidFill>
            <a:schemeClr val="bg1">
              <a:lumMod val="85000"/>
            </a:schemeClr>
          </a:solidFill>
        </a:ln>
        <a:effectLst/>
      </c:spPr>
    </c:plotArea>
    <c:legend>
      <c:legendPos val="b"/>
      <c:layout>
        <c:manualLayout>
          <c:xMode val="edge"/>
          <c:yMode val="edge"/>
          <c:x val="7.8125E-2"/>
          <c:y val="0.84972374215934865"/>
          <c:w val="0.91935844667143884"/>
          <c:h val="0.14770096534543442"/>
        </c:manualLayout>
      </c:layout>
      <c:spPr>
        <a:noFill/>
        <a:ln>
          <a:noFill/>
        </a:ln>
        <a:effectLst/>
      </c:spPr>
      <c:txPr>
        <a:bodyPr rot="0" vert="horz"/>
        <a:lstStyle/>
        <a:p>
          <a:pPr>
            <a:defRPr sz="750"/>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chart>
    <c:autoTitleDeleted val="1"/>
    <c:plotArea>
      <c:layout>
        <c:manualLayout>
          <c:layoutTarget val="inner"/>
          <c:xMode val="edge"/>
          <c:yMode val="edge"/>
          <c:x val="8.4044192265244261E-2"/>
          <c:y val="2.3516540148919293E-2"/>
          <c:w val="0.90201128139790898"/>
          <c:h val="0.83980620999450173"/>
        </c:manualLayout>
      </c:layout>
      <c:lineChart>
        <c:grouping val="standard"/>
        <c:ser>
          <c:idx val="1"/>
          <c:order val="0"/>
          <c:tx>
            <c:strRef>
              <c:f>List3!$AD$3</c:f>
              <c:strCache>
                <c:ptCount val="1"/>
                <c:pt idx="0">
                  <c:v>muž mladší</c:v>
                </c:pt>
              </c:strCache>
            </c:strRef>
          </c:tx>
          <c:spPr>
            <a:ln w="19050" cap="rnd">
              <a:solidFill>
                <a:schemeClr val="tx2"/>
              </a:solidFill>
              <a:prstDash val="sysDash"/>
              <a:round/>
            </a:ln>
            <a:effectLst/>
          </c:spPr>
          <c:marker>
            <c:symbol val="none"/>
          </c:marker>
          <c:cat>
            <c:strRef>
              <c:f>List3!$AC$4:$AC$35</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List3!$AD$4:$AD$35</c:f>
              <c:numCache>
                <c:formatCode>###0.0</c:formatCode>
                <c:ptCount val="32"/>
                <c:pt idx="0">
                  <c:v>6.1702127659574471</c:v>
                </c:pt>
                <c:pt idx="1">
                  <c:v>6.58181818181819</c:v>
                </c:pt>
                <c:pt idx="2">
                  <c:v>5.4516129032258114</c:v>
                </c:pt>
                <c:pt idx="3">
                  <c:v>5.3135135135135085</c:v>
                </c:pt>
                <c:pt idx="4">
                  <c:v>5.3673469387755031</c:v>
                </c:pt>
                <c:pt idx="5">
                  <c:v>4.7555555555555449</c:v>
                </c:pt>
                <c:pt idx="6">
                  <c:v>4.6113537117903922</c:v>
                </c:pt>
                <c:pt idx="7">
                  <c:v>4.6102661596958168</c:v>
                </c:pt>
                <c:pt idx="8">
                  <c:v>4.5996240601503784</c:v>
                </c:pt>
                <c:pt idx="9">
                  <c:v>4.2775735294117636</c:v>
                </c:pt>
                <c:pt idx="10">
                  <c:v>4.7925311203319465</c:v>
                </c:pt>
                <c:pt idx="11">
                  <c:v>4.5088105726872199</c:v>
                </c:pt>
                <c:pt idx="12">
                  <c:v>4.5863539445629034</c:v>
                </c:pt>
                <c:pt idx="13">
                  <c:v>4.6020151133501264</c:v>
                </c:pt>
                <c:pt idx="14">
                  <c:v>4.604651162790697</c:v>
                </c:pt>
                <c:pt idx="15">
                  <c:v>4.8804347826086953</c:v>
                </c:pt>
                <c:pt idx="16">
                  <c:v>4.8244897959183684</c:v>
                </c:pt>
                <c:pt idx="17">
                  <c:v>4.8093023255814034</c:v>
                </c:pt>
                <c:pt idx="18">
                  <c:v>5.10382513661202</c:v>
                </c:pt>
                <c:pt idx="19">
                  <c:v>4.7051282051282062</c:v>
                </c:pt>
                <c:pt idx="20">
                  <c:v>5.6608695652173875</c:v>
                </c:pt>
                <c:pt idx="21">
                  <c:v>4.6822429906542116</c:v>
                </c:pt>
                <c:pt idx="22">
                  <c:v>5.6323529411764675</c:v>
                </c:pt>
                <c:pt idx="23">
                  <c:v>5.5270270270270245</c:v>
                </c:pt>
                <c:pt idx="24">
                  <c:v>4.7972972972972965</c:v>
                </c:pt>
                <c:pt idx="25">
                  <c:v>5.3880597014925424</c:v>
                </c:pt>
                <c:pt idx="26">
                  <c:v>4.3928571428571415</c:v>
                </c:pt>
                <c:pt idx="27">
                  <c:v>5.092307692307692</c:v>
                </c:pt>
                <c:pt idx="28">
                  <c:v>5.1940298507462561</c:v>
                </c:pt>
                <c:pt idx="29">
                  <c:v>5.5818181818181918</c:v>
                </c:pt>
                <c:pt idx="30">
                  <c:v>5.2444444444444454</c:v>
                </c:pt>
                <c:pt idx="31">
                  <c:v>5.0387596899224905</c:v>
                </c:pt>
              </c:numCache>
            </c:numRef>
          </c:val>
        </c:ser>
        <c:ser>
          <c:idx val="3"/>
          <c:order val="1"/>
          <c:tx>
            <c:strRef>
              <c:f>List3!$AE$3</c:f>
              <c:strCache>
                <c:ptCount val="1"/>
                <c:pt idx="0">
                  <c:v>muž starší</c:v>
                </c:pt>
              </c:strCache>
            </c:strRef>
          </c:tx>
          <c:spPr>
            <a:ln w="19050" cap="rnd">
              <a:solidFill>
                <a:schemeClr val="tx2"/>
              </a:solidFill>
              <a:prstDash val="lgDashDot"/>
              <a:round/>
            </a:ln>
            <a:effectLst/>
          </c:spPr>
          <c:marker>
            <c:symbol val="none"/>
          </c:marker>
          <c:cat>
            <c:strRef>
              <c:f>List3!$AC$4:$AC$35</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List3!$AE$4:$AE$35</c:f>
              <c:numCache>
                <c:formatCode>###0.0</c:formatCode>
                <c:ptCount val="32"/>
                <c:pt idx="0">
                  <c:v>2</c:v>
                </c:pt>
                <c:pt idx="1">
                  <c:v>2.3636363636363642</c:v>
                </c:pt>
                <c:pt idx="2">
                  <c:v>2.5517241379310351</c:v>
                </c:pt>
                <c:pt idx="3">
                  <c:v>2.5937499999999987</c:v>
                </c:pt>
                <c:pt idx="4">
                  <c:v>2.7610619469026596</c:v>
                </c:pt>
                <c:pt idx="5">
                  <c:v>2.9527559055118062</c:v>
                </c:pt>
                <c:pt idx="6">
                  <c:v>3.157894736842108</c:v>
                </c:pt>
                <c:pt idx="7">
                  <c:v>3.2879310344827624</c:v>
                </c:pt>
                <c:pt idx="8">
                  <c:v>3.3934226552984161</c:v>
                </c:pt>
                <c:pt idx="9">
                  <c:v>3.5880250223413808</c:v>
                </c:pt>
                <c:pt idx="10">
                  <c:v>3.7933634992458525</c:v>
                </c:pt>
                <c:pt idx="11">
                  <c:v>3.9947712418300649</c:v>
                </c:pt>
                <c:pt idx="12">
                  <c:v>4.3473208521626843</c:v>
                </c:pt>
                <c:pt idx="13">
                  <c:v>4.7382262996941993</c:v>
                </c:pt>
                <c:pt idx="14">
                  <c:v>5.1248454882571046</c:v>
                </c:pt>
                <c:pt idx="15">
                  <c:v>5.5094850948509428</c:v>
                </c:pt>
                <c:pt idx="16">
                  <c:v>5.8943452380952284</c:v>
                </c:pt>
                <c:pt idx="17">
                  <c:v>6.4639865996649872</c:v>
                </c:pt>
                <c:pt idx="18">
                  <c:v>6.8208092485548972</c:v>
                </c:pt>
                <c:pt idx="19">
                  <c:v>7.0391534391534414</c:v>
                </c:pt>
                <c:pt idx="20">
                  <c:v>7.6671087533156381</c:v>
                </c:pt>
                <c:pt idx="21">
                  <c:v>7.6909722222222108</c:v>
                </c:pt>
                <c:pt idx="22">
                  <c:v>8.1237911025144864</c:v>
                </c:pt>
                <c:pt idx="23">
                  <c:v>8.1850311850311819</c:v>
                </c:pt>
                <c:pt idx="24">
                  <c:v>8.8098958333333446</c:v>
                </c:pt>
                <c:pt idx="25">
                  <c:v>8.9722222222222232</c:v>
                </c:pt>
                <c:pt idx="26">
                  <c:v>9.2455089820359184</c:v>
                </c:pt>
                <c:pt idx="27">
                  <c:v>9.2707006369426797</c:v>
                </c:pt>
                <c:pt idx="28">
                  <c:v>9.8535825545171498</c:v>
                </c:pt>
                <c:pt idx="29">
                  <c:v>10.237458193979931</c:v>
                </c:pt>
                <c:pt idx="30">
                  <c:v>9.9481481481481389</c:v>
                </c:pt>
                <c:pt idx="31">
                  <c:v>10.840496657115576</c:v>
                </c:pt>
              </c:numCache>
            </c:numRef>
          </c:val>
        </c:ser>
        <c:ser>
          <c:idx val="5"/>
          <c:order val="2"/>
          <c:tx>
            <c:strRef>
              <c:f>List3!$AF$3</c:f>
              <c:strCache>
                <c:ptCount val="1"/>
                <c:pt idx="0">
                  <c:v>žena starší</c:v>
                </c:pt>
              </c:strCache>
            </c:strRef>
          </c:tx>
          <c:spPr>
            <a:ln w="19050" cap="rnd">
              <a:solidFill>
                <a:srgbClr val="C00000"/>
              </a:solidFill>
              <a:prstDash val="lgDashDot"/>
              <a:round/>
            </a:ln>
            <a:effectLst/>
          </c:spPr>
          <c:marker>
            <c:symbol val="none"/>
          </c:marker>
          <c:cat>
            <c:strRef>
              <c:f>List3!$AC$4:$AC$35</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List3!$AF$4:$AF$35</c:f>
              <c:numCache>
                <c:formatCode>###0.0</c:formatCode>
                <c:ptCount val="32"/>
                <c:pt idx="0">
                  <c:v>2</c:v>
                </c:pt>
                <c:pt idx="1">
                  <c:v>2.4285714285714319</c:v>
                </c:pt>
                <c:pt idx="2">
                  <c:v>2.3333333333333335</c:v>
                </c:pt>
                <c:pt idx="3">
                  <c:v>2.6785714285714319</c:v>
                </c:pt>
                <c:pt idx="4">
                  <c:v>2.4677419354838674</c:v>
                </c:pt>
                <c:pt idx="5">
                  <c:v>2.7525773195876289</c:v>
                </c:pt>
                <c:pt idx="6">
                  <c:v>2.7218934911242587</c:v>
                </c:pt>
                <c:pt idx="7">
                  <c:v>2.8995433789954341</c:v>
                </c:pt>
                <c:pt idx="8">
                  <c:v>3.0634441087613355</c:v>
                </c:pt>
                <c:pt idx="9">
                  <c:v>3.2419753086419809</c:v>
                </c:pt>
                <c:pt idx="10">
                  <c:v>3.386634844868734</c:v>
                </c:pt>
                <c:pt idx="11">
                  <c:v>3.6091269841269815</c:v>
                </c:pt>
                <c:pt idx="12">
                  <c:v>3.9376498800959228</c:v>
                </c:pt>
                <c:pt idx="13">
                  <c:v>4.0240174672488962</c:v>
                </c:pt>
                <c:pt idx="14">
                  <c:v>4.3181818181818103</c:v>
                </c:pt>
                <c:pt idx="15">
                  <c:v>4.4039900249376593</c:v>
                </c:pt>
                <c:pt idx="16">
                  <c:v>4.6428571428571415</c:v>
                </c:pt>
                <c:pt idx="17">
                  <c:v>5.1935483870967687</c:v>
                </c:pt>
                <c:pt idx="18">
                  <c:v>5.4617940199335662</c:v>
                </c:pt>
                <c:pt idx="19">
                  <c:v>5.6889632107023402</c:v>
                </c:pt>
                <c:pt idx="20">
                  <c:v>6.0355871886120989</c:v>
                </c:pt>
                <c:pt idx="21">
                  <c:v>6.3543689320388372</c:v>
                </c:pt>
                <c:pt idx="22">
                  <c:v>6.0193236714975837</c:v>
                </c:pt>
                <c:pt idx="23">
                  <c:v>6.5367647058823684</c:v>
                </c:pt>
                <c:pt idx="24">
                  <c:v>6.2708333333333401</c:v>
                </c:pt>
                <c:pt idx="25">
                  <c:v>6.3173076923076943</c:v>
                </c:pt>
                <c:pt idx="26">
                  <c:v>7.7766990291262132</c:v>
                </c:pt>
                <c:pt idx="27">
                  <c:v>6.9814814814814889</c:v>
                </c:pt>
                <c:pt idx="28">
                  <c:v>6.5934065934065966</c:v>
                </c:pt>
                <c:pt idx="29">
                  <c:v>7.0263157894736814</c:v>
                </c:pt>
                <c:pt idx="30">
                  <c:v>6.1585365853658489</c:v>
                </c:pt>
                <c:pt idx="31">
                  <c:v>7.0821727019498724</c:v>
                </c:pt>
              </c:numCache>
            </c:numRef>
          </c:val>
        </c:ser>
        <c:ser>
          <c:idx val="0"/>
          <c:order val="3"/>
          <c:tx>
            <c:strRef>
              <c:f>List3!$AG$3</c:f>
              <c:strCache>
                <c:ptCount val="1"/>
                <c:pt idx="0">
                  <c:v>žena mladší</c:v>
                </c:pt>
              </c:strCache>
            </c:strRef>
          </c:tx>
          <c:spPr>
            <a:ln w="19050">
              <a:solidFill>
                <a:srgbClr val="C00000"/>
              </a:solidFill>
              <a:prstDash val="sysDash"/>
            </a:ln>
          </c:spPr>
          <c:marker>
            <c:symbol val="none"/>
          </c:marker>
          <c:cat>
            <c:strRef>
              <c:f>List3!$AC$4:$AC$35</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List3!$AG$4:$AG$35</c:f>
              <c:numCache>
                <c:formatCode>###0.0</c:formatCode>
                <c:ptCount val="32"/>
                <c:pt idx="0">
                  <c:v>7.5173333333333314</c:v>
                </c:pt>
                <c:pt idx="1">
                  <c:v>6.9005102040816384</c:v>
                </c:pt>
                <c:pt idx="2">
                  <c:v>6.6125574272587908</c:v>
                </c:pt>
                <c:pt idx="3">
                  <c:v>6.7320410490307783</c:v>
                </c:pt>
                <c:pt idx="4">
                  <c:v>6.3066037735849134</c:v>
                </c:pt>
                <c:pt idx="5">
                  <c:v>6.1188630490955873</c:v>
                </c:pt>
                <c:pt idx="6">
                  <c:v>5.9565891472868175</c:v>
                </c:pt>
                <c:pt idx="7">
                  <c:v>5.7200000000000015</c:v>
                </c:pt>
                <c:pt idx="8">
                  <c:v>5.5312653865091184</c:v>
                </c:pt>
                <c:pt idx="9">
                  <c:v>5.7080587937151641</c:v>
                </c:pt>
                <c:pt idx="10">
                  <c:v>5.9209414604707229</c:v>
                </c:pt>
                <c:pt idx="11">
                  <c:v>5.7335714285714303</c:v>
                </c:pt>
                <c:pt idx="12">
                  <c:v>5.870335820895515</c:v>
                </c:pt>
                <c:pt idx="13">
                  <c:v>6.1076746849942793</c:v>
                </c:pt>
                <c:pt idx="14">
                  <c:v>6.3126684636118622</c:v>
                </c:pt>
                <c:pt idx="15">
                  <c:v>6.4682170542635724</c:v>
                </c:pt>
                <c:pt idx="16">
                  <c:v>7.0507812499999938</c:v>
                </c:pt>
                <c:pt idx="17">
                  <c:v>7.2662192393736014</c:v>
                </c:pt>
                <c:pt idx="18">
                  <c:v>7.7411764705882318</c:v>
                </c:pt>
                <c:pt idx="19">
                  <c:v>7.6657060518731965</c:v>
                </c:pt>
                <c:pt idx="20">
                  <c:v>7.7955271565495146</c:v>
                </c:pt>
                <c:pt idx="21">
                  <c:v>8.0786516853932486</c:v>
                </c:pt>
                <c:pt idx="22">
                  <c:v>8.3688212927756638</c:v>
                </c:pt>
                <c:pt idx="23">
                  <c:v>8.0050251256281388</c:v>
                </c:pt>
                <c:pt idx="24">
                  <c:v>7.7760416666666714</c:v>
                </c:pt>
                <c:pt idx="25">
                  <c:v>7.9580838323353307</c:v>
                </c:pt>
                <c:pt idx="26">
                  <c:v>7.5520833333333313</c:v>
                </c:pt>
                <c:pt idx="27">
                  <c:v>8.0326797385620967</c:v>
                </c:pt>
                <c:pt idx="28">
                  <c:v>7.4999999999999964</c:v>
                </c:pt>
                <c:pt idx="29">
                  <c:v>7.9306358381502955</c:v>
                </c:pt>
                <c:pt idx="30">
                  <c:v>7.0980392156862742</c:v>
                </c:pt>
                <c:pt idx="31">
                  <c:v>6.8321226795803005</c:v>
                </c:pt>
              </c:numCache>
            </c:numRef>
          </c:val>
        </c:ser>
        <c:marker val="1"/>
        <c:axId val="39861632"/>
        <c:axId val="39872000"/>
      </c:lineChart>
      <c:catAx>
        <c:axId val="39861632"/>
        <c:scaling>
          <c:orientation val="minMax"/>
        </c:scaling>
        <c:axPos val="b"/>
        <c:title>
          <c:tx>
            <c:rich>
              <a:bodyPr/>
              <a:lstStyle/>
              <a:p>
                <a:pPr>
                  <a:defRPr/>
                </a:pPr>
                <a:r>
                  <a:rPr lang="en-US"/>
                  <a:t>věk</a:t>
                </a:r>
              </a:p>
            </c:rich>
          </c:tx>
        </c:title>
        <c:numFmt formatCode="General" sourceLinked="1"/>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39872000"/>
        <c:crosses val="autoZero"/>
        <c:auto val="1"/>
        <c:lblAlgn val="ctr"/>
        <c:lblOffset val="100"/>
      </c:catAx>
      <c:valAx>
        <c:axId val="39872000"/>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průměrný věkový rozdíl (v letech)</a:t>
                </a:r>
              </a:p>
            </c:rich>
          </c:tx>
        </c:title>
        <c:numFmt formatCode="#,##0" sourceLinked="0"/>
        <c:majorTickMark val="none"/>
        <c:tickLblPos val="nextTo"/>
        <c:spPr>
          <a:noFill/>
          <a:ln>
            <a:noFill/>
          </a:ln>
          <a:effectLst/>
        </c:spPr>
        <c:txPr>
          <a:bodyPr rot="-60000000" vert="horz"/>
          <a:lstStyle/>
          <a:p>
            <a:pPr>
              <a:defRPr/>
            </a:pPr>
            <a:endParaRPr lang="cs-CZ"/>
          </a:p>
        </c:txPr>
        <c:crossAx val="39861632"/>
        <c:crosses val="autoZero"/>
        <c:crossBetween val="between"/>
        <c:majorUnit val="1"/>
      </c:valAx>
      <c:spPr>
        <a:noFill/>
        <a:ln>
          <a:solidFill>
            <a:schemeClr val="bg1">
              <a:lumMod val="85000"/>
            </a:schemeClr>
          </a:solidFill>
        </a:ln>
        <a:effectLst/>
      </c:spPr>
    </c:plotArea>
    <c:legend>
      <c:legendPos val="b"/>
      <c:layout>
        <c:manualLayout>
          <c:xMode val="edge"/>
          <c:yMode val="edge"/>
          <c:x val="9.7070303712036066E-2"/>
          <c:y val="4.5049336650082886E-2"/>
          <c:w val="0.40356467941507618"/>
          <c:h val="0.13477293198128831"/>
        </c:manualLayout>
      </c:layout>
      <c:spPr>
        <a:solidFill>
          <a:schemeClr val="bg1"/>
        </a:solidFill>
        <a:ln>
          <a:solidFill>
            <a:sysClr val="windowText" lastClr="000000">
              <a:lumMod val="15000"/>
              <a:lumOff val="85000"/>
            </a:sysClr>
          </a:solidFill>
        </a:ln>
        <a:effectLst/>
      </c:spPr>
      <c:txPr>
        <a:bodyPr rot="0" vert="horz"/>
        <a:lstStyle/>
        <a:p>
          <a:pPr>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0.1063399530373849"/>
          <c:y val="2.329939049661725E-2"/>
          <c:w val="0.87864701002215151"/>
          <c:h val="0.77565001791750621"/>
        </c:manualLayout>
      </c:layout>
      <c:lineChart>
        <c:grouping val="standard"/>
        <c:ser>
          <c:idx val="0"/>
          <c:order val="0"/>
          <c:tx>
            <c:strRef>
              <c:f>'rozvody 3 kategorie'!$O$26</c:f>
              <c:strCache>
                <c:ptCount val="1"/>
                <c:pt idx="0">
                  <c:v>podobně staří (0-1 rok)</c:v>
                </c:pt>
              </c:strCache>
            </c:strRef>
          </c:tx>
          <c:spPr>
            <a:ln w="22225" cap="rnd">
              <a:solidFill>
                <a:schemeClr val="tx2"/>
              </a:solidFill>
              <a:round/>
            </a:ln>
            <a:effectLst/>
          </c:spPr>
          <c:marker>
            <c:symbol val="none"/>
          </c:marker>
          <c:cat>
            <c:numRef>
              <c:f>'rozvody 3 kategorie'!$N$27:$N$46</c:f>
              <c:numCache>
                <c:formatCode>General</c:formatCode>
                <c:ptCount val="20"/>
                <c:pt idx="0">
                  <c:v>2012</c:v>
                </c:pt>
                <c:pt idx="1">
                  <c:v>2011</c:v>
                </c:pt>
                <c:pt idx="2">
                  <c:v>2010</c:v>
                </c:pt>
                <c:pt idx="3">
                  <c:v>2009</c:v>
                </c:pt>
                <c:pt idx="4">
                  <c:v>2008</c:v>
                </c:pt>
                <c:pt idx="5">
                  <c:v>2007</c:v>
                </c:pt>
                <c:pt idx="6">
                  <c:v>2006</c:v>
                </c:pt>
                <c:pt idx="7">
                  <c:v>2005</c:v>
                </c:pt>
                <c:pt idx="8">
                  <c:v>2004</c:v>
                </c:pt>
                <c:pt idx="9">
                  <c:v>2003</c:v>
                </c:pt>
                <c:pt idx="10">
                  <c:v>2002</c:v>
                </c:pt>
                <c:pt idx="11">
                  <c:v>2001</c:v>
                </c:pt>
                <c:pt idx="12">
                  <c:v>2000</c:v>
                </c:pt>
                <c:pt idx="13">
                  <c:v>1999</c:v>
                </c:pt>
                <c:pt idx="14">
                  <c:v>1998</c:v>
                </c:pt>
                <c:pt idx="15">
                  <c:v>1997</c:v>
                </c:pt>
                <c:pt idx="16">
                  <c:v>1996</c:v>
                </c:pt>
                <c:pt idx="17">
                  <c:v>1995</c:v>
                </c:pt>
                <c:pt idx="18">
                  <c:v>1994</c:v>
                </c:pt>
                <c:pt idx="19">
                  <c:v>1993</c:v>
                </c:pt>
              </c:numCache>
            </c:numRef>
          </c:cat>
          <c:val>
            <c:numRef>
              <c:f>'rozvody 3 kategorie'!$O$27:$O$46</c:f>
              <c:numCache>
                <c:formatCode>General</c:formatCode>
                <c:ptCount val="20"/>
                <c:pt idx="0">
                  <c:v>6.2039550213260949E-2</c:v>
                </c:pt>
                <c:pt idx="1">
                  <c:v>0.95972309628697605</c:v>
                </c:pt>
                <c:pt idx="2">
                  <c:v>2.7523623818809058</c:v>
                </c:pt>
                <c:pt idx="3">
                  <c:v>5.1083939689445694</c:v>
                </c:pt>
                <c:pt idx="4">
                  <c:v>8.2645736902126519</c:v>
                </c:pt>
                <c:pt idx="5">
                  <c:v>10.257656781720954</c:v>
                </c:pt>
                <c:pt idx="6">
                  <c:v>12.560200346753996</c:v>
                </c:pt>
                <c:pt idx="7">
                  <c:v>14.374586366644682</c:v>
                </c:pt>
                <c:pt idx="8">
                  <c:v>17.01085517606575</c:v>
                </c:pt>
                <c:pt idx="9">
                  <c:v>18.266402134500801</c:v>
                </c:pt>
                <c:pt idx="10">
                  <c:v>21.975354742345029</c:v>
                </c:pt>
                <c:pt idx="11">
                  <c:v>24.642416769420468</c:v>
                </c:pt>
                <c:pt idx="12">
                  <c:v>26.870571971660617</c:v>
                </c:pt>
                <c:pt idx="13">
                  <c:v>29.172860795623535</c:v>
                </c:pt>
                <c:pt idx="14">
                  <c:v>31.374214370647188</c:v>
                </c:pt>
                <c:pt idx="15">
                  <c:v>32.504508443084326</c:v>
                </c:pt>
                <c:pt idx="16">
                  <c:v>35.012794995735</c:v>
                </c:pt>
                <c:pt idx="17">
                  <c:v>36.183558930340062</c:v>
                </c:pt>
                <c:pt idx="18">
                  <c:v>38.226519905359723</c:v>
                </c:pt>
                <c:pt idx="19">
                  <c:v>40.71279207200655</c:v>
                </c:pt>
              </c:numCache>
            </c:numRef>
          </c:val>
        </c:ser>
        <c:ser>
          <c:idx val="1"/>
          <c:order val="1"/>
          <c:tx>
            <c:strRef>
              <c:f>'rozvody 3 kategorie'!$P$26</c:f>
              <c:strCache>
                <c:ptCount val="1"/>
                <c:pt idx="0">
                  <c:v>muž mladší</c:v>
                </c:pt>
              </c:strCache>
            </c:strRef>
          </c:tx>
          <c:spPr>
            <a:ln w="22225" cap="rnd">
              <a:solidFill>
                <a:schemeClr val="accent1">
                  <a:lumMod val="20000"/>
                  <a:lumOff val="80000"/>
                </a:schemeClr>
              </a:solidFill>
              <a:round/>
            </a:ln>
            <a:effectLst/>
          </c:spPr>
          <c:marker>
            <c:symbol val="none"/>
          </c:marker>
          <c:cat>
            <c:numRef>
              <c:f>'rozvody 3 kategorie'!$N$27:$N$46</c:f>
              <c:numCache>
                <c:formatCode>General</c:formatCode>
                <c:ptCount val="20"/>
                <c:pt idx="0">
                  <c:v>2012</c:v>
                </c:pt>
                <c:pt idx="1">
                  <c:v>2011</c:v>
                </c:pt>
                <c:pt idx="2">
                  <c:v>2010</c:v>
                </c:pt>
                <c:pt idx="3">
                  <c:v>2009</c:v>
                </c:pt>
                <c:pt idx="4">
                  <c:v>2008</c:v>
                </c:pt>
                <c:pt idx="5">
                  <c:v>2007</c:v>
                </c:pt>
                <c:pt idx="6">
                  <c:v>2006</c:v>
                </c:pt>
                <c:pt idx="7">
                  <c:v>2005</c:v>
                </c:pt>
                <c:pt idx="8">
                  <c:v>2004</c:v>
                </c:pt>
                <c:pt idx="9">
                  <c:v>2003</c:v>
                </c:pt>
                <c:pt idx="10">
                  <c:v>2002</c:v>
                </c:pt>
                <c:pt idx="11">
                  <c:v>2001</c:v>
                </c:pt>
                <c:pt idx="12">
                  <c:v>2000</c:v>
                </c:pt>
                <c:pt idx="13">
                  <c:v>1999</c:v>
                </c:pt>
                <c:pt idx="14">
                  <c:v>1998</c:v>
                </c:pt>
                <c:pt idx="15">
                  <c:v>1997</c:v>
                </c:pt>
                <c:pt idx="16">
                  <c:v>1996</c:v>
                </c:pt>
                <c:pt idx="17">
                  <c:v>1995</c:v>
                </c:pt>
                <c:pt idx="18">
                  <c:v>1994</c:v>
                </c:pt>
                <c:pt idx="19">
                  <c:v>1993</c:v>
                </c:pt>
              </c:numCache>
            </c:numRef>
          </c:cat>
          <c:val>
            <c:numRef>
              <c:f>'rozvody 3 kategorie'!$P$27:$P$46</c:f>
              <c:numCache>
                <c:formatCode>General</c:formatCode>
                <c:ptCount val="20"/>
                <c:pt idx="0">
                  <c:v>0.13245033112582877</c:v>
                </c:pt>
                <c:pt idx="1">
                  <c:v>1.2369791666666665</c:v>
                </c:pt>
                <c:pt idx="2">
                  <c:v>3.8113448056086576</c:v>
                </c:pt>
                <c:pt idx="3">
                  <c:v>6.3873709775348955</c:v>
                </c:pt>
                <c:pt idx="4">
                  <c:v>9.6500760704194732</c:v>
                </c:pt>
                <c:pt idx="5">
                  <c:v>13.533682936668068</c:v>
                </c:pt>
                <c:pt idx="6">
                  <c:v>16.458770283695689</c:v>
                </c:pt>
                <c:pt idx="7">
                  <c:v>18.514750762970579</c:v>
                </c:pt>
                <c:pt idx="8">
                  <c:v>21.974268473186839</c:v>
                </c:pt>
                <c:pt idx="9">
                  <c:v>23.890742800642602</c:v>
                </c:pt>
                <c:pt idx="10">
                  <c:v>26.806039488966231</c:v>
                </c:pt>
                <c:pt idx="11">
                  <c:v>29.041774840689129</c:v>
                </c:pt>
                <c:pt idx="12">
                  <c:v>31.606277405954305</c:v>
                </c:pt>
                <c:pt idx="13">
                  <c:v>34.918294630790001</c:v>
                </c:pt>
                <c:pt idx="14">
                  <c:v>36.852491366551554</c:v>
                </c:pt>
                <c:pt idx="15">
                  <c:v>37.958204864679644</c:v>
                </c:pt>
                <c:pt idx="16">
                  <c:v>39.831623257037307</c:v>
                </c:pt>
                <c:pt idx="17">
                  <c:v>40.542740841248296</c:v>
                </c:pt>
                <c:pt idx="18">
                  <c:v>41.892822702851632</c:v>
                </c:pt>
                <c:pt idx="19">
                  <c:v>42.182514358647097</c:v>
                </c:pt>
              </c:numCache>
            </c:numRef>
          </c:val>
        </c:ser>
        <c:ser>
          <c:idx val="2"/>
          <c:order val="2"/>
          <c:tx>
            <c:strRef>
              <c:f>'rozvody 3 kategorie'!$Q$26</c:f>
              <c:strCache>
                <c:ptCount val="1"/>
                <c:pt idx="0">
                  <c:v>muž starší</c:v>
                </c:pt>
              </c:strCache>
            </c:strRef>
          </c:tx>
          <c:spPr>
            <a:ln w="22225" cap="rnd">
              <a:solidFill>
                <a:schemeClr val="accent1"/>
              </a:solidFill>
              <a:round/>
            </a:ln>
            <a:effectLst/>
          </c:spPr>
          <c:marker>
            <c:symbol val="none"/>
          </c:marker>
          <c:cat>
            <c:numRef>
              <c:f>'rozvody 3 kategorie'!$N$27:$N$46</c:f>
              <c:numCache>
                <c:formatCode>General</c:formatCode>
                <c:ptCount val="20"/>
                <c:pt idx="0">
                  <c:v>2012</c:v>
                </c:pt>
                <c:pt idx="1">
                  <c:v>2011</c:v>
                </c:pt>
                <c:pt idx="2">
                  <c:v>2010</c:v>
                </c:pt>
                <c:pt idx="3">
                  <c:v>2009</c:v>
                </c:pt>
                <c:pt idx="4">
                  <c:v>2008</c:v>
                </c:pt>
                <c:pt idx="5">
                  <c:v>2007</c:v>
                </c:pt>
                <c:pt idx="6">
                  <c:v>2006</c:v>
                </c:pt>
                <c:pt idx="7">
                  <c:v>2005</c:v>
                </c:pt>
                <c:pt idx="8">
                  <c:v>2004</c:v>
                </c:pt>
                <c:pt idx="9">
                  <c:v>2003</c:v>
                </c:pt>
                <c:pt idx="10">
                  <c:v>2002</c:v>
                </c:pt>
                <c:pt idx="11">
                  <c:v>2001</c:v>
                </c:pt>
                <c:pt idx="12">
                  <c:v>2000</c:v>
                </c:pt>
                <c:pt idx="13">
                  <c:v>1999</c:v>
                </c:pt>
                <c:pt idx="14">
                  <c:v>1998</c:v>
                </c:pt>
                <c:pt idx="15">
                  <c:v>1997</c:v>
                </c:pt>
                <c:pt idx="16">
                  <c:v>1996</c:v>
                </c:pt>
                <c:pt idx="17">
                  <c:v>1995</c:v>
                </c:pt>
                <c:pt idx="18">
                  <c:v>1994</c:v>
                </c:pt>
                <c:pt idx="19">
                  <c:v>1993</c:v>
                </c:pt>
              </c:numCache>
            </c:numRef>
          </c:cat>
          <c:val>
            <c:numRef>
              <c:f>'rozvody 3 kategorie'!$Q$27:$Q$46</c:f>
              <c:numCache>
                <c:formatCode>General</c:formatCode>
                <c:ptCount val="20"/>
                <c:pt idx="0">
                  <c:v>0.1009652275756235</c:v>
                </c:pt>
                <c:pt idx="1">
                  <c:v>1.2083249141240608</c:v>
                </c:pt>
                <c:pt idx="2">
                  <c:v>3.3480658661555909</c:v>
                </c:pt>
                <c:pt idx="3">
                  <c:v>6.1872528141162055</c:v>
                </c:pt>
                <c:pt idx="4">
                  <c:v>9.1046987441794389</c:v>
                </c:pt>
                <c:pt idx="5">
                  <c:v>12.333928861458498</c:v>
                </c:pt>
                <c:pt idx="6">
                  <c:v>14.4395635539181</c:v>
                </c:pt>
                <c:pt idx="7">
                  <c:v>16.780281285878289</c:v>
                </c:pt>
                <c:pt idx="8">
                  <c:v>20.046450863695746</c:v>
                </c:pt>
                <c:pt idx="9">
                  <c:v>21.234991423670813</c:v>
                </c:pt>
                <c:pt idx="10">
                  <c:v>24.007271690311541</c:v>
                </c:pt>
                <c:pt idx="11">
                  <c:v>26.156069364161826</c:v>
                </c:pt>
                <c:pt idx="12">
                  <c:v>27.695091144944357</c:v>
                </c:pt>
                <c:pt idx="13">
                  <c:v>29.614590261490637</c:v>
                </c:pt>
                <c:pt idx="14">
                  <c:v>32.432155307950218</c:v>
                </c:pt>
                <c:pt idx="15">
                  <c:v>33.202159490048132</c:v>
                </c:pt>
                <c:pt idx="16">
                  <c:v>34.759134766101262</c:v>
                </c:pt>
                <c:pt idx="17">
                  <c:v>34.982320141438869</c:v>
                </c:pt>
                <c:pt idx="18">
                  <c:v>35.621790226535396</c:v>
                </c:pt>
                <c:pt idx="19">
                  <c:v>36.895027624309392</c:v>
                </c:pt>
              </c:numCache>
            </c:numRef>
          </c:val>
        </c:ser>
        <c:ser>
          <c:idx val="3"/>
          <c:order val="3"/>
          <c:tx>
            <c:strRef>
              <c:f>'rozvody 3 kategorie'!$R$26</c:f>
              <c:strCache>
                <c:ptCount val="1"/>
                <c:pt idx="0">
                  <c:v>celkem</c:v>
                </c:pt>
              </c:strCache>
            </c:strRef>
          </c:tx>
          <c:spPr>
            <a:ln w="22225" cap="rnd">
              <a:solidFill>
                <a:schemeClr val="accent3"/>
              </a:solidFill>
              <a:prstDash val="sysDash"/>
              <a:round/>
            </a:ln>
            <a:effectLst/>
          </c:spPr>
          <c:marker>
            <c:symbol val="none"/>
          </c:marker>
          <c:cat>
            <c:numRef>
              <c:f>'rozvody 3 kategorie'!$N$27:$N$46</c:f>
              <c:numCache>
                <c:formatCode>General</c:formatCode>
                <c:ptCount val="20"/>
                <c:pt idx="0">
                  <c:v>2012</c:v>
                </c:pt>
                <c:pt idx="1">
                  <c:v>2011</c:v>
                </c:pt>
                <c:pt idx="2">
                  <c:v>2010</c:v>
                </c:pt>
                <c:pt idx="3">
                  <c:v>2009</c:v>
                </c:pt>
                <c:pt idx="4">
                  <c:v>2008</c:v>
                </c:pt>
                <c:pt idx="5">
                  <c:v>2007</c:v>
                </c:pt>
                <c:pt idx="6">
                  <c:v>2006</c:v>
                </c:pt>
                <c:pt idx="7">
                  <c:v>2005</c:v>
                </c:pt>
                <c:pt idx="8">
                  <c:v>2004</c:v>
                </c:pt>
                <c:pt idx="9">
                  <c:v>2003</c:v>
                </c:pt>
                <c:pt idx="10">
                  <c:v>2002</c:v>
                </c:pt>
                <c:pt idx="11">
                  <c:v>2001</c:v>
                </c:pt>
                <c:pt idx="12">
                  <c:v>2000</c:v>
                </c:pt>
                <c:pt idx="13">
                  <c:v>1999</c:v>
                </c:pt>
                <c:pt idx="14">
                  <c:v>1998</c:v>
                </c:pt>
                <c:pt idx="15">
                  <c:v>1997</c:v>
                </c:pt>
                <c:pt idx="16">
                  <c:v>1996</c:v>
                </c:pt>
                <c:pt idx="17">
                  <c:v>1995</c:v>
                </c:pt>
                <c:pt idx="18">
                  <c:v>1994</c:v>
                </c:pt>
                <c:pt idx="19">
                  <c:v>1993</c:v>
                </c:pt>
              </c:numCache>
            </c:numRef>
          </c:cat>
          <c:val>
            <c:numRef>
              <c:f>'rozvody 3 kategorie'!$R$27:$R$46</c:f>
              <c:numCache>
                <c:formatCode>General</c:formatCode>
                <c:ptCount val="20"/>
                <c:pt idx="0">
                  <c:v>9.5120116798655063E-2</c:v>
                </c:pt>
                <c:pt idx="1">
                  <c:v>1.1431862994882247</c:v>
                </c:pt>
                <c:pt idx="2">
                  <c:v>3.2558935523895092</c:v>
                </c:pt>
                <c:pt idx="3">
                  <c:v>5.9211900881701593</c:v>
                </c:pt>
                <c:pt idx="4">
                  <c:v>8.9616257124883241</c:v>
                </c:pt>
                <c:pt idx="5">
                  <c:v>11.944293787287647</c:v>
                </c:pt>
                <c:pt idx="6">
                  <c:v>14.231933409004919</c:v>
                </c:pt>
                <c:pt idx="7">
                  <c:v>16.375002411777189</c:v>
                </c:pt>
                <c:pt idx="8">
                  <c:v>19.484129298112542</c:v>
                </c:pt>
                <c:pt idx="9">
                  <c:v>20.787446621580106</c:v>
                </c:pt>
                <c:pt idx="10">
                  <c:v>23.845103542440945</c:v>
                </c:pt>
                <c:pt idx="11">
                  <c:v>26.154198648184231</c:v>
                </c:pt>
                <c:pt idx="12">
                  <c:v>28.049022975000426</c:v>
                </c:pt>
                <c:pt idx="13">
                  <c:v>30.282308540253627</c:v>
                </c:pt>
                <c:pt idx="14">
                  <c:v>32.743925709197299</c:v>
                </c:pt>
                <c:pt idx="15">
                  <c:v>33.701819943256524</c:v>
                </c:pt>
                <c:pt idx="16">
                  <c:v>35.557369749146254</c:v>
                </c:pt>
                <c:pt idx="17">
                  <c:v>36.125263847441587</c:v>
                </c:pt>
                <c:pt idx="18">
                  <c:v>37.267282683093775</c:v>
                </c:pt>
                <c:pt idx="19">
                  <c:v>38.794239244014413</c:v>
                </c:pt>
              </c:numCache>
            </c:numRef>
          </c:val>
        </c:ser>
        <c:marker val="1"/>
        <c:axId val="39888768"/>
        <c:axId val="39895040"/>
      </c:lineChart>
      <c:catAx>
        <c:axId val="39888768"/>
        <c:scaling>
          <c:orientation val="minMax"/>
        </c:scaling>
        <c:axPos val="b"/>
        <c:title>
          <c:tx>
            <c:rich>
              <a:bodyPr/>
              <a:lstStyle/>
              <a:p>
                <a:pPr>
                  <a:defRPr/>
                </a:pPr>
                <a:r>
                  <a:rPr lang="en-US"/>
                  <a:t>rok sňatku</a:t>
                </a:r>
              </a:p>
            </c:rich>
          </c:tx>
          <c:layout>
            <c:manualLayout>
              <c:xMode val="edge"/>
              <c:yMode val="edge"/>
              <c:x val="0.47561332879015711"/>
              <c:y val="0.9252396586958026"/>
            </c:manualLayout>
          </c:layout>
        </c:title>
        <c:numFmt formatCode="General" sourceLinked="1"/>
        <c:majorTickMark val="none"/>
        <c:tickLblPos val="nextTo"/>
        <c:spPr>
          <a:noFill/>
          <a:ln w="9525" cap="flat" cmpd="sng" algn="ctr">
            <a:solidFill>
              <a:schemeClr val="tx1">
                <a:lumMod val="15000"/>
                <a:lumOff val="85000"/>
              </a:schemeClr>
            </a:solidFill>
            <a:round/>
          </a:ln>
          <a:effectLst/>
        </c:spPr>
        <c:txPr>
          <a:bodyPr rot="-5400000" vert="horz"/>
          <a:lstStyle/>
          <a:p>
            <a:pPr>
              <a:defRPr/>
            </a:pPr>
            <a:endParaRPr lang="cs-CZ"/>
          </a:p>
        </c:txPr>
        <c:crossAx val="39895040"/>
        <c:crosses val="autoZero"/>
        <c:auto val="1"/>
        <c:lblAlgn val="ctr"/>
        <c:lblOffset val="100"/>
      </c:catAx>
      <c:valAx>
        <c:axId val="39895040"/>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podíl rozvedených sňatků</a:t>
                </a:r>
                <a:r>
                  <a:rPr lang="cs-CZ"/>
                  <a:t> z dané kategorie věkového rozdílu </a:t>
                </a:r>
                <a:r>
                  <a:rPr lang="en-US"/>
                  <a:t> (%)</a:t>
                </a:r>
              </a:p>
            </c:rich>
          </c:tx>
          <c:layout>
            <c:manualLayout>
              <c:xMode val="edge"/>
              <c:yMode val="edge"/>
              <c:x val="1.1905652550721839E-2"/>
              <c:y val="0.12717010004745716"/>
            </c:manualLayout>
          </c:layout>
        </c:title>
        <c:numFmt formatCode="0" sourceLinked="0"/>
        <c:majorTickMark val="none"/>
        <c:tickLblPos val="nextTo"/>
        <c:spPr>
          <a:noFill/>
          <a:ln>
            <a:noFill/>
          </a:ln>
          <a:effectLst/>
        </c:spPr>
        <c:txPr>
          <a:bodyPr rot="-60000000" vert="horz"/>
          <a:lstStyle/>
          <a:p>
            <a:pPr>
              <a:defRPr/>
            </a:pPr>
            <a:endParaRPr lang="cs-CZ"/>
          </a:p>
        </c:txPr>
        <c:crossAx val="39888768"/>
        <c:crosses val="autoZero"/>
        <c:crossBetween val="between"/>
      </c:valAx>
      <c:spPr>
        <a:noFill/>
        <a:ln>
          <a:solidFill>
            <a:sysClr val="windowText" lastClr="000000">
              <a:lumMod val="15000"/>
              <a:lumOff val="85000"/>
            </a:sysClr>
          </a:solidFill>
        </a:ln>
        <a:effectLst/>
      </c:spPr>
    </c:plotArea>
    <c:legend>
      <c:legendPos val="b"/>
      <c:layout>
        <c:manualLayout>
          <c:xMode val="edge"/>
          <c:yMode val="edge"/>
          <c:x val="0.68126736098250817"/>
          <c:y val="0.49573253527810868"/>
          <c:w val="0.29364689891186141"/>
          <c:h val="0.2608152947671209"/>
        </c:manualLayout>
      </c:layout>
      <c:spPr>
        <a:solidFill>
          <a:sysClr val="window" lastClr="FFFFFF"/>
        </a:solidFill>
        <a:ln>
          <a:solidFill>
            <a:sysClr val="windowText" lastClr="000000">
              <a:lumMod val="15000"/>
              <a:lumOff val="85000"/>
            </a:sysClr>
          </a:solidFill>
        </a:ln>
        <a:effectLst/>
      </c:spPr>
      <c:txPr>
        <a:bodyPr rot="0" vert="horz"/>
        <a:lstStyle/>
        <a:p>
          <a:pPr>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latin typeface="Arial" pitchFamily="34" charset="0"/>
          <a:cs typeface="Arial" pitchFamily="34" charset="0"/>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rot="0" vert="horz"/>
          <a:lstStyle/>
          <a:p>
            <a:pPr>
              <a:defRPr/>
            </a:pPr>
            <a:r>
              <a:rPr lang="en-US"/>
              <a:t>muži</a:t>
            </a:r>
          </a:p>
        </c:rich>
      </c:tx>
      <c:layout>
        <c:manualLayout>
          <c:xMode val="edge"/>
          <c:yMode val="edge"/>
          <c:x val="8.6235842697463275E-2"/>
          <c:y val="4.8118803418803417E-2"/>
        </c:manualLayout>
      </c:layout>
      <c:spPr>
        <a:solidFill>
          <a:sysClr val="window" lastClr="FFFFFF"/>
        </a:solidFill>
        <a:ln>
          <a:solidFill>
            <a:schemeClr val="bg1">
              <a:lumMod val="85000"/>
            </a:schemeClr>
          </a:solidFill>
        </a:ln>
        <a:effectLst/>
      </c:spPr>
    </c:title>
    <c:plotArea>
      <c:layout>
        <c:manualLayout>
          <c:layoutTarget val="inner"/>
          <c:xMode val="edge"/>
          <c:yMode val="edge"/>
          <c:x val="7.59190672661684E-2"/>
          <c:y val="2.1584414624228311E-2"/>
          <c:w val="0.92408093273383163"/>
          <c:h val="0.90719640678717972"/>
        </c:manualLayout>
      </c:layout>
      <c:lineChart>
        <c:grouping val="standard"/>
        <c:ser>
          <c:idx val="0"/>
          <c:order val="0"/>
          <c:tx>
            <c:strRef>
              <c:f>List4!$B$115:$B$116</c:f>
              <c:strCache>
                <c:ptCount val="1"/>
                <c:pt idx="0">
                  <c:v>manželé stejné vzdělání</c:v>
                </c:pt>
              </c:strCache>
            </c:strRef>
          </c:tx>
          <c:spPr>
            <a:ln w="19050" cap="rnd">
              <a:solidFill>
                <a:schemeClr val="tx2"/>
              </a:solidFill>
              <a:round/>
            </a:ln>
            <a:effectLst/>
          </c:spPr>
          <c:marker>
            <c:symbol val="none"/>
          </c:marker>
          <c:cat>
            <c:strRef>
              <c:f>List4!$A$117:$A$123</c:f>
              <c:strCache>
                <c:ptCount val="7"/>
                <c:pt idx="0">
                  <c:v>-24</c:v>
                </c:pt>
                <c:pt idx="1">
                  <c:v>25-29</c:v>
                </c:pt>
                <c:pt idx="2">
                  <c:v>30-34</c:v>
                </c:pt>
                <c:pt idx="3">
                  <c:v>35-39</c:v>
                </c:pt>
                <c:pt idx="4">
                  <c:v>40-44</c:v>
                </c:pt>
                <c:pt idx="5">
                  <c:v>45-49</c:v>
                </c:pt>
                <c:pt idx="6">
                  <c:v>50+</c:v>
                </c:pt>
              </c:strCache>
            </c:strRef>
          </c:cat>
          <c:val>
            <c:numRef>
              <c:f>List4!$B$117:$B$123</c:f>
              <c:numCache>
                <c:formatCode>General</c:formatCode>
                <c:ptCount val="7"/>
                <c:pt idx="0">
                  <c:v>49.077608142493624</c:v>
                </c:pt>
                <c:pt idx="1">
                  <c:v>51.158446482839345</c:v>
                </c:pt>
                <c:pt idx="2">
                  <c:v>50.982523195425102</c:v>
                </c:pt>
                <c:pt idx="3">
                  <c:v>51.161379872651061</c:v>
                </c:pt>
                <c:pt idx="4">
                  <c:v>51.483276405091843</c:v>
                </c:pt>
                <c:pt idx="5">
                  <c:v>50.695875591615959</c:v>
                </c:pt>
                <c:pt idx="6">
                  <c:v>46.842944604815997</c:v>
                </c:pt>
              </c:numCache>
            </c:numRef>
          </c:val>
        </c:ser>
        <c:ser>
          <c:idx val="1"/>
          <c:order val="1"/>
          <c:tx>
            <c:strRef>
              <c:f>List4!$C$115:$C$116</c:f>
              <c:strCache>
                <c:ptCount val="1"/>
                <c:pt idx="0">
                  <c:v>manželé muž nižší</c:v>
                </c:pt>
              </c:strCache>
            </c:strRef>
          </c:tx>
          <c:spPr>
            <a:ln w="19050" cap="rnd">
              <a:solidFill>
                <a:schemeClr val="tx2"/>
              </a:solidFill>
              <a:prstDash val="sysDash"/>
              <a:round/>
            </a:ln>
            <a:effectLst/>
          </c:spPr>
          <c:marker>
            <c:symbol val="none"/>
          </c:marker>
          <c:cat>
            <c:strRef>
              <c:f>List4!$A$117:$A$123</c:f>
              <c:strCache>
                <c:ptCount val="7"/>
                <c:pt idx="0">
                  <c:v>-24</c:v>
                </c:pt>
                <c:pt idx="1">
                  <c:v>25-29</c:v>
                </c:pt>
                <c:pt idx="2">
                  <c:v>30-34</c:v>
                </c:pt>
                <c:pt idx="3">
                  <c:v>35-39</c:v>
                </c:pt>
                <c:pt idx="4">
                  <c:v>40-44</c:v>
                </c:pt>
                <c:pt idx="5">
                  <c:v>45-49</c:v>
                </c:pt>
                <c:pt idx="6">
                  <c:v>50+</c:v>
                </c:pt>
              </c:strCache>
            </c:strRef>
          </c:cat>
          <c:val>
            <c:numRef>
              <c:f>List4!$C$117:$C$123</c:f>
              <c:numCache>
                <c:formatCode>General</c:formatCode>
                <c:ptCount val="7"/>
                <c:pt idx="0">
                  <c:v>32.665394402035631</c:v>
                </c:pt>
                <c:pt idx="1">
                  <c:v>33.116792594864357</c:v>
                </c:pt>
                <c:pt idx="2">
                  <c:v>32.976162688918713</c:v>
                </c:pt>
                <c:pt idx="3">
                  <c:v>30.922406429569556</c:v>
                </c:pt>
                <c:pt idx="4">
                  <c:v>26.630217805970812</c:v>
                </c:pt>
                <c:pt idx="5">
                  <c:v>26.29019607843108</c:v>
                </c:pt>
                <c:pt idx="6">
                  <c:v>19.830739342624771</c:v>
                </c:pt>
              </c:numCache>
            </c:numRef>
          </c:val>
        </c:ser>
        <c:ser>
          <c:idx val="2"/>
          <c:order val="2"/>
          <c:tx>
            <c:strRef>
              <c:f>List4!$D$115:$D$116</c:f>
              <c:strCache>
                <c:ptCount val="1"/>
                <c:pt idx="0">
                  <c:v>manželé muž vyšší</c:v>
                </c:pt>
              </c:strCache>
            </c:strRef>
          </c:tx>
          <c:spPr>
            <a:ln w="19050" cap="rnd">
              <a:solidFill>
                <a:schemeClr val="tx2"/>
              </a:solidFill>
              <a:prstDash val="lgDashDot"/>
              <a:round/>
            </a:ln>
            <a:effectLst/>
          </c:spPr>
          <c:marker>
            <c:symbol val="none"/>
          </c:marker>
          <c:cat>
            <c:strRef>
              <c:f>List4!$A$117:$A$123</c:f>
              <c:strCache>
                <c:ptCount val="7"/>
                <c:pt idx="0">
                  <c:v>-24</c:v>
                </c:pt>
                <c:pt idx="1">
                  <c:v>25-29</c:v>
                </c:pt>
                <c:pt idx="2">
                  <c:v>30-34</c:v>
                </c:pt>
                <c:pt idx="3">
                  <c:v>35-39</c:v>
                </c:pt>
                <c:pt idx="4">
                  <c:v>40-44</c:v>
                </c:pt>
                <c:pt idx="5">
                  <c:v>45-49</c:v>
                </c:pt>
                <c:pt idx="6">
                  <c:v>50+</c:v>
                </c:pt>
              </c:strCache>
            </c:strRef>
          </c:cat>
          <c:val>
            <c:numRef>
              <c:f>List4!$D$117:$D$123</c:f>
              <c:numCache>
                <c:formatCode>General</c:formatCode>
                <c:ptCount val="7"/>
                <c:pt idx="0">
                  <c:v>18.256997455470795</c:v>
                </c:pt>
                <c:pt idx="1">
                  <c:v>15.724760922296261</c:v>
                </c:pt>
                <c:pt idx="2">
                  <c:v>16.041314115656231</c:v>
                </c:pt>
                <c:pt idx="3">
                  <c:v>17.916213697779089</c:v>
                </c:pt>
                <c:pt idx="4">
                  <c:v>21.886505788936699</c:v>
                </c:pt>
                <c:pt idx="5">
                  <c:v>23.013928329952911</c:v>
                </c:pt>
                <c:pt idx="6">
                  <c:v>33.326316052558468</c:v>
                </c:pt>
              </c:numCache>
            </c:numRef>
          </c:val>
        </c:ser>
        <c:ser>
          <c:idx val="3"/>
          <c:order val="3"/>
          <c:tx>
            <c:strRef>
              <c:f>List4!$E$115:$E$116</c:f>
              <c:strCache>
                <c:ptCount val="1"/>
                <c:pt idx="0">
                  <c:v>NSS stejné vzdělání</c:v>
                </c:pt>
              </c:strCache>
            </c:strRef>
          </c:tx>
          <c:spPr>
            <a:ln w="19050" cap="rnd">
              <a:solidFill>
                <a:srgbClr val="00B0F0"/>
              </a:solidFill>
              <a:round/>
            </a:ln>
            <a:effectLst/>
          </c:spPr>
          <c:marker>
            <c:symbol val="none"/>
          </c:marker>
          <c:cat>
            <c:strRef>
              <c:f>List4!$A$117:$A$123</c:f>
              <c:strCache>
                <c:ptCount val="7"/>
                <c:pt idx="0">
                  <c:v>-24</c:v>
                </c:pt>
                <c:pt idx="1">
                  <c:v>25-29</c:v>
                </c:pt>
                <c:pt idx="2">
                  <c:v>30-34</c:v>
                </c:pt>
                <c:pt idx="3">
                  <c:v>35-39</c:v>
                </c:pt>
                <c:pt idx="4">
                  <c:v>40-44</c:v>
                </c:pt>
                <c:pt idx="5">
                  <c:v>45-49</c:v>
                </c:pt>
                <c:pt idx="6">
                  <c:v>50+</c:v>
                </c:pt>
              </c:strCache>
            </c:strRef>
          </c:cat>
          <c:val>
            <c:numRef>
              <c:f>List4!$E$117:$E$123</c:f>
              <c:numCache>
                <c:formatCode>General</c:formatCode>
                <c:ptCount val="7"/>
                <c:pt idx="0">
                  <c:v>48.786533099245993</c:v>
                </c:pt>
                <c:pt idx="1">
                  <c:v>49.646205019655277</c:v>
                </c:pt>
                <c:pt idx="2">
                  <c:v>47.915999901523918</c:v>
                </c:pt>
                <c:pt idx="3">
                  <c:v>46.881847294791115</c:v>
                </c:pt>
                <c:pt idx="4">
                  <c:v>48.557749850388944</c:v>
                </c:pt>
                <c:pt idx="5">
                  <c:v>46.863284178955254</c:v>
                </c:pt>
                <c:pt idx="6">
                  <c:v>45.485382006137939</c:v>
                </c:pt>
              </c:numCache>
            </c:numRef>
          </c:val>
        </c:ser>
        <c:ser>
          <c:idx val="4"/>
          <c:order val="4"/>
          <c:tx>
            <c:strRef>
              <c:f>List4!$F$115:$F$116</c:f>
              <c:strCache>
                <c:ptCount val="1"/>
                <c:pt idx="0">
                  <c:v>NSS muž nižší</c:v>
                </c:pt>
              </c:strCache>
            </c:strRef>
          </c:tx>
          <c:spPr>
            <a:ln w="19050" cap="rnd">
              <a:solidFill>
                <a:srgbClr val="00B0F0"/>
              </a:solidFill>
              <a:prstDash val="sysDash"/>
              <a:round/>
            </a:ln>
            <a:effectLst/>
          </c:spPr>
          <c:marker>
            <c:symbol val="none"/>
          </c:marker>
          <c:cat>
            <c:strRef>
              <c:f>List4!$A$117:$A$123</c:f>
              <c:strCache>
                <c:ptCount val="7"/>
                <c:pt idx="0">
                  <c:v>-24</c:v>
                </c:pt>
                <c:pt idx="1">
                  <c:v>25-29</c:v>
                </c:pt>
                <c:pt idx="2">
                  <c:v>30-34</c:v>
                </c:pt>
                <c:pt idx="3">
                  <c:v>35-39</c:v>
                </c:pt>
                <c:pt idx="4">
                  <c:v>40-44</c:v>
                </c:pt>
                <c:pt idx="5">
                  <c:v>45-49</c:v>
                </c:pt>
                <c:pt idx="6">
                  <c:v>50+</c:v>
                </c:pt>
              </c:strCache>
            </c:strRef>
          </c:cat>
          <c:val>
            <c:numRef>
              <c:f>List4!$F$117:$F$123</c:f>
              <c:numCache>
                <c:formatCode>General</c:formatCode>
                <c:ptCount val="7"/>
                <c:pt idx="0">
                  <c:v>34.410823092016358</c:v>
                </c:pt>
                <c:pt idx="1">
                  <c:v>31.874811006955031</c:v>
                </c:pt>
                <c:pt idx="2">
                  <c:v>33.388315812796968</c:v>
                </c:pt>
                <c:pt idx="3">
                  <c:v>33.183043991235444</c:v>
                </c:pt>
                <c:pt idx="4">
                  <c:v>25.685218432076599</c:v>
                </c:pt>
                <c:pt idx="5">
                  <c:v>22.119470132466891</c:v>
                </c:pt>
                <c:pt idx="6">
                  <c:v>21.095138103698918</c:v>
                </c:pt>
              </c:numCache>
            </c:numRef>
          </c:val>
        </c:ser>
        <c:ser>
          <c:idx val="5"/>
          <c:order val="5"/>
          <c:tx>
            <c:strRef>
              <c:f>List4!$G$115:$G$116</c:f>
              <c:strCache>
                <c:ptCount val="1"/>
                <c:pt idx="0">
                  <c:v>NSS muž vyšší</c:v>
                </c:pt>
              </c:strCache>
            </c:strRef>
          </c:tx>
          <c:spPr>
            <a:ln w="19050" cap="rnd">
              <a:solidFill>
                <a:srgbClr val="00B0F0"/>
              </a:solidFill>
              <a:prstDash val="lgDashDot"/>
              <a:round/>
            </a:ln>
            <a:effectLst/>
          </c:spPr>
          <c:marker>
            <c:symbol val="none"/>
          </c:marker>
          <c:cat>
            <c:strRef>
              <c:f>List4!$A$117:$A$123</c:f>
              <c:strCache>
                <c:ptCount val="7"/>
                <c:pt idx="0">
                  <c:v>-24</c:v>
                </c:pt>
                <c:pt idx="1">
                  <c:v>25-29</c:v>
                </c:pt>
                <c:pt idx="2">
                  <c:v>30-34</c:v>
                </c:pt>
                <c:pt idx="3">
                  <c:v>35-39</c:v>
                </c:pt>
                <c:pt idx="4">
                  <c:v>40-44</c:v>
                </c:pt>
                <c:pt idx="5">
                  <c:v>45-49</c:v>
                </c:pt>
                <c:pt idx="6">
                  <c:v>50+</c:v>
                </c:pt>
              </c:strCache>
            </c:strRef>
          </c:cat>
          <c:val>
            <c:numRef>
              <c:f>List4!$G$117:$G$123</c:f>
              <c:numCache>
                <c:formatCode>General</c:formatCode>
                <c:ptCount val="7"/>
                <c:pt idx="0">
                  <c:v>16.802643808736626</c:v>
                </c:pt>
                <c:pt idx="1">
                  <c:v>18.478983973389589</c:v>
                </c:pt>
                <c:pt idx="2">
                  <c:v>18.695684285679089</c:v>
                </c:pt>
                <c:pt idx="3">
                  <c:v>19.935108713972696</c:v>
                </c:pt>
                <c:pt idx="4">
                  <c:v>25.757031717534431</c:v>
                </c:pt>
                <c:pt idx="5">
                  <c:v>31.017245688577852</c:v>
                </c:pt>
                <c:pt idx="6">
                  <c:v>33.419479890163124</c:v>
                </c:pt>
              </c:numCache>
            </c:numRef>
          </c:val>
        </c:ser>
        <c:ser>
          <c:idx val="6"/>
          <c:order val="6"/>
          <c:tx>
            <c:strRef>
              <c:f>List4!$H$115:$H$116</c:f>
              <c:strCache>
                <c:ptCount val="1"/>
                <c:pt idx="0">
                  <c:v>NSZM stejné vzdělání</c:v>
                </c:pt>
              </c:strCache>
            </c:strRef>
          </c:tx>
          <c:spPr>
            <a:ln w="19050" cap="rnd">
              <a:solidFill>
                <a:schemeClr val="accent3"/>
              </a:solidFill>
              <a:round/>
            </a:ln>
            <a:effectLst/>
          </c:spPr>
          <c:marker>
            <c:symbol val="none"/>
          </c:marker>
          <c:cat>
            <c:strRef>
              <c:f>List4!$A$117:$A$123</c:f>
              <c:strCache>
                <c:ptCount val="7"/>
                <c:pt idx="0">
                  <c:v>-24</c:v>
                </c:pt>
                <c:pt idx="1">
                  <c:v>25-29</c:v>
                </c:pt>
                <c:pt idx="2">
                  <c:v>30-34</c:v>
                </c:pt>
                <c:pt idx="3">
                  <c:v>35-39</c:v>
                </c:pt>
                <c:pt idx="4">
                  <c:v>40-44</c:v>
                </c:pt>
                <c:pt idx="5">
                  <c:v>45-49</c:v>
                </c:pt>
                <c:pt idx="6">
                  <c:v>50+</c:v>
                </c:pt>
              </c:strCache>
            </c:strRef>
          </c:cat>
          <c:val>
            <c:numRef>
              <c:f>List4!$H$117:$H$123</c:f>
              <c:numCache>
                <c:formatCode>General</c:formatCode>
                <c:ptCount val="7"/>
                <c:pt idx="0">
                  <c:v>42.5</c:v>
                </c:pt>
                <c:pt idx="1">
                  <c:v>45.598006644518463</c:v>
                </c:pt>
                <c:pt idx="2">
                  <c:v>45.679012345679588</c:v>
                </c:pt>
                <c:pt idx="3">
                  <c:v>46.830608415974254</c:v>
                </c:pt>
                <c:pt idx="4">
                  <c:v>47.377983835599274</c:v>
                </c:pt>
                <c:pt idx="5">
                  <c:v>46.313811462574144</c:v>
                </c:pt>
                <c:pt idx="6">
                  <c:v>44.159669759332239</c:v>
                </c:pt>
              </c:numCache>
            </c:numRef>
          </c:val>
        </c:ser>
        <c:ser>
          <c:idx val="7"/>
          <c:order val="7"/>
          <c:tx>
            <c:strRef>
              <c:f>List4!$I$115:$I$116</c:f>
              <c:strCache>
                <c:ptCount val="1"/>
                <c:pt idx="0">
                  <c:v>NSZM muž nižší</c:v>
                </c:pt>
              </c:strCache>
            </c:strRef>
          </c:tx>
          <c:spPr>
            <a:ln w="19050" cap="rnd">
              <a:solidFill>
                <a:schemeClr val="accent3"/>
              </a:solidFill>
              <a:prstDash val="sysDash"/>
              <a:round/>
            </a:ln>
            <a:effectLst/>
          </c:spPr>
          <c:marker>
            <c:symbol val="none"/>
          </c:marker>
          <c:cat>
            <c:strRef>
              <c:f>List4!$A$117:$A$123</c:f>
              <c:strCache>
                <c:ptCount val="7"/>
                <c:pt idx="0">
                  <c:v>-24</c:v>
                </c:pt>
                <c:pt idx="1">
                  <c:v>25-29</c:v>
                </c:pt>
                <c:pt idx="2">
                  <c:v>30-34</c:v>
                </c:pt>
                <c:pt idx="3">
                  <c:v>35-39</c:v>
                </c:pt>
                <c:pt idx="4">
                  <c:v>40-44</c:v>
                </c:pt>
                <c:pt idx="5">
                  <c:v>45-49</c:v>
                </c:pt>
                <c:pt idx="6">
                  <c:v>50+</c:v>
                </c:pt>
              </c:strCache>
            </c:strRef>
          </c:cat>
          <c:val>
            <c:numRef>
              <c:f>List4!$I$117:$I$123</c:f>
              <c:numCache>
                <c:formatCode>General</c:formatCode>
                <c:ptCount val="7"/>
                <c:pt idx="0">
                  <c:v>35</c:v>
                </c:pt>
                <c:pt idx="1">
                  <c:v>36.877076411959997</c:v>
                </c:pt>
                <c:pt idx="2">
                  <c:v>35.966086568495975</c:v>
                </c:pt>
                <c:pt idx="3">
                  <c:v>34.253551326722061</c:v>
                </c:pt>
                <c:pt idx="4">
                  <c:v>29.659795752145858</c:v>
                </c:pt>
                <c:pt idx="5">
                  <c:v>27.823363607892265</c:v>
                </c:pt>
                <c:pt idx="6">
                  <c:v>24.337214195539346</c:v>
                </c:pt>
              </c:numCache>
            </c:numRef>
          </c:val>
        </c:ser>
        <c:ser>
          <c:idx val="8"/>
          <c:order val="8"/>
          <c:tx>
            <c:strRef>
              <c:f>List4!$J$115:$J$116</c:f>
              <c:strCache>
                <c:ptCount val="1"/>
                <c:pt idx="0">
                  <c:v>NSZM muž vyšší</c:v>
                </c:pt>
              </c:strCache>
            </c:strRef>
          </c:tx>
          <c:spPr>
            <a:ln w="19050" cap="rnd">
              <a:solidFill>
                <a:schemeClr val="accent3"/>
              </a:solidFill>
              <a:prstDash val="lgDashDot"/>
              <a:round/>
            </a:ln>
            <a:effectLst/>
          </c:spPr>
          <c:marker>
            <c:symbol val="none"/>
          </c:marker>
          <c:cat>
            <c:strRef>
              <c:f>List4!$A$117:$A$123</c:f>
              <c:strCache>
                <c:ptCount val="7"/>
                <c:pt idx="0">
                  <c:v>-24</c:v>
                </c:pt>
                <c:pt idx="1">
                  <c:v>25-29</c:v>
                </c:pt>
                <c:pt idx="2">
                  <c:v>30-34</c:v>
                </c:pt>
                <c:pt idx="3">
                  <c:v>35-39</c:v>
                </c:pt>
                <c:pt idx="4">
                  <c:v>40-44</c:v>
                </c:pt>
                <c:pt idx="5">
                  <c:v>45-49</c:v>
                </c:pt>
                <c:pt idx="6">
                  <c:v>50+</c:v>
                </c:pt>
              </c:strCache>
            </c:strRef>
          </c:cat>
          <c:val>
            <c:numRef>
              <c:f>List4!$J$117:$J$123</c:f>
              <c:numCache>
                <c:formatCode>General</c:formatCode>
                <c:ptCount val="7"/>
                <c:pt idx="0">
                  <c:v>22.5</c:v>
                </c:pt>
                <c:pt idx="1">
                  <c:v>17.524916943521589</c:v>
                </c:pt>
                <c:pt idx="2">
                  <c:v>18.354901085824835</c:v>
                </c:pt>
                <c:pt idx="3">
                  <c:v>18.915840257303589</c:v>
                </c:pt>
                <c:pt idx="4">
                  <c:v>22.962220412254872</c:v>
                </c:pt>
                <c:pt idx="5">
                  <c:v>25.862824929533289</c:v>
                </c:pt>
                <c:pt idx="6">
                  <c:v>31.503116045127285</c:v>
                </c:pt>
              </c:numCache>
            </c:numRef>
          </c:val>
        </c:ser>
        <c:marker val="1"/>
        <c:axId val="93251456"/>
        <c:axId val="93252992"/>
      </c:lineChart>
      <c:catAx>
        <c:axId val="932514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93252992"/>
        <c:crosses val="autoZero"/>
        <c:auto val="1"/>
        <c:lblAlgn val="ctr"/>
        <c:lblOffset val="100"/>
      </c:catAx>
      <c:valAx>
        <c:axId val="93252992"/>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cs-CZ"/>
                  <a:t>podíl (%)</a:t>
                </a:r>
              </a:p>
            </c:rich>
          </c:tx>
          <c:layout>
            <c:manualLayout>
              <c:xMode val="edge"/>
              <c:yMode val="edge"/>
              <c:x val="4.2449685557884803E-3"/>
              <c:y val="0.32792466082585764"/>
            </c:manualLayout>
          </c:layout>
        </c:title>
        <c:numFmt formatCode="General" sourceLinked="1"/>
        <c:majorTickMark val="none"/>
        <c:tickLblPos val="nextTo"/>
        <c:spPr>
          <a:noFill/>
          <a:ln>
            <a:noFill/>
          </a:ln>
          <a:effectLst/>
        </c:spPr>
        <c:txPr>
          <a:bodyPr rot="-60000000" vert="horz"/>
          <a:lstStyle/>
          <a:p>
            <a:pPr>
              <a:defRPr/>
            </a:pPr>
            <a:endParaRPr lang="cs-CZ"/>
          </a:p>
        </c:txPr>
        <c:crossAx val="93251456"/>
        <c:crosses val="autoZero"/>
        <c:crossBetween val="between"/>
      </c:valAx>
      <c:spPr>
        <a:noFill/>
        <a:ln>
          <a:solidFill>
            <a:schemeClr val="bg1">
              <a:lumMod val="85000"/>
            </a:schemeClr>
          </a:solidFill>
        </a:ln>
        <a:effectLst/>
      </c:spPr>
    </c:plotArea>
    <c:legend>
      <c:legendPos val="b"/>
      <c:layout>
        <c:manualLayout>
          <c:xMode val="edge"/>
          <c:yMode val="edge"/>
          <c:x val="9.5460959548447827E-2"/>
          <c:y val="0.75835449735450922"/>
          <c:w val="0.89139228598306031"/>
          <c:h val="0.14932451499118166"/>
        </c:manualLayout>
      </c:layout>
      <c:spPr>
        <a:solidFill>
          <a:sysClr val="window" lastClr="FFFFFF"/>
        </a:solidFill>
        <a:ln>
          <a:solidFill>
            <a:sysClr val="window" lastClr="FFFFFF">
              <a:lumMod val="85000"/>
            </a:sysClr>
          </a:solidFill>
        </a:ln>
        <a:effectLst/>
      </c:spPr>
      <c:txPr>
        <a:bodyPr rot="0" vert="horz"/>
        <a:lstStyle/>
        <a:p>
          <a:pPr>
            <a:defRPr sz="700"/>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700">
          <a:latin typeface="Arial" pitchFamily="34" charset="0"/>
          <a:cs typeface="Arial" pitchFamily="34" charset="0"/>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rot="0" vert="horz"/>
          <a:lstStyle/>
          <a:p>
            <a:pPr>
              <a:defRPr/>
            </a:pPr>
            <a:r>
              <a:rPr lang="en-US"/>
              <a:t>ženy</a:t>
            </a:r>
          </a:p>
        </c:rich>
      </c:tx>
      <c:layout>
        <c:manualLayout>
          <c:xMode val="edge"/>
          <c:yMode val="edge"/>
          <c:x val="8.5289183043088482E-2"/>
          <c:y val="5.0626071741032404E-2"/>
        </c:manualLayout>
      </c:layout>
      <c:spPr>
        <a:solidFill>
          <a:sysClr val="window" lastClr="FFFFFF"/>
        </a:solidFill>
        <a:ln>
          <a:solidFill>
            <a:sysClr val="window" lastClr="FFFFFF">
              <a:lumMod val="85000"/>
            </a:sysClr>
          </a:solidFill>
        </a:ln>
        <a:effectLst/>
      </c:spPr>
    </c:title>
    <c:plotArea>
      <c:layout>
        <c:manualLayout>
          <c:layoutTarget val="inner"/>
          <c:xMode val="edge"/>
          <c:yMode val="edge"/>
          <c:x val="7.5991659321042113E-2"/>
          <c:y val="2.0657789160767617E-2"/>
          <c:w val="0.92400834067895798"/>
          <c:h val="0.91547555275578962"/>
        </c:manualLayout>
      </c:layout>
      <c:lineChart>
        <c:grouping val="standard"/>
        <c:ser>
          <c:idx val="0"/>
          <c:order val="0"/>
          <c:tx>
            <c:strRef>
              <c:f>List4!$B$125:$B$126</c:f>
              <c:strCache>
                <c:ptCount val="1"/>
                <c:pt idx="0">
                  <c:v>manželé stejné vzdělání</c:v>
                </c:pt>
              </c:strCache>
            </c:strRef>
          </c:tx>
          <c:spPr>
            <a:ln w="19050" cap="rnd">
              <a:solidFill>
                <a:schemeClr val="tx2"/>
              </a:solidFill>
              <a:round/>
            </a:ln>
            <a:effectLst/>
          </c:spPr>
          <c:marker>
            <c:symbol val="none"/>
          </c:marker>
          <c:cat>
            <c:strRef>
              <c:f>List4!$A$127:$A$133</c:f>
              <c:strCache>
                <c:ptCount val="7"/>
                <c:pt idx="0">
                  <c:v>-24</c:v>
                </c:pt>
                <c:pt idx="1">
                  <c:v>25-29</c:v>
                </c:pt>
                <c:pt idx="2">
                  <c:v>30-34</c:v>
                </c:pt>
                <c:pt idx="3">
                  <c:v>35-39</c:v>
                </c:pt>
                <c:pt idx="4">
                  <c:v>40-44</c:v>
                </c:pt>
                <c:pt idx="5">
                  <c:v>45-49</c:v>
                </c:pt>
                <c:pt idx="6">
                  <c:v>50+</c:v>
                </c:pt>
              </c:strCache>
            </c:strRef>
          </c:cat>
          <c:val>
            <c:numRef>
              <c:f>List4!$B$127:$B$133</c:f>
              <c:numCache>
                <c:formatCode>General</c:formatCode>
                <c:ptCount val="7"/>
                <c:pt idx="0">
                  <c:v>46.791204862352494</c:v>
                </c:pt>
                <c:pt idx="1">
                  <c:v>48.98549929348497</c:v>
                </c:pt>
                <c:pt idx="2">
                  <c:v>50.125569458869833</c:v>
                </c:pt>
                <c:pt idx="3">
                  <c:v>52.114891736632394</c:v>
                </c:pt>
                <c:pt idx="4">
                  <c:v>51.277475209929307</c:v>
                </c:pt>
                <c:pt idx="5">
                  <c:v>50.24010375912448</c:v>
                </c:pt>
                <c:pt idx="6">
                  <c:v>46.595693583213944</c:v>
                </c:pt>
              </c:numCache>
            </c:numRef>
          </c:val>
        </c:ser>
        <c:ser>
          <c:idx val="1"/>
          <c:order val="1"/>
          <c:tx>
            <c:strRef>
              <c:f>List4!$C$125:$C$126</c:f>
              <c:strCache>
                <c:ptCount val="1"/>
                <c:pt idx="0">
                  <c:v>manželé žena vyšší vzdělání</c:v>
                </c:pt>
              </c:strCache>
            </c:strRef>
          </c:tx>
          <c:spPr>
            <a:ln w="19050" cap="rnd">
              <a:solidFill>
                <a:schemeClr val="tx2"/>
              </a:solidFill>
              <a:prstDash val="lgDashDot"/>
              <a:round/>
            </a:ln>
            <a:effectLst/>
          </c:spPr>
          <c:marker>
            <c:symbol val="none"/>
          </c:marker>
          <c:cat>
            <c:strRef>
              <c:f>List4!$A$127:$A$133</c:f>
              <c:strCache>
                <c:ptCount val="7"/>
                <c:pt idx="0">
                  <c:v>-24</c:v>
                </c:pt>
                <c:pt idx="1">
                  <c:v>25-29</c:v>
                </c:pt>
                <c:pt idx="2">
                  <c:v>30-34</c:v>
                </c:pt>
                <c:pt idx="3">
                  <c:v>35-39</c:v>
                </c:pt>
                <c:pt idx="4">
                  <c:v>40-44</c:v>
                </c:pt>
                <c:pt idx="5">
                  <c:v>45-49</c:v>
                </c:pt>
                <c:pt idx="6">
                  <c:v>50+</c:v>
                </c:pt>
              </c:strCache>
            </c:strRef>
          </c:cat>
          <c:val>
            <c:numRef>
              <c:f>List4!$C$127:$C$133</c:f>
              <c:numCache>
                <c:formatCode>General</c:formatCode>
                <c:ptCount val="7"/>
                <c:pt idx="0">
                  <c:v>28.44118698605649</c:v>
                </c:pt>
                <c:pt idx="1">
                  <c:v>35.180332816594479</c:v>
                </c:pt>
                <c:pt idx="2">
                  <c:v>32.905792681251405</c:v>
                </c:pt>
                <c:pt idx="3">
                  <c:v>26.715422006186479</c:v>
                </c:pt>
                <c:pt idx="4">
                  <c:v>27.055351834573603</c:v>
                </c:pt>
                <c:pt idx="5">
                  <c:v>27.23623422979216</c:v>
                </c:pt>
                <c:pt idx="6">
                  <c:v>18.920842762995623</c:v>
                </c:pt>
              </c:numCache>
            </c:numRef>
          </c:val>
        </c:ser>
        <c:ser>
          <c:idx val="2"/>
          <c:order val="2"/>
          <c:tx>
            <c:strRef>
              <c:f>List4!$D$125:$D$126</c:f>
              <c:strCache>
                <c:ptCount val="1"/>
                <c:pt idx="0">
                  <c:v>manželé žena nižší vzdělání</c:v>
                </c:pt>
              </c:strCache>
            </c:strRef>
          </c:tx>
          <c:spPr>
            <a:ln w="19050" cap="rnd">
              <a:solidFill>
                <a:schemeClr val="tx2"/>
              </a:solidFill>
              <a:prstDash val="sysDash"/>
              <a:round/>
            </a:ln>
            <a:effectLst/>
          </c:spPr>
          <c:marker>
            <c:symbol val="none"/>
          </c:marker>
          <c:cat>
            <c:strRef>
              <c:f>List4!$A$127:$A$133</c:f>
              <c:strCache>
                <c:ptCount val="7"/>
                <c:pt idx="0">
                  <c:v>-24</c:v>
                </c:pt>
                <c:pt idx="1">
                  <c:v>25-29</c:v>
                </c:pt>
                <c:pt idx="2">
                  <c:v>30-34</c:v>
                </c:pt>
                <c:pt idx="3">
                  <c:v>35-39</c:v>
                </c:pt>
                <c:pt idx="4">
                  <c:v>40-44</c:v>
                </c:pt>
                <c:pt idx="5">
                  <c:v>45-49</c:v>
                </c:pt>
                <c:pt idx="6">
                  <c:v>50+</c:v>
                </c:pt>
              </c:strCache>
            </c:strRef>
          </c:cat>
          <c:val>
            <c:numRef>
              <c:f>List4!$D$127:$D$133</c:f>
              <c:numCache>
                <c:formatCode>General</c:formatCode>
                <c:ptCount val="7"/>
                <c:pt idx="0">
                  <c:v>24.767608151590988</c:v>
                </c:pt>
                <c:pt idx="1">
                  <c:v>15.834167889920842</c:v>
                </c:pt>
                <c:pt idx="2">
                  <c:v>16.96863785987858</c:v>
                </c:pt>
                <c:pt idx="3">
                  <c:v>21.169686257180729</c:v>
                </c:pt>
                <c:pt idx="4">
                  <c:v>21.667172955497215</c:v>
                </c:pt>
                <c:pt idx="5">
                  <c:v>22.523662011083289</c:v>
                </c:pt>
                <c:pt idx="6">
                  <c:v>34.483463653789848</c:v>
                </c:pt>
              </c:numCache>
            </c:numRef>
          </c:val>
        </c:ser>
        <c:ser>
          <c:idx val="3"/>
          <c:order val="3"/>
          <c:tx>
            <c:strRef>
              <c:f>List4!$E$125:$E$126</c:f>
              <c:strCache>
                <c:ptCount val="1"/>
                <c:pt idx="0">
                  <c:v>NSS stejné vzdělání</c:v>
                </c:pt>
              </c:strCache>
            </c:strRef>
          </c:tx>
          <c:spPr>
            <a:ln w="19050" cap="rnd">
              <a:solidFill>
                <a:srgbClr val="00B0F0"/>
              </a:solidFill>
              <a:round/>
            </a:ln>
            <a:effectLst/>
          </c:spPr>
          <c:marker>
            <c:symbol val="none"/>
          </c:marker>
          <c:cat>
            <c:strRef>
              <c:f>List4!$A$127:$A$133</c:f>
              <c:strCache>
                <c:ptCount val="7"/>
                <c:pt idx="0">
                  <c:v>-24</c:v>
                </c:pt>
                <c:pt idx="1">
                  <c:v>25-29</c:v>
                </c:pt>
                <c:pt idx="2">
                  <c:v>30-34</c:v>
                </c:pt>
                <c:pt idx="3">
                  <c:v>35-39</c:v>
                </c:pt>
                <c:pt idx="4">
                  <c:v>40-44</c:v>
                </c:pt>
                <c:pt idx="5">
                  <c:v>45-49</c:v>
                </c:pt>
                <c:pt idx="6">
                  <c:v>50+</c:v>
                </c:pt>
              </c:strCache>
            </c:strRef>
          </c:cat>
          <c:val>
            <c:numRef>
              <c:f>List4!$E$127:$E$133</c:f>
              <c:numCache>
                <c:formatCode>General</c:formatCode>
                <c:ptCount val="7"/>
                <c:pt idx="0">
                  <c:v>45.979799761831245</c:v>
                </c:pt>
                <c:pt idx="1">
                  <c:v>48.521984729170157</c:v>
                </c:pt>
                <c:pt idx="2">
                  <c:v>47.694303573534604</c:v>
                </c:pt>
                <c:pt idx="3">
                  <c:v>49.400860642171466</c:v>
                </c:pt>
                <c:pt idx="4">
                  <c:v>48.610396294390121</c:v>
                </c:pt>
                <c:pt idx="5">
                  <c:v>47.069943289224952</c:v>
                </c:pt>
                <c:pt idx="6">
                  <c:v>44.346116027531963</c:v>
                </c:pt>
              </c:numCache>
            </c:numRef>
          </c:val>
        </c:ser>
        <c:ser>
          <c:idx val="4"/>
          <c:order val="4"/>
          <c:tx>
            <c:strRef>
              <c:f>List4!$F$125:$F$126</c:f>
              <c:strCache>
                <c:ptCount val="1"/>
                <c:pt idx="0">
                  <c:v>NSS žena vyšší vzdělání</c:v>
                </c:pt>
              </c:strCache>
            </c:strRef>
          </c:tx>
          <c:spPr>
            <a:ln w="19050" cap="rnd">
              <a:solidFill>
                <a:srgbClr val="00B0F0"/>
              </a:solidFill>
              <a:prstDash val="lgDashDot"/>
              <a:round/>
            </a:ln>
            <a:effectLst/>
          </c:spPr>
          <c:marker>
            <c:symbol val="none"/>
          </c:marker>
          <c:cat>
            <c:strRef>
              <c:f>List4!$A$127:$A$133</c:f>
              <c:strCache>
                <c:ptCount val="7"/>
                <c:pt idx="0">
                  <c:v>-24</c:v>
                </c:pt>
                <c:pt idx="1">
                  <c:v>25-29</c:v>
                </c:pt>
                <c:pt idx="2">
                  <c:v>30-34</c:v>
                </c:pt>
                <c:pt idx="3">
                  <c:v>35-39</c:v>
                </c:pt>
                <c:pt idx="4">
                  <c:v>40-44</c:v>
                </c:pt>
                <c:pt idx="5">
                  <c:v>45-49</c:v>
                </c:pt>
                <c:pt idx="6">
                  <c:v>50+</c:v>
                </c:pt>
              </c:strCache>
            </c:strRef>
          </c:cat>
          <c:val>
            <c:numRef>
              <c:f>List4!$F$127:$F$133</c:f>
              <c:numCache>
                <c:formatCode>General</c:formatCode>
                <c:ptCount val="7"/>
                <c:pt idx="0">
                  <c:v>30.886958055837336</c:v>
                </c:pt>
                <c:pt idx="1">
                  <c:v>35.817037267526352</c:v>
                </c:pt>
                <c:pt idx="2">
                  <c:v>35.077839367849975</c:v>
                </c:pt>
                <c:pt idx="3">
                  <c:v>29.864283349884147</c:v>
                </c:pt>
                <c:pt idx="4">
                  <c:v>30.828615542974646</c:v>
                </c:pt>
                <c:pt idx="5">
                  <c:v>30.686830497794595</c:v>
                </c:pt>
                <c:pt idx="6">
                  <c:v>27.236971484759131</c:v>
                </c:pt>
              </c:numCache>
            </c:numRef>
          </c:val>
        </c:ser>
        <c:ser>
          <c:idx val="5"/>
          <c:order val="5"/>
          <c:tx>
            <c:strRef>
              <c:f>List4!$G$125:$G$126</c:f>
              <c:strCache>
                <c:ptCount val="1"/>
                <c:pt idx="0">
                  <c:v>NSS žena nižší vzdělání</c:v>
                </c:pt>
              </c:strCache>
            </c:strRef>
          </c:tx>
          <c:spPr>
            <a:ln w="19050" cap="rnd">
              <a:solidFill>
                <a:srgbClr val="00B0F0"/>
              </a:solidFill>
              <a:prstDash val="sysDash"/>
              <a:round/>
            </a:ln>
            <a:effectLst/>
          </c:spPr>
          <c:marker>
            <c:symbol val="none"/>
          </c:marker>
          <c:cat>
            <c:strRef>
              <c:f>List4!$A$127:$A$133</c:f>
              <c:strCache>
                <c:ptCount val="7"/>
                <c:pt idx="0">
                  <c:v>-24</c:v>
                </c:pt>
                <c:pt idx="1">
                  <c:v>25-29</c:v>
                </c:pt>
                <c:pt idx="2">
                  <c:v>30-34</c:v>
                </c:pt>
                <c:pt idx="3">
                  <c:v>35-39</c:v>
                </c:pt>
                <c:pt idx="4">
                  <c:v>40-44</c:v>
                </c:pt>
                <c:pt idx="5">
                  <c:v>45-49</c:v>
                </c:pt>
                <c:pt idx="6">
                  <c:v>50+</c:v>
                </c:pt>
              </c:strCache>
            </c:strRef>
          </c:cat>
          <c:val>
            <c:numRef>
              <c:f>List4!$G$127:$G$133</c:f>
              <c:numCache>
                <c:formatCode>General</c:formatCode>
                <c:ptCount val="7"/>
                <c:pt idx="0">
                  <c:v>23.133242182331227</c:v>
                </c:pt>
                <c:pt idx="1">
                  <c:v>15.660978003303095</c:v>
                </c:pt>
                <c:pt idx="2">
                  <c:v>17.227857058615601</c:v>
                </c:pt>
                <c:pt idx="3">
                  <c:v>20.734856007944391</c:v>
                </c:pt>
                <c:pt idx="4">
                  <c:v>20.560988162635098</c:v>
                </c:pt>
                <c:pt idx="5">
                  <c:v>22.243226212980282</c:v>
                </c:pt>
                <c:pt idx="6">
                  <c:v>28.416912487708942</c:v>
                </c:pt>
              </c:numCache>
            </c:numRef>
          </c:val>
        </c:ser>
        <c:ser>
          <c:idx val="6"/>
          <c:order val="6"/>
          <c:tx>
            <c:strRef>
              <c:f>List4!$H$125:$H$126</c:f>
              <c:strCache>
                <c:ptCount val="1"/>
                <c:pt idx="0">
                  <c:v>NSZM stejné vzdělání</c:v>
                </c:pt>
              </c:strCache>
            </c:strRef>
          </c:tx>
          <c:spPr>
            <a:ln w="19050" cap="rnd">
              <a:solidFill>
                <a:schemeClr val="accent3"/>
              </a:solidFill>
              <a:round/>
            </a:ln>
            <a:effectLst/>
          </c:spPr>
          <c:marker>
            <c:symbol val="none"/>
          </c:marker>
          <c:cat>
            <c:strRef>
              <c:f>List4!$A$127:$A$133</c:f>
              <c:strCache>
                <c:ptCount val="7"/>
                <c:pt idx="0">
                  <c:v>-24</c:v>
                </c:pt>
                <c:pt idx="1">
                  <c:v>25-29</c:v>
                </c:pt>
                <c:pt idx="2">
                  <c:v>30-34</c:v>
                </c:pt>
                <c:pt idx="3">
                  <c:v>35-39</c:v>
                </c:pt>
                <c:pt idx="4">
                  <c:v>40-44</c:v>
                </c:pt>
                <c:pt idx="5">
                  <c:v>45-49</c:v>
                </c:pt>
                <c:pt idx="6">
                  <c:v>50+</c:v>
                </c:pt>
              </c:strCache>
            </c:strRef>
          </c:cat>
          <c:val>
            <c:numRef>
              <c:f>List4!$H$127:$H$133</c:f>
              <c:numCache>
                <c:formatCode>General</c:formatCode>
                <c:ptCount val="7"/>
                <c:pt idx="0">
                  <c:v>40.094339622641506</c:v>
                </c:pt>
                <c:pt idx="1">
                  <c:v>44.455190199871062</c:v>
                </c:pt>
                <c:pt idx="2">
                  <c:v>46.443476682997364</c:v>
                </c:pt>
                <c:pt idx="3">
                  <c:v>49.68682562240118</c:v>
                </c:pt>
                <c:pt idx="4">
                  <c:v>48.016897441914779</c:v>
                </c:pt>
                <c:pt idx="5">
                  <c:v>45.240444707585027</c:v>
                </c:pt>
                <c:pt idx="6">
                  <c:v>43.709913872091157</c:v>
                </c:pt>
              </c:numCache>
            </c:numRef>
          </c:val>
        </c:ser>
        <c:ser>
          <c:idx val="7"/>
          <c:order val="7"/>
          <c:tx>
            <c:strRef>
              <c:f>List4!$I$125:$I$126</c:f>
              <c:strCache>
                <c:ptCount val="1"/>
                <c:pt idx="0">
                  <c:v>NSZM žena vyšší vzdělání</c:v>
                </c:pt>
              </c:strCache>
            </c:strRef>
          </c:tx>
          <c:spPr>
            <a:ln w="19050" cap="rnd">
              <a:solidFill>
                <a:schemeClr val="accent3"/>
              </a:solidFill>
              <a:prstDash val="lgDashDot"/>
              <a:round/>
            </a:ln>
            <a:effectLst/>
          </c:spPr>
          <c:marker>
            <c:symbol val="none"/>
          </c:marker>
          <c:cat>
            <c:strRef>
              <c:f>List4!$A$127:$A$133</c:f>
              <c:strCache>
                <c:ptCount val="7"/>
                <c:pt idx="0">
                  <c:v>-24</c:v>
                </c:pt>
                <c:pt idx="1">
                  <c:v>25-29</c:v>
                </c:pt>
                <c:pt idx="2">
                  <c:v>30-34</c:v>
                </c:pt>
                <c:pt idx="3">
                  <c:v>35-39</c:v>
                </c:pt>
                <c:pt idx="4">
                  <c:v>40-44</c:v>
                </c:pt>
                <c:pt idx="5">
                  <c:v>45-49</c:v>
                </c:pt>
                <c:pt idx="6">
                  <c:v>50+</c:v>
                </c:pt>
              </c:strCache>
            </c:strRef>
          </c:cat>
          <c:val>
            <c:numRef>
              <c:f>List4!$I$127:$I$133</c:f>
              <c:numCache>
                <c:formatCode>General</c:formatCode>
                <c:ptCount val="7"/>
                <c:pt idx="0">
                  <c:v>24.292452830188509</c:v>
                </c:pt>
                <c:pt idx="1">
                  <c:v>29.916183107672495</c:v>
                </c:pt>
                <c:pt idx="2">
                  <c:v>30.157866086009935</c:v>
                </c:pt>
                <c:pt idx="3">
                  <c:v>26.775093425969786</c:v>
                </c:pt>
                <c:pt idx="4">
                  <c:v>28.127200187749356</c:v>
                </c:pt>
                <c:pt idx="5">
                  <c:v>29.511216367344257</c:v>
                </c:pt>
                <c:pt idx="6">
                  <c:v>22.07485798057543</c:v>
                </c:pt>
              </c:numCache>
            </c:numRef>
          </c:val>
        </c:ser>
        <c:ser>
          <c:idx val="8"/>
          <c:order val="8"/>
          <c:tx>
            <c:strRef>
              <c:f>List4!$J$125:$J$126</c:f>
              <c:strCache>
                <c:ptCount val="1"/>
                <c:pt idx="0">
                  <c:v>NSZM žena nižší vzdělání</c:v>
                </c:pt>
              </c:strCache>
            </c:strRef>
          </c:tx>
          <c:spPr>
            <a:ln w="19050" cap="rnd">
              <a:solidFill>
                <a:schemeClr val="accent3"/>
              </a:solidFill>
              <a:prstDash val="sysDash"/>
              <a:round/>
            </a:ln>
            <a:effectLst/>
          </c:spPr>
          <c:marker>
            <c:symbol val="none"/>
          </c:marker>
          <c:cat>
            <c:strRef>
              <c:f>List4!$A$127:$A$133</c:f>
              <c:strCache>
                <c:ptCount val="7"/>
                <c:pt idx="0">
                  <c:v>-24</c:v>
                </c:pt>
                <c:pt idx="1">
                  <c:v>25-29</c:v>
                </c:pt>
                <c:pt idx="2">
                  <c:v>30-34</c:v>
                </c:pt>
                <c:pt idx="3">
                  <c:v>35-39</c:v>
                </c:pt>
                <c:pt idx="4">
                  <c:v>40-44</c:v>
                </c:pt>
                <c:pt idx="5">
                  <c:v>45-49</c:v>
                </c:pt>
                <c:pt idx="6">
                  <c:v>50+</c:v>
                </c:pt>
              </c:strCache>
            </c:strRef>
          </c:cat>
          <c:val>
            <c:numRef>
              <c:f>List4!$J$127:$J$133</c:f>
              <c:numCache>
                <c:formatCode>General</c:formatCode>
                <c:ptCount val="7"/>
                <c:pt idx="0">
                  <c:v>35.613207547169814</c:v>
                </c:pt>
                <c:pt idx="1">
                  <c:v>25.628626692456493</c:v>
                </c:pt>
                <c:pt idx="2">
                  <c:v>23.398657230992562</c:v>
                </c:pt>
                <c:pt idx="3">
                  <c:v>23.538080951629027</c:v>
                </c:pt>
                <c:pt idx="4">
                  <c:v>23.855902370335489</c:v>
                </c:pt>
                <c:pt idx="5">
                  <c:v>25.248338925070719</c:v>
                </c:pt>
                <c:pt idx="6">
                  <c:v>34.215228147333697</c:v>
                </c:pt>
              </c:numCache>
            </c:numRef>
          </c:val>
        </c:ser>
        <c:marker val="1"/>
        <c:axId val="93812608"/>
        <c:axId val="93814144"/>
      </c:lineChart>
      <c:catAx>
        <c:axId val="938126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93814144"/>
        <c:crosses val="autoZero"/>
        <c:auto val="1"/>
        <c:lblAlgn val="ctr"/>
        <c:lblOffset val="100"/>
      </c:catAx>
      <c:valAx>
        <c:axId val="93814144"/>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cs-CZ"/>
                  <a:t>podíl (%)</a:t>
                </a:r>
              </a:p>
            </c:rich>
          </c:tx>
          <c:layout>
            <c:manualLayout>
              <c:xMode val="edge"/>
              <c:yMode val="edge"/>
              <c:x val="6.9379115710253986E-3"/>
              <c:y val="0.36973223789937881"/>
            </c:manualLayout>
          </c:layout>
        </c:title>
        <c:numFmt formatCode="General" sourceLinked="1"/>
        <c:majorTickMark val="none"/>
        <c:tickLblPos val="nextTo"/>
        <c:spPr>
          <a:noFill/>
          <a:ln>
            <a:noFill/>
          </a:ln>
          <a:effectLst/>
        </c:spPr>
        <c:txPr>
          <a:bodyPr rot="-60000000" vert="horz"/>
          <a:lstStyle/>
          <a:p>
            <a:pPr>
              <a:defRPr/>
            </a:pPr>
            <a:endParaRPr lang="cs-CZ"/>
          </a:p>
        </c:txPr>
        <c:crossAx val="93812608"/>
        <c:crosses val="autoZero"/>
        <c:crossBetween val="between"/>
      </c:valAx>
      <c:spPr>
        <a:noFill/>
        <a:ln>
          <a:solidFill>
            <a:schemeClr val="bg1">
              <a:lumMod val="85000"/>
            </a:schemeClr>
          </a:solidFill>
        </a:ln>
        <a:effectLst/>
      </c:spPr>
    </c:plotArea>
    <c:legend>
      <c:legendPos val="b"/>
      <c:layout>
        <c:manualLayout>
          <c:xMode val="edge"/>
          <c:yMode val="edge"/>
          <c:x val="8.4865852845534565E-2"/>
          <c:y val="0.75223547008548031"/>
          <c:w val="0.90082314205079961"/>
          <c:h val="0.14632324292796794"/>
        </c:manualLayout>
      </c:layout>
      <c:spPr>
        <a:solidFill>
          <a:sysClr val="window" lastClr="FFFFFF"/>
        </a:solidFill>
        <a:ln>
          <a:solidFill>
            <a:sysClr val="window" lastClr="FFFFFF">
              <a:lumMod val="85000"/>
            </a:sysClr>
          </a:solidFill>
        </a:ln>
        <a:effectLst/>
      </c:spPr>
      <c:txPr>
        <a:bodyPr rot="0" vert="horz"/>
        <a:lstStyle/>
        <a:p>
          <a:pPr>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700">
          <a:latin typeface="Arial" pitchFamily="34" charset="0"/>
          <a:cs typeface="Arial" pitchFamily="34" charset="0"/>
        </a:defRPr>
      </a:pPr>
      <a:endParaRPr lang="cs-CZ"/>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rot="0" vert="horz"/>
          <a:lstStyle/>
          <a:p>
            <a:pPr>
              <a:defRPr/>
            </a:pPr>
            <a:r>
              <a:rPr lang="en-US"/>
              <a:t>muži</a:t>
            </a:r>
          </a:p>
        </c:rich>
      </c:tx>
      <c:layout>
        <c:manualLayout>
          <c:xMode val="edge"/>
          <c:yMode val="edge"/>
          <c:x val="0.4560554097404525"/>
          <c:y val="0"/>
        </c:manualLayout>
      </c:layout>
      <c:spPr>
        <a:noFill/>
        <a:ln>
          <a:noFill/>
        </a:ln>
        <a:effectLst/>
      </c:spPr>
    </c:title>
    <c:plotArea>
      <c:layout>
        <c:manualLayout>
          <c:layoutTarget val="inner"/>
          <c:xMode val="edge"/>
          <c:yMode val="edge"/>
          <c:x val="0.15884908584379462"/>
          <c:y val="6.1898392837881934E-2"/>
          <c:w val="0.84115091415620824"/>
          <c:h val="0.50086038902670404"/>
        </c:manualLayout>
      </c:layout>
      <c:barChart>
        <c:barDir val="col"/>
        <c:grouping val="stacked"/>
        <c:ser>
          <c:idx val="0"/>
          <c:order val="0"/>
          <c:tx>
            <c:strRef>
              <c:f>List5!$C$1</c:f>
              <c:strCache>
                <c:ptCount val="1"/>
                <c:pt idx="0">
                  <c:v>stejné vzdělání</c:v>
                </c:pt>
              </c:strCache>
            </c:strRef>
          </c:tx>
          <c:spPr>
            <a:solidFill>
              <a:schemeClr val="accent3"/>
            </a:solidFill>
            <a:ln>
              <a:noFill/>
            </a:ln>
            <a:effectLst/>
          </c:spPr>
          <c:dLbls>
            <c:txPr>
              <a:bodyPr rot="-5400000" vert="horz"/>
              <a:lstStyle/>
              <a:p>
                <a:pPr>
                  <a:defRPr sz="700"/>
                </a:pPr>
                <a:endParaRPr lang="cs-CZ"/>
              </a:p>
            </c:txPr>
            <c:showVal val="1"/>
          </c:dLbls>
          <c:cat>
            <c:multiLvlStrRef>
              <c:f>List5!$A$2:$B$9</c:f>
              <c:multiLvlStrCache>
                <c:ptCount val="8"/>
                <c:lvl>
                  <c:pt idx="0">
                    <c:v>manželství</c:v>
                  </c:pt>
                  <c:pt idx="1">
                    <c:v>nesezdané soužití</c:v>
                  </c:pt>
                  <c:pt idx="2">
                    <c:v>manželství</c:v>
                  </c:pt>
                  <c:pt idx="3">
                    <c:v>nesezdané soužití</c:v>
                  </c:pt>
                  <c:pt idx="4">
                    <c:v>manželství</c:v>
                  </c:pt>
                  <c:pt idx="5">
                    <c:v>nesezdané soužití</c:v>
                  </c:pt>
                  <c:pt idx="6">
                    <c:v>manželství</c:v>
                  </c:pt>
                  <c:pt idx="7">
                    <c:v>nesezdané soužití</c:v>
                  </c:pt>
                </c:lvl>
                <c:lvl>
                  <c:pt idx="0">
                    <c:v>základní</c:v>
                  </c:pt>
                  <c:pt idx="2">
                    <c:v>středoškolské bez maturity</c:v>
                  </c:pt>
                  <c:pt idx="4">
                    <c:v>středoškolské s maturitou</c:v>
                  </c:pt>
                  <c:pt idx="6">
                    <c:v>vysokoškolské</c:v>
                  </c:pt>
                </c:lvl>
              </c:multiLvlStrCache>
            </c:multiLvlStrRef>
          </c:cat>
          <c:val>
            <c:numRef>
              <c:f>List5!$C$2:$C$9</c:f>
              <c:numCache>
                <c:formatCode>0.0%</c:formatCode>
                <c:ptCount val="8"/>
                <c:pt idx="0">
                  <c:v>0.55531376866441851</c:v>
                </c:pt>
                <c:pt idx="1">
                  <c:v>0.42787558685446342</c:v>
                </c:pt>
                <c:pt idx="2">
                  <c:v>0.45062237961085394</c:v>
                </c:pt>
                <c:pt idx="3">
                  <c:v>0.41390683547474894</c:v>
                </c:pt>
                <c:pt idx="4">
                  <c:v>0.51854521625163863</c:v>
                </c:pt>
                <c:pt idx="5">
                  <c:v>0.5067438511945026</c:v>
                </c:pt>
                <c:pt idx="6">
                  <c:v>0.49042077918914251</c:v>
                </c:pt>
                <c:pt idx="7">
                  <c:v>0.55111086789974828</c:v>
                </c:pt>
              </c:numCache>
            </c:numRef>
          </c:val>
        </c:ser>
        <c:ser>
          <c:idx val="1"/>
          <c:order val="1"/>
          <c:tx>
            <c:strRef>
              <c:f>List5!$D$1</c:f>
              <c:strCache>
                <c:ptCount val="1"/>
                <c:pt idx="0">
                  <c:v>muž nižší vzdělání</c:v>
                </c:pt>
              </c:strCache>
            </c:strRef>
          </c:tx>
          <c:spPr>
            <a:solidFill>
              <a:schemeClr val="accent1">
                <a:lumMod val="60000"/>
                <a:lumOff val="40000"/>
              </a:schemeClr>
            </a:solidFill>
            <a:ln>
              <a:noFill/>
            </a:ln>
            <a:effectLst/>
          </c:spPr>
          <c:dLbls>
            <c:dLbl>
              <c:idx val="6"/>
              <c:delete val="1"/>
            </c:dLbl>
            <c:dLbl>
              <c:idx val="7"/>
              <c:delete val="1"/>
            </c:dLbl>
            <c:txPr>
              <a:bodyPr rot="-5400000" vert="horz"/>
              <a:lstStyle/>
              <a:p>
                <a:pPr>
                  <a:defRPr sz="600"/>
                </a:pPr>
                <a:endParaRPr lang="cs-CZ"/>
              </a:p>
            </c:txPr>
            <c:showVal val="1"/>
          </c:dLbls>
          <c:cat>
            <c:multiLvlStrRef>
              <c:f>List5!$A$2:$B$9</c:f>
              <c:multiLvlStrCache>
                <c:ptCount val="8"/>
                <c:lvl>
                  <c:pt idx="0">
                    <c:v>manželství</c:v>
                  </c:pt>
                  <c:pt idx="1">
                    <c:v>nesezdané soužití</c:v>
                  </c:pt>
                  <c:pt idx="2">
                    <c:v>manželství</c:v>
                  </c:pt>
                  <c:pt idx="3">
                    <c:v>nesezdané soužití</c:v>
                  </c:pt>
                  <c:pt idx="4">
                    <c:v>manželství</c:v>
                  </c:pt>
                  <c:pt idx="5">
                    <c:v>nesezdané soužití</c:v>
                  </c:pt>
                  <c:pt idx="6">
                    <c:v>manželství</c:v>
                  </c:pt>
                  <c:pt idx="7">
                    <c:v>nesezdané soužití</c:v>
                  </c:pt>
                </c:lvl>
                <c:lvl>
                  <c:pt idx="0">
                    <c:v>základní</c:v>
                  </c:pt>
                  <c:pt idx="2">
                    <c:v>středoškolské bez maturity</c:v>
                  </c:pt>
                  <c:pt idx="4">
                    <c:v>středoškolské s maturitou</c:v>
                  </c:pt>
                  <c:pt idx="6">
                    <c:v>vysokoškolské</c:v>
                  </c:pt>
                </c:lvl>
              </c:multiLvlStrCache>
            </c:multiLvlStrRef>
          </c:cat>
          <c:val>
            <c:numRef>
              <c:f>List5!$D$2:$D$9</c:f>
              <c:numCache>
                <c:formatCode>0.0%</c:formatCode>
                <c:ptCount val="8"/>
                <c:pt idx="0">
                  <c:v>0.44468623133558138</c:v>
                </c:pt>
                <c:pt idx="1">
                  <c:v>0.57212441314554396</c:v>
                </c:pt>
                <c:pt idx="2">
                  <c:v>0.36706805777727303</c:v>
                </c:pt>
                <c:pt idx="3">
                  <c:v>0.43977079397551616</c:v>
                </c:pt>
                <c:pt idx="4">
                  <c:v>0.17775229357798292</c:v>
                </c:pt>
                <c:pt idx="5">
                  <c:v>0.20516587816990392</c:v>
                </c:pt>
                <c:pt idx="6">
                  <c:v>0</c:v>
                </c:pt>
                <c:pt idx="7">
                  <c:v>0</c:v>
                </c:pt>
              </c:numCache>
            </c:numRef>
          </c:val>
        </c:ser>
        <c:ser>
          <c:idx val="2"/>
          <c:order val="2"/>
          <c:tx>
            <c:strRef>
              <c:f>List5!$E$1</c:f>
              <c:strCache>
                <c:ptCount val="1"/>
                <c:pt idx="0">
                  <c:v>muž vyšší vzdělání</c:v>
                </c:pt>
              </c:strCache>
            </c:strRef>
          </c:tx>
          <c:spPr>
            <a:solidFill>
              <a:srgbClr val="0070C0"/>
            </a:solidFill>
            <a:ln>
              <a:noFill/>
            </a:ln>
            <a:effectLst/>
          </c:spPr>
          <c:dLbls>
            <c:dLbl>
              <c:idx val="0"/>
              <c:delete val="1"/>
            </c:dLbl>
            <c:dLbl>
              <c:idx val="1"/>
              <c:delete val="1"/>
            </c:dLbl>
            <c:txPr>
              <a:bodyPr rot="-5400000" vert="horz"/>
              <a:lstStyle/>
              <a:p>
                <a:pPr>
                  <a:defRPr sz="600"/>
                </a:pPr>
                <a:endParaRPr lang="cs-CZ"/>
              </a:p>
            </c:txPr>
            <c:showVal val="1"/>
          </c:dLbls>
          <c:cat>
            <c:multiLvlStrRef>
              <c:f>List5!$A$2:$B$9</c:f>
              <c:multiLvlStrCache>
                <c:ptCount val="8"/>
                <c:lvl>
                  <c:pt idx="0">
                    <c:v>manželství</c:v>
                  </c:pt>
                  <c:pt idx="1">
                    <c:v>nesezdané soužití</c:v>
                  </c:pt>
                  <c:pt idx="2">
                    <c:v>manželství</c:v>
                  </c:pt>
                  <c:pt idx="3">
                    <c:v>nesezdané soužití</c:v>
                  </c:pt>
                  <c:pt idx="4">
                    <c:v>manželství</c:v>
                  </c:pt>
                  <c:pt idx="5">
                    <c:v>nesezdané soužití</c:v>
                  </c:pt>
                  <c:pt idx="6">
                    <c:v>manželství</c:v>
                  </c:pt>
                  <c:pt idx="7">
                    <c:v>nesezdané soužití</c:v>
                  </c:pt>
                </c:lvl>
                <c:lvl>
                  <c:pt idx="0">
                    <c:v>základní</c:v>
                  </c:pt>
                  <c:pt idx="2">
                    <c:v>středoškolské bez maturity</c:v>
                  </c:pt>
                  <c:pt idx="4">
                    <c:v>středoškolské s maturitou</c:v>
                  </c:pt>
                  <c:pt idx="6">
                    <c:v>vysokoškolské</c:v>
                  </c:pt>
                </c:lvl>
              </c:multiLvlStrCache>
            </c:multiLvlStrRef>
          </c:cat>
          <c:val>
            <c:numRef>
              <c:f>List5!$E$2:$E$9</c:f>
              <c:numCache>
                <c:formatCode>0.0%</c:formatCode>
                <c:ptCount val="8"/>
                <c:pt idx="0">
                  <c:v>0</c:v>
                </c:pt>
                <c:pt idx="1">
                  <c:v>0</c:v>
                </c:pt>
                <c:pt idx="2">
                  <c:v>0.18230956261187739</c:v>
                </c:pt>
                <c:pt idx="3">
                  <c:v>0.14632237054973959</c:v>
                </c:pt>
                <c:pt idx="4">
                  <c:v>0.30370249017038031</c:v>
                </c:pt>
                <c:pt idx="5">
                  <c:v>0.28809027063559695</c:v>
                </c:pt>
                <c:pt idx="6">
                  <c:v>0.50957922081086049</c:v>
                </c:pt>
                <c:pt idx="7">
                  <c:v>0.448889132100253</c:v>
                </c:pt>
              </c:numCache>
            </c:numRef>
          </c:val>
        </c:ser>
        <c:gapWidth val="33"/>
        <c:overlap val="100"/>
        <c:axId val="93829376"/>
        <c:axId val="93843456"/>
      </c:barChart>
      <c:catAx>
        <c:axId val="938293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93843456"/>
        <c:crosses val="autoZero"/>
        <c:auto val="1"/>
        <c:lblAlgn val="ctr"/>
        <c:lblOffset val="100"/>
      </c:catAx>
      <c:valAx>
        <c:axId val="93843456"/>
        <c:scaling>
          <c:orientation val="minMax"/>
          <c:max val="1"/>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cs-CZ"/>
                  <a:t>podíl zcelkového počtu daných</a:t>
                </a:r>
                <a:r>
                  <a:rPr lang="cs-CZ" baseline="0"/>
                  <a:t> svazků</a:t>
                </a:r>
              </a:p>
              <a:p>
                <a:pPr>
                  <a:defRPr/>
                </a:pPr>
                <a:endParaRPr lang="cs-CZ"/>
              </a:p>
            </c:rich>
          </c:tx>
          <c:layout>
            <c:manualLayout>
              <c:xMode val="edge"/>
              <c:yMode val="edge"/>
              <c:x val="0"/>
              <c:y val="2.5368712472584792E-2"/>
            </c:manualLayout>
          </c:layout>
        </c:title>
        <c:numFmt formatCode="0%" sourceLinked="0"/>
        <c:majorTickMark val="none"/>
        <c:tickLblPos val="nextTo"/>
        <c:spPr>
          <a:noFill/>
          <a:ln>
            <a:noFill/>
          </a:ln>
          <a:effectLst/>
        </c:spPr>
        <c:txPr>
          <a:bodyPr rot="-60000000" vert="horz"/>
          <a:lstStyle/>
          <a:p>
            <a:pPr>
              <a:defRPr/>
            </a:pPr>
            <a:endParaRPr lang="cs-CZ"/>
          </a:p>
        </c:txPr>
        <c:crossAx val="93829376"/>
        <c:crosses val="autoZero"/>
        <c:crossBetween val="between"/>
      </c:valAx>
      <c:spPr>
        <a:noFill/>
        <a:ln>
          <a:solidFill>
            <a:schemeClr val="bg1">
              <a:lumMod val="85000"/>
            </a:schemeClr>
          </a:solidFill>
        </a:ln>
        <a:effectLst/>
      </c:spPr>
    </c:plotArea>
    <c:legend>
      <c:legendPos val="b"/>
      <c:layout>
        <c:manualLayout>
          <c:xMode val="edge"/>
          <c:yMode val="edge"/>
          <c:x val="1.8983471660637508E-2"/>
          <c:y val="0.93725200445834678"/>
          <c:w val="0.97554692487762495"/>
          <c:h val="6.2747995541653181E-2"/>
        </c:manualLayout>
      </c:layout>
      <c:spPr>
        <a:noFill/>
        <a:ln>
          <a:noFill/>
        </a:ln>
        <a:effectLst/>
      </c:spPr>
      <c:txPr>
        <a:bodyPr rot="0" vert="horz"/>
        <a:lstStyle/>
        <a:p>
          <a:pPr>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700" b="0">
          <a:solidFill>
            <a:sysClr val="windowText" lastClr="000000"/>
          </a:solidFill>
          <a:latin typeface="Arial" pitchFamily="34" charset="0"/>
          <a:cs typeface="Arial" pitchFamily="34" charset="0"/>
        </a:defRPr>
      </a:pPr>
      <a:endParaRPr lang="cs-CZ"/>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rot="0" vert="horz"/>
          <a:lstStyle/>
          <a:p>
            <a:pPr>
              <a:defRPr b="0"/>
            </a:pPr>
            <a:r>
              <a:rPr lang="en-US" b="0"/>
              <a:t>ženy</a:t>
            </a:r>
          </a:p>
        </c:rich>
      </c:tx>
      <c:layout>
        <c:manualLayout>
          <c:xMode val="edge"/>
          <c:yMode val="edge"/>
          <c:x val="0.47942010720882777"/>
          <c:y val="0"/>
        </c:manualLayout>
      </c:layout>
      <c:spPr>
        <a:noFill/>
        <a:ln>
          <a:noFill/>
        </a:ln>
        <a:effectLst/>
      </c:spPr>
    </c:title>
    <c:plotArea>
      <c:layout>
        <c:manualLayout>
          <c:layoutTarget val="inner"/>
          <c:xMode val="edge"/>
          <c:yMode val="edge"/>
          <c:x val="1.9253910950661854E-2"/>
          <c:y val="6.7314197699693434E-2"/>
          <c:w val="0.98074608904933758"/>
          <c:h val="0.50082374872244306"/>
        </c:manualLayout>
      </c:layout>
      <c:barChart>
        <c:barDir val="col"/>
        <c:grouping val="stacked"/>
        <c:ser>
          <c:idx val="0"/>
          <c:order val="0"/>
          <c:tx>
            <c:strRef>
              <c:f>List5!$C$11</c:f>
              <c:strCache>
                <c:ptCount val="1"/>
                <c:pt idx="0">
                  <c:v>stejné vzdělání</c:v>
                </c:pt>
              </c:strCache>
            </c:strRef>
          </c:tx>
          <c:spPr>
            <a:solidFill>
              <a:schemeClr val="accent3"/>
            </a:solidFill>
            <a:ln>
              <a:noFill/>
            </a:ln>
            <a:effectLst/>
          </c:spPr>
          <c:dLbls>
            <c:txPr>
              <a:bodyPr rot="-5400000" vert="horz"/>
              <a:lstStyle/>
              <a:p>
                <a:pPr>
                  <a:defRPr sz="700"/>
                </a:pPr>
                <a:endParaRPr lang="cs-CZ"/>
              </a:p>
            </c:txPr>
            <c:showVal val="1"/>
          </c:dLbls>
          <c:cat>
            <c:multiLvlStrRef>
              <c:f>List5!$A$12:$B$19</c:f>
              <c:multiLvlStrCache>
                <c:ptCount val="8"/>
                <c:lvl>
                  <c:pt idx="0">
                    <c:v>manželství</c:v>
                  </c:pt>
                  <c:pt idx="1">
                    <c:v>nesezdané soužití</c:v>
                  </c:pt>
                  <c:pt idx="2">
                    <c:v>manželství</c:v>
                  </c:pt>
                  <c:pt idx="3">
                    <c:v>nesezdané soužití</c:v>
                  </c:pt>
                  <c:pt idx="4">
                    <c:v>manželství</c:v>
                  </c:pt>
                  <c:pt idx="5">
                    <c:v>nesezdané soužití</c:v>
                  </c:pt>
                  <c:pt idx="6">
                    <c:v>manželství</c:v>
                  </c:pt>
                  <c:pt idx="7">
                    <c:v>nesezdané soužití</c:v>
                  </c:pt>
                </c:lvl>
                <c:lvl>
                  <c:pt idx="0">
                    <c:v>základní</c:v>
                  </c:pt>
                  <c:pt idx="2">
                    <c:v>středoškolské bez maturity</c:v>
                  </c:pt>
                  <c:pt idx="4">
                    <c:v>středoškolské s maturitou</c:v>
                  </c:pt>
                  <c:pt idx="6">
                    <c:v>vysokoškolské</c:v>
                  </c:pt>
                </c:lvl>
              </c:multiLvlStrCache>
            </c:multiLvlStrRef>
          </c:cat>
          <c:val>
            <c:numRef>
              <c:f>List5!$C$12:$C$19</c:f>
              <c:numCache>
                <c:formatCode>0.0%</c:formatCode>
                <c:ptCount val="8"/>
                <c:pt idx="0">
                  <c:v>0.25187748461925813</c:v>
                </c:pt>
                <c:pt idx="1">
                  <c:v>0.28208302704375748</c:v>
                </c:pt>
                <c:pt idx="2">
                  <c:v>0.6533105474779981</c:v>
                </c:pt>
                <c:pt idx="3">
                  <c:v>0.62339458915630452</c:v>
                </c:pt>
                <c:pt idx="4">
                  <c:v>0.38715201330789589</c:v>
                </c:pt>
                <c:pt idx="5">
                  <c:v>0.39761133463218934</c:v>
                </c:pt>
                <c:pt idx="6">
                  <c:v>0.59737070532461756</c:v>
                </c:pt>
                <c:pt idx="7">
                  <c:v>0.48821989528796217</c:v>
                </c:pt>
              </c:numCache>
            </c:numRef>
          </c:val>
        </c:ser>
        <c:ser>
          <c:idx val="1"/>
          <c:order val="1"/>
          <c:tx>
            <c:strRef>
              <c:f>List5!$D$11</c:f>
              <c:strCache>
                <c:ptCount val="1"/>
                <c:pt idx="0">
                  <c:v>žena vyšší vzdělání</c:v>
                </c:pt>
              </c:strCache>
            </c:strRef>
          </c:tx>
          <c:spPr>
            <a:solidFill>
              <a:srgbClr val="0070C0"/>
            </a:solidFill>
            <a:ln>
              <a:noFill/>
            </a:ln>
            <a:effectLst/>
          </c:spPr>
          <c:dLbls>
            <c:dLbl>
              <c:idx val="0"/>
              <c:delete val="1"/>
            </c:dLbl>
            <c:dLbl>
              <c:idx val="1"/>
              <c:delete val="1"/>
            </c:dLbl>
            <c:dLbl>
              <c:idx val="2"/>
              <c:spPr/>
              <c:txPr>
                <a:bodyPr rot="0" vert="horz"/>
                <a:lstStyle/>
                <a:p>
                  <a:pPr>
                    <a:defRPr sz="600"/>
                  </a:pPr>
                  <a:endParaRPr lang="cs-CZ"/>
                </a:p>
              </c:txPr>
            </c:dLbl>
            <c:dLbl>
              <c:idx val="3"/>
              <c:spPr/>
              <c:txPr>
                <a:bodyPr rot="0" vert="horz"/>
                <a:lstStyle/>
                <a:p>
                  <a:pPr>
                    <a:defRPr sz="600"/>
                  </a:pPr>
                  <a:endParaRPr lang="cs-CZ"/>
                </a:p>
              </c:txPr>
            </c:dLbl>
            <c:txPr>
              <a:bodyPr rot="-5400000" vert="horz"/>
              <a:lstStyle/>
              <a:p>
                <a:pPr>
                  <a:defRPr sz="600"/>
                </a:pPr>
                <a:endParaRPr lang="cs-CZ"/>
              </a:p>
            </c:txPr>
            <c:showVal val="1"/>
          </c:dLbls>
          <c:cat>
            <c:multiLvlStrRef>
              <c:f>List5!$A$12:$B$19</c:f>
              <c:multiLvlStrCache>
                <c:ptCount val="8"/>
                <c:lvl>
                  <c:pt idx="0">
                    <c:v>manželství</c:v>
                  </c:pt>
                  <c:pt idx="1">
                    <c:v>nesezdané soužití</c:v>
                  </c:pt>
                  <c:pt idx="2">
                    <c:v>manželství</c:v>
                  </c:pt>
                  <c:pt idx="3">
                    <c:v>nesezdané soužití</c:v>
                  </c:pt>
                  <c:pt idx="4">
                    <c:v>manželství</c:v>
                  </c:pt>
                  <c:pt idx="5">
                    <c:v>nesezdané soužití</c:v>
                  </c:pt>
                  <c:pt idx="6">
                    <c:v>manželství</c:v>
                  </c:pt>
                  <c:pt idx="7">
                    <c:v>nesezdané soužití</c:v>
                  </c:pt>
                </c:lvl>
                <c:lvl>
                  <c:pt idx="0">
                    <c:v>základní</c:v>
                  </c:pt>
                  <c:pt idx="2">
                    <c:v>středoškolské bez maturity</c:v>
                  </c:pt>
                  <c:pt idx="4">
                    <c:v>středoškolské s maturitou</c:v>
                  </c:pt>
                  <c:pt idx="6">
                    <c:v>vysokoškolské</c:v>
                  </c:pt>
                </c:lvl>
              </c:multiLvlStrCache>
            </c:multiLvlStrRef>
          </c:cat>
          <c:val>
            <c:numRef>
              <c:f>List5!$D$12:$D$19</c:f>
              <c:numCache>
                <c:formatCode>0.0%</c:formatCode>
                <c:ptCount val="8"/>
                <c:pt idx="0">
                  <c:v>0</c:v>
                </c:pt>
                <c:pt idx="1">
                  <c:v>0</c:v>
                </c:pt>
                <c:pt idx="2">
                  <c:v>5.8995630491397194E-2</c:v>
                </c:pt>
                <c:pt idx="3">
                  <c:v>8.7450678320469266E-2</c:v>
                </c:pt>
                <c:pt idx="4">
                  <c:v>0.47257693624932934</c:v>
                </c:pt>
                <c:pt idx="5">
                  <c:v>0.45156381494760572</c:v>
                </c:pt>
                <c:pt idx="6">
                  <c:v>0.4026292946753815</c:v>
                </c:pt>
                <c:pt idx="7">
                  <c:v>0.51178010471203639</c:v>
                </c:pt>
              </c:numCache>
            </c:numRef>
          </c:val>
        </c:ser>
        <c:ser>
          <c:idx val="2"/>
          <c:order val="2"/>
          <c:tx>
            <c:strRef>
              <c:f>List5!$E$11</c:f>
              <c:strCache>
                <c:ptCount val="1"/>
                <c:pt idx="0">
                  <c:v>žena nižší vzdělání</c:v>
                </c:pt>
              </c:strCache>
            </c:strRef>
          </c:tx>
          <c:spPr>
            <a:solidFill>
              <a:schemeClr val="accent1">
                <a:lumMod val="60000"/>
                <a:lumOff val="40000"/>
              </a:schemeClr>
            </a:solidFill>
            <a:ln>
              <a:noFill/>
            </a:ln>
            <a:effectLst/>
          </c:spPr>
          <c:dLbls>
            <c:dLbl>
              <c:idx val="6"/>
              <c:delete val="1"/>
            </c:dLbl>
            <c:dLbl>
              <c:idx val="7"/>
              <c:delete val="1"/>
            </c:dLbl>
            <c:txPr>
              <a:bodyPr rot="-5400000" vert="horz"/>
              <a:lstStyle/>
              <a:p>
                <a:pPr>
                  <a:defRPr sz="600"/>
                </a:pPr>
                <a:endParaRPr lang="cs-CZ"/>
              </a:p>
            </c:txPr>
            <c:showVal val="1"/>
          </c:dLbls>
          <c:cat>
            <c:multiLvlStrRef>
              <c:f>List5!$A$12:$B$19</c:f>
              <c:multiLvlStrCache>
                <c:ptCount val="8"/>
                <c:lvl>
                  <c:pt idx="0">
                    <c:v>manželství</c:v>
                  </c:pt>
                  <c:pt idx="1">
                    <c:v>nesezdané soužití</c:v>
                  </c:pt>
                  <c:pt idx="2">
                    <c:v>manželství</c:v>
                  </c:pt>
                  <c:pt idx="3">
                    <c:v>nesezdané soužití</c:v>
                  </c:pt>
                  <c:pt idx="4">
                    <c:v>manželství</c:v>
                  </c:pt>
                  <c:pt idx="5">
                    <c:v>nesezdané soužití</c:v>
                  </c:pt>
                  <c:pt idx="6">
                    <c:v>manželství</c:v>
                  </c:pt>
                  <c:pt idx="7">
                    <c:v>nesezdané soužití</c:v>
                  </c:pt>
                </c:lvl>
                <c:lvl>
                  <c:pt idx="0">
                    <c:v>základní</c:v>
                  </c:pt>
                  <c:pt idx="2">
                    <c:v>středoškolské bez maturity</c:v>
                  </c:pt>
                  <c:pt idx="4">
                    <c:v>středoškolské s maturitou</c:v>
                  </c:pt>
                  <c:pt idx="6">
                    <c:v>vysokoškolské</c:v>
                  </c:pt>
                </c:lvl>
              </c:multiLvlStrCache>
            </c:multiLvlStrRef>
          </c:cat>
          <c:val>
            <c:numRef>
              <c:f>List5!$E$12:$E$19</c:f>
              <c:numCache>
                <c:formatCode>0.0%</c:formatCode>
                <c:ptCount val="8"/>
                <c:pt idx="0">
                  <c:v>0.74812251538074404</c:v>
                </c:pt>
                <c:pt idx="1">
                  <c:v>0.71791697295624246</c:v>
                </c:pt>
                <c:pt idx="2">
                  <c:v>0.28769382203060478</c:v>
                </c:pt>
                <c:pt idx="3">
                  <c:v>0.28915473252322627</c:v>
                </c:pt>
                <c:pt idx="4">
                  <c:v>0.14027105044278096</c:v>
                </c:pt>
                <c:pt idx="5">
                  <c:v>0.15082485042020691</c:v>
                </c:pt>
                <c:pt idx="6">
                  <c:v>0</c:v>
                </c:pt>
                <c:pt idx="7">
                  <c:v>0</c:v>
                </c:pt>
              </c:numCache>
            </c:numRef>
          </c:val>
        </c:ser>
        <c:gapWidth val="33"/>
        <c:overlap val="100"/>
        <c:axId val="96628096"/>
        <c:axId val="98227328"/>
      </c:barChart>
      <c:catAx>
        <c:axId val="966280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98227328"/>
        <c:crosses val="autoZero"/>
        <c:auto val="1"/>
        <c:lblAlgn val="ctr"/>
        <c:lblOffset val="100"/>
      </c:catAx>
      <c:valAx>
        <c:axId val="98227328"/>
        <c:scaling>
          <c:orientation val="minMax"/>
          <c:max val="1"/>
        </c:scaling>
        <c:delete val="1"/>
        <c:axPos val="l"/>
        <c:majorGridlines>
          <c:spPr>
            <a:ln w="9525" cap="flat" cmpd="sng" algn="ctr">
              <a:solidFill>
                <a:schemeClr val="tx1">
                  <a:lumMod val="15000"/>
                  <a:lumOff val="85000"/>
                </a:schemeClr>
              </a:solidFill>
              <a:round/>
            </a:ln>
            <a:effectLst/>
          </c:spPr>
        </c:majorGridlines>
        <c:numFmt formatCode="0%" sourceLinked="0"/>
        <c:majorTickMark val="none"/>
        <c:tickLblPos val="none"/>
        <c:crossAx val="96628096"/>
        <c:crosses val="autoZero"/>
        <c:crossBetween val="between"/>
      </c:valAx>
      <c:spPr>
        <a:noFill/>
        <a:ln>
          <a:solidFill>
            <a:sysClr val="window" lastClr="FFFFFF">
              <a:lumMod val="85000"/>
            </a:sysClr>
          </a:solidFill>
        </a:ln>
        <a:effectLst/>
      </c:spPr>
    </c:plotArea>
    <c:legend>
      <c:legendPos val="b"/>
      <c:layout>
        <c:manualLayout>
          <c:xMode val="edge"/>
          <c:yMode val="edge"/>
          <c:x val="0"/>
          <c:y val="0.93719464797247765"/>
          <c:w val="0.99491507629343712"/>
          <c:h val="6.2805352027523062E-2"/>
        </c:manualLayout>
      </c:layout>
      <c:spPr>
        <a:noFill/>
        <a:ln>
          <a:noFill/>
        </a:ln>
        <a:effectLst/>
      </c:spPr>
      <c:txPr>
        <a:bodyPr rot="0" vert="horz"/>
        <a:lstStyle/>
        <a:p>
          <a:pPr>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Arial" pitchFamily="34" charset="0"/>
          <a:cs typeface="Arial" pitchFamily="34" charset="0"/>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05183-D680-49BA-B140-0144C4C0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5317</Words>
  <Characters>31374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kohoutova4061</dc:creator>
  <cp:lastModifiedBy>kohoutova4061</cp:lastModifiedBy>
  <cp:revision>6</cp:revision>
  <cp:lastPrinted>2014-04-03T06:04:00Z</cp:lastPrinted>
  <dcterms:created xsi:type="dcterms:W3CDTF">2014-04-07T11:32:00Z</dcterms:created>
  <dcterms:modified xsi:type="dcterms:W3CDTF">2014-04-08T08:46:00Z</dcterms:modified>
</cp:coreProperties>
</file>