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D71C" w14:textId="77777777" w:rsidR="00A75E40" w:rsidRPr="009110F7" w:rsidRDefault="00BF4329" w:rsidP="006C3495">
      <w:pPr>
        <w:jc w:val="center"/>
        <w:rPr>
          <w:lang w:eastAsia="ar-SA"/>
        </w:rPr>
        <w:sectPr w:rsidR="00A75E40" w:rsidRPr="009110F7" w:rsidSect="0085114D">
          <w:headerReference w:type="even" r:id="rId12"/>
          <w:headerReference w:type="default" r:id="rId13"/>
          <w:footerReference w:type="even" r:id="rId14"/>
          <w:footerReference w:type="default" r:id="rId15"/>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511DD5DE" wp14:editId="00A28F14">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pic="http://schemas.openxmlformats.org/drawingml/2006/picture" xmlns:a14="http://schemas.microsoft.com/office/drawing/2010/main" xmlns:a="http://schemas.openxmlformats.org/drawingml/2006/main">
            <w:pict w14:anchorId="7BA46650">
              <v:group id="Group 24" style="position:absolute;margin-left:45pt;margin-top:36.75pt;width:177.15pt;height:43.65pt;z-index:251657728;mso-position-horizontal-relative:page;mso-position-vertical-relative:page" coordsize="2714,667" coordorigin="567,851" o:spid="_x0000_s1026" w14:anchorId="70D05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">
                <o:lock v:ext="edit" aspectratio="t"/>
                <v:rect id="Rectangle 9" style="position:absolute;left:1215;top:901;width:676;height:154;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o:lock v:ext="edit" aspectratio="t"/>
                </v:rect>
                <v:rect id="Rectangle 10" style="position:absolute;left:567;top:1131;width:1324;height:154;visibility:visible;mso-wrap-style:square;v-text-anchor:top" o:spid="_x0000_s1028"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o:lock v:ext="edit" aspectratio="t"/>
                </v:rect>
                <v:rect id="Rectangle 11" style="position:absolute;left:1288;top:1361;width:603;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o:lock v:ext="edit" aspectratio="t"/>
                </v:rect>
                <v:shape id="Freeform 12" style="position:absolute;left:1969;top:1311;width:600;height:207;visibility:visible;mso-wrap-style:square;v-text-anchor:top" coordsize="1200,415" o:spid="_x0000_s1030" fillcolor="#bd1b21" stroked="f"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verticies="t" aspectratio="t"/>
                </v:shape>
                <v:shape id="Freeform 13" style="position:absolute;left:1962;top:1081;width:1319;height:208;visibility:visible;mso-wrap-style:square;v-text-anchor:top" coordsize="2637,416" o:spid="_x0000_s1031" fillcolor="#bd1b21" stroked="f"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verticies="t" aspectratio="t"/>
                </v:shape>
                <v:shape id="Freeform 14" style="position:absolute;left:1962;top:851;width:679;height:208;visibility:visible;mso-wrap-style:square;v-text-anchor:top" coordsize="1358,416" o:spid="_x0000_s1032" fillcolor="#bd1b21" stroked="f"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verticies="t" aspectratio="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757952E" wp14:editId="7602F846">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8CD8" w14:textId="77777777" w:rsidR="00BA5125" w:rsidRDefault="00BA5125" w:rsidP="004924DC">
                            <w:r>
                              <w:t>Z</w:t>
                            </w:r>
                            <w:r w:rsidRPr="006C5577">
                              <w:t xml:space="preserve">pracoval: </w:t>
                            </w:r>
                            <w:r>
                              <w:t>o</w:t>
                            </w:r>
                            <w:r w:rsidRPr="006C5577">
                              <w:t>dbor</w:t>
                            </w:r>
                            <w:r>
                              <w:t xml:space="preserve"> Kancelář předsedy</w:t>
                            </w:r>
                          </w:p>
                          <w:p w14:paraId="6CC24131" w14:textId="77777777" w:rsidR="00BA5125" w:rsidRPr="006C5577" w:rsidRDefault="00BA5125" w:rsidP="004924DC">
                            <w:r w:rsidRPr="006C5577">
                              <w:t xml:space="preserve">Ředitel odboru: </w:t>
                            </w:r>
                            <w:r>
                              <w:t>Egor Sidorov, Ph.D.</w:t>
                            </w:r>
                          </w:p>
                          <w:p w14:paraId="734BD5FB" w14:textId="77777777" w:rsidR="00BA5125" w:rsidRPr="006C5577" w:rsidRDefault="00BA5125"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7952E"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" filled="f" stroked="f">
                <v:textbox inset="0,0,0,0">
                  <w:txbxContent>
                    <w:p w14:paraId="71628CD8" w14:textId="77777777" w:rsidR="00BA5125" w:rsidRDefault="00BA5125" w:rsidP="004924DC">
                      <w:r>
                        <w:t>Z</w:t>
                      </w:r>
                      <w:r w:rsidRPr="006C5577">
                        <w:t xml:space="preserve">pracoval: </w:t>
                      </w:r>
                      <w:r>
                        <w:t>o</w:t>
                      </w:r>
                      <w:r w:rsidRPr="006C5577">
                        <w:t>dbor</w:t>
                      </w:r>
                      <w:r>
                        <w:t xml:space="preserve"> Kancelář předsedy</w:t>
                      </w:r>
                    </w:p>
                    <w:p w14:paraId="6CC24131" w14:textId="77777777" w:rsidR="00BA5125" w:rsidRPr="006C5577" w:rsidRDefault="00BA5125" w:rsidP="004924DC">
                      <w:r w:rsidRPr="006C5577">
                        <w:t xml:space="preserve">Ředitel odboru: </w:t>
                      </w:r>
                      <w:r>
                        <w:t>Egor Sidorov, Ph.D.</w:t>
                      </w:r>
                    </w:p>
                    <w:p w14:paraId="734BD5FB" w14:textId="77777777" w:rsidR="00BA5125" w:rsidRPr="006C5577" w:rsidRDefault="00BA5125"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AFB96D4" wp14:editId="50D63787">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48DE" w14:textId="32168C0B" w:rsidR="00BA5125" w:rsidRPr="004924DC" w:rsidRDefault="00BA5125" w:rsidP="004924DC">
                            <w:pPr>
                              <w:pStyle w:val="TLIdentifikace-sted"/>
                            </w:pPr>
                            <w:r>
                              <w:t>Souhrnná data o České republice</w:t>
                            </w:r>
                          </w:p>
                          <w:p w14:paraId="02C46271" w14:textId="4C062D90" w:rsidR="00BA5125" w:rsidRPr="004924DC" w:rsidRDefault="00BA5125" w:rsidP="004924DC">
                            <w:pPr>
                              <w:pStyle w:val="TLIdentifikace-sted"/>
                            </w:pPr>
                            <w:r>
                              <w:t>Praha, 22. 3. 2024</w:t>
                            </w:r>
                          </w:p>
                          <w:p w14:paraId="43012AD8" w14:textId="6198DD00" w:rsidR="00BA5125" w:rsidRPr="00B23E6E" w:rsidRDefault="00BA5125" w:rsidP="004924DC">
                            <w:pPr>
                              <w:pStyle w:val="TLIdentifikace-sted"/>
                            </w:pPr>
                            <w:r w:rsidRPr="00B23E6E">
                              <w:t>Kód publikace: 320193-2</w:t>
                            </w:r>
                            <w:r>
                              <w:t>3</w:t>
                            </w:r>
                          </w:p>
                          <w:p w14:paraId="1ED5773E" w14:textId="1E1921ED" w:rsidR="00BA5125" w:rsidRPr="00474646" w:rsidRDefault="00BA5125" w:rsidP="004924DC">
                            <w:pPr>
                              <w:pStyle w:val="TLIdentifikace-sted"/>
                              <w:rPr>
                                <w:rFonts w:cs="Arial"/>
                              </w:rPr>
                            </w:pPr>
                            <w:r w:rsidRPr="00ED0F73">
                              <w:rPr>
                                <w:rFonts w:cs="Arial"/>
                              </w:rPr>
                              <w:t xml:space="preserve">Č. j.: </w:t>
                            </w:r>
                            <w:r w:rsidRPr="00174ED1">
                              <w:t>CSU-003895/2024</w:t>
                            </w:r>
                          </w:p>
                          <w:p w14:paraId="7E4C36AC" w14:textId="38C4C83B" w:rsidR="00BA5125" w:rsidRPr="004924DC" w:rsidRDefault="00BA5125" w:rsidP="004924DC">
                            <w:pPr>
                              <w:pStyle w:val="TLIdentifikace-sted"/>
                            </w:pPr>
                            <w:r w:rsidRPr="004924DC">
                              <w:t>Pořadové číslo v</w:t>
                            </w:r>
                            <w:r>
                              <w:t> </w:t>
                            </w:r>
                            <w:r w:rsidRPr="004924DC">
                              <w:t xml:space="preserve">roce: </w:t>
                            </w:r>
                            <w:r>
                              <w:t>4</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FB96D4"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14:paraId="6B3C48DE" w14:textId="32168C0B" w:rsidR="00BA5125" w:rsidRPr="004924DC" w:rsidRDefault="00BA5125" w:rsidP="004924DC">
                      <w:pPr>
                        <w:pStyle w:val="TLIdentifikace-sted"/>
                      </w:pPr>
                      <w:r>
                        <w:t>Souhrnná data o České republice</w:t>
                      </w:r>
                    </w:p>
                    <w:p w14:paraId="02C46271" w14:textId="4C062D90" w:rsidR="00BA5125" w:rsidRPr="004924DC" w:rsidRDefault="00BA5125" w:rsidP="004924DC">
                      <w:pPr>
                        <w:pStyle w:val="TLIdentifikace-sted"/>
                      </w:pPr>
                      <w:r>
                        <w:t>Praha, 22. 3. 2024</w:t>
                      </w:r>
                    </w:p>
                    <w:p w14:paraId="43012AD8" w14:textId="6198DD00" w:rsidR="00BA5125" w:rsidRPr="00B23E6E" w:rsidRDefault="00BA5125" w:rsidP="004924DC">
                      <w:pPr>
                        <w:pStyle w:val="TLIdentifikace-sted"/>
                      </w:pPr>
                      <w:r w:rsidRPr="00B23E6E">
                        <w:t>Kód publikace: 320193-2</w:t>
                      </w:r>
                      <w:r>
                        <w:t>3</w:t>
                      </w:r>
                    </w:p>
                    <w:p w14:paraId="1ED5773E" w14:textId="1E1921ED" w:rsidR="00BA5125" w:rsidRPr="00474646" w:rsidRDefault="00BA5125" w:rsidP="004924DC">
                      <w:pPr>
                        <w:pStyle w:val="TLIdentifikace-sted"/>
                        <w:rPr>
                          <w:rFonts w:cs="Arial"/>
                        </w:rPr>
                      </w:pPr>
                      <w:r w:rsidRPr="00ED0F73">
                        <w:rPr>
                          <w:rFonts w:cs="Arial"/>
                        </w:rPr>
                        <w:t xml:space="preserve">Č. j.: </w:t>
                      </w:r>
                      <w:r w:rsidRPr="00174ED1">
                        <w:t>CSU-003895/2024</w:t>
                      </w:r>
                    </w:p>
                    <w:p w14:paraId="7E4C36AC" w14:textId="38C4C83B" w:rsidR="00BA5125" w:rsidRPr="004924DC" w:rsidRDefault="00BA5125" w:rsidP="004924DC">
                      <w:pPr>
                        <w:pStyle w:val="TLIdentifikace-sted"/>
                      </w:pPr>
                      <w:r w:rsidRPr="004924DC">
                        <w:t>Pořadové číslo v</w:t>
                      </w:r>
                      <w:r>
                        <w:t> </w:t>
                      </w:r>
                      <w:r w:rsidRPr="004924DC">
                        <w:t xml:space="preserve">roce: </w:t>
                      </w:r>
                      <w:r>
                        <w:t>4</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451D2144" wp14:editId="099204C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7B56" w14:textId="77777777" w:rsidR="00BA5125" w:rsidRPr="000E6FBD" w:rsidRDefault="00BA5125" w:rsidP="000E6FBD">
                            <w:pPr>
                              <w:pStyle w:val="Nzev"/>
                            </w:pPr>
                            <w:r>
                              <w:t>Vývoj ekonomiky české republiky</w:t>
                            </w:r>
                          </w:p>
                          <w:p w14:paraId="6EF7822F" w14:textId="77777777" w:rsidR="00BA5125" w:rsidRPr="0012192F" w:rsidRDefault="00BA5125" w:rsidP="0012192F">
                            <w:pPr>
                              <w:pStyle w:val="Podnadpis"/>
                            </w:pPr>
                          </w:p>
                          <w:p w14:paraId="284A2D4D" w14:textId="3D6E08C8" w:rsidR="00BA5125" w:rsidRPr="0012192F" w:rsidRDefault="00BA5125" w:rsidP="000D7C6F">
                            <w:pPr>
                              <w:pStyle w:val="Podnadpis"/>
                            </w:pPr>
                            <w:r>
                              <w:t>rok 2023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1D2144"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" filled="f" stroked="f">
                <v:textbox style="mso-fit-shape-to-text:t" inset="0,0,0,0">
                  <w:txbxContent>
                    <w:p w14:paraId="723B7B56" w14:textId="77777777" w:rsidR="00BA5125" w:rsidRPr="000E6FBD" w:rsidRDefault="00BA5125" w:rsidP="000E6FBD">
                      <w:pPr>
                        <w:pStyle w:val="Nzev"/>
                      </w:pPr>
                      <w:r>
                        <w:t>Vývoj ekonomiky české republiky</w:t>
                      </w:r>
                    </w:p>
                    <w:p w14:paraId="6EF7822F" w14:textId="77777777" w:rsidR="00BA5125" w:rsidRPr="0012192F" w:rsidRDefault="00BA5125" w:rsidP="0012192F">
                      <w:pPr>
                        <w:pStyle w:val="Podnadpis"/>
                      </w:pPr>
                    </w:p>
                    <w:p w14:paraId="284A2D4D" w14:textId="3D6E08C8" w:rsidR="00BA5125" w:rsidRPr="0012192F" w:rsidRDefault="00BA5125" w:rsidP="000D7C6F">
                      <w:pPr>
                        <w:pStyle w:val="Podnadpis"/>
                      </w:pPr>
                      <w:r>
                        <w:t>rok 2023</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41CDD5F4" wp14:editId="1095CA0F">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DF7B" w14:textId="0B30ABCF" w:rsidR="00BA5125" w:rsidRPr="004924DC" w:rsidRDefault="00BA5125" w:rsidP="004924DC">
                            <w:r w:rsidRPr="004924DC">
                              <w:t xml:space="preserve">© Český statistický úřad, </w:t>
                            </w:r>
                            <w:r>
                              <w:t>Praha</w:t>
                            </w:r>
                            <w:r w:rsidRPr="004924DC">
                              <w:t xml:space="preserve">, </w:t>
                            </w:r>
                            <w:r>
                              <w:t>2024</w:t>
                            </w:r>
                          </w:p>
                          <w:p w14:paraId="622736FE" w14:textId="77777777" w:rsidR="00BA5125" w:rsidRPr="005251DD" w:rsidRDefault="00BA5125" w:rsidP="00665BA4"/>
                          <w:p w14:paraId="157588CA" w14:textId="77777777" w:rsidR="00BA5125" w:rsidRPr="005251DD" w:rsidRDefault="00BA5125" w:rsidP="00FC684B"/>
                          <w:p w14:paraId="590D710B" w14:textId="77777777" w:rsidR="00BA5125" w:rsidRDefault="00BA5125"/>
                          <w:p w14:paraId="73B68DA8" w14:textId="77777777" w:rsidR="00BA5125" w:rsidRPr="00097407" w:rsidRDefault="00BA5125"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D655DFE" w14:textId="77777777" w:rsidR="00BA5125" w:rsidRPr="005251DD" w:rsidRDefault="00BA5125" w:rsidP="00665BA4"/>
                          <w:p w14:paraId="74D3ABC4" w14:textId="77777777" w:rsidR="00BA5125" w:rsidRPr="005251DD" w:rsidRDefault="00BA5125"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DD5F4"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MkugIAALY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FRi&#10;kyS6AgAAtgUAAA4AAAAAAAAAAAAAAAAALgIAAGRycy9lMm9Eb2MueG1sUEsBAi0AFAAGAAgAAAAh&#10;AAdlcHfhAAAADgEAAA8AAAAAAAAAAAAAAAAAFAUAAGRycy9kb3ducmV2LnhtbFBLBQYAAAAABAAE&#10;APMAAAAiBgAAAAA=&#10;" filled="f" stroked="f">
                <v:textbox inset="0,0,0,0">
                  <w:txbxContent>
                    <w:p w14:paraId="0841DF7B" w14:textId="0B30ABCF" w:rsidR="00BA5125" w:rsidRPr="004924DC" w:rsidRDefault="00BA5125" w:rsidP="004924DC">
                      <w:r w:rsidRPr="004924DC">
                        <w:t xml:space="preserve">© Český statistický úřad, </w:t>
                      </w:r>
                      <w:r>
                        <w:t>Praha</w:t>
                      </w:r>
                      <w:r w:rsidRPr="004924DC">
                        <w:t xml:space="preserve">, </w:t>
                      </w:r>
                      <w:r>
                        <w:t>2024</w:t>
                      </w:r>
                    </w:p>
                    <w:p w14:paraId="622736FE" w14:textId="77777777" w:rsidR="00BA5125" w:rsidRPr="005251DD" w:rsidRDefault="00BA5125" w:rsidP="00665BA4"/>
                    <w:p w14:paraId="157588CA" w14:textId="77777777" w:rsidR="00BA5125" w:rsidRPr="005251DD" w:rsidRDefault="00BA5125" w:rsidP="00FC684B"/>
                    <w:p w14:paraId="590D710B" w14:textId="77777777" w:rsidR="00BA5125" w:rsidRDefault="00BA5125"/>
                    <w:p w14:paraId="73B68DA8" w14:textId="77777777" w:rsidR="00BA5125" w:rsidRPr="00097407" w:rsidRDefault="00BA5125"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D655DFE" w14:textId="77777777" w:rsidR="00BA5125" w:rsidRPr="005251DD" w:rsidRDefault="00BA5125" w:rsidP="00665BA4"/>
                    <w:p w14:paraId="74D3ABC4" w14:textId="77777777" w:rsidR="00BA5125" w:rsidRPr="005251DD" w:rsidRDefault="00BA5125"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D7561D0" wp14:editId="7B364386">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pic="http://schemas.openxmlformats.org/drawingml/2006/picture" xmlns:a14="http://schemas.microsoft.com/office/drawing/2010/main" xmlns:a="http://schemas.openxmlformats.org/drawingml/2006/main">
            <w:pict w14:anchorId="0DBAEABF">
              <v:line id="Přímá spojnice 33"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o:spid="_x0000_s1026" o:allowincell="f" strokecolor="windowText" strokeweight="1pt" from="134.65pt,737.1pt" to="538.6pt,737.1pt" w14:anchorId="6DFD5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6BC95926" wp14:editId="266DEF2F">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70E5B" w14:textId="77777777" w:rsidR="00BA5125" w:rsidRPr="006F5416" w:rsidRDefault="00BA5125" w:rsidP="006F5416">
                            <w:pPr>
                              <w:pStyle w:val="TLKontaktyerven"/>
                            </w:pPr>
                            <w:r w:rsidRPr="006F5416">
                              <w:t>KONTAKTY V ÚSTŘEDÍ</w:t>
                            </w:r>
                          </w:p>
                          <w:p w14:paraId="3BEEAF5F" w14:textId="77777777" w:rsidR="00BA5125" w:rsidRPr="007D40DF" w:rsidRDefault="00BA5125"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BA5125" w:rsidRPr="00D235B7" w:rsidRDefault="00BA5125"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BA5125" w:rsidRPr="00D235B7" w:rsidRDefault="00BA5125"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BA5125" w:rsidRPr="00D235B7" w:rsidRDefault="00BA5125"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BA5125" w:rsidRPr="00D235B7" w:rsidRDefault="00BA5125"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BA5125" w:rsidRPr="004A61C5" w:rsidRDefault="00BA5125" w:rsidP="00825C4D">
                            <w:pPr>
                              <w:pStyle w:val="TLKontakty"/>
                              <w:spacing w:after="80" w:line="240" w:lineRule="auto"/>
                              <w:contextualSpacing w:val="0"/>
                              <w:rPr>
                                <w:color w:val="auto"/>
                              </w:rPr>
                            </w:pPr>
                          </w:p>
                          <w:p w14:paraId="29C57B67" w14:textId="77777777" w:rsidR="00BA5125" w:rsidRPr="00D66223" w:rsidRDefault="00BA5125" w:rsidP="00D66223">
                            <w:pPr>
                              <w:pStyle w:val="TLKontaktyerven"/>
                            </w:pPr>
                            <w:r w:rsidRPr="00D66223">
                              <w:t>INFORMAČNÍ SLUŽBY V REGIONECH</w:t>
                            </w:r>
                          </w:p>
                          <w:p w14:paraId="181BE30E" w14:textId="77777777" w:rsidR="00BA5125" w:rsidRPr="00992CF3" w:rsidRDefault="00BA5125"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BA5125" w:rsidRPr="00992CF3" w:rsidRDefault="00BA5125"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BA5125" w:rsidRPr="004A61C5" w:rsidRDefault="00BA5125" w:rsidP="00825C4D">
                            <w:pPr>
                              <w:pStyle w:val="TLKontakty"/>
                              <w:spacing w:after="80" w:line="240" w:lineRule="auto"/>
                              <w:rPr>
                                <w:color w:val="auto"/>
                              </w:rPr>
                            </w:pPr>
                          </w:p>
                          <w:p w14:paraId="39B5FB82" w14:textId="77777777" w:rsidR="00BA5125" w:rsidRPr="00992CF3" w:rsidRDefault="00BA5125"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BA5125" w:rsidRPr="00992CF3" w:rsidRDefault="00BA5125"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BA5125" w:rsidRPr="004A61C5" w:rsidRDefault="00BA5125" w:rsidP="00825C4D">
                            <w:pPr>
                              <w:pStyle w:val="TLKontakty"/>
                              <w:spacing w:after="80" w:line="240" w:lineRule="auto"/>
                              <w:rPr>
                                <w:color w:val="auto"/>
                              </w:rPr>
                            </w:pPr>
                          </w:p>
                          <w:p w14:paraId="5AF27889" w14:textId="77777777" w:rsidR="00BA5125" w:rsidRPr="00992CF3" w:rsidRDefault="00BA5125"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BA5125" w:rsidRPr="00992CF3" w:rsidRDefault="00BA5125"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BA5125" w:rsidRPr="004A61C5" w:rsidRDefault="00BA5125" w:rsidP="00825C4D">
                            <w:pPr>
                              <w:pStyle w:val="TLKontakty"/>
                              <w:spacing w:after="80" w:line="240" w:lineRule="auto"/>
                              <w:rPr>
                                <w:color w:val="auto"/>
                              </w:rPr>
                            </w:pPr>
                          </w:p>
                          <w:p w14:paraId="0065AFA0" w14:textId="77777777" w:rsidR="00BA5125" w:rsidRPr="00BC731E" w:rsidRDefault="00BA5125"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BA5125" w:rsidRPr="004A61C5" w:rsidRDefault="00BA5125" w:rsidP="00825C4D">
                            <w:pPr>
                              <w:pStyle w:val="TLKontakty"/>
                              <w:spacing w:after="80" w:line="240" w:lineRule="auto"/>
                              <w:rPr>
                                <w:color w:val="auto"/>
                              </w:rPr>
                            </w:pPr>
                          </w:p>
                          <w:p w14:paraId="345F7961" w14:textId="77777777" w:rsidR="00BA5125" w:rsidRPr="004A61C5" w:rsidRDefault="00BA5125"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BA5125" w:rsidRPr="004A61C5" w:rsidRDefault="00BA5125" w:rsidP="00825C4D">
                            <w:pPr>
                              <w:pStyle w:val="TLKontakty"/>
                              <w:spacing w:after="80" w:line="240" w:lineRule="auto"/>
                              <w:rPr>
                                <w:color w:val="auto"/>
                              </w:rPr>
                            </w:pPr>
                          </w:p>
                          <w:p w14:paraId="766F2288" w14:textId="77777777" w:rsidR="00BA5125" w:rsidRPr="004A61C5" w:rsidRDefault="00BA5125"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BA5125" w:rsidRPr="004A61C5" w:rsidRDefault="00BA5125" w:rsidP="00825C4D">
                            <w:pPr>
                              <w:pStyle w:val="TLKontakty"/>
                              <w:spacing w:after="80" w:line="240" w:lineRule="auto"/>
                              <w:rPr>
                                <w:color w:val="auto"/>
                              </w:rPr>
                            </w:pPr>
                          </w:p>
                          <w:p w14:paraId="0D4652E6" w14:textId="77777777" w:rsidR="00BA5125" w:rsidRPr="004A61C5" w:rsidRDefault="00BA5125"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BA5125" w:rsidRPr="004A61C5" w:rsidRDefault="00BA5125" w:rsidP="00825C4D">
                            <w:pPr>
                              <w:pStyle w:val="TLKontakty"/>
                              <w:spacing w:after="80" w:line="240" w:lineRule="auto"/>
                              <w:rPr>
                                <w:b w:val="0"/>
                                <w:color w:val="auto"/>
                              </w:rPr>
                            </w:pPr>
                          </w:p>
                          <w:p w14:paraId="231AC323" w14:textId="77777777" w:rsidR="00BA5125" w:rsidRPr="004A61C5" w:rsidRDefault="00BA5125"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BA5125" w:rsidRPr="004A61C5" w:rsidRDefault="00BA5125" w:rsidP="00825C4D">
                            <w:pPr>
                              <w:pStyle w:val="TLKontakty"/>
                              <w:spacing w:after="80" w:line="240" w:lineRule="auto"/>
                              <w:rPr>
                                <w:color w:val="auto"/>
                              </w:rPr>
                            </w:pPr>
                          </w:p>
                          <w:p w14:paraId="64319B27" w14:textId="77777777" w:rsidR="00BA5125" w:rsidRPr="004A61C5" w:rsidRDefault="00BA5125"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BA5125" w:rsidRPr="004A61C5" w:rsidRDefault="00BA5125" w:rsidP="00825C4D">
                            <w:pPr>
                              <w:pStyle w:val="TLKontakty"/>
                              <w:spacing w:after="80" w:line="240" w:lineRule="auto"/>
                              <w:rPr>
                                <w:b w:val="0"/>
                                <w:color w:val="auto"/>
                              </w:rPr>
                            </w:pPr>
                          </w:p>
                          <w:p w14:paraId="4068B566" w14:textId="77777777" w:rsidR="00BA5125" w:rsidRPr="004A61C5" w:rsidRDefault="00BA5125"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BA5125" w:rsidRDefault="00BA5125" w:rsidP="00825C4D">
                            <w:pPr>
                              <w:pStyle w:val="TLKontakty"/>
                              <w:spacing w:after="80" w:line="240" w:lineRule="auto"/>
                            </w:pPr>
                          </w:p>
                          <w:p w14:paraId="63ACC352" w14:textId="77777777" w:rsidR="00BA5125" w:rsidRPr="00BC731E" w:rsidRDefault="00BA5125"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BA5125" w:rsidRPr="004A61C5" w:rsidRDefault="00BA5125"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BA5125" w:rsidRPr="004A61C5" w:rsidRDefault="00BA5125" w:rsidP="00825C4D">
                            <w:pPr>
                              <w:pStyle w:val="TLKontakty"/>
                              <w:spacing w:after="80" w:line="240" w:lineRule="auto"/>
                              <w:rPr>
                                <w:b w:val="0"/>
                                <w:color w:val="auto"/>
                              </w:rPr>
                            </w:pPr>
                          </w:p>
                          <w:p w14:paraId="71AC5E72" w14:textId="77777777" w:rsidR="00BA5125" w:rsidRPr="005E7C78" w:rsidRDefault="00BA5125"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BA5125" w:rsidRPr="005E7C78" w:rsidRDefault="00BA5125"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BA5125" w:rsidRPr="005E7C78" w:rsidRDefault="00BA5125" w:rsidP="00825C4D">
                            <w:pPr>
                              <w:pStyle w:val="TLKontakty"/>
                              <w:spacing w:after="80" w:line="240" w:lineRule="auto"/>
                              <w:rPr>
                                <w:b w:val="0"/>
                                <w:color w:val="auto"/>
                              </w:rPr>
                            </w:pPr>
                          </w:p>
                          <w:p w14:paraId="00E77B80" w14:textId="77777777" w:rsidR="00BA5125" w:rsidRPr="005E7C78" w:rsidRDefault="00BA5125"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BA5125" w:rsidRDefault="00BA5125"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BA5125" w:rsidRPr="005E7C78" w:rsidRDefault="00BA5125" w:rsidP="00095135">
                            <w:pPr>
                              <w:pStyle w:val="TLKontakty"/>
                              <w:spacing w:after="80" w:line="240" w:lineRule="auto"/>
                              <w:rPr>
                                <w:b w:val="0"/>
                                <w:color w:val="auto"/>
                              </w:rPr>
                            </w:pPr>
                          </w:p>
                          <w:p w14:paraId="0275618D" w14:textId="77777777" w:rsidR="00BA5125" w:rsidRPr="005E7C78" w:rsidRDefault="00BA5125"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BA5125" w:rsidRPr="00095135" w:rsidRDefault="00BA5125"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C9592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0RmbGr0CAAC3BQAADgAAAAAAAAAAAAAAAAAuAgAAZHJzL2Uyb0RvYy54bWxQSwECLQAUAAYACAAA&#10;ACEArRpGXOAAAAANAQAADwAAAAAAAAAAAAAAAAAXBQAAZHJzL2Rvd25yZXYueG1sUEsFBgAAAAAE&#10;AAQA8wAAACQGAAAAAA==&#10;" filled="f" stroked="f">
                <v:textbox style="mso-fit-shape-to-text:t" inset="0,0,0,0">
                  <w:txbxContent>
                    <w:p w14:paraId="57F70E5B" w14:textId="77777777" w:rsidR="00BA5125" w:rsidRPr="006F5416" w:rsidRDefault="00BA5125" w:rsidP="006F5416">
                      <w:pPr>
                        <w:pStyle w:val="TLKontaktyerven"/>
                      </w:pPr>
                      <w:r w:rsidRPr="006F5416">
                        <w:t>KONTAKTY V ÚSTŘEDÍ</w:t>
                      </w:r>
                    </w:p>
                    <w:p w14:paraId="3BEEAF5F" w14:textId="77777777" w:rsidR="00BA5125" w:rsidRPr="007D40DF" w:rsidRDefault="00BA5125"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BA5125" w:rsidRPr="00D235B7" w:rsidRDefault="00BA5125"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BA5125" w:rsidRPr="00D235B7" w:rsidRDefault="00BA5125"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BA5125" w:rsidRPr="00D235B7" w:rsidRDefault="00BA5125"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BA5125" w:rsidRPr="00D235B7" w:rsidRDefault="00BA5125"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BA5125" w:rsidRPr="004A61C5" w:rsidRDefault="00BA5125" w:rsidP="00825C4D">
                      <w:pPr>
                        <w:pStyle w:val="TLKontakty"/>
                        <w:spacing w:after="80" w:line="240" w:lineRule="auto"/>
                        <w:contextualSpacing w:val="0"/>
                        <w:rPr>
                          <w:color w:val="auto"/>
                        </w:rPr>
                      </w:pPr>
                    </w:p>
                    <w:p w14:paraId="29C57B67" w14:textId="77777777" w:rsidR="00BA5125" w:rsidRPr="00D66223" w:rsidRDefault="00BA5125" w:rsidP="00D66223">
                      <w:pPr>
                        <w:pStyle w:val="TLKontaktyerven"/>
                      </w:pPr>
                      <w:r w:rsidRPr="00D66223">
                        <w:t>INFORMAČNÍ SLUŽBY V REGIONECH</w:t>
                      </w:r>
                    </w:p>
                    <w:p w14:paraId="181BE30E" w14:textId="77777777" w:rsidR="00BA5125" w:rsidRPr="00992CF3" w:rsidRDefault="00BA5125"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BA5125" w:rsidRPr="00992CF3" w:rsidRDefault="00BA5125"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BA5125" w:rsidRPr="004A61C5" w:rsidRDefault="00BA5125" w:rsidP="00825C4D">
                      <w:pPr>
                        <w:pStyle w:val="TLKontakty"/>
                        <w:spacing w:after="80" w:line="240" w:lineRule="auto"/>
                        <w:rPr>
                          <w:color w:val="auto"/>
                        </w:rPr>
                      </w:pPr>
                    </w:p>
                    <w:p w14:paraId="39B5FB82" w14:textId="77777777" w:rsidR="00BA5125" w:rsidRPr="00992CF3" w:rsidRDefault="00BA5125"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BA5125" w:rsidRPr="00992CF3" w:rsidRDefault="00BA5125"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BA5125" w:rsidRPr="004A61C5" w:rsidRDefault="00BA5125" w:rsidP="00825C4D">
                      <w:pPr>
                        <w:pStyle w:val="TLKontakty"/>
                        <w:spacing w:after="80" w:line="240" w:lineRule="auto"/>
                        <w:rPr>
                          <w:color w:val="auto"/>
                        </w:rPr>
                      </w:pPr>
                    </w:p>
                    <w:p w14:paraId="5AF27889" w14:textId="77777777" w:rsidR="00BA5125" w:rsidRPr="00992CF3" w:rsidRDefault="00BA5125"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BA5125" w:rsidRPr="00992CF3" w:rsidRDefault="00BA5125"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BA5125" w:rsidRPr="004A61C5" w:rsidRDefault="00BA5125" w:rsidP="00825C4D">
                      <w:pPr>
                        <w:pStyle w:val="TLKontakty"/>
                        <w:spacing w:after="80" w:line="240" w:lineRule="auto"/>
                        <w:rPr>
                          <w:color w:val="auto"/>
                        </w:rPr>
                      </w:pPr>
                    </w:p>
                    <w:p w14:paraId="0065AFA0" w14:textId="77777777" w:rsidR="00BA5125" w:rsidRPr="00BC731E" w:rsidRDefault="00BA5125"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BA5125" w:rsidRPr="004A61C5" w:rsidRDefault="00BA5125" w:rsidP="00825C4D">
                      <w:pPr>
                        <w:pStyle w:val="TLKontakty"/>
                        <w:spacing w:after="80" w:line="240" w:lineRule="auto"/>
                        <w:rPr>
                          <w:color w:val="auto"/>
                        </w:rPr>
                      </w:pPr>
                    </w:p>
                    <w:p w14:paraId="345F7961" w14:textId="77777777" w:rsidR="00BA5125" w:rsidRPr="004A61C5" w:rsidRDefault="00BA5125"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BA5125" w:rsidRPr="004A61C5" w:rsidRDefault="00BA5125" w:rsidP="00825C4D">
                      <w:pPr>
                        <w:pStyle w:val="TLKontakty"/>
                        <w:spacing w:after="80" w:line="240" w:lineRule="auto"/>
                        <w:rPr>
                          <w:color w:val="auto"/>
                        </w:rPr>
                      </w:pPr>
                    </w:p>
                    <w:p w14:paraId="766F2288" w14:textId="77777777" w:rsidR="00BA5125" w:rsidRPr="004A61C5" w:rsidRDefault="00BA5125"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BA5125" w:rsidRPr="004A61C5" w:rsidRDefault="00BA5125" w:rsidP="00825C4D">
                      <w:pPr>
                        <w:pStyle w:val="TLKontakty"/>
                        <w:spacing w:after="80" w:line="240" w:lineRule="auto"/>
                        <w:rPr>
                          <w:color w:val="auto"/>
                        </w:rPr>
                      </w:pPr>
                    </w:p>
                    <w:p w14:paraId="0D4652E6" w14:textId="77777777" w:rsidR="00BA5125" w:rsidRPr="004A61C5" w:rsidRDefault="00BA5125"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BA5125" w:rsidRPr="004A61C5" w:rsidRDefault="00BA5125" w:rsidP="00825C4D">
                      <w:pPr>
                        <w:pStyle w:val="TLKontakty"/>
                        <w:spacing w:after="80" w:line="240" w:lineRule="auto"/>
                        <w:rPr>
                          <w:b w:val="0"/>
                          <w:color w:val="auto"/>
                        </w:rPr>
                      </w:pPr>
                    </w:p>
                    <w:p w14:paraId="231AC323" w14:textId="77777777" w:rsidR="00BA5125" w:rsidRPr="004A61C5" w:rsidRDefault="00BA5125"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BA5125" w:rsidRPr="004A61C5" w:rsidRDefault="00BA5125" w:rsidP="00825C4D">
                      <w:pPr>
                        <w:pStyle w:val="TLKontakty"/>
                        <w:spacing w:after="80" w:line="240" w:lineRule="auto"/>
                        <w:rPr>
                          <w:color w:val="auto"/>
                        </w:rPr>
                      </w:pPr>
                    </w:p>
                    <w:p w14:paraId="64319B27" w14:textId="77777777" w:rsidR="00BA5125" w:rsidRPr="004A61C5" w:rsidRDefault="00BA5125"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BA5125" w:rsidRPr="004A61C5" w:rsidRDefault="00BA5125" w:rsidP="00825C4D">
                      <w:pPr>
                        <w:pStyle w:val="TLKontakty"/>
                        <w:spacing w:after="80" w:line="240" w:lineRule="auto"/>
                        <w:rPr>
                          <w:b w:val="0"/>
                          <w:color w:val="auto"/>
                        </w:rPr>
                      </w:pPr>
                    </w:p>
                    <w:p w14:paraId="4068B566" w14:textId="77777777" w:rsidR="00BA5125" w:rsidRPr="004A61C5" w:rsidRDefault="00BA5125"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BA5125" w:rsidRPr="004A61C5" w:rsidRDefault="00BA5125"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BA5125" w:rsidRDefault="00BA5125" w:rsidP="00825C4D">
                      <w:pPr>
                        <w:pStyle w:val="TLKontakty"/>
                        <w:spacing w:after="80" w:line="240" w:lineRule="auto"/>
                      </w:pPr>
                    </w:p>
                    <w:p w14:paraId="63ACC352" w14:textId="77777777" w:rsidR="00BA5125" w:rsidRPr="00BC731E" w:rsidRDefault="00BA5125"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BA5125" w:rsidRPr="004A61C5" w:rsidRDefault="00BA5125"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BA5125" w:rsidRPr="004A61C5" w:rsidRDefault="00BA5125" w:rsidP="00825C4D">
                      <w:pPr>
                        <w:pStyle w:val="TLKontakty"/>
                        <w:spacing w:after="80" w:line="240" w:lineRule="auto"/>
                        <w:rPr>
                          <w:b w:val="0"/>
                          <w:color w:val="auto"/>
                        </w:rPr>
                      </w:pPr>
                    </w:p>
                    <w:p w14:paraId="71AC5E72" w14:textId="77777777" w:rsidR="00BA5125" w:rsidRPr="005E7C78" w:rsidRDefault="00BA5125"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BA5125" w:rsidRPr="005E7C78" w:rsidRDefault="00BA5125"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BA5125" w:rsidRPr="005E7C78" w:rsidRDefault="00BA5125" w:rsidP="00825C4D">
                      <w:pPr>
                        <w:pStyle w:val="TLKontakty"/>
                        <w:spacing w:after="80" w:line="240" w:lineRule="auto"/>
                        <w:rPr>
                          <w:b w:val="0"/>
                          <w:color w:val="auto"/>
                        </w:rPr>
                      </w:pPr>
                    </w:p>
                    <w:p w14:paraId="00E77B80" w14:textId="77777777" w:rsidR="00BA5125" w:rsidRPr="005E7C78" w:rsidRDefault="00BA5125"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BA5125" w:rsidRDefault="00BA5125"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BA5125" w:rsidRPr="005E7C78" w:rsidRDefault="00BA5125" w:rsidP="00095135">
                      <w:pPr>
                        <w:pStyle w:val="TLKontakty"/>
                        <w:spacing w:after="80" w:line="240" w:lineRule="auto"/>
                        <w:rPr>
                          <w:b w:val="0"/>
                          <w:color w:val="auto"/>
                        </w:rPr>
                      </w:pPr>
                    </w:p>
                    <w:p w14:paraId="0275618D" w14:textId="77777777" w:rsidR="00BA5125" w:rsidRPr="005E7C78" w:rsidRDefault="00BA5125"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BA5125" w:rsidRPr="00095135" w:rsidRDefault="00BA5125"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627D9299" wp14:editId="066DDE16">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07B0" w14:textId="52FE952D" w:rsidR="00BA5125" w:rsidRPr="00321924" w:rsidRDefault="00BA5125" w:rsidP="00A16E1D">
                            <w:pPr>
                              <w:jc w:val="left"/>
                            </w:pPr>
                            <w:r w:rsidRPr="00321924">
                              <w:br/>
                              <w:t xml:space="preserve">© Český statistický úřad, </w:t>
                            </w:r>
                            <w:r>
                              <w:t>Praha, 2024</w:t>
                            </w:r>
                          </w:p>
                          <w:p w14:paraId="314CB98A" w14:textId="77777777" w:rsidR="00BA5125" w:rsidRDefault="00BA5125"/>
                          <w:p w14:paraId="6776AB5D" w14:textId="77777777" w:rsidR="00BA5125" w:rsidRPr="00841D9F" w:rsidRDefault="00BA5125"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BA5125" w:rsidRPr="00AF2852" w:rsidRDefault="00BA5125"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D9299"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NbuQ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" filled="f" stroked="f">
                <v:textbox inset="0,0,0,0">
                  <w:txbxContent>
                    <w:p w14:paraId="45ED07B0" w14:textId="52FE952D" w:rsidR="00BA5125" w:rsidRPr="00321924" w:rsidRDefault="00BA5125" w:rsidP="00A16E1D">
                      <w:pPr>
                        <w:jc w:val="left"/>
                      </w:pPr>
                      <w:r w:rsidRPr="00321924">
                        <w:br/>
                        <w:t xml:space="preserve">© Český statistický úřad, </w:t>
                      </w:r>
                      <w:r>
                        <w:t>Praha, 2024</w:t>
                      </w:r>
                    </w:p>
                    <w:p w14:paraId="314CB98A" w14:textId="77777777" w:rsidR="00BA5125" w:rsidRDefault="00BA5125"/>
                    <w:p w14:paraId="6776AB5D" w14:textId="77777777" w:rsidR="00BA5125" w:rsidRPr="00841D9F" w:rsidRDefault="00BA5125"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BA5125" w:rsidRPr="00AF2852" w:rsidRDefault="00BA5125"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3FEDB80D" wp14:editId="1DBA9E32">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D4D1" w14:textId="77777777" w:rsidR="00BA5125" w:rsidRPr="009A1902" w:rsidRDefault="00BA5125"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EDB80D"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" filled="f" stroked="f">
                <v:textbox style="mso-fit-shape-to-text:t" inset="0,0,0,0">
                  <w:txbxContent>
                    <w:p w14:paraId="054ED4D1" w14:textId="77777777" w:rsidR="00BA5125" w:rsidRPr="009A1902" w:rsidRDefault="00BA5125"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rPr>
        <w:id w:val="129444162"/>
        <w:docPartObj>
          <w:docPartGallery w:val="Table of Contents"/>
          <w:docPartUnique/>
        </w:docPartObj>
      </w:sdtPr>
      <w:sdtContent>
        <w:p w14:paraId="597230E6" w14:textId="77777777" w:rsidR="00867DAB" w:rsidRPr="009110F7" w:rsidRDefault="00867DAB" w:rsidP="00867DAB">
          <w:pPr>
            <w:pStyle w:val="Obsah"/>
          </w:pPr>
          <w:r>
            <w:t>Obsah</w:t>
          </w:r>
        </w:p>
        <w:p w14:paraId="137484BA" w14:textId="53D6C2E7" w:rsidR="000472CA" w:rsidRDefault="00EF1967">
          <w:pPr>
            <w:pStyle w:val="Obsah1"/>
            <w:rPr>
              <w:rFonts w:asciiTheme="minorHAnsi" w:eastAsiaTheme="minorEastAsia" w:hAnsiTheme="minorHAnsi" w:cstheme="minorBidi"/>
              <w:noProof/>
              <w:sz w:val="22"/>
              <w:szCs w:val="22"/>
            </w:rPr>
          </w:pPr>
          <w:r>
            <w:fldChar w:fldCharType="begin"/>
          </w:r>
          <w:r w:rsidR="007D42E5">
            <w:instrText>TOC \o "1-3" \h \z \u</w:instrText>
          </w:r>
          <w:r>
            <w:fldChar w:fldCharType="separate"/>
          </w:r>
          <w:hyperlink w:anchor="_Toc161914421" w:history="1">
            <w:r w:rsidR="000472CA" w:rsidRPr="0007500C">
              <w:rPr>
                <w:rStyle w:val="Hypertextovodkaz"/>
                <w:noProof/>
              </w:rPr>
              <w:t>1. Shrnutí</w:t>
            </w:r>
            <w:r w:rsidR="000472CA">
              <w:rPr>
                <w:noProof/>
                <w:webHidden/>
              </w:rPr>
              <w:tab/>
            </w:r>
            <w:r w:rsidR="000472CA">
              <w:rPr>
                <w:noProof/>
                <w:webHidden/>
              </w:rPr>
              <w:fldChar w:fldCharType="begin"/>
            </w:r>
            <w:r w:rsidR="000472CA">
              <w:rPr>
                <w:noProof/>
                <w:webHidden/>
              </w:rPr>
              <w:instrText xml:space="preserve"> PAGEREF _Toc161914421 \h </w:instrText>
            </w:r>
            <w:r w:rsidR="000472CA">
              <w:rPr>
                <w:noProof/>
                <w:webHidden/>
              </w:rPr>
            </w:r>
            <w:r w:rsidR="000472CA">
              <w:rPr>
                <w:noProof/>
                <w:webHidden/>
              </w:rPr>
              <w:fldChar w:fldCharType="separate"/>
            </w:r>
            <w:r w:rsidR="000472CA">
              <w:rPr>
                <w:noProof/>
                <w:webHidden/>
              </w:rPr>
              <w:t>4</w:t>
            </w:r>
            <w:r w:rsidR="000472CA">
              <w:rPr>
                <w:noProof/>
                <w:webHidden/>
              </w:rPr>
              <w:fldChar w:fldCharType="end"/>
            </w:r>
          </w:hyperlink>
        </w:p>
        <w:p w14:paraId="78149BCC" w14:textId="59A08CA8" w:rsidR="000472CA" w:rsidRDefault="000472CA">
          <w:pPr>
            <w:pStyle w:val="Obsah1"/>
            <w:rPr>
              <w:rFonts w:asciiTheme="minorHAnsi" w:eastAsiaTheme="minorEastAsia" w:hAnsiTheme="minorHAnsi" w:cstheme="minorBidi"/>
              <w:noProof/>
              <w:sz w:val="22"/>
              <w:szCs w:val="22"/>
            </w:rPr>
          </w:pPr>
          <w:hyperlink w:anchor="_Toc161914422" w:history="1">
            <w:r w:rsidRPr="0007500C">
              <w:rPr>
                <w:rStyle w:val="Hypertextovodkaz"/>
                <w:noProof/>
              </w:rPr>
              <w:t>2. Souhrnná výkonnost</w:t>
            </w:r>
            <w:r>
              <w:rPr>
                <w:noProof/>
                <w:webHidden/>
              </w:rPr>
              <w:tab/>
            </w:r>
            <w:r>
              <w:rPr>
                <w:noProof/>
                <w:webHidden/>
              </w:rPr>
              <w:fldChar w:fldCharType="begin"/>
            </w:r>
            <w:r>
              <w:rPr>
                <w:noProof/>
                <w:webHidden/>
              </w:rPr>
              <w:instrText xml:space="preserve"> PAGEREF _Toc161914422 \h </w:instrText>
            </w:r>
            <w:r>
              <w:rPr>
                <w:noProof/>
                <w:webHidden/>
              </w:rPr>
            </w:r>
            <w:r>
              <w:rPr>
                <w:noProof/>
                <w:webHidden/>
              </w:rPr>
              <w:fldChar w:fldCharType="separate"/>
            </w:r>
            <w:r>
              <w:rPr>
                <w:noProof/>
                <w:webHidden/>
              </w:rPr>
              <w:t>6</w:t>
            </w:r>
            <w:r>
              <w:rPr>
                <w:noProof/>
                <w:webHidden/>
              </w:rPr>
              <w:fldChar w:fldCharType="end"/>
            </w:r>
          </w:hyperlink>
        </w:p>
        <w:p w14:paraId="49A9E535" w14:textId="676F6627" w:rsidR="000472CA" w:rsidRDefault="000472CA">
          <w:pPr>
            <w:pStyle w:val="Obsah1"/>
            <w:rPr>
              <w:rFonts w:asciiTheme="minorHAnsi" w:eastAsiaTheme="minorEastAsia" w:hAnsiTheme="minorHAnsi" w:cstheme="minorBidi"/>
              <w:noProof/>
              <w:sz w:val="22"/>
              <w:szCs w:val="22"/>
            </w:rPr>
          </w:pPr>
          <w:hyperlink w:anchor="_Toc161914423" w:history="1">
            <w:r w:rsidRPr="0007500C">
              <w:rPr>
                <w:rStyle w:val="Hypertextovodkaz"/>
                <w:noProof/>
              </w:rPr>
              <w:t>3. Výkonnost odvětví</w:t>
            </w:r>
            <w:r>
              <w:rPr>
                <w:noProof/>
                <w:webHidden/>
              </w:rPr>
              <w:tab/>
            </w:r>
            <w:r>
              <w:rPr>
                <w:noProof/>
                <w:webHidden/>
              </w:rPr>
              <w:fldChar w:fldCharType="begin"/>
            </w:r>
            <w:r>
              <w:rPr>
                <w:noProof/>
                <w:webHidden/>
              </w:rPr>
              <w:instrText xml:space="preserve"> PAGEREF _Toc161914423 \h </w:instrText>
            </w:r>
            <w:r>
              <w:rPr>
                <w:noProof/>
                <w:webHidden/>
              </w:rPr>
            </w:r>
            <w:r>
              <w:rPr>
                <w:noProof/>
                <w:webHidden/>
              </w:rPr>
              <w:fldChar w:fldCharType="separate"/>
            </w:r>
            <w:r>
              <w:rPr>
                <w:noProof/>
                <w:webHidden/>
              </w:rPr>
              <w:t>11</w:t>
            </w:r>
            <w:r>
              <w:rPr>
                <w:noProof/>
                <w:webHidden/>
              </w:rPr>
              <w:fldChar w:fldCharType="end"/>
            </w:r>
          </w:hyperlink>
        </w:p>
        <w:p w14:paraId="15CB0516" w14:textId="3418CBC5" w:rsidR="000472CA" w:rsidRDefault="000472CA">
          <w:pPr>
            <w:pStyle w:val="Obsah1"/>
            <w:rPr>
              <w:rFonts w:asciiTheme="minorHAnsi" w:eastAsiaTheme="minorEastAsia" w:hAnsiTheme="minorHAnsi" w:cstheme="minorBidi"/>
              <w:noProof/>
              <w:sz w:val="22"/>
              <w:szCs w:val="22"/>
            </w:rPr>
          </w:pPr>
          <w:hyperlink w:anchor="_Toc161914424" w:history="1">
            <w:r w:rsidRPr="0007500C">
              <w:rPr>
                <w:rStyle w:val="Hypertextovodkaz"/>
                <w:noProof/>
              </w:rPr>
              <w:t>4. Vnější vztahy</w:t>
            </w:r>
            <w:r>
              <w:rPr>
                <w:noProof/>
                <w:webHidden/>
              </w:rPr>
              <w:tab/>
            </w:r>
            <w:r>
              <w:rPr>
                <w:noProof/>
                <w:webHidden/>
              </w:rPr>
              <w:fldChar w:fldCharType="begin"/>
            </w:r>
            <w:r>
              <w:rPr>
                <w:noProof/>
                <w:webHidden/>
              </w:rPr>
              <w:instrText xml:space="preserve"> PAGEREF _Toc161914424 \h </w:instrText>
            </w:r>
            <w:r>
              <w:rPr>
                <w:noProof/>
                <w:webHidden/>
              </w:rPr>
            </w:r>
            <w:r>
              <w:rPr>
                <w:noProof/>
                <w:webHidden/>
              </w:rPr>
              <w:fldChar w:fldCharType="separate"/>
            </w:r>
            <w:r>
              <w:rPr>
                <w:noProof/>
                <w:webHidden/>
              </w:rPr>
              <w:t>21</w:t>
            </w:r>
            <w:r>
              <w:rPr>
                <w:noProof/>
                <w:webHidden/>
              </w:rPr>
              <w:fldChar w:fldCharType="end"/>
            </w:r>
          </w:hyperlink>
        </w:p>
        <w:p w14:paraId="288EE6E0" w14:textId="52DB4662" w:rsidR="000472CA" w:rsidRDefault="000472CA">
          <w:pPr>
            <w:pStyle w:val="Obsah1"/>
            <w:rPr>
              <w:rFonts w:asciiTheme="minorHAnsi" w:eastAsiaTheme="minorEastAsia" w:hAnsiTheme="minorHAnsi" w:cstheme="minorBidi"/>
              <w:noProof/>
              <w:sz w:val="22"/>
              <w:szCs w:val="22"/>
            </w:rPr>
          </w:pPr>
          <w:hyperlink w:anchor="_Toc161914425" w:history="1">
            <w:r w:rsidRPr="0007500C">
              <w:rPr>
                <w:rStyle w:val="Hypertextovodkaz"/>
                <w:noProof/>
              </w:rPr>
              <w:t>5. Ceny</w:t>
            </w:r>
            <w:r>
              <w:rPr>
                <w:noProof/>
                <w:webHidden/>
              </w:rPr>
              <w:tab/>
            </w:r>
            <w:r>
              <w:rPr>
                <w:noProof/>
                <w:webHidden/>
              </w:rPr>
              <w:fldChar w:fldCharType="begin"/>
            </w:r>
            <w:r>
              <w:rPr>
                <w:noProof/>
                <w:webHidden/>
              </w:rPr>
              <w:instrText xml:space="preserve"> PAGEREF _Toc161914425 \h </w:instrText>
            </w:r>
            <w:r>
              <w:rPr>
                <w:noProof/>
                <w:webHidden/>
              </w:rPr>
            </w:r>
            <w:r>
              <w:rPr>
                <w:noProof/>
                <w:webHidden/>
              </w:rPr>
              <w:fldChar w:fldCharType="separate"/>
            </w:r>
            <w:r>
              <w:rPr>
                <w:noProof/>
                <w:webHidden/>
              </w:rPr>
              <w:t>25</w:t>
            </w:r>
            <w:r>
              <w:rPr>
                <w:noProof/>
                <w:webHidden/>
              </w:rPr>
              <w:fldChar w:fldCharType="end"/>
            </w:r>
          </w:hyperlink>
        </w:p>
        <w:p w14:paraId="0D3BD69A" w14:textId="21748C61" w:rsidR="000472CA" w:rsidRDefault="000472CA">
          <w:pPr>
            <w:pStyle w:val="Obsah1"/>
            <w:rPr>
              <w:rFonts w:asciiTheme="minorHAnsi" w:eastAsiaTheme="minorEastAsia" w:hAnsiTheme="minorHAnsi" w:cstheme="minorBidi"/>
              <w:noProof/>
              <w:sz w:val="22"/>
              <w:szCs w:val="22"/>
            </w:rPr>
          </w:pPr>
          <w:hyperlink w:anchor="_Toc161914426" w:history="1">
            <w:r w:rsidRPr="0007500C">
              <w:rPr>
                <w:rStyle w:val="Hypertextovodkaz"/>
                <w:noProof/>
              </w:rPr>
              <w:t>6. Trh práce</w:t>
            </w:r>
            <w:r>
              <w:rPr>
                <w:noProof/>
                <w:webHidden/>
              </w:rPr>
              <w:tab/>
            </w:r>
            <w:r>
              <w:rPr>
                <w:noProof/>
                <w:webHidden/>
              </w:rPr>
              <w:fldChar w:fldCharType="begin"/>
            </w:r>
            <w:r>
              <w:rPr>
                <w:noProof/>
                <w:webHidden/>
              </w:rPr>
              <w:instrText xml:space="preserve"> PAGEREF _Toc161914426 \h </w:instrText>
            </w:r>
            <w:r>
              <w:rPr>
                <w:noProof/>
                <w:webHidden/>
              </w:rPr>
            </w:r>
            <w:r>
              <w:rPr>
                <w:noProof/>
                <w:webHidden/>
              </w:rPr>
              <w:fldChar w:fldCharType="separate"/>
            </w:r>
            <w:r>
              <w:rPr>
                <w:noProof/>
                <w:webHidden/>
              </w:rPr>
              <w:t>32</w:t>
            </w:r>
            <w:r>
              <w:rPr>
                <w:noProof/>
                <w:webHidden/>
              </w:rPr>
              <w:fldChar w:fldCharType="end"/>
            </w:r>
          </w:hyperlink>
        </w:p>
        <w:p w14:paraId="4BA48067" w14:textId="0B94EC92" w:rsidR="000472CA" w:rsidRDefault="000472CA">
          <w:pPr>
            <w:pStyle w:val="Obsah1"/>
            <w:rPr>
              <w:rFonts w:asciiTheme="minorHAnsi" w:eastAsiaTheme="minorEastAsia" w:hAnsiTheme="minorHAnsi" w:cstheme="minorBidi"/>
              <w:noProof/>
              <w:sz w:val="22"/>
              <w:szCs w:val="22"/>
            </w:rPr>
          </w:pPr>
          <w:hyperlink w:anchor="_Toc161914427" w:history="1">
            <w:r w:rsidRPr="0007500C">
              <w:rPr>
                <w:rStyle w:val="Hypertextovodkaz"/>
                <w:noProof/>
              </w:rPr>
              <w:t>7. Měnové podmínky</w:t>
            </w:r>
            <w:r>
              <w:rPr>
                <w:noProof/>
                <w:webHidden/>
              </w:rPr>
              <w:tab/>
            </w:r>
            <w:r>
              <w:rPr>
                <w:noProof/>
                <w:webHidden/>
              </w:rPr>
              <w:fldChar w:fldCharType="begin"/>
            </w:r>
            <w:r>
              <w:rPr>
                <w:noProof/>
                <w:webHidden/>
              </w:rPr>
              <w:instrText xml:space="preserve"> PAGEREF _Toc161914427 \h </w:instrText>
            </w:r>
            <w:r>
              <w:rPr>
                <w:noProof/>
                <w:webHidden/>
              </w:rPr>
            </w:r>
            <w:r>
              <w:rPr>
                <w:noProof/>
                <w:webHidden/>
              </w:rPr>
              <w:fldChar w:fldCharType="separate"/>
            </w:r>
            <w:r>
              <w:rPr>
                <w:noProof/>
                <w:webHidden/>
              </w:rPr>
              <w:t>39</w:t>
            </w:r>
            <w:r>
              <w:rPr>
                <w:noProof/>
                <w:webHidden/>
              </w:rPr>
              <w:fldChar w:fldCharType="end"/>
            </w:r>
          </w:hyperlink>
        </w:p>
        <w:p w14:paraId="00DEBA93" w14:textId="165622A2" w:rsidR="000472CA" w:rsidRDefault="000472CA">
          <w:pPr>
            <w:pStyle w:val="Obsah1"/>
            <w:rPr>
              <w:rFonts w:asciiTheme="minorHAnsi" w:eastAsiaTheme="minorEastAsia" w:hAnsiTheme="minorHAnsi" w:cstheme="minorBidi"/>
              <w:noProof/>
              <w:sz w:val="22"/>
              <w:szCs w:val="22"/>
            </w:rPr>
          </w:pPr>
          <w:hyperlink w:anchor="_Toc161914428" w:history="1">
            <w:r w:rsidRPr="0007500C">
              <w:rPr>
                <w:rStyle w:val="Hypertextovodkaz"/>
                <w:noProof/>
              </w:rPr>
              <w:t>8. Státní rozpočet</w:t>
            </w:r>
            <w:r>
              <w:rPr>
                <w:noProof/>
                <w:webHidden/>
              </w:rPr>
              <w:tab/>
            </w:r>
            <w:r>
              <w:rPr>
                <w:noProof/>
                <w:webHidden/>
              </w:rPr>
              <w:fldChar w:fldCharType="begin"/>
            </w:r>
            <w:r>
              <w:rPr>
                <w:noProof/>
                <w:webHidden/>
              </w:rPr>
              <w:instrText xml:space="preserve"> PAGEREF _Toc161914428 \h </w:instrText>
            </w:r>
            <w:r>
              <w:rPr>
                <w:noProof/>
                <w:webHidden/>
              </w:rPr>
            </w:r>
            <w:r>
              <w:rPr>
                <w:noProof/>
                <w:webHidden/>
              </w:rPr>
              <w:fldChar w:fldCharType="separate"/>
            </w:r>
            <w:r>
              <w:rPr>
                <w:noProof/>
                <w:webHidden/>
              </w:rPr>
              <w:t>41</w:t>
            </w:r>
            <w:r>
              <w:rPr>
                <w:noProof/>
                <w:webHidden/>
              </w:rPr>
              <w:fldChar w:fldCharType="end"/>
            </w:r>
          </w:hyperlink>
        </w:p>
        <w:p w14:paraId="1501AF99" w14:textId="359AECA0" w:rsidR="00FD6667" w:rsidRDefault="00EF1967" w:rsidP="5E8D8646">
          <w:pPr>
            <w:pStyle w:val="Obsah1"/>
            <w:tabs>
              <w:tab w:val="clear" w:pos="9639"/>
              <w:tab w:val="right" w:leader="dot" w:pos="9630"/>
            </w:tabs>
            <w:rPr>
              <w:rStyle w:val="Hypertextovodkaz"/>
              <w:noProof/>
            </w:rPr>
          </w:pPr>
          <w:r>
            <w:fldChar w:fldCharType="end"/>
          </w:r>
        </w:p>
      </w:sdtContent>
    </w:sdt>
    <w:p w14:paraId="39BB97E5" w14:textId="72E58139" w:rsidR="00867DAB" w:rsidRPr="009110F7" w:rsidRDefault="00867DAB"/>
    <w:p w14:paraId="6CBF0906" w14:textId="77777777" w:rsidR="00003F5C" w:rsidRPr="009110F7" w:rsidRDefault="00003F5C" w:rsidP="00003F5C">
      <w:pPr>
        <w:pStyle w:val="Textpoznpodarou"/>
        <w:jc w:val="both"/>
        <w:rPr>
          <w:rFonts w:cs="Arial"/>
          <w:color w:val="000000"/>
        </w:rPr>
      </w:pPr>
    </w:p>
    <w:p w14:paraId="77CA2D67" w14:textId="77777777" w:rsidR="00003F5C" w:rsidRPr="009110F7" w:rsidRDefault="00003F5C" w:rsidP="00003F5C">
      <w:pPr>
        <w:pStyle w:val="Textpoznpodarou"/>
        <w:jc w:val="both"/>
        <w:rPr>
          <w:rFonts w:cs="Arial"/>
          <w:color w:val="000000"/>
        </w:rPr>
      </w:pPr>
    </w:p>
    <w:p w14:paraId="223CBCEF" w14:textId="77777777" w:rsidR="00003F5C" w:rsidRPr="009110F7" w:rsidRDefault="00003F5C" w:rsidP="00003F5C">
      <w:pPr>
        <w:pStyle w:val="Textpoznpodarou"/>
        <w:jc w:val="both"/>
        <w:rPr>
          <w:rFonts w:cs="Arial"/>
          <w:color w:val="000000"/>
        </w:rPr>
      </w:pPr>
    </w:p>
    <w:p w14:paraId="0F28E1B0" w14:textId="77777777" w:rsidR="00003F5C" w:rsidRPr="009110F7" w:rsidRDefault="00003F5C" w:rsidP="00003F5C">
      <w:pPr>
        <w:pStyle w:val="Textpoznpodarou"/>
        <w:jc w:val="both"/>
        <w:rPr>
          <w:rFonts w:cs="Arial"/>
          <w:color w:val="000000"/>
        </w:rPr>
      </w:pPr>
    </w:p>
    <w:p w14:paraId="2E66CDA4" w14:textId="77777777" w:rsidR="00003F5C" w:rsidRPr="009110F7" w:rsidRDefault="00003F5C" w:rsidP="00003F5C">
      <w:pPr>
        <w:pStyle w:val="Textpoznpodarou"/>
        <w:jc w:val="both"/>
        <w:rPr>
          <w:rFonts w:cs="Arial"/>
          <w:color w:val="000000"/>
        </w:rPr>
      </w:pPr>
    </w:p>
    <w:p w14:paraId="38EBE8F7" w14:textId="77777777" w:rsidR="00003F5C" w:rsidRPr="009110F7" w:rsidRDefault="00003F5C" w:rsidP="00003F5C">
      <w:pPr>
        <w:pStyle w:val="Textpoznpodarou"/>
        <w:jc w:val="both"/>
        <w:rPr>
          <w:rFonts w:cs="Arial"/>
          <w:color w:val="000000"/>
        </w:rPr>
      </w:pPr>
    </w:p>
    <w:p w14:paraId="4D552425" w14:textId="6F4027CD" w:rsidR="00003F5C" w:rsidRPr="009110F7" w:rsidRDefault="00ED0F73" w:rsidP="00003F5C">
      <w:pPr>
        <w:pStyle w:val="Textpoznpodarou"/>
        <w:jc w:val="both"/>
        <w:rPr>
          <w:rFonts w:cs="Arial"/>
          <w:color w:val="000000"/>
        </w:rPr>
      </w:pPr>
      <w:r>
        <w:rPr>
          <w:rFonts w:cs="Arial"/>
          <w:color w:val="000000"/>
        </w:rPr>
        <w:t>Hlavní z</w:t>
      </w:r>
      <w:r w:rsidR="00003F5C" w:rsidRPr="009110F7">
        <w:rPr>
          <w:rFonts w:cs="Arial"/>
          <w:color w:val="000000"/>
        </w:rPr>
        <w:t>droje dat v celé analýze: ČSÚ, MF</w:t>
      </w:r>
      <w:r w:rsidR="00A45489" w:rsidRPr="009110F7">
        <w:rPr>
          <w:rFonts w:cs="Arial"/>
          <w:color w:val="000000"/>
        </w:rPr>
        <w:t> </w:t>
      </w:r>
      <w:r w:rsidR="00003F5C" w:rsidRPr="009110F7">
        <w:rPr>
          <w:rFonts w:cs="Arial"/>
          <w:color w:val="000000"/>
        </w:rPr>
        <w:t xml:space="preserve">ČR, ČNB, MPSV, ČSSZ, </w:t>
      </w:r>
      <w:proofErr w:type="spellStart"/>
      <w:r w:rsidR="00003F5C" w:rsidRPr="009110F7">
        <w:rPr>
          <w:rFonts w:cs="Arial"/>
          <w:color w:val="000000"/>
        </w:rPr>
        <w:t>Eurostat</w:t>
      </w:r>
      <w:proofErr w:type="spellEnd"/>
      <w:r w:rsidR="00003F5C" w:rsidRPr="009110F7">
        <w:rPr>
          <w:rFonts w:cs="Arial"/>
          <w:color w:val="000000"/>
        </w:rPr>
        <w:t>, propočty ČSÚ.</w:t>
      </w:r>
    </w:p>
    <w:p w14:paraId="5658862B" w14:textId="4A258248" w:rsidR="00003F5C"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57A76" w:rsidRPr="009110F7">
        <w:rPr>
          <w:rFonts w:cs="Arial"/>
          <w:color w:val="000000"/>
        </w:rPr>
        <w:t>pocházejí z</w:t>
      </w:r>
      <w:r w:rsidR="00D23A99">
        <w:rPr>
          <w:rFonts w:cs="Arial"/>
          <w:color w:val="000000"/>
        </w:rPr>
        <w:t xml:space="preserve"> </w:t>
      </w:r>
      <w:r w:rsidR="00626B8F">
        <w:rPr>
          <w:rFonts w:cs="Arial"/>
          <w:color w:val="000000"/>
        </w:rPr>
        <w:t>15</w:t>
      </w:r>
      <w:r w:rsidR="00D23A99">
        <w:rPr>
          <w:rFonts w:cs="Arial"/>
          <w:color w:val="000000"/>
        </w:rPr>
        <w:t xml:space="preserve">. </w:t>
      </w:r>
      <w:r w:rsidR="00626B8F">
        <w:rPr>
          <w:rFonts w:cs="Arial"/>
          <w:color w:val="000000"/>
        </w:rPr>
        <w:t>března</w:t>
      </w:r>
      <w:r w:rsidR="00D23A99">
        <w:rPr>
          <w:rFonts w:cs="Arial"/>
          <w:color w:val="000000"/>
        </w:rPr>
        <w:t xml:space="preserve"> 202</w:t>
      </w:r>
      <w:r w:rsidR="00626B8F">
        <w:rPr>
          <w:rFonts w:cs="Arial"/>
          <w:color w:val="000000"/>
        </w:rPr>
        <w:t>4</w:t>
      </w:r>
      <w:r w:rsidRPr="009110F7">
        <w:rPr>
          <w:rFonts w:cs="Arial"/>
          <w:color w:val="000000"/>
        </w:rPr>
        <w:t>.</w:t>
      </w:r>
    </w:p>
    <w:p w14:paraId="1D1FFA96" w14:textId="77777777" w:rsidR="002F1D56" w:rsidRDefault="002F1D56" w:rsidP="00003F5C">
      <w:pPr>
        <w:pStyle w:val="Textpoznpodarou"/>
        <w:jc w:val="both"/>
        <w:rPr>
          <w:rFonts w:cs="Arial"/>
          <w:color w:val="000000"/>
        </w:rPr>
      </w:pPr>
    </w:p>
    <w:p w14:paraId="6EDD1399" w14:textId="77777777" w:rsidR="002F1D56" w:rsidRPr="002F1D56" w:rsidRDefault="002F1D56" w:rsidP="00003F5C">
      <w:pPr>
        <w:pStyle w:val="Textpoznpodarou"/>
        <w:jc w:val="both"/>
        <w:rPr>
          <w:rFonts w:cs="Arial"/>
        </w:rPr>
      </w:pPr>
    </w:p>
    <w:p w14:paraId="7CD2B948" w14:textId="77777777" w:rsidR="001777BA" w:rsidRPr="00AF7277" w:rsidRDefault="00087F2B" w:rsidP="001777BA">
      <w:pPr>
        <w:pStyle w:val="Nadpis1"/>
      </w:pPr>
      <w:r w:rsidRPr="002F1D56">
        <w:rPr>
          <w:color w:val="auto"/>
        </w:rPr>
        <w:br w:type="page"/>
      </w:r>
      <w:bookmarkStart w:id="0" w:name="_Toc97736114"/>
      <w:bookmarkStart w:id="1" w:name="_Toc444112494"/>
      <w:bookmarkStart w:id="2" w:name="_Toc511215208"/>
      <w:bookmarkStart w:id="3" w:name="_Toc26865017"/>
      <w:bookmarkStart w:id="4" w:name="_Toc74643854"/>
      <w:bookmarkStart w:id="5" w:name="_Toc66719928"/>
      <w:bookmarkStart w:id="6" w:name="_Toc19090676"/>
      <w:bookmarkStart w:id="7" w:name="_Toc58605372"/>
    </w:p>
    <w:p w14:paraId="253BEAA7" w14:textId="77777777" w:rsidR="00EA1EBB" w:rsidRPr="00C07C2F" w:rsidRDefault="00EA1EBB" w:rsidP="00582A12">
      <w:pPr>
        <w:pStyle w:val="Nadpis1"/>
      </w:pPr>
      <w:bookmarkStart w:id="8" w:name="_Toc114134045"/>
      <w:bookmarkStart w:id="9" w:name="_Toc58605374"/>
      <w:bookmarkStart w:id="10" w:name="_Toc66719930"/>
      <w:bookmarkStart w:id="11" w:name="_Toc532558287"/>
      <w:bookmarkStart w:id="12" w:name="_Toc58605375"/>
      <w:bookmarkStart w:id="13" w:name="_Toc82508186"/>
      <w:bookmarkStart w:id="14" w:name="_Toc114134047"/>
      <w:bookmarkStart w:id="15" w:name="_Toc114134048"/>
      <w:bookmarkStart w:id="16" w:name="_Toc97736119"/>
      <w:bookmarkStart w:id="17" w:name="_Toc74643859"/>
      <w:bookmarkStart w:id="18" w:name="_Toc90395915"/>
      <w:bookmarkStart w:id="19" w:name="_Toc98245446"/>
      <w:bookmarkStart w:id="20" w:name="_Toc74643860"/>
      <w:bookmarkStart w:id="21" w:name="_Toc161914421"/>
      <w:bookmarkEnd w:id="0"/>
      <w:bookmarkEnd w:id="1"/>
      <w:bookmarkEnd w:id="2"/>
      <w:bookmarkEnd w:id="3"/>
      <w:bookmarkEnd w:id="4"/>
      <w:bookmarkEnd w:id="5"/>
      <w:bookmarkEnd w:id="6"/>
      <w:bookmarkEnd w:id="7"/>
      <w:r w:rsidRPr="00C07C2F">
        <w:lastRenderedPageBreak/>
        <w:t>1. </w:t>
      </w:r>
      <w:r w:rsidRPr="00582A12">
        <w:t>Shrnutí</w:t>
      </w:r>
      <w:bookmarkEnd w:id="21"/>
    </w:p>
    <w:p w14:paraId="06A5CBF5" w14:textId="77777777" w:rsidR="00EA1EBB" w:rsidRPr="00C07C2F" w:rsidRDefault="00EA1EBB" w:rsidP="00EA1EBB">
      <w:pPr>
        <w:pStyle w:val="Normalodrka"/>
        <w:rPr>
          <w:spacing w:val="-4"/>
        </w:rPr>
      </w:pPr>
      <w:r w:rsidRPr="00C07C2F">
        <w:rPr>
          <w:spacing w:val="-4"/>
        </w:rPr>
        <w:t>Hrubý domácí produkt (HDP) se v</w:t>
      </w:r>
      <w:r>
        <w:rPr>
          <w:spacing w:val="-4"/>
        </w:rPr>
        <w:t> roce 2023 snížil o 0,4 %</w:t>
      </w:r>
      <w:r w:rsidRPr="00C07C2F">
        <w:rPr>
          <w:rStyle w:val="Znakapoznpodarou"/>
          <w:spacing w:val="-4"/>
        </w:rPr>
        <w:footnoteReference w:id="1"/>
      </w:r>
      <w:r>
        <w:rPr>
          <w:spacing w:val="-4"/>
        </w:rPr>
        <w:t>. Klesala spotřeba domácností a negativně působila změna zásob. Naopak zahraniční poptávka, investice a vládní spotřeba přispívala k růstu HDP. Ve 4. čtvrtletí se HDP meziročně snížil o 0,2 %, a to především kvůli negativnímu působení zásob, které převážilo ostatní složky HDP. M</w:t>
      </w:r>
      <w:r w:rsidRPr="00C07C2F">
        <w:rPr>
          <w:spacing w:val="-4"/>
        </w:rPr>
        <w:t>ezičtvrtletn</w:t>
      </w:r>
      <w:r>
        <w:rPr>
          <w:spacing w:val="-4"/>
        </w:rPr>
        <w:t>ě HDP vzrostl o 0,2 %.</w:t>
      </w:r>
      <w:r w:rsidRPr="00C07C2F">
        <w:rPr>
          <w:spacing w:val="-4"/>
        </w:rPr>
        <w:t xml:space="preserve"> </w:t>
      </w:r>
      <w:r>
        <w:rPr>
          <w:spacing w:val="-4"/>
        </w:rPr>
        <w:t>P</w:t>
      </w:r>
      <w:r>
        <w:rPr>
          <w:spacing w:val="-2"/>
        </w:rPr>
        <w:t xml:space="preserve">řispíval k tomu vývoj spotřeby domácností, investice i zahraniční poptávka. Většímu oživení HDP ale bránila spotřeba vládních institucí a rovněž změna zásob. </w:t>
      </w:r>
      <w:r w:rsidRPr="00C07C2F">
        <w:rPr>
          <w:spacing w:val="-4"/>
        </w:rPr>
        <w:t>Hrubý domácí produkt v EU ve </w:t>
      </w:r>
      <w:r>
        <w:rPr>
          <w:spacing w:val="-4"/>
        </w:rPr>
        <w:t>4</w:t>
      </w:r>
      <w:r w:rsidRPr="00C07C2F">
        <w:rPr>
          <w:spacing w:val="-4"/>
        </w:rPr>
        <w:t>. čtvrtletí meziročně rostl o 0,</w:t>
      </w:r>
      <w:r>
        <w:rPr>
          <w:spacing w:val="-4"/>
        </w:rPr>
        <w:t>2</w:t>
      </w:r>
      <w:r w:rsidRPr="00C07C2F">
        <w:rPr>
          <w:spacing w:val="-4"/>
        </w:rPr>
        <w:t> % a mezičtvrtletně</w:t>
      </w:r>
      <w:r>
        <w:rPr>
          <w:spacing w:val="-4"/>
        </w:rPr>
        <w:t xml:space="preserve"> stagnoval.</w:t>
      </w:r>
      <w:r w:rsidRPr="00C07C2F">
        <w:rPr>
          <w:spacing w:val="-4"/>
        </w:rPr>
        <w:t xml:space="preserve"> </w:t>
      </w:r>
      <w:r>
        <w:rPr>
          <w:spacing w:val="-4"/>
        </w:rPr>
        <w:t>Mezičtvrtletně stagnovaly ekonomiky v celém středoevropském regionu.</w:t>
      </w:r>
    </w:p>
    <w:p w14:paraId="218E2DD4" w14:textId="77777777" w:rsidR="00EA1EBB" w:rsidRPr="000C52FC" w:rsidRDefault="00EA1EBB" w:rsidP="00EA1EBB">
      <w:pPr>
        <w:pStyle w:val="Normalodrka"/>
      </w:pPr>
      <w:r w:rsidRPr="000C52FC">
        <w:t xml:space="preserve">Hrubá přidaná hodnota (HPH) </w:t>
      </w:r>
      <w:r>
        <w:t>loni vzrostla o 0,5 %. Přispěl k tomu zejména vývoj ve zpra</w:t>
      </w:r>
      <w:r w:rsidRPr="001211F9">
        <w:t xml:space="preserve">covatelském průmyslu </w:t>
      </w:r>
      <w:r>
        <w:t xml:space="preserve">a </w:t>
      </w:r>
      <w:r w:rsidRPr="001211F9">
        <w:t>informační</w:t>
      </w:r>
      <w:r>
        <w:t>ch</w:t>
      </w:r>
      <w:r w:rsidRPr="001211F9">
        <w:t xml:space="preserve"> a komunikační</w:t>
      </w:r>
      <w:r>
        <w:t>ch</w:t>
      </w:r>
      <w:r w:rsidRPr="001211F9">
        <w:t xml:space="preserve"> činnoste</w:t>
      </w:r>
      <w:r>
        <w:t>ch</w:t>
      </w:r>
      <w:r w:rsidRPr="001211F9">
        <w:t xml:space="preserve">. </w:t>
      </w:r>
      <w:r>
        <w:t>Naproti tomu se propadala HPH v </w:t>
      </w:r>
      <w:r w:rsidRPr="001211F9">
        <w:t>uskupení obchod, doprava, ubytování a pohostinství</w:t>
      </w:r>
      <w:r>
        <w:t xml:space="preserve"> a </w:t>
      </w:r>
      <w:r w:rsidRPr="001211F9">
        <w:t>ve stavebnictví</w:t>
      </w:r>
      <w:r>
        <w:t xml:space="preserve">. </w:t>
      </w:r>
      <w:r w:rsidRPr="001211F9">
        <w:t xml:space="preserve">V samotném 4. čtvrtletí </w:t>
      </w:r>
      <w:r>
        <w:t>HPH</w:t>
      </w:r>
      <w:r w:rsidRPr="001211F9">
        <w:t xml:space="preserve"> meziročně vzrostla o 0,3 %. </w:t>
      </w:r>
      <w:r>
        <w:t xml:space="preserve">Příznivě opět působil </w:t>
      </w:r>
      <w:r w:rsidRPr="001211F9">
        <w:t>zpracovatelsk</w:t>
      </w:r>
      <w:r>
        <w:t>ý</w:t>
      </w:r>
      <w:r w:rsidRPr="001211F9">
        <w:t xml:space="preserve"> průmysl </w:t>
      </w:r>
      <w:r>
        <w:t>a </w:t>
      </w:r>
      <w:r w:rsidRPr="001211F9">
        <w:t>informační a komunikační činnost</w:t>
      </w:r>
      <w:r>
        <w:t>i.</w:t>
      </w:r>
      <w:r w:rsidRPr="001211F9">
        <w:t xml:space="preserve"> Nejvíce celkový meziro</w:t>
      </w:r>
      <w:bookmarkStart w:id="22" w:name="_GoBack"/>
      <w:bookmarkEnd w:id="22"/>
      <w:r w:rsidRPr="001211F9">
        <w:t>ční růst HPH brzdilo uskupení obchod, doprava, ubytování a pohostinství</w:t>
      </w:r>
      <w:r>
        <w:t xml:space="preserve">. </w:t>
      </w:r>
      <w:r w:rsidRPr="001211F9">
        <w:t xml:space="preserve">Po dvou předchozích poklesech ve 4. čtvrtletí hrubá přidaná hodnota mezičtvrtletně vzrostla o 0,6 %. </w:t>
      </w:r>
      <w:r>
        <w:t>S</w:t>
      </w:r>
      <w:r w:rsidRPr="001211F9">
        <w:t>ilné bylo oživení ve zpracovatelském průmyslu</w:t>
      </w:r>
      <w:r>
        <w:t>, ale HPH se p</w:t>
      </w:r>
      <w:r w:rsidRPr="001211F9">
        <w:t>ropadla ve sta</w:t>
      </w:r>
      <w:r>
        <w:t xml:space="preserve">vebnictví, ostatních činnostech </w:t>
      </w:r>
      <w:r w:rsidRPr="001211F9">
        <w:t>a</w:t>
      </w:r>
      <w:r>
        <w:t> </w:t>
      </w:r>
      <w:r w:rsidRPr="001211F9">
        <w:t>v</w:t>
      </w:r>
      <w:r>
        <w:t> </w:t>
      </w:r>
      <w:r w:rsidRPr="001211F9">
        <w:t>peněžnictví a pojišťovnictví.</w:t>
      </w:r>
    </w:p>
    <w:p w14:paraId="6680DDDA" w14:textId="77777777" w:rsidR="00EA1EBB" w:rsidRPr="00D03842" w:rsidRDefault="00EA1EBB" w:rsidP="00EA1EBB">
      <w:pPr>
        <w:pStyle w:val="Normalodrka"/>
      </w:pPr>
      <w:r w:rsidRPr="00D03842">
        <w:t>Vývoz zboží a služeb v</w:t>
      </w:r>
      <w:r>
        <w:t> roc</w:t>
      </w:r>
      <w:r w:rsidRPr="00D03842">
        <w:t>e</w:t>
      </w:r>
      <w:r>
        <w:t xml:space="preserve"> 2023</w:t>
      </w:r>
      <w:r w:rsidRPr="00D03842">
        <w:t xml:space="preserve"> reálně meziročně </w:t>
      </w:r>
      <w:r>
        <w:t>vzrostl o 3,1 %</w:t>
      </w:r>
      <w:r w:rsidRPr="00D03842">
        <w:rPr>
          <w:rStyle w:val="Znakapoznpodarou"/>
          <w:spacing w:val="-4"/>
        </w:rPr>
        <w:footnoteReference w:id="2"/>
      </w:r>
      <w:r>
        <w:t xml:space="preserve"> a dovoz klesl o 0,4 %. V samotném 4. čtvrtletí export meziročně vzrostl 1,0 %</w:t>
      </w:r>
      <w:r w:rsidRPr="00D03842">
        <w:t xml:space="preserve"> </w:t>
      </w:r>
      <w:r>
        <w:t xml:space="preserve">a </w:t>
      </w:r>
      <w:r w:rsidRPr="00D03842">
        <w:t xml:space="preserve">mezičtvrtletně </w:t>
      </w:r>
      <w:r>
        <w:t xml:space="preserve">o 2,2 %. Dovoz naopak klesal meziročně o 4,7 % a mezičtvrtletně o 2,4 %. </w:t>
      </w:r>
      <w:r w:rsidRPr="00D03842">
        <w:t xml:space="preserve">Bilance zahraničního obchodu se zbožím a službami v běžných cenách </w:t>
      </w:r>
      <w:r>
        <w:t>loni celkově d</w:t>
      </w:r>
      <w:r w:rsidRPr="00D03842">
        <w:t xml:space="preserve">osáhla přebytku </w:t>
      </w:r>
      <w:r>
        <w:t xml:space="preserve">378,0 </w:t>
      </w:r>
      <w:r w:rsidRPr="00D03842">
        <w:t xml:space="preserve">mld. korun a ten se tak meziročně </w:t>
      </w:r>
      <w:r>
        <w:t>zvýšil</w:t>
      </w:r>
      <w:r w:rsidRPr="00D03842">
        <w:t xml:space="preserve"> o </w:t>
      </w:r>
      <w:r>
        <w:t>312,4</w:t>
      </w:r>
      <w:r w:rsidRPr="00D03842">
        <w:t xml:space="preserve"> mld. </w:t>
      </w:r>
      <w:r>
        <w:t>Ke z</w:t>
      </w:r>
      <w:r w:rsidRPr="00D03842">
        <w:rPr>
          <w:spacing w:val="-4"/>
        </w:rPr>
        <w:t>lepšení bilance</w:t>
      </w:r>
      <w:r>
        <w:rPr>
          <w:spacing w:val="-4"/>
        </w:rPr>
        <w:t xml:space="preserve"> obchodu se zbožím loni přispělo zejména </w:t>
      </w:r>
      <w:r w:rsidRPr="00D03842">
        <w:rPr>
          <w:spacing w:val="-4"/>
        </w:rPr>
        <w:t>zmírnění deficitu obchodu s ropou a zemním plynem a</w:t>
      </w:r>
      <w:r>
        <w:rPr>
          <w:spacing w:val="-4"/>
        </w:rPr>
        <w:t> </w:t>
      </w:r>
      <w:r w:rsidRPr="00D03842">
        <w:rPr>
          <w:spacing w:val="-4"/>
        </w:rPr>
        <w:t>zlepšení přebytku obchodu s motorovými vozidly</w:t>
      </w:r>
      <w:r>
        <w:rPr>
          <w:spacing w:val="-4"/>
        </w:rPr>
        <w:t xml:space="preserve">. Zhoršila se naopak bilance obchodu s </w:t>
      </w:r>
      <w:r w:rsidRPr="00D03842">
        <w:rPr>
          <w:spacing w:val="-4"/>
        </w:rPr>
        <w:t>elektřinou, plynem, párou a klimatizovaným vzduchem</w:t>
      </w:r>
      <w:r>
        <w:rPr>
          <w:spacing w:val="-4"/>
        </w:rPr>
        <w:t>.</w:t>
      </w:r>
      <w:r w:rsidRPr="00D03842">
        <w:rPr>
          <w:spacing w:val="-4"/>
        </w:rPr>
        <w:t xml:space="preserve">  </w:t>
      </w:r>
    </w:p>
    <w:p w14:paraId="78CBEB1A" w14:textId="77777777" w:rsidR="00EA1EBB" w:rsidRPr="00CB18B2" w:rsidRDefault="00EA1EBB" w:rsidP="00EA1EBB">
      <w:pPr>
        <w:pStyle w:val="Normalodrka"/>
        <w:rPr>
          <w:spacing w:val="-4"/>
        </w:rPr>
      </w:pPr>
      <w:r w:rsidRPr="00CB18B2">
        <w:rPr>
          <w:spacing w:val="-4"/>
        </w:rPr>
        <w:t>Celková cenová hladina</w:t>
      </w:r>
      <w:r>
        <w:rPr>
          <w:spacing w:val="-4"/>
        </w:rPr>
        <w:t xml:space="preserve"> </w:t>
      </w:r>
      <w:r w:rsidRPr="00CB18B2">
        <w:rPr>
          <w:spacing w:val="-4"/>
        </w:rPr>
        <w:t xml:space="preserve">(podle deflátoru HDP) </w:t>
      </w:r>
      <w:r>
        <w:rPr>
          <w:spacing w:val="-4"/>
        </w:rPr>
        <w:t>loni vzrostla o 8,6 %. Ve</w:t>
      </w:r>
      <w:r w:rsidRPr="00CB18B2">
        <w:rPr>
          <w:spacing w:val="-4"/>
        </w:rPr>
        <w:t> </w:t>
      </w:r>
      <w:r>
        <w:rPr>
          <w:spacing w:val="-4"/>
        </w:rPr>
        <w:t>4</w:t>
      </w:r>
      <w:r w:rsidRPr="00CB18B2">
        <w:rPr>
          <w:spacing w:val="-4"/>
        </w:rPr>
        <w:t xml:space="preserve">. čtvrtletí meziročně </w:t>
      </w:r>
      <w:r>
        <w:rPr>
          <w:spacing w:val="-4"/>
        </w:rPr>
        <w:t>stoupla o 6,0 % a mezičtvrtletně stagnovala. S</w:t>
      </w:r>
      <w:r w:rsidRPr="00CB18B2">
        <w:rPr>
          <w:spacing w:val="-4"/>
        </w:rPr>
        <w:t>potřebitelsk</w:t>
      </w:r>
      <w:r>
        <w:rPr>
          <w:spacing w:val="-4"/>
        </w:rPr>
        <w:t>é ceny se loni zvýšily o 10,7 %. Jejich meziroční růst postupně během roku zpomaloval a ve 4. čtvrtletí spotřebitelské ceny vzrostly o 7,6 %. Mezičtvrtletně klesly o 0,4 %.</w:t>
      </w:r>
      <w:r w:rsidRPr="00CB18B2">
        <w:rPr>
          <w:spacing w:val="-4"/>
        </w:rPr>
        <w:t xml:space="preserve"> </w:t>
      </w:r>
      <w:r w:rsidRPr="00CB18B2">
        <w:t>Zpomal</w:t>
      </w:r>
      <w:r>
        <w:t xml:space="preserve">oval meziroční růst cen většiny oddílů spotřebního koše s výjimkou bydlení a energií. Ve 4. čtvrtletí mírněji rostly také ceny průmyslových výrobců, stavebních prací a tržních služeb. V hlubokém poklesu byly nadále ceny zemědělských výrobců. </w:t>
      </w:r>
    </w:p>
    <w:p w14:paraId="42074EC3" w14:textId="77777777" w:rsidR="00EA1EBB" w:rsidRPr="00E93FD5" w:rsidRDefault="00EA1EBB" w:rsidP="00EA1EBB">
      <w:pPr>
        <w:pStyle w:val="Normalodrka"/>
        <w:rPr>
          <w:spacing w:val="-4"/>
        </w:rPr>
      </w:pPr>
      <w:proofErr w:type="spellStart"/>
      <w:r w:rsidRPr="00E93FD5">
        <w:rPr>
          <w:spacing w:val="-4"/>
        </w:rPr>
        <w:t>Měnověpolitické</w:t>
      </w:r>
      <w:proofErr w:type="spellEnd"/>
      <w:r w:rsidRPr="00E93FD5">
        <w:rPr>
          <w:spacing w:val="-4"/>
        </w:rPr>
        <w:t xml:space="preserve"> úrokové sazby </w:t>
      </w:r>
      <w:r>
        <w:rPr>
          <w:spacing w:val="-4"/>
        </w:rPr>
        <w:t>byly na konci roku sníženy. Očekávané snížení bylo patrné na mezibankovních úrokových sazbách s delší splatností již během podzimu, krátkodobé sazby reagovaly až v prosinci. Snížily se úrokové sazby termínovaných vkladů i úvěrů pro domácnosti a podniky.</w:t>
      </w:r>
      <w:r w:rsidRPr="00E93FD5">
        <w:rPr>
          <w:spacing w:val="-4"/>
        </w:rPr>
        <w:t xml:space="preserve"> </w:t>
      </w:r>
    </w:p>
    <w:p w14:paraId="2D6574AB" w14:textId="77777777" w:rsidR="00EA1EBB" w:rsidRPr="00587319" w:rsidRDefault="00EA1EBB" w:rsidP="00EA1EBB">
      <w:pPr>
        <w:pStyle w:val="Normalodrka"/>
        <w:rPr>
          <w:spacing w:val="-4"/>
        </w:rPr>
      </w:pPr>
      <w:r w:rsidRPr="00587319">
        <w:rPr>
          <w:spacing w:val="-4"/>
        </w:rPr>
        <w:t>Celková zaměstnanost</w:t>
      </w:r>
      <w:r w:rsidRPr="00587319">
        <w:rPr>
          <w:rStyle w:val="Znakapoznpodarou"/>
          <w:spacing w:val="-4"/>
        </w:rPr>
        <w:footnoteReference w:id="3"/>
      </w:r>
      <w:r w:rsidRPr="00587319">
        <w:rPr>
          <w:spacing w:val="-4"/>
        </w:rPr>
        <w:t xml:space="preserve"> </w:t>
      </w:r>
      <w:r>
        <w:rPr>
          <w:spacing w:val="-4"/>
        </w:rPr>
        <w:t xml:space="preserve">loni </w:t>
      </w:r>
      <w:r w:rsidRPr="00587319">
        <w:rPr>
          <w:spacing w:val="-4"/>
        </w:rPr>
        <w:t>vzrostla o 0,</w:t>
      </w:r>
      <w:r>
        <w:rPr>
          <w:spacing w:val="-4"/>
        </w:rPr>
        <w:t>8</w:t>
      </w:r>
      <w:r w:rsidRPr="00587319">
        <w:rPr>
          <w:spacing w:val="-4"/>
        </w:rPr>
        <w:t xml:space="preserve"> %</w:t>
      </w:r>
      <w:r>
        <w:rPr>
          <w:spacing w:val="-4"/>
        </w:rPr>
        <w:t xml:space="preserve">. V samotném 4. čtvrtletí byla meziročně vyšší o 0,4 %, zatímco </w:t>
      </w:r>
      <w:r w:rsidRPr="00587319">
        <w:rPr>
          <w:spacing w:val="-4"/>
        </w:rPr>
        <w:t>mezičtvrtletně klesla o 0,</w:t>
      </w:r>
      <w:r>
        <w:rPr>
          <w:spacing w:val="-4"/>
        </w:rPr>
        <w:t>1</w:t>
      </w:r>
      <w:r w:rsidRPr="00587319">
        <w:rPr>
          <w:spacing w:val="-4"/>
        </w:rPr>
        <w:t xml:space="preserve"> %. </w:t>
      </w:r>
      <w:r>
        <w:rPr>
          <w:spacing w:val="-4"/>
        </w:rPr>
        <w:t>V průběhu roku byl patrný mírný růstový trend o</w:t>
      </w:r>
      <w:r w:rsidRPr="00587319">
        <w:rPr>
          <w:spacing w:val="-4"/>
        </w:rPr>
        <w:t>becn</w:t>
      </w:r>
      <w:r>
        <w:rPr>
          <w:spacing w:val="-4"/>
        </w:rPr>
        <w:t>é</w:t>
      </w:r>
      <w:r w:rsidRPr="00587319">
        <w:rPr>
          <w:spacing w:val="-4"/>
        </w:rPr>
        <w:t xml:space="preserve"> mír</w:t>
      </w:r>
      <w:r>
        <w:rPr>
          <w:spacing w:val="-4"/>
        </w:rPr>
        <w:t>y</w:t>
      </w:r>
      <w:r w:rsidRPr="00587319">
        <w:rPr>
          <w:spacing w:val="-4"/>
        </w:rPr>
        <w:t xml:space="preserve"> nezaměstnanosti</w:t>
      </w:r>
      <w:r>
        <w:rPr>
          <w:spacing w:val="-4"/>
        </w:rPr>
        <w:t>, která se tak v lednu dostala na 3,0 %.</w:t>
      </w:r>
      <w:r w:rsidRPr="00587319">
        <w:rPr>
          <w:spacing w:val="-4"/>
        </w:rPr>
        <w:t xml:space="preserve"> Průměrná hrubá měsíční nominální mzda ve </w:t>
      </w:r>
      <w:r>
        <w:rPr>
          <w:spacing w:val="-4"/>
        </w:rPr>
        <w:t>4</w:t>
      </w:r>
      <w:r w:rsidRPr="00587319">
        <w:rPr>
          <w:spacing w:val="-4"/>
        </w:rPr>
        <w:t xml:space="preserve">. čtvrtletí nominálně meziročně vzrostla o </w:t>
      </w:r>
      <w:r>
        <w:rPr>
          <w:spacing w:val="-4"/>
        </w:rPr>
        <w:t>6,3</w:t>
      </w:r>
      <w:r w:rsidRPr="00587319">
        <w:rPr>
          <w:spacing w:val="-4"/>
        </w:rPr>
        <w:t xml:space="preserve"> % a dosáhla 4</w:t>
      </w:r>
      <w:r>
        <w:rPr>
          <w:spacing w:val="-4"/>
        </w:rPr>
        <w:t>6 013</w:t>
      </w:r>
      <w:r w:rsidRPr="00587319">
        <w:rPr>
          <w:spacing w:val="-4"/>
        </w:rPr>
        <w:t xml:space="preserve"> korun. Reáln</w:t>
      </w:r>
      <w:r>
        <w:rPr>
          <w:spacing w:val="-4"/>
        </w:rPr>
        <w:t>ě průměrná mzda klesla o 1,2</w:t>
      </w:r>
      <w:r w:rsidRPr="00587319">
        <w:rPr>
          <w:spacing w:val="-4"/>
        </w:rPr>
        <w:t xml:space="preserve"> %.</w:t>
      </w:r>
      <w:r>
        <w:rPr>
          <w:spacing w:val="-4"/>
        </w:rPr>
        <w:t xml:space="preserve"> </w:t>
      </w:r>
      <w:r w:rsidRPr="00587319">
        <w:rPr>
          <w:spacing w:val="-4"/>
        </w:rPr>
        <w:t>Mezičtvrtletní nominální navýšení průměrné mzdy činilo 1,5 %.</w:t>
      </w:r>
    </w:p>
    <w:p w14:paraId="28399831" w14:textId="77777777" w:rsidR="00EA1EBB" w:rsidRPr="000262B5" w:rsidRDefault="00EA1EBB" w:rsidP="00582A12">
      <w:pPr>
        <w:pStyle w:val="Normalodrka"/>
      </w:pPr>
      <w:r w:rsidRPr="000262B5">
        <w:t xml:space="preserve">Schodek hospodaření státního rozpočtu za </w:t>
      </w:r>
      <w:r>
        <w:t>rok 2023 dosáhl</w:t>
      </w:r>
      <w:r w:rsidRPr="000262B5">
        <w:t xml:space="preserve"> 288,5 mld. korun</w:t>
      </w:r>
      <w:r>
        <w:t xml:space="preserve">. </w:t>
      </w:r>
      <w:r w:rsidRPr="000262B5">
        <w:t xml:space="preserve">Schodek se meziročně snížil </w:t>
      </w:r>
      <w:r w:rsidRPr="00582A12">
        <w:t>podruhé</w:t>
      </w:r>
      <w:r w:rsidRPr="000262B5">
        <w:t xml:space="preserve"> v</w:t>
      </w:r>
      <w:r>
        <w:t> </w:t>
      </w:r>
      <w:r w:rsidRPr="000262B5">
        <w:t>řadě</w:t>
      </w:r>
      <w:r>
        <w:t xml:space="preserve"> a o</w:t>
      </w:r>
      <w:r w:rsidRPr="000262B5">
        <w:t>proti roku 2022 klesl o 71,9 mld. korun. Celkové příjmy meziro</w:t>
      </w:r>
      <w:r>
        <w:t xml:space="preserve">čně vzrostly </w:t>
      </w:r>
      <w:r w:rsidRPr="000262B5">
        <w:t>o</w:t>
      </w:r>
      <w:r>
        <w:t> </w:t>
      </w:r>
      <w:r w:rsidRPr="000262B5">
        <w:t xml:space="preserve">rovných 23 % a mírně předčily rozpočtové očekávání. K růstu přispěly jak daňové příjmy bez pojistného, tak nedaňové a kapitálové příjmy i přijaté transfery. Celkové </w:t>
      </w:r>
      <w:r w:rsidRPr="00D44360">
        <w:rPr>
          <w:spacing w:val="-4"/>
        </w:rPr>
        <w:t>výdaje se od</w:t>
      </w:r>
      <w:r>
        <w:rPr>
          <w:spacing w:val="-4"/>
        </w:rPr>
        <w:t xml:space="preserve"> začátku roku meziročně zvýšily </w:t>
      </w:r>
      <w:r w:rsidRPr="00D44360">
        <w:rPr>
          <w:spacing w:val="-4"/>
        </w:rPr>
        <w:t>o 12,4 %. Do jejich růstu se promítala jak pomoc státu související s vysokými cenami energií, tak dopady pozvolna doznívající vysoké inflace.</w:t>
      </w:r>
    </w:p>
    <w:p w14:paraId="49F701EE" w14:textId="77777777" w:rsidR="00B97F3A" w:rsidRPr="00BB286B" w:rsidRDefault="00B97F3A" w:rsidP="00B97F3A">
      <w:pPr>
        <w:pStyle w:val="Normalodrka"/>
        <w:numPr>
          <w:ilvl w:val="0"/>
          <w:numId w:val="0"/>
        </w:numPr>
        <w:spacing w:after="0"/>
        <w:rPr>
          <w:b/>
          <w:sz w:val="2"/>
          <w:szCs w:val="2"/>
          <w:highlight w:val="yellow"/>
        </w:rPr>
      </w:pPr>
    </w:p>
    <w:p w14:paraId="3150E3D3" w14:textId="3B5675E6" w:rsidR="00BC223A" w:rsidRPr="00783810" w:rsidRDefault="00783810" w:rsidP="00783810">
      <w:pPr>
        <w:pStyle w:val="Normalodrka"/>
        <w:numPr>
          <w:ilvl w:val="0"/>
          <w:numId w:val="0"/>
        </w:numPr>
        <w:spacing w:after="0"/>
        <w:jc w:val="center"/>
        <w:rPr>
          <w:spacing w:val="-4"/>
        </w:rPr>
      </w:pPr>
      <w:r w:rsidRPr="00783810">
        <w:rPr>
          <w:noProof/>
        </w:rPr>
        <w:lastRenderedPageBreak/>
        <w:drawing>
          <wp:inline distT="0" distB="0" distL="0" distR="0" wp14:anchorId="4A187D8B" wp14:editId="3524BB71">
            <wp:extent cx="5991225" cy="906964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9554" cy="9082252"/>
                    </a:xfrm>
                    <a:prstGeom prst="rect">
                      <a:avLst/>
                    </a:prstGeom>
                    <a:noFill/>
                    <a:ln>
                      <a:noFill/>
                    </a:ln>
                  </pic:spPr>
                </pic:pic>
              </a:graphicData>
            </a:graphic>
          </wp:inline>
        </w:drawing>
      </w:r>
    </w:p>
    <w:p w14:paraId="35EA198A" w14:textId="56BFF104" w:rsidR="00993ECA" w:rsidRPr="00BB286B" w:rsidRDefault="00993ECA" w:rsidP="00993ECA">
      <w:pPr>
        <w:pStyle w:val="Normalodrka"/>
        <w:numPr>
          <w:ilvl w:val="0"/>
          <w:numId w:val="0"/>
        </w:numPr>
        <w:spacing w:after="0"/>
        <w:rPr>
          <w:b/>
          <w:sz w:val="2"/>
          <w:szCs w:val="2"/>
          <w:highlight w:val="yellow"/>
        </w:rPr>
      </w:pPr>
    </w:p>
    <w:p w14:paraId="7BD1CA90" w14:textId="77777777" w:rsidR="00EA1EBB" w:rsidRPr="009110F7" w:rsidRDefault="00EA1EBB" w:rsidP="00EA1EBB">
      <w:pPr>
        <w:pStyle w:val="Nadpis1"/>
      </w:pPr>
      <w:bookmarkStart w:id="23" w:name="_Toc145318531"/>
      <w:bookmarkStart w:id="24" w:name="_Toc153531174"/>
      <w:bookmarkStart w:id="25" w:name="_Toc137233026"/>
      <w:bookmarkStart w:id="26" w:name="_Toc130286019"/>
      <w:bookmarkStart w:id="27" w:name="_Toc114134050"/>
      <w:bookmarkStart w:id="28" w:name="_Toc121993822"/>
      <w:bookmarkStart w:id="29" w:name="_Toc161914422"/>
      <w:bookmarkEnd w:id="8"/>
      <w:bookmarkEnd w:id="9"/>
      <w:bookmarkEnd w:id="10"/>
      <w:bookmarkEnd w:id="11"/>
      <w:bookmarkEnd w:id="12"/>
      <w:bookmarkEnd w:id="13"/>
      <w:bookmarkEnd w:id="14"/>
      <w:bookmarkEnd w:id="15"/>
      <w:bookmarkEnd w:id="16"/>
      <w:bookmarkEnd w:id="17"/>
      <w:bookmarkEnd w:id="18"/>
      <w:bookmarkEnd w:id="19"/>
      <w:bookmarkEnd w:id="20"/>
      <w:r>
        <w:t>2. Souhrnná výkonnost</w:t>
      </w:r>
      <w:bookmarkEnd w:id="23"/>
      <w:bookmarkEnd w:id="24"/>
      <w:bookmarkEnd w:id="29"/>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EA1EBB" w:rsidRPr="009110F7" w14:paraId="2F58A64B" w14:textId="77777777" w:rsidTr="00BA5125">
        <w:trPr>
          <w:trHeight w:val="145"/>
        </w:trPr>
        <w:tc>
          <w:tcPr>
            <w:tcW w:w="1806" w:type="dxa"/>
            <w:shd w:val="clear" w:color="auto" w:fill="auto"/>
            <w:tcMar>
              <w:left w:w="0" w:type="dxa"/>
            </w:tcMar>
          </w:tcPr>
          <w:p w14:paraId="3A54FC82" w14:textId="77777777" w:rsidR="00EA1EBB" w:rsidRDefault="00EA1EBB" w:rsidP="00BA5125">
            <w:pPr>
              <w:pStyle w:val="Marginlie"/>
            </w:pPr>
            <w:r>
              <w:t>Česká ekonomika loni klesla.</w:t>
            </w:r>
          </w:p>
        </w:tc>
        <w:tc>
          <w:tcPr>
            <w:tcW w:w="223" w:type="dxa"/>
            <w:shd w:val="clear" w:color="auto" w:fill="auto"/>
            <w:tcMar>
              <w:left w:w="0" w:type="dxa"/>
            </w:tcMar>
          </w:tcPr>
          <w:p w14:paraId="6967ED5A" w14:textId="77777777" w:rsidR="00EA1EBB" w:rsidRDefault="00EA1EBB" w:rsidP="00BA5125">
            <w:pPr>
              <w:pStyle w:val="Textpoznpodarou"/>
              <w:jc w:val="both"/>
              <w:rPr>
                <w:spacing w:val="-4"/>
              </w:rPr>
            </w:pPr>
          </w:p>
        </w:tc>
        <w:tc>
          <w:tcPr>
            <w:tcW w:w="7610" w:type="dxa"/>
            <w:shd w:val="clear" w:color="auto" w:fill="auto"/>
            <w:tcMar>
              <w:left w:w="0" w:type="dxa"/>
            </w:tcMar>
          </w:tcPr>
          <w:p w14:paraId="530985A3" w14:textId="78DD1834" w:rsidR="00EA1EBB" w:rsidRPr="00014ED0" w:rsidRDefault="00EA1EBB" w:rsidP="00582A12">
            <w:pPr>
              <w:rPr>
                <w:spacing w:val="-2"/>
              </w:rPr>
            </w:pPr>
            <w:r>
              <w:rPr>
                <w:spacing w:val="-2"/>
              </w:rPr>
              <w:t>Česká ekonomika se v roce 2023 potýkala s kombinací vlivu rostoucí zahraniční poptávky, domácí investiční aktivity a vládní spotřeby a pokračujícího propadu spotřeby domácností a negativního působení změny zásob. Výsledkem bylo kolísání ekonomiky v pásmu stagnace. Celkově hrubý domácí produkt (HDP) loni klesl o 0,4 %</w:t>
            </w:r>
            <w:r w:rsidRPr="00014ED0">
              <w:rPr>
                <w:rStyle w:val="Znakapoznpodarou"/>
                <w:rFonts w:cs="Arial"/>
                <w:spacing w:val="-2"/>
              </w:rPr>
              <w:footnoteReference w:id="4"/>
            </w:r>
            <w:r>
              <w:rPr>
                <w:spacing w:val="-2"/>
              </w:rPr>
              <w:t>. V</w:t>
            </w:r>
            <w:r w:rsidR="00582A12">
              <w:rPr>
                <w:spacing w:val="-2"/>
              </w:rPr>
              <w:t> </w:t>
            </w:r>
            <w:r>
              <w:rPr>
                <w:spacing w:val="-2"/>
              </w:rPr>
              <w:t>jednotlivých čtvrtletích se HDP meziročně snižoval (postupně −0,3 %, −0,2 %, −0,8 % a −0,2 %). V samotném závěru roku ve směru meziročního poklesu HDP působila změna zásob a její vliv zcela překonal pozitivní příspěvek spotřeby</w:t>
            </w:r>
            <w:r w:rsidRPr="00014ED0">
              <w:rPr>
                <w:rStyle w:val="Znakapoznpodarou"/>
                <w:spacing w:val="-2"/>
              </w:rPr>
              <w:footnoteReference w:id="5"/>
            </w:r>
            <w:r>
              <w:rPr>
                <w:spacing w:val="-2"/>
              </w:rPr>
              <w:t>, investic i zahraniční poptávky. Po dvou mezičtvrtletních poklesech HDP z druhé poloviny roku 2022 loni došlo k oživení (0,1 % a 0,2 % v 1. a 2. čtvrtletí 2023) a pak k dalšímu poklesu o 0,8 % ve 3.</w:t>
            </w:r>
            <w:r w:rsidR="00582A12">
              <w:rPr>
                <w:spacing w:val="-2"/>
              </w:rPr>
              <w:t> </w:t>
            </w:r>
            <w:r>
              <w:rPr>
                <w:spacing w:val="-2"/>
              </w:rPr>
              <w:t xml:space="preserve">čtvrtletí. Ve 4. kvartálu HDP opět mezičtvrtletně vzrostl (0,2 %) a přispíval k tomu vývoj spotřeby domácností, investice i zahraniční poptávka. Oživení HDP ale brzdila spotřeba vládních institucí a rovněž změna zásob. Hrubý domácí produkt ve stálých cenách loni zaostával meziročně ale také za úrovní </w:t>
            </w:r>
            <w:proofErr w:type="spellStart"/>
            <w:r>
              <w:rPr>
                <w:spacing w:val="-2"/>
              </w:rPr>
              <w:t>předpandemického</w:t>
            </w:r>
            <w:proofErr w:type="spellEnd"/>
            <w:r>
              <w:rPr>
                <w:spacing w:val="-2"/>
              </w:rPr>
              <w:t xml:space="preserve"> roku 2019, který byl v roce 2022 mírně překonán.     </w:t>
            </w:r>
          </w:p>
        </w:tc>
      </w:tr>
      <w:tr w:rsidR="00EA1EBB" w:rsidRPr="009110F7" w14:paraId="30F8CC2F" w14:textId="77777777" w:rsidTr="00BA5125">
        <w:trPr>
          <w:trHeight w:val="170"/>
        </w:trPr>
        <w:tc>
          <w:tcPr>
            <w:tcW w:w="1806" w:type="dxa"/>
            <w:vMerge w:val="restart"/>
            <w:shd w:val="clear" w:color="auto" w:fill="auto"/>
            <w:tcMar>
              <w:left w:w="0" w:type="dxa"/>
            </w:tcMar>
          </w:tcPr>
          <w:p w14:paraId="76F04A2F" w14:textId="77777777" w:rsidR="00EA1EBB" w:rsidRDefault="00EA1EBB" w:rsidP="00BA5125">
            <w:pPr>
              <w:pStyle w:val="Marginlie"/>
            </w:pPr>
          </w:p>
        </w:tc>
        <w:tc>
          <w:tcPr>
            <w:tcW w:w="223" w:type="dxa"/>
            <w:vMerge w:val="restart"/>
            <w:shd w:val="clear" w:color="auto" w:fill="auto"/>
            <w:tcMar>
              <w:left w:w="0" w:type="dxa"/>
            </w:tcMar>
          </w:tcPr>
          <w:p w14:paraId="7B5ADD17" w14:textId="77777777" w:rsidR="00EA1EBB" w:rsidRDefault="00EA1EBB" w:rsidP="00BA5125">
            <w:pPr>
              <w:pStyle w:val="Textpoznpodarou"/>
              <w:jc w:val="both"/>
              <w:rPr>
                <w:spacing w:val="-4"/>
              </w:rPr>
            </w:pPr>
          </w:p>
        </w:tc>
        <w:tc>
          <w:tcPr>
            <w:tcW w:w="7610" w:type="dxa"/>
            <w:shd w:val="clear" w:color="auto" w:fill="auto"/>
            <w:tcMar>
              <w:left w:w="0" w:type="dxa"/>
            </w:tcMar>
          </w:tcPr>
          <w:p w14:paraId="67E0AA79" w14:textId="77777777" w:rsidR="00EA1EBB" w:rsidRPr="00D721B4" w:rsidRDefault="00EA1EBB" w:rsidP="00BA5125">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EA1EBB" w:rsidRPr="009110F7" w14:paraId="67E5DD17" w14:textId="77777777" w:rsidTr="00BA5125">
        <w:tblPrEx>
          <w:tblCellMar>
            <w:left w:w="70" w:type="dxa"/>
            <w:right w:w="70" w:type="dxa"/>
          </w:tblCellMar>
        </w:tblPrEx>
        <w:trPr>
          <w:trHeight w:val="170"/>
        </w:trPr>
        <w:tc>
          <w:tcPr>
            <w:tcW w:w="1806" w:type="dxa"/>
            <w:vMerge/>
          </w:tcPr>
          <w:p w14:paraId="53BDF3F3" w14:textId="77777777" w:rsidR="00EA1EBB" w:rsidRPr="009110F7" w:rsidRDefault="00EA1EBB" w:rsidP="00BA5125">
            <w:pPr>
              <w:pStyle w:val="Marginlie"/>
            </w:pPr>
          </w:p>
        </w:tc>
        <w:tc>
          <w:tcPr>
            <w:tcW w:w="223" w:type="dxa"/>
            <w:vMerge/>
          </w:tcPr>
          <w:p w14:paraId="3944990E" w14:textId="77777777" w:rsidR="00EA1EBB" w:rsidRPr="009110F7" w:rsidRDefault="00EA1EBB" w:rsidP="00BA5125">
            <w:pPr>
              <w:pStyle w:val="Textpoznpodarou"/>
              <w:jc w:val="both"/>
              <w:rPr>
                <w:spacing w:val="-4"/>
              </w:rPr>
            </w:pPr>
          </w:p>
        </w:tc>
        <w:tc>
          <w:tcPr>
            <w:tcW w:w="7610" w:type="dxa"/>
            <w:shd w:val="clear" w:color="auto" w:fill="auto"/>
          </w:tcPr>
          <w:p w14:paraId="17B07785" w14:textId="77777777" w:rsidR="00EA1EBB" w:rsidRPr="009110F7" w:rsidRDefault="00EA1EBB" w:rsidP="00BA5125">
            <w:pPr>
              <w:spacing w:after="0"/>
            </w:pPr>
            <w:r>
              <w:rPr>
                <w:noProof/>
              </w:rPr>
              <w:drawing>
                <wp:inline distT="0" distB="0" distL="0" distR="0" wp14:anchorId="07E94D38" wp14:editId="1C440FD9">
                  <wp:extent cx="4737600" cy="3553200"/>
                  <wp:effectExtent l="0" t="0" r="6350" b="0"/>
                  <wp:docPr id="3" name="Graf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EA1EBB" w:rsidRPr="009110F7" w14:paraId="10397AC7" w14:textId="77777777" w:rsidTr="00BA5125">
        <w:trPr>
          <w:trHeight w:val="170"/>
        </w:trPr>
        <w:tc>
          <w:tcPr>
            <w:tcW w:w="1806" w:type="dxa"/>
            <w:vMerge/>
            <w:tcMar>
              <w:left w:w="0" w:type="dxa"/>
            </w:tcMar>
          </w:tcPr>
          <w:p w14:paraId="785FA8E6" w14:textId="77777777" w:rsidR="00EA1EBB" w:rsidRPr="009110F7" w:rsidRDefault="00EA1EBB" w:rsidP="00BA5125">
            <w:pPr>
              <w:pStyle w:val="Marginlie"/>
            </w:pPr>
          </w:p>
        </w:tc>
        <w:tc>
          <w:tcPr>
            <w:tcW w:w="223" w:type="dxa"/>
            <w:vMerge/>
            <w:tcMar>
              <w:left w:w="0" w:type="dxa"/>
            </w:tcMar>
          </w:tcPr>
          <w:p w14:paraId="08DF6ED4" w14:textId="77777777" w:rsidR="00EA1EBB" w:rsidRPr="009110F7" w:rsidRDefault="00EA1EBB" w:rsidP="00BA5125">
            <w:pPr>
              <w:pStyle w:val="Textpoznpodarou"/>
              <w:jc w:val="both"/>
              <w:rPr>
                <w:spacing w:val="-4"/>
              </w:rPr>
            </w:pPr>
          </w:p>
        </w:tc>
        <w:tc>
          <w:tcPr>
            <w:tcW w:w="7610" w:type="dxa"/>
            <w:shd w:val="clear" w:color="auto" w:fill="auto"/>
            <w:tcMar>
              <w:left w:w="0" w:type="dxa"/>
            </w:tcMar>
          </w:tcPr>
          <w:p w14:paraId="7EAB6473" w14:textId="77777777" w:rsidR="00EA1EBB" w:rsidRPr="009110F7" w:rsidRDefault="00EA1EBB" w:rsidP="00BA5125">
            <w:pPr>
              <w:spacing w:after="220"/>
              <w:rPr>
                <w:sz w:val="14"/>
                <w:szCs w:val="14"/>
              </w:rPr>
            </w:pPr>
            <w:r>
              <w:rPr>
                <w:sz w:val="14"/>
                <w:szCs w:val="14"/>
              </w:rPr>
              <w:t xml:space="preserve">Zdroj: ČSÚ, </w:t>
            </w:r>
            <w:proofErr w:type="spellStart"/>
            <w:r>
              <w:rPr>
                <w:sz w:val="14"/>
                <w:szCs w:val="14"/>
              </w:rPr>
              <w:t>Eurostat</w:t>
            </w:r>
            <w:proofErr w:type="spellEnd"/>
          </w:p>
        </w:tc>
      </w:tr>
      <w:tr w:rsidR="00EA1EBB" w:rsidRPr="009110F7" w14:paraId="3952C244" w14:textId="77777777" w:rsidTr="00BA5125">
        <w:trPr>
          <w:trHeight w:val="145"/>
        </w:trPr>
        <w:tc>
          <w:tcPr>
            <w:tcW w:w="1806" w:type="dxa"/>
            <w:shd w:val="clear" w:color="auto" w:fill="auto"/>
            <w:tcMar>
              <w:left w:w="0" w:type="dxa"/>
            </w:tcMar>
          </w:tcPr>
          <w:p w14:paraId="0827E675" w14:textId="77777777" w:rsidR="00EA1EBB" w:rsidRDefault="00EA1EBB" w:rsidP="00BA5125">
            <w:pPr>
              <w:pStyle w:val="Marginlie"/>
            </w:pPr>
            <w:r>
              <w:t>Středoevropský region ve 4. čtvrtletí ekonomicky stagnoval.</w:t>
            </w:r>
          </w:p>
        </w:tc>
        <w:tc>
          <w:tcPr>
            <w:tcW w:w="223" w:type="dxa"/>
            <w:shd w:val="clear" w:color="auto" w:fill="auto"/>
            <w:tcMar>
              <w:left w:w="0" w:type="dxa"/>
            </w:tcMar>
          </w:tcPr>
          <w:p w14:paraId="7DC0D8E3" w14:textId="77777777" w:rsidR="00EA1EBB" w:rsidRDefault="00EA1EBB" w:rsidP="00BA5125">
            <w:pPr>
              <w:pStyle w:val="Textpoznpodarou"/>
              <w:jc w:val="both"/>
              <w:rPr>
                <w:spacing w:val="-4"/>
              </w:rPr>
            </w:pPr>
          </w:p>
        </w:tc>
        <w:tc>
          <w:tcPr>
            <w:tcW w:w="7610" w:type="dxa"/>
            <w:shd w:val="clear" w:color="auto" w:fill="auto"/>
            <w:tcMar>
              <w:left w:w="0" w:type="dxa"/>
            </w:tcMar>
          </w:tcPr>
          <w:p w14:paraId="6A4D7A1E" w14:textId="77777777" w:rsidR="00EA1EBB" w:rsidRDefault="00EA1EBB" w:rsidP="00BA5125">
            <w:r>
              <w:t xml:space="preserve">Hrubý domácí produkt v EU ve 4. čtvrtletí meziročně vzrostl o 0,2 % a přírůstek tak mírně posílil. U jednotlivých zemí se meziroční dynamika HDP na konci roku pohybovala v poměrně širokém rozpětí. V devíti zemích ve 4. čtvrtletí HDP meziročně klesl, nejvíce v Irsku (−9,1 %), Estonsku (−2,5 %) a Finsku (−1,6 %), zaostávala ale také pro české exportéry důležitá německá ekonomika (−0,2 %). Naproti tomu nejsilnější meziroční přírůstek HDP byl ve 4. kvartálu zaznamenán v Chorvatsku (4,3 %), na Maltě (4,3 %) a v Dánsku (3,1 %). Mezičtvrtletní vývoj HDP v EU již více než rok kolísá těsně kolem stagnace a ve 4. čtvrtletí se HDP také reálně nezměnil oproti předcházejícímu kvartálu. U více než poloviny zemí EU HDP mezičtvrtletně vzrostl. Celkovou stagnaci HDP v EU ovlivnil jednak prudký pokles v Irsku (−3,4 %) a dále </w:t>
            </w:r>
            <w:r>
              <w:lastRenderedPageBreak/>
              <w:t xml:space="preserve">pokles Německa (−0,3 %) a slabý růst Francie (0,1 %). Velká skupina zemí na konci roku 2023 vykázala jen slabý ekonomický růst, mezi nimi i celý středoevropský region (stagnovalo Maďarsko, Rakousko, Polsko, slabě rostlo Česko a o 0,3 % vzrostl HDP na Slovensku). Nejvíce mezičtvrtletně vzrostl HDP v Dánsku (2,0 %), Chorvatsku (1,3 %) a ve Slovinsku (1,1 %). </w:t>
            </w:r>
          </w:p>
        </w:tc>
      </w:tr>
      <w:tr w:rsidR="00EA1EBB" w:rsidRPr="009110F7" w14:paraId="3EEBE7DD" w14:textId="77777777" w:rsidTr="00BA5125">
        <w:trPr>
          <w:trHeight w:val="145"/>
        </w:trPr>
        <w:tc>
          <w:tcPr>
            <w:tcW w:w="1806" w:type="dxa"/>
            <w:shd w:val="clear" w:color="auto" w:fill="auto"/>
            <w:tcMar>
              <w:left w:w="0" w:type="dxa"/>
            </w:tcMar>
          </w:tcPr>
          <w:p w14:paraId="36F37DB9" w14:textId="77777777" w:rsidR="00EA1EBB" w:rsidRDefault="00EA1EBB" w:rsidP="00BA5125">
            <w:pPr>
              <w:pStyle w:val="Marginlie"/>
            </w:pPr>
            <w:r>
              <w:lastRenderedPageBreak/>
              <w:t xml:space="preserve">Nominální růst mezd </w:t>
            </w:r>
            <w:r>
              <w:br/>
              <w:t>a platů zůstával vysoký.</w:t>
            </w:r>
          </w:p>
        </w:tc>
        <w:tc>
          <w:tcPr>
            <w:tcW w:w="223" w:type="dxa"/>
            <w:shd w:val="clear" w:color="auto" w:fill="auto"/>
            <w:tcMar>
              <w:left w:w="0" w:type="dxa"/>
            </w:tcMar>
          </w:tcPr>
          <w:p w14:paraId="362B05F0" w14:textId="77777777" w:rsidR="00EA1EBB" w:rsidRDefault="00EA1EBB" w:rsidP="00BA5125">
            <w:pPr>
              <w:pStyle w:val="Textpoznpodarou"/>
              <w:jc w:val="both"/>
              <w:rPr>
                <w:spacing w:val="-4"/>
              </w:rPr>
            </w:pPr>
          </w:p>
        </w:tc>
        <w:tc>
          <w:tcPr>
            <w:tcW w:w="7610" w:type="dxa"/>
            <w:shd w:val="clear" w:color="auto" w:fill="auto"/>
            <w:tcMar>
              <w:left w:w="0" w:type="dxa"/>
            </w:tcMar>
          </w:tcPr>
          <w:p w14:paraId="2B8F98F6" w14:textId="407D7A0E" w:rsidR="00EA1EBB" w:rsidRPr="00014ED0" w:rsidRDefault="00EA1EBB" w:rsidP="00BA5125">
            <w:r>
              <w:t>Celkový objem vyplacených mezd a platů loni nominálně vzrostl o 8,0 % při současném navýšení celkové zaměstnanosti</w:t>
            </w:r>
            <w:r w:rsidRPr="00014ED0">
              <w:rPr>
                <w:rStyle w:val="Znakapoznpodarou"/>
                <w:spacing w:val="-2"/>
              </w:rPr>
              <w:footnoteReference w:id="6"/>
            </w:r>
            <w:r>
              <w:t xml:space="preserve"> o 0,8 %. Vzhledem k pokračujícímu růstu cenové hladiny ale výdělky reálně klesly o 1,2 %</w:t>
            </w:r>
            <w:r>
              <w:rPr>
                <w:rStyle w:val="Znakapoznpodarou"/>
                <w:spacing w:val="-2"/>
              </w:rPr>
              <w:footnoteReference w:id="7"/>
            </w:r>
            <w:r>
              <w:t>. Objem mezd a platů loni nejvíce rostl v činnostech v oblasti nemovitostí (15,6 %), v ostatních činnostech</w:t>
            </w:r>
            <w:r>
              <w:rPr>
                <w:rStyle w:val="Znakapoznpodarou"/>
                <w:spacing w:val="-2"/>
              </w:rPr>
              <w:footnoteReference w:id="8"/>
            </w:r>
            <w:r w:rsidR="00582A12">
              <w:t xml:space="preserve"> (10,3 %) </w:t>
            </w:r>
            <w:r>
              <w:t>a v profesních, vědeckých, technických a administrativních činnostech (9,9 %). Naopak výrazně podprůměrné bylo navýšení mezd a platů v zemědělství, lesnictví a rybářství (4,8 %), v peněžnictví a pojišťovnictví (6,2 %) a ve zpracovatelském průmyslu (6,9 %). Mzdová dynamika v průběhu roku zpomalovala a meziroční růst objemu mezd a platů ve 4. čtvrtletí dosáhl 6,6 % za současného přírůstku celkové zaměstnanosti o 0,4 %. Cenový růst loni oslaboval rychleji než nominální navýšení mezd a platů, takže ve 4. čtvrtletí mírně posílil reálný meziroční přírůstek objemu mezd a platů na 0,5 %. Mzdy a platy nejvíce meziročně rostly v odvětví ostatních činností (12,9 % při růstu zaměstnanosti o 2,9 %), těsně následované činnostmi v oblasti nemovitostí (12,5 % při růstu zaměstnanosti o 0,8 %). Nadprůměrný byl přírůstek objemu mezd a platů v profesních, vědeckých, technických a administrativních činnostech (8,6 %, zaměstnanost o 2,5 %) a v informačních a komunikačních činnostech (7,5 %, zaměstnanost o 1,0 %). Výrazně pomaleji než ve zbytku ekonomiky rostly mzdy a platy ve zpracovatelském průmyslu (5,1 %), kde zároveň meziročně klesla zaměstnanost o 1,3 %, a v peněžnictví a pojišťovnictví (5,0 % při poklesu zaměstnanosti o 1,2 %).</w:t>
            </w:r>
          </w:p>
        </w:tc>
      </w:tr>
      <w:tr w:rsidR="00EA1EBB" w:rsidRPr="009110F7" w14:paraId="5BC159AD" w14:textId="77777777" w:rsidTr="00BA5125">
        <w:trPr>
          <w:trHeight w:val="145"/>
        </w:trPr>
        <w:tc>
          <w:tcPr>
            <w:tcW w:w="1806" w:type="dxa"/>
            <w:shd w:val="clear" w:color="auto" w:fill="auto"/>
            <w:tcMar>
              <w:left w:w="0" w:type="dxa"/>
            </w:tcMar>
          </w:tcPr>
          <w:p w14:paraId="7B2AE299" w14:textId="77777777" w:rsidR="00EA1EBB" w:rsidRDefault="00EA1EBB" w:rsidP="00BA5125">
            <w:pPr>
              <w:pStyle w:val="Marginlie"/>
            </w:pPr>
            <w:r>
              <w:t xml:space="preserve">Na konci roku 2023 posílil mezičtvrtletní růst mezd </w:t>
            </w:r>
            <w:r>
              <w:br/>
              <w:t>a platů.</w:t>
            </w:r>
          </w:p>
        </w:tc>
        <w:tc>
          <w:tcPr>
            <w:tcW w:w="223" w:type="dxa"/>
            <w:shd w:val="clear" w:color="auto" w:fill="auto"/>
            <w:tcMar>
              <w:left w:w="0" w:type="dxa"/>
            </w:tcMar>
          </w:tcPr>
          <w:p w14:paraId="3743F534" w14:textId="77777777" w:rsidR="00EA1EBB" w:rsidRDefault="00EA1EBB" w:rsidP="00BA5125">
            <w:pPr>
              <w:pStyle w:val="Textpoznpodarou"/>
              <w:jc w:val="both"/>
              <w:rPr>
                <w:spacing w:val="-4"/>
              </w:rPr>
            </w:pPr>
          </w:p>
        </w:tc>
        <w:tc>
          <w:tcPr>
            <w:tcW w:w="7610" w:type="dxa"/>
            <w:shd w:val="clear" w:color="auto" w:fill="auto"/>
            <w:tcMar>
              <w:left w:w="0" w:type="dxa"/>
            </w:tcMar>
          </w:tcPr>
          <w:p w14:paraId="45229BD7" w14:textId="77777777" w:rsidR="00EA1EBB" w:rsidRDefault="00EA1EBB" w:rsidP="00BA5125">
            <w:r>
              <w:t>Mezičtvrtletní růst mezd a platů ve 4. čtvrtletí posílil na 1,7 %, zatímco celková zaměstnanost v zásadě stagnovala (−0,1 %). Mzdy a platy rostly reálně o 0,7 %. Oživení mzdové dynamiky se týkalo celé ekonomiky. Nejvíce mezičtvrtletně stoupl objem mezd a platů v ostatních činnostech (6,2 %), kde také silně vzrostla zaměstnanost (2,4 %). Silně rostly mzdy a platy také v uskupení obchod, doprava, ubytování a pohostinství (3,1 %, zaměstnanost klesla o 1,1 %), v peněžnictví a pojišťovnictví (2,4 %, zaměstnanost −1,1 %) a ve stavebnictví (2,0 %, zaměstnanost −1,0 %). Naopak mezičtvrtletní přírůstek mezd a platů oslabil na 0,5 % ve veřejné správě a obraně, vzdělávání, zdravotní a sociální péči při současném růstu zaměstnanosti o 1,0 %. Pod průměrem celé ekonomiky byla mzdová dynamika také ve zpracovatelském průmyslu (1,2 %, zaměstnanost −0,3 %).</w:t>
            </w:r>
          </w:p>
        </w:tc>
      </w:tr>
      <w:tr w:rsidR="00EA1EBB" w:rsidRPr="009110F7" w14:paraId="1B84378E" w14:textId="77777777" w:rsidTr="00BA5125">
        <w:trPr>
          <w:trHeight w:val="145"/>
        </w:trPr>
        <w:tc>
          <w:tcPr>
            <w:tcW w:w="1806" w:type="dxa"/>
            <w:shd w:val="clear" w:color="auto" w:fill="auto"/>
            <w:tcMar>
              <w:left w:w="0" w:type="dxa"/>
            </w:tcMar>
          </w:tcPr>
          <w:p w14:paraId="239A2222" w14:textId="77777777" w:rsidR="00EA1EBB" w:rsidRDefault="00EA1EBB" w:rsidP="00BA5125">
            <w:pPr>
              <w:pStyle w:val="Marginlie"/>
            </w:pPr>
            <w:r>
              <w:t>Spotřeba domácností se loni silně propadla.</w:t>
            </w:r>
          </w:p>
        </w:tc>
        <w:tc>
          <w:tcPr>
            <w:tcW w:w="223" w:type="dxa"/>
            <w:shd w:val="clear" w:color="auto" w:fill="auto"/>
            <w:tcMar>
              <w:left w:w="0" w:type="dxa"/>
            </w:tcMar>
          </w:tcPr>
          <w:p w14:paraId="6B1C357C" w14:textId="77777777" w:rsidR="00EA1EBB" w:rsidRDefault="00EA1EBB" w:rsidP="00BA5125">
            <w:pPr>
              <w:pStyle w:val="Textpoznpodarou"/>
              <w:jc w:val="both"/>
              <w:rPr>
                <w:spacing w:val="-4"/>
              </w:rPr>
            </w:pPr>
          </w:p>
        </w:tc>
        <w:tc>
          <w:tcPr>
            <w:tcW w:w="7610" w:type="dxa"/>
            <w:shd w:val="clear" w:color="auto" w:fill="auto"/>
            <w:tcMar>
              <w:left w:w="0" w:type="dxa"/>
            </w:tcMar>
          </w:tcPr>
          <w:p w14:paraId="343CCCA9" w14:textId="77777777" w:rsidR="00EA1EBB" w:rsidRDefault="00EA1EBB" w:rsidP="00BA5125">
            <w:pPr>
              <w:rPr>
                <w:spacing w:val="-2"/>
              </w:rPr>
            </w:pPr>
            <w:r>
              <w:rPr>
                <w:spacing w:val="-2"/>
              </w:rPr>
              <w:t>Domácí spotřeba loni celkově klesla o 1,2 %. Stál za tím výhradně vývoj spotřeby domácností, která byla nižší o 3,1 %. S výjimkou pandemického roku 2020 to byl nejhlubší zaznamenaný pokles spotřeby domácností v historii samostatné ČR. Spotřeba vládních institucí naopak loni vzrostla o 3,0 %. Z hlediska členění spotřeby domácností podle trvanlivosti</w:t>
            </w:r>
            <w:r>
              <w:rPr>
                <w:rStyle w:val="Znakapoznpodarou"/>
              </w:rPr>
              <w:footnoteReference w:id="9"/>
            </w:r>
            <w:r>
              <w:rPr>
                <w:spacing w:val="-2"/>
              </w:rPr>
              <w:t xml:space="preserve"> loni klesaly všechny její typy. Nejvíce se propadla spotřeba střednědobých (−6,3 %) a dlouhodobých (−4,4 %) statků. Domácnosti výrazně redukovaly výdaje také u krátkodobé spotřeby (−4,1 %). Ta během posledních čtyř let třikrát reálně klesla a spadla tak pod úroveň roku 2015. Spotřeba služeb loni klesla o 0,4 %. Ve 4. čtvrtletí spotřeba celkově meziročně vzrostla o 0,3 %, poprvé od 2. čtvrtletí 2022. Meziroční pokles spotřeby domácností se zmírnil na −0,5 % a vládní spotřeba meziročně vzrostla o 1,9 %. Na dva mezičtvrtletní nárůsty </w:t>
            </w:r>
            <w:proofErr w:type="gramStart"/>
            <w:r>
              <w:rPr>
                <w:spacing w:val="-2"/>
              </w:rPr>
              <w:t>ze</w:t>
            </w:r>
            <w:proofErr w:type="gramEnd"/>
            <w:r>
              <w:rPr>
                <w:spacing w:val="-2"/>
              </w:rPr>
              <w:t xml:space="preserve"> 2. a 3. čtvrtletí navázala </w:t>
            </w:r>
            <w:r>
              <w:rPr>
                <w:spacing w:val="-2"/>
              </w:rPr>
              <w:lastRenderedPageBreak/>
              <w:t xml:space="preserve">spotřeba ve 4. kvartálu stagnací. Spotřeba domácností byla mezičtvrtletně vyšší o 0,5 %, zatímco vládní spotřeba klesla o 1,3 %. V samotném 4. čtvrtletí meziročně vzrostla dlouhodobá (2,0 %, poprvé od 1. čtvrtletí 2022) i krátkodobá (0,9 %, poprvé od konce roku 2021) spotřeba a stagnovala spotřeba služeb. Meziroční propad střednědobé spotřeby ale pokračoval (−4,8 %). Mezičtvrtletně vyšší byla spotřeba dlouhodobých (2,7 %) i střednědobých (3,2 %) statků i služeb (2,1 %). U netrvanlivého zboží ale spotřeba domácností ve 4. kvartálu mezičtvrtletně klesla o 1,8 %.  </w:t>
            </w:r>
          </w:p>
        </w:tc>
      </w:tr>
      <w:tr w:rsidR="00EA1EBB" w:rsidRPr="009110F7" w14:paraId="1A04B19A" w14:textId="77777777" w:rsidTr="00BA5125">
        <w:trPr>
          <w:trHeight w:val="154"/>
        </w:trPr>
        <w:tc>
          <w:tcPr>
            <w:tcW w:w="1806" w:type="dxa"/>
            <w:vMerge w:val="restart"/>
            <w:shd w:val="clear" w:color="auto" w:fill="auto"/>
            <w:tcMar>
              <w:left w:w="0" w:type="dxa"/>
            </w:tcMar>
          </w:tcPr>
          <w:p w14:paraId="3A53F2FE" w14:textId="77777777" w:rsidR="00EA1EBB" w:rsidRDefault="00EA1EBB" w:rsidP="00BA5125">
            <w:pPr>
              <w:pStyle w:val="Marginlie"/>
            </w:pPr>
          </w:p>
        </w:tc>
        <w:tc>
          <w:tcPr>
            <w:tcW w:w="223" w:type="dxa"/>
            <w:vMerge w:val="restart"/>
            <w:shd w:val="clear" w:color="auto" w:fill="auto"/>
            <w:tcMar>
              <w:left w:w="0" w:type="dxa"/>
            </w:tcMar>
          </w:tcPr>
          <w:p w14:paraId="419DBAC9" w14:textId="77777777" w:rsidR="00EA1EBB" w:rsidRDefault="00EA1EBB" w:rsidP="00BA5125">
            <w:pPr>
              <w:pStyle w:val="Textpoznpodarou"/>
              <w:jc w:val="both"/>
              <w:rPr>
                <w:spacing w:val="-4"/>
              </w:rPr>
            </w:pPr>
          </w:p>
        </w:tc>
        <w:tc>
          <w:tcPr>
            <w:tcW w:w="7610" w:type="dxa"/>
            <w:shd w:val="clear" w:color="auto" w:fill="auto"/>
            <w:tcMar>
              <w:left w:w="0" w:type="dxa"/>
            </w:tcMar>
          </w:tcPr>
          <w:p w14:paraId="5B1399EB" w14:textId="77777777" w:rsidR="00EA1EBB" w:rsidRDefault="00EA1EBB" w:rsidP="00BA5125">
            <w:pPr>
              <w:spacing w:after="0"/>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EA1EBB" w:rsidRPr="009110F7" w14:paraId="1E3F9AE0" w14:textId="77777777" w:rsidTr="00BA5125">
        <w:tblPrEx>
          <w:tblCellMar>
            <w:left w:w="70" w:type="dxa"/>
            <w:right w:w="70" w:type="dxa"/>
          </w:tblCellMar>
        </w:tblPrEx>
        <w:trPr>
          <w:trHeight w:val="154"/>
        </w:trPr>
        <w:tc>
          <w:tcPr>
            <w:tcW w:w="1806" w:type="dxa"/>
            <w:vMerge/>
          </w:tcPr>
          <w:p w14:paraId="411E23A2" w14:textId="77777777" w:rsidR="00EA1EBB" w:rsidRDefault="00EA1EBB" w:rsidP="00BA5125">
            <w:pPr>
              <w:pStyle w:val="Marginlie"/>
            </w:pPr>
          </w:p>
        </w:tc>
        <w:tc>
          <w:tcPr>
            <w:tcW w:w="223" w:type="dxa"/>
            <w:vMerge/>
          </w:tcPr>
          <w:p w14:paraId="3C49CAA7" w14:textId="77777777" w:rsidR="00EA1EBB" w:rsidRDefault="00EA1EBB" w:rsidP="00BA5125">
            <w:pPr>
              <w:pStyle w:val="Textpoznpodarou"/>
              <w:jc w:val="both"/>
              <w:rPr>
                <w:spacing w:val="-4"/>
              </w:rPr>
            </w:pPr>
          </w:p>
        </w:tc>
        <w:tc>
          <w:tcPr>
            <w:tcW w:w="7610" w:type="dxa"/>
            <w:shd w:val="clear" w:color="auto" w:fill="auto"/>
          </w:tcPr>
          <w:p w14:paraId="75F04979" w14:textId="77777777" w:rsidR="00EA1EBB" w:rsidRDefault="00EA1EBB" w:rsidP="00BA5125">
            <w:pPr>
              <w:spacing w:after="0"/>
            </w:pPr>
            <w:r>
              <w:rPr>
                <w:noProof/>
              </w:rPr>
              <w:drawing>
                <wp:inline distT="0" distB="0" distL="0" distR="0" wp14:anchorId="7A20BBA4" wp14:editId="54CB6B2D">
                  <wp:extent cx="4737600" cy="3553200"/>
                  <wp:effectExtent l="0" t="0" r="6350" b="0"/>
                  <wp:docPr id="21" name="Graf 2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EA1EBB" w:rsidRPr="009110F7" w14:paraId="490AAC8B" w14:textId="77777777" w:rsidTr="00BA5125">
        <w:trPr>
          <w:trHeight w:val="154"/>
        </w:trPr>
        <w:tc>
          <w:tcPr>
            <w:tcW w:w="1806" w:type="dxa"/>
            <w:vMerge/>
            <w:tcMar>
              <w:left w:w="0" w:type="dxa"/>
            </w:tcMar>
          </w:tcPr>
          <w:p w14:paraId="092536DB" w14:textId="77777777" w:rsidR="00EA1EBB" w:rsidRDefault="00EA1EBB" w:rsidP="00BA5125">
            <w:pPr>
              <w:pStyle w:val="Marginlie"/>
            </w:pPr>
          </w:p>
        </w:tc>
        <w:tc>
          <w:tcPr>
            <w:tcW w:w="223" w:type="dxa"/>
            <w:vMerge/>
            <w:tcMar>
              <w:left w:w="0" w:type="dxa"/>
            </w:tcMar>
          </w:tcPr>
          <w:p w14:paraId="73B61ADD" w14:textId="77777777" w:rsidR="00EA1EBB" w:rsidRDefault="00EA1EBB" w:rsidP="00BA5125">
            <w:pPr>
              <w:pStyle w:val="Textpoznpodarou"/>
              <w:jc w:val="both"/>
              <w:rPr>
                <w:spacing w:val="-4"/>
              </w:rPr>
            </w:pPr>
          </w:p>
        </w:tc>
        <w:tc>
          <w:tcPr>
            <w:tcW w:w="7610" w:type="dxa"/>
            <w:shd w:val="clear" w:color="auto" w:fill="auto"/>
            <w:tcMar>
              <w:left w:w="0" w:type="dxa"/>
            </w:tcMar>
          </w:tcPr>
          <w:p w14:paraId="2C31900A" w14:textId="77777777" w:rsidR="00EA1EBB" w:rsidRDefault="00EA1EBB" w:rsidP="00BA5125">
            <w:pPr>
              <w:spacing w:after="0"/>
              <w:rPr>
                <w:sz w:val="14"/>
                <w:szCs w:val="14"/>
              </w:rPr>
            </w:pPr>
            <w:r>
              <w:rPr>
                <w:sz w:val="14"/>
                <w:szCs w:val="14"/>
              </w:rPr>
              <w:t>Zdroj: ČSÚ</w:t>
            </w:r>
          </w:p>
          <w:p w14:paraId="046F9DF0" w14:textId="77777777" w:rsidR="00EA1EBB" w:rsidRDefault="00EA1EBB" w:rsidP="00BA5125">
            <w:r>
              <w:rPr>
                <w:sz w:val="14"/>
                <w:szCs w:val="14"/>
              </w:rPr>
              <w:t>* po vyloučení dovozu pro konečné užití</w:t>
            </w:r>
          </w:p>
        </w:tc>
      </w:tr>
      <w:tr w:rsidR="00EA1EBB" w:rsidRPr="009110F7" w14:paraId="54EA766E" w14:textId="77777777" w:rsidTr="00BA5125">
        <w:trPr>
          <w:trHeight w:val="145"/>
        </w:trPr>
        <w:tc>
          <w:tcPr>
            <w:tcW w:w="1806" w:type="dxa"/>
            <w:shd w:val="clear" w:color="auto" w:fill="auto"/>
            <w:tcMar>
              <w:left w:w="0" w:type="dxa"/>
            </w:tcMar>
          </w:tcPr>
          <w:p w14:paraId="398A3EB7" w14:textId="77777777" w:rsidR="00EA1EBB" w:rsidRDefault="00EA1EBB" w:rsidP="00BA5125">
            <w:pPr>
              <w:pStyle w:val="Marginlie"/>
            </w:pPr>
            <w:r>
              <w:t>Investiční aktivita loni rostla, ale ve směru poklesu HDP silně působila změna zásob.</w:t>
            </w:r>
          </w:p>
        </w:tc>
        <w:tc>
          <w:tcPr>
            <w:tcW w:w="223" w:type="dxa"/>
            <w:shd w:val="clear" w:color="auto" w:fill="auto"/>
            <w:tcMar>
              <w:left w:w="0" w:type="dxa"/>
            </w:tcMar>
          </w:tcPr>
          <w:p w14:paraId="0794D3BE" w14:textId="77777777" w:rsidR="00EA1EBB" w:rsidRDefault="00EA1EBB" w:rsidP="00BA5125">
            <w:pPr>
              <w:pStyle w:val="Textpoznpodarou"/>
              <w:jc w:val="both"/>
              <w:rPr>
                <w:spacing w:val="-4"/>
              </w:rPr>
            </w:pPr>
          </w:p>
        </w:tc>
        <w:tc>
          <w:tcPr>
            <w:tcW w:w="7610" w:type="dxa"/>
            <w:shd w:val="clear" w:color="auto" w:fill="auto"/>
            <w:tcMar>
              <w:left w:w="0" w:type="dxa"/>
            </w:tcMar>
          </w:tcPr>
          <w:p w14:paraId="738BCAA8" w14:textId="77777777" w:rsidR="00EA1EBB" w:rsidRDefault="00EA1EBB" w:rsidP="00BA5125">
            <w:r>
              <w:t>Výdaje na tvorbu hrubého kapitálu loni reálně klesly o 7,0 %. Samotná tvorba hrubého fixního kapitálu (investice) ale navázala na příznivý vývoj v roce 2022 a loni vzrostla o 3,3 %. Celkový pokles tak šel na vrub změně zásob</w:t>
            </w:r>
            <w:r>
              <w:rPr>
                <w:rStyle w:val="Znakapoznpodarou"/>
              </w:rPr>
              <w:footnoteReference w:id="10"/>
            </w:r>
            <w:r>
              <w:t xml:space="preserve">, která v posledních letech značně ovlivňuje dynamiku ekonomického vývoje. Loni činil její příspěvek ve směru poklesu HDP −3,1 p. b. K loňskému nárůstu výdajů na tvorbu hrubého fixního kapitálu přispělo výrazné navýšení investic do dopravních prostředků a zařízení (15,7 %) a do ICT a ostatních strojů a zařízení (15,5 %). S nepříznivým vývojem ve stavebnictví korespondovala situace v oblasti investic do staveb. Třetí rok v řadě klesly investice do obydlí (−6,7 %) a na silný přírůstek z roku 2022 nenavázaly investice do ostatních budov a staveb (−1,5 %). Nižší byly loni také výdaje na produkty duševního vlastnictví (−3,5 %). V samotném 4. čtvrtletí vlivem rozpouštění zásob výdaje na tvorbu hrubého kapitálu meziročně klesly o 14,9 %. Investice ale dál solidně rostly (4,7 %). Podobná byla situace z hlediska mezičtvrtletní dynamiky. Výdaje na tvorbu hrubého kapitálu klesly o 10,5 %, ale u investiční aktivity došlo k oživení o 1,1 %. Stejnou strukturu jako za celý rok měl růst investic v samotném 4. čtvrtletí. Velmi silně meziročně rostly investice do dopravních prostředků a zařízení (20,3 %) a do ICT a ostatních strojů a zařízení (17,0 %). Posedmé v řadě klesly výdaje na obydlí (−2,3 %) a nižší byly také investice do ostatních budov a staveb (−1,6 %). Investice do produktů duševního </w:t>
            </w:r>
            <w:r>
              <w:lastRenderedPageBreak/>
              <w:t>vlastnictví meziročně klesly o 4,0 %. Poněkud příznivěji vypadalo na konci roku 2023 mezičtvrtletní srovnání investiční aktivity. Vyšší byly investice do obydlí (2,9 %) i ostatních budov a staveb (3,5 %) a zvýšily se také výdaje na produkty duševního vlastnictví (3,2 %). Ve 4. kvartálu mezičtvrtletně klesly investice do dopravních prostředků a zařízení (−1,6 %) a do ICT a ostatních strojů a zařízení (−2,2 %).</w:t>
            </w:r>
          </w:p>
        </w:tc>
      </w:tr>
      <w:tr w:rsidR="00EA1EBB" w:rsidRPr="009110F7" w14:paraId="66FDEB8B" w14:textId="77777777" w:rsidTr="00BA5125">
        <w:trPr>
          <w:trHeight w:val="145"/>
        </w:trPr>
        <w:tc>
          <w:tcPr>
            <w:tcW w:w="1806" w:type="dxa"/>
            <w:shd w:val="clear" w:color="auto" w:fill="auto"/>
            <w:tcMar>
              <w:left w:w="0" w:type="dxa"/>
            </w:tcMar>
          </w:tcPr>
          <w:p w14:paraId="41CE4D47" w14:textId="77777777" w:rsidR="00EA1EBB" w:rsidRDefault="00EA1EBB" w:rsidP="00BA5125">
            <w:pPr>
              <w:pStyle w:val="Marginlie"/>
            </w:pPr>
            <w:r>
              <w:lastRenderedPageBreak/>
              <w:t xml:space="preserve">Bilance zahraničního obchodu se zbožím </w:t>
            </w:r>
            <w:r>
              <w:br/>
              <w:t>a službami loni dosáhla přebytku.</w:t>
            </w:r>
          </w:p>
        </w:tc>
        <w:tc>
          <w:tcPr>
            <w:tcW w:w="223" w:type="dxa"/>
            <w:shd w:val="clear" w:color="auto" w:fill="auto"/>
            <w:tcMar>
              <w:left w:w="0" w:type="dxa"/>
            </w:tcMar>
          </w:tcPr>
          <w:p w14:paraId="2277652D" w14:textId="77777777" w:rsidR="00EA1EBB" w:rsidRDefault="00EA1EBB" w:rsidP="00BA5125">
            <w:pPr>
              <w:pStyle w:val="Textpoznpodarou"/>
              <w:jc w:val="both"/>
              <w:rPr>
                <w:spacing w:val="-4"/>
              </w:rPr>
            </w:pPr>
          </w:p>
        </w:tc>
        <w:tc>
          <w:tcPr>
            <w:tcW w:w="7610" w:type="dxa"/>
            <w:shd w:val="clear" w:color="auto" w:fill="auto"/>
            <w:tcMar>
              <w:left w:w="0" w:type="dxa"/>
            </w:tcMar>
          </w:tcPr>
          <w:p w14:paraId="597134A8" w14:textId="77777777" w:rsidR="00EA1EBB" w:rsidRDefault="00EA1EBB" w:rsidP="00BA5125">
            <w:r>
              <w:t>Příznivý vliv zahraniční poptávky na růst HDP v roce 2023 plynul z protichůdného vývoje vývozu a dovozu. Zatímco export zboží a služeb</w:t>
            </w:r>
            <w:r w:rsidRPr="009110F7">
              <w:rPr>
                <w:rStyle w:val="Znakapoznpodarou"/>
              </w:rPr>
              <w:footnoteReference w:id="11"/>
            </w:r>
            <w:r>
              <w:t xml:space="preserve"> loni reálně vzrostl o 3,1 %, import klesl o 0,4 %. Ve 4. čtvrtletí se vývoz zboží a služeb meziročně navýšil o 1,0 % a dovoz se naopak propadl o výrazných 4,7 %. Vývoz zboží rostl poměrně mírně (0,4 %), u služeb byl přírůstek silnější (4,7 %). Po dvou předchozích poklesech se vývoz ve 4. čtvrtletí mezičtvrtletně zvýšil o 2,2 %. Z toho export zboží vzrostl o 1,6 % a služeb o 5,1 %. Mezičtvrtletní pokles dovozu (−2,4 %) pokračoval čtvrtý kvartál v řadě. Bilance zahraničního obchodu se zbožím a službami loni dosáhla přebytku 378,0 mld. korun, což byl meziročně o 312,4 mld. lepší výsledek. Výrazně se zlepšila bilance obchodu se zbožím (o 308,6 mld. korun), mírně vyšší byl i přebytek zahraničního obchodu se službami (+3,7 mld.). Ve 4. čtvrtletí bilance zahraničního obchodu dosáhla přebytku 128,0 mld. korun a meziročně se zlepšila o 106,4 mld. Prudce meziročně rostlo kladné saldo obchodu se zbožím (+90,7 mld. korun) </w:t>
            </w:r>
            <w:r>
              <w:br/>
              <w:t xml:space="preserve">i službami (+15,7 mld.).       </w:t>
            </w:r>
          </w:p>
        </w:tc>
      </w:tr>
      <w:tr w:rsidR="00EA1EBB" w:rsidRPr="009110F7" w14:paraId="4E285A14" w14:textId="77777777" w:rsidTr="00BA5125">
        <w:trPr>
          <w:trHeight w:val="170"/>
        </w:trPr>
        <w:tc>
          <w:tcPr>
            <w:tcW w:w="1806" w:type="dxa"/>
            <w:vMerge w:val="restart"/>
            <w:shd w:val="clear" w:color="auto" w:fill="auto"/>
            <w:tcMar>
              <w:left w:w="0" w:type="dxa"/>
            </w:tcMar>
          </w:tcPr>
          <w:p w14:paraId="36421D85" w14:textId="77777777" w:rsidR="00EA1EBB" w:rsidRDefault="00EA1EBB" w:rsidP="00BA5125">
            <w:pPr>
              <w:pStyle w:val="Marginlie"/>
            </w:pPr>
          </w:p>
        </w:tc>
        <w:tc>
          <w:tcPr>
            <w:tcW w:w="223" w:type="dxa"/>
            <w:vMerge w:val="restart"/>
            <w:shd w:val="clear" w:color="auto" w:fill="auto"/>
            <w:tcMar>
              <w:left w:w="0" w:type="dxa"/>
            </w:tcMar>
          </w:tcPr>
          <w:p w14:paraId="217351FB" w14:textId="77777777" w:rsidR="00EA1EBB" w:rsidRDefault="00EA1EBB" w:rsidP="00BA5125">
            <w:pPr>
              <w:pStyle w:val="Textpoznpodarou"/>
              <w:jc w:val="both"/>
              <w:rPr>
                <w:spacing w:val="-4"/>
              </w:rPr>
            </w:pPr>
          </w:p>
        </w:tc>
        <w:tc>
          <w:tcPr>
            <w:tcW w:w="7610" w:type="dxa"/>
            <w:shd w:val="clear" w:color="auto" w:fill="auto"/>
            <w:tcMar>
              <w:left w:w="0" w:type="dxa"/>
            </w:tcMar>
          </w:tcPr>
          <w:p w14:paraId="601CDBC7" w14:textId="77777777" w:rsidR="00EA1EBB" w:rsidRDefault="00EA1EBB" w:rsidP="00BA5125">
            <w:pPr>
              <w:spacing w:after="0"/>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EA1EBB" w:rsidRPr="009110F7" w14:paraId="75B87697" w14:textId="77777777" w:rsidTr="00BA5125">
        <w:tblPrEx>
          <w:tblCellMar>
            <w:left w:w="70" w:type="dxa"/>
            <w:right w:w="70" w:type="dxa"/>
          </w:tblCellMar>
        </w:tblPrEx>
        <w:trPr>
          <w:trHeight w:val="170"/>
        </w:trPr>
        <w:tc>
          <w:tcPr>
            <w:tcW w:w="1806" w:type="dxa"/>
            <w:vMerge/>
          </w:tcPr>
          <w:p w14:paraId="7D14839C" w14:textId="77777777" w:rsidR="00EA1EBB" w:rsidRDefault="00EA1EBB" w:rsidP="00BA5125">
            <w:pPr>
              <w:pStyle w:val="Marginlie"/>
            </w:pPr>
          </w:p>
        </w:tc>
        <w:tc>
          <w:tcPr>
            <w:tcW w:w="223" w:type="dxa"/>
            <w:vMerge/>
          </w:tcPr>
          <w:p w14:paraId="1709E96A" w14:textId="77777777" w:rsidR="00EA1EBB" w:rsidRDefault="00EA1EBB" w:rsidP="00BA5125">
            <w:pPr>
              <w:pStyle w:val="Textpoznpodarou"/>
              <w:jc w:val="both"/>
              <w:rPr>
                <w:spacing w:val="-4"/>
              </w:rPr>
            </w:pPr>
          </w:p>
        </w:tc>
        <w:tc>
          <w:tcPr>
            <w:tcW w:w="7610" w:type="dxa"/>
            <w:shd w:val="clear" w:color="auto" w:fill="auto"/>
          </w:tcPr>
          <w:p w14:paraId="724C5727" w14:textId="77777777" w:rsidR="00EA1EBB" w:rsidRDefault="00EA1EBB" w:rsidP="00BA5125">
            <w:pPr>
              <w:spacing w:after="0"/>
            </w:pPr>
            <w:r>
              <w:rPr>
                <w:noProof/>
              </w:rPr>
              <w:drawing>
                <wp:inline distT="0" distB="0" distL="0" distR="0" wp14:anchorId="1ADB8D11" wp14:editId="73BF9858">
                  <wp:extent cx="4737600" cy="3486525"/>
                  <wp:effectExtent l="0" t="0" r="6350" b="0"/>
                  <wp:docPr id="23" name="Graf 2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EA1EBB" w:rsidRPr="009110F7" w14:paraId="0798EF6C" w14:textId="77777777" w:rsidTr="00BA5125">
        <w:trPr>
          <w:trHeight w:val="170"/>
        </w:trPr>
        <w:tc>
          <w:tcPr>
            <w:tcW w:w="1806" w:type="dxa"/>
            <w:vMerge/>
            <w:tcMar>
              <w:left w:w="0" w:type="dxa"/>
            </w:tcMar>
          </w:tcPr>
          <w:p w14:paraId="40AA6FC6" w14:textId="77777777" w:rsidR="00EA1EBB" w:rsidRDefault="00EA1EBB" w:rsidP="00BA5125">
            <w:pPr>
              <w:pStyle w:val="Marginlie"/>
            </w:pPr>
          </w:p>
        </w:tc>
        <w:tc>
          <w:tcPr>
            <w:tcW w:w="223" w:type="dxa"/>
            <w:vMerge/>
            <w:tcMar>
              <w:left w:w="0" w:type="dxa"/>
            </w:tcMar>
          </w:tcPr>
          <w:p w14:paraId="658ECE94" w14:textId="77777777" w:rsidR="00EA1EBB" w:rsidRDefault="00EA1EBB" w:rsidP="00BA5125">
            <w:pPr>
              <w:pStyle w:val="Textpoznpodarou"/>
              <w:jc w:val="both"/>
              <w:rPr>
                <w:spacing w:val="-4"/>
              </w:rPr>
            </w:pPr>
          </w:p>
        </w:tc>
        <w:tc>
          <w:tcPr>
            <w:tcW w:w="7610" w:type="dxa"/>
            <w:shd w:val="clear" w:color="auto" w:fill="auto"/>
            <w:tcMar>
              <w:left w:w="0" w:type="dxa"/>
            </w:tcMar>
          </w:tcPr>
          <w:p w14:paraId="3297E0D4" w14:textId="77777777" w:rsidR="00EA1EBB" w:rsidRDefault="00EA1EBB" w:rsidP="00BA5125">
            <w:r w:rsidRPr="00A85DE1">
              <w:rPr>
                <w:sz w:val="14"/>
                <w:szCs w:val="14"/>
              </w:rPr>
              <w:t>Zdroj: ČSÚ</w:t>
            </w:r>
          </w:p>
        </w:tc>
      </w:tr>
      <w:tr w:rsidR="00EA1EBB" w:rsidRPr="009110F7" w14:paraId="5E392EA0" w14:textId="77777777" w:rsidTr="00BA5125">
        <w:trPr>
          <w:trHeight w:val="145"/>
        </w:trPr>
        <w:tc>
          <w:tcPr>
            <w:tcW w:w="1806" w:type="dxa"/>
            <w:shd w:val="clear" w:color="auto" w:fill="auto"/>
            <w:tcMar>
              <w:left w:w="0" w:type="dxa"/>
            </w:tcMar>
          </w:tcPr>
          <w:p w14:paraId="1125C3E0" w14:textId="77777777" w:rsidR="00EA1EBB" w:rsidRDefault="00EA1EBB" w:rsidP="00BA5125">
            <w:pPr>
              <w:pStyle w:val="Marginlie"/>
            </w:pPr>
            <w:r>
              <w:t>Hrubá přidaná hodnota loni vzrostla.</w:t>
            </w:r>
          </w:p>
        </w:tc>
        <w:tc>
          <w:tcPr>
            <w:tcW w:w="223" w:type="dxa"/>
            <w:shd w:val="clear" w:color="auto" w:fill="auto"/>
            <w:tcMar>
              <w:left w:w="0" w:type="dxa"/>
            </w:tcMar>
          </w:tcPr>
          <w:p w14:paraId="70D82058" w14:textId="77777777" w:rsidR="00EA1EBB" w:rsidRDefault="00EA1EBB" w:rsidP="00BA5125">
            <w:pPr>
              <w:pStyle w:val="Textpoznpodarou"/>
              <w:jc w:val="both"/>
              <w:rPr>
                <w:spacing w:val="-4"/>
              </w:rPr>
            </w:pPr>
          </w:p>
        </w:tc>
        <w:tc>
          <w:tcPr>
            <w:tcW w:w="7610" w:type="dxa"/>
            <w:shd w:val="clear" w:color="auto" w:fill="auto"/>
            <w:tcMar>
              <w:left w:w="0" w:type="dxa"/>
            </w:tcMar>
          </w:tcPr>
          <w:p w14:paraId="2E5DC41C" w14:textId="77777777" w:rsidR="00EA1EBB" w:rsidRPr="00F93F2C" w:rsidRDefault="00EA1EBB" w:rsidP="00BA5125">
            <w:r>
              <w:t>Hrubá přidaná hodnota (HPH) loni celkově vzrostla o 0,5 %. Mezi dynamikou HPH a HDP tak vznikl výrazný rozdíl</w:t>
            </w:r>
            <w:r>
              <w:rPr>
                <w:rStyle w:val="Znakapoznpodarou"/>
              </w:rPr>
              <w:footnoteReference w:id="12"/>
            </w:r>
            <w:r>
              <w:t xml:space="preserve">. Vývoj HPH v jednotlivých odvětvích zčásti korespondoval se strukturou poptávky. Příznivý vývoj zahraniční poptávky se tak odrážel na růstu HPH v exportně zaměřeném zpracovatelském průmyslu (2,2 %). Ten </w:t>
            </w:r>
            <w:r>
              <w:lastRenderedPageBreak/>
              <w:t>vyvažoval poklesy ve zbytku průmyslu, což bylo patrné na slabém přírůstku HPH v průmyslu jako celku (0,5 %). U služeb se nejvíce dařilo informačním a komunikačním činnostem (6,2 %). Mírný přírůstek (shodně 1,1 %) měla loni HPH v činnostech v oblasti nemovitostí, veřejné správě a obraně, vzdělávání, zdravotní a sociální péči a v ostatních činnostech. Na podnikovou poptávku navázané p</w:t>
            </w:r>
            <w:r w:rsidRPr="00F643B8">
              <w:t>rofesní, vědecké, technické a administrativní činnosti</w:t>
            </w:r>
            <w:r>
              <w:t xml:space="preserve"> vykázaly loni růst HPH o 0,8 %. Propad spotřeby domácností se naopak promítnul do poklesu HPH v uskupení obchod, doprava, ubytování a pohostinství (−1,8 %). Slabá investiční aktivita v oblasti staveb je patrná na poklesu HPH ve stavebnictví (−1,2 %), kde se tak HPH snížila pátým rokem v řadě. Hrubá přidaná hodnota ve stavebnictví tak loni o pětinu zaostávala ve srovnání s vrcholem v roce 2018.</w:t>
            </w:r>
          </w:p>
        </w:tc>
      </w:tr>
      <w:tr w:rsidR="00EA1EBB" w:rsidRPr="009110F7" w14:paraId="5DEF988A" w14:textId="77777777" w:rsidTr="00BA5125">
        <w:trPr>
          <w:trHeight w:val="145"/>
        </w:trPr>
        <w:tc>
          <w:tcPr>
            <w:tcW w:w="1806" w:type="dxa"/>
            <w:shd w:val="clear" w:color="auto" w:fill="auto"/>
            <w:tcMar>
              <w:left w:w="0" w:type="dxa"/>
            </w:tcMar>
          </w:tcPr>
          <w:p w14:paraId="52BEA2C4" w14:textId="77777777" w:rsidR="00EA1EBB" w:rsidRDefault="00EA1EBB" w:rsidP="00BA5125">
            <w:pPr>
              <w:pStyle w:val="Marginlie"/>
            </w:pPr>
            <w:r>
              <w:lastRenderedPageBreak/>
              <w:t>HPH ve 4. čtvrtletí meziročně i mezičtvrtletně vzrostla.</w:t>
            </w:r>
          </w:p>
        </w:tc>
        <w:tc>
          <w:tcPr>
            <w:tcW w:w="223" w:type="dxa"/>
            <w:shd w:val="clear" w:color="auto" w:fill="auto"/>
            <w:tcMar>
              <w:left w:w="0" w:type="dxa"/>
            </w:tcMar>
          </w:tcPr>
          <w:p w14:paraId="76770F98" w14:textId="77777777" w:rsidR="00EA1EBB" w:rsidRDefault="00EA1EBB" w:rsidP="00BA5125">
            <w:pPr>
              <w:pStyle w:val="Textpoznpodarou"/>
              <w:jc w:val="both"/>
              <w:rPr>
                <w:spacing w:val="-4"/>
              </w:rPr>
            </w:pPr>
          </w:p>
        </w:tc>
        <w:tc>
          <w:tcPr>
            <w:tcW w:w="7610" w:type="dxa"/>
            <w:shd w:val="clear" w:color="auto" w:fill="auto"/>
            <w:tcMar>
              <w:left w:w="0" w:type="dxa"/>
            </w:tcMar>
          </w:tcPr>
          <w:p w14:paraId="509E249E" w14:textId="77777777" w:rsidR="00EA1EBB" w:rsidRDefault="00EA1EBB" w:rsidP="00BA5125">
            <w:r>
              <w:t>V samotném 4. čtvrtletí hrubá přidaná hodnota meziročně vzrostla o 0,3 %. K růstu nejvíce přispěl vývoj ve zpracovatelském průmyslu (růst HPH o 1,7 %). Stejně jako ve zbytku roku se zbývajícím průmyslovým odvětvím příliš nedařilo a solidní výkon ve zpracovatelském průmyslu tak stačil celý průmysl vytáhnout k přírůstku HPH jen o 0,4 %. Ve 4. čtvrtletí silně meziročně rostla HPH v informačních a komunikačních činnostech (4,0 %) a mezi službami měly nadprůměrný přírůstek HPH také činnosti v oblasti nemovitostí (1,6 %), ostatní činnosti (1,4 %), profesní, vědecké, technické a administrativní činnosti (0,9 %) a veřejná správa a obrana, vzdělávání, zdravotní a sociální péče (0,6 %). Nejvíce celkový meziroční růst HPH brzdilo uskupení obchod, doprava, ubytování a pohostinství (−1,8 %), HPH klesla také v peněžnictví a pojišťovnictví (−1,8 %) a rovněž ve stavebnictví (−0,4 %). Po dvou předchozích poklesech ve 4. čtvrtletí hrubá přidaná hodnota mezičtvrtletně vzrostla o 0,6 %. Velmi silné bylo oživení ve zpracovatelském průmyslu (3,0 %) a výrazně mezičtvrtletně vzrostla HPH v činnostech v oblasti nemovitostí (1,9 %). Oživil se také růst v p</w:t>
            </w:r>
            <w:r w:rsidRPr="00DF0981">
              <w:t>rofesní</w:t>
            </w:r>
            <w:r>
              <w:t>ch</w:t>
            </w:r>
            <w:r w:rsidRPr="00DF0981">
              <w:t>, vědeck</w:t>
            </w:r>
            <w:r>
              <w:t>ých</w:t>
            </w:r>
            <w:r w:rsidRPr="00DF0981">
              <w:t>, technick</w:t>
            </w:r>
            <w:r>
              <w:t>ých</w:t>
            </w:r>
            <w:r w:rsidRPr="00DF0981">
              <w:t xml:space="preserve"> a administrativní</w:t>
            </w:r>
            <w:r>
              <w:t>ch</w:t>
            </w:r>
            <w:r w:rsidRPr="00DF0981">
              <w:t xml:space="preserve"> činnost</w:t>
            </w:r>
            <w:r>
              <w:t xml:space="preserve">ech (0,9 %). Mezičtvrtletně se propadla HPH ve stavebnictví (−2,5 %), ostatních činnostech (−2,0 %) a v peněžnictví a pojišťovnictví (−0,9 %). </w:t>
            </w:r>
          </w:p>
        </w:tc>
      </w:tr>
    </w:tbl>
    <w:p w14:paraId="4BBBC97D" w14:textId="77777777" w:rsidR="00EA1EBB" w:rsidRDefault="00EA1EBB" w:rsidP="00EA1EBB">
      <w:pPr>
        <w:spacing w:after="0" w:line="240" w:lineRule="auto"/>
        <w:jc w:val="left"/>
        <w:rPr>
          <w:rFonts w:eastAsia="MS Gothic"/>
          <w:b/>
          <w:bCs/>
          <w:color w:val="71818C"/>
          <w:sz w:val="32"/>
          <w:szCs w:val="32"/>
          <w:highlight w:val="yellow"/>
        </w:rPr>
      </w:pPr>
    </w:p>
    <w:p w14:paraId="7E2D94B3" w14:textId="77777777" w:rsidR="00EA1EBB" w:rsidRPr="001C3855" w:rsidRDefault="00EA1EBB" w:rsidP="00EA1EBB">
      <w:pPr>
        <w:pStyle w:val="Nadpis11"/>
        <w:rPr>
          <w:sz w:val="2"/>
          <w:szCs w:val="2"/>
        </w:rPr>
      </w:pPr>
    </w:p>
    <w:p w14:paraId="35AEA47E" w14:textId="77777777" w:rsidR="00EA1EBB" w:rsidRPr="001C3855" w:rsidRDefault="00EA1EBB" w:rsidP="00EA1EBB">
      <w:pPr>
        <w:pStyle w:val="Nadpis11"/>
        <w:rPr>
          <w:sz w:val="2"/>
          <w:szCs w:val="2"/>
        </w:rPr>
      </w:pPr>
    </w:p>
    <w:p w14:paraId="54F64EBB" w14:textId="77777777" w:rsidR="005E53DC" w:rsidRPr="00BB286B" w:rsidRDefault="005E53DC">
      <w:pPr>
        <w:spacing w:after="0" w:line="240" w:lineRule="auto"/>
        <w:jc w:val="left"/>
        <w:rPr>
          <w:rFonts w:eastAsia="MS Gothic"/>
          <w:b/>
          <w:bCs/>
          <w:color w:val="71818C"/>
          <w:sz w:val="32"/>
          <w:szCs w:val="32"/>
          <w:highlight w:val="yellow"/>
        </w:rPr>
      </w:pPr>
      <w:r w:rsidRPr="00BB286B">
        <w:rPr>
          <w:szCs w:val="32"/>
          <w:highlight w:val="yellow"/>
        </w:rPr>
        <w:br w:type="page"/>
      </w:r>
    </w:p>
    <w:p w14:paraId="1831DE26" w14:textId="77777777" w:rsidR="00BA5125" w:rsidRPr="00652444" w:rsidRDefault="00BA5125" w:rsidP="00BA5125">
      <w:pPr>
        <w:pStyle w:val="Nadpis11"/>
      </w:pPr>
      <w:bookmarkStart w:id="30" w:name="_Toc145318534"/>
      <w:bookmarkStart w:id="31" w:name="_Toc161914423"/>
      <w:bookmarkEnd w:id="25"/>
      <w:bookmarkEnd w:id="26"/>
      <w:bookmarkEnd w:id="27"/>
      <w:r w:rsidRPr="00652444">
        <w:rPr>
          <w:szCs w:val="32"/>
        </w:rPr>
        <w:lastRenderedPageBreak/>
        <w:t>3</w:t>
      </w:r>
      <w:r w:rsidRPr="00652444">
        <w:t>. Výkonnost odvětví</w:t>
      </w:r>
      <w:bookmarkEnd w:id="31"/>
    </w:p>
    <w:p w14:paraId="4C24079C" w14:textId="77777777" w:rsidR="00BA5125" w:rsidRPr="004E1DB2" w:rsidRDefault="00BA5125" w:rsidP="00BA5125">
      <w:pPr>
        <w:pStyle w:val="Nadpis11"/>
        <w:rPr>
          <w:b w:val="0"/>
          <w:sz w:val="2"/>
          <w:szCs w:val="2"/>
          <w:highlight w:val="yellow"/>
        </w:rPr>
      </w:pPr>
    </w:p>
    <w:p w14:paraId="1D44C12B" w14:textId="77777777" w:rsidR="00BA5125" w:rsidRPr="004E1DB2" w:rsidRDefault="00BA5125" w:rsidP="00BA5125">
      <w:pPr>
        <w:pStyle w:val="Nadpis11"/>
        <w:rPr>
          <w:b w:val="0"/>
          <w:sz w:val="2"/>
          <w:szCs w:val="2"/>
          <w:highlight w:val="yellow"/>
        </w:rPr>
      </w:pPr>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14"/>
        <w:gridCol w:w="229"/>
        <w:gridCol w:w="7596"/>
      </w:tblGrid>
      <w:tr w:rsidR="00BA5125" w:rsidRPr="00316308" w14:paraId="0038449A" w14:textId="77777777" w:rsidTr="00BA5125">
        <w:trPr>
          <w:trHeight w:val="145"/>
        </w:trPr>
        <w:tc>
          <w:tcPr>
            <w:tcW w:w="1814" w:type="dxa"/>
            <w:tcBorders>
              <w:top w:val="nil"/>
              <w:left w:val="nil"/>
              <w:bottom w:val="nil"/>
              <w:right w:val="nil"/>
            </w:tcBorders>
            <w:shd w:val="clear" w:color="auto" w:fill="auto"/>
            <w:tcMar>
              <w:left w:w="0" w:type="dxa"/>
            </w:tcMar>
          </w:tcPr>
          <w:p w14:paraId="71B34BC3" w14:textId="77777777" w:rsidR="00BA5125" w:rsidRDefault="00BA5125" w:rsidP="00BA5125">
            <w:pPr>
              <w:pStyle w:val="Marginlie"/>
            </w:pPr>
            <w:r>
              <w:t>Hrubá přidaná hodnota během 2. i 3. čtvrtletí klesla. Výkon ekonomiky nedosáhl ani v závěru loňského roku rekordní úrovně z roku 2019.</w:t>
            </w:r>
          </w:p>
          <w:p w14:paraId="066E5A13"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52824379" w14:textId="77777777" w:rsidR="00BA5125" w:rsidRPr="003B1401"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6A63581D" w14:textId="77777777" w:rsidR="00BA5125" w:rsidRPr="00C95A68" w:rsidRDefault="00BA5125" w:rsidP="00BA5125">
            <w:pPr>
              <w:spacing w:after="200"/>
              <w:rPr>
                <w:color w:val="0D0D0D" w:themeColor="text1" w:themeTint="F2"/>
              </w:rPr>
            </w:pPr>
            <w:r w:rsidRPr="0040727B">
              <w:rPr>
                <w:color w:val="0D0D0D" w:themeColor="text1" w:themeTint="F2"/>
              </w:rPr>
              <w:t xml:space="preserve">Údaje z nabídkové strany ekonomiky </w:t>
            </w:r>
            <w:r>
              <w:rPr>
                <w:color w:val="0D0D0D" w:themeColor="text1" w:themeTint="F2"/>
              </w:rPr>
              <w:t xml:space="preserve">potvrzují slabou hospodářskou dynamiku patrnou po celý loňský rok. V 1. čtvrtletí 2023, kdy se národní hospodářství vymanilo z krátké mělké recese, se </w:t>
            </w:r>
            <w:r>
              <w:rPr>
                <w:bCs/>
              </w:rPr>
              <w:t>h</w:t>
            </w:r>
            <w:r w:rsidRPr="00C03F0D">
              <w:rPr>
                <w:bCs/>
              </w:rPr>
              <w:t>rubá přidaná hodnota</w:t>
            </w:r>
            <w:r>
              <w:rPr>
                <w:bCs/>
              </w:rPr>
              <w:t xml:space="preserve"> (HPH)</w:t>
            </w:r>
            <w:r w:rsidRPr="003D1D6D">
              <w:rPr>
                <w:rStyle w:val="Znakapoznpodarou"/>
                <w:color w:val="0D0D0D" w:themeColor="text1" w:themeTint="F2"/>
                <w:spacing w:val="-5"/>
              </w:rPr>
              <w:footnoteReference w:id="13"/>
            </w:r>
            <w:r>
              <w:rPr>
                <w:bCs/>
              </w:rPr>
              <w:t xml:space="preserve"> </w:t>
            </w:r>
            <w:proofErr w:type="spellStart"/>
            <w:r>
              <w:rPr>
                <w:bCs/>
              </w:rPr>
              <w:t>mezikvartálně</w:t>
            </w:r>
            <w:proofErr w:type="spellEnd"/>
            <w:r>
              <w:rPr>
                <w:bCs/>
              </w:rPr>
              <w:t xml:space="preserve"> mírně zvýšila (+0,5 %), a to především díky veřejným službám</w:t>
            </w:r>
            <w:r>
              <w:rPr>
                <w:rStyle w:val="Znakapoznpodarou"/>
                <w:bCs/>
              </w:rPr>
              <w:footnoteReference w:id="14"/>
            </w:r>
            <w:r>
              <w:rPr>
                <w:bCs/>
              </w:rPr>
              <w:t xml:space="preserve">, IT, ale také stavebnictví, kde došlo k oživení zásluhou nezvykle teplé zimy. Během dvou následujících kvartálů se růst HPH zastavil. Na výkon průmyslu i stavebnictví působila stále více slabá tuzemská i zahraniční poptávka. Navíc přetrvávající pokles spotřeby domácností oslaboval i klíčová odvětví služeb. Na konci roku pak došlo k dílčímu oživení a celková  HPH se oproti 3. čtvrtletí 2023 zvýšila o 0,6 %. K tomu ovšem zásadně přispěl jen zpracovatelský průmysl tažený růstem proexportní výroby dopravních prostředků, neboť výkon ve většině odvětví služeb spíše stagnoval. I proto HPH v celé ekonomice stále nepatrně zaostávala za vrcholem z období </w:t>
            </w:r>
            <w:proofErr w:type="spellStart"/>
            <w:r>
              <w:rPr>
                <w:bCs/>
              </w:rPr>
              <w:t>předpandemické</w:t>
            </w:r>
            <w:proofErr w:type="spellEnd"/>
            <w:r>
              <w:rPr>
                <w:bCs/>
              </w:rPr>
              <w:t xml:space="preserve"> konjunktury (za 4. čtvrtletím 2019 o 0,1 %).</w:t>
            </w:r>
          </w:p>
        </w:tc>
      </w:tr>
      <w:tr w:rsidR="00BA5125" w:rsidRPr="003D1D6D" w14:paraId="208EB2F5" w14:textId="77777777" w:rsidTr="00BA5125">
        <w:trPr>
          <w:trHeight w:val="145"/>
        </w:trPr>
        <w:tc>
          <w:tcPr>
            <w:tcW w:w="1814" w:type="dxa"/>
            <w:tcBorders>
              <w:top w:val="nil"/>
              <w:left w:val="nil"/>
              <w:bottom w:val="nil"/>
              <w:right w:val="nil"/>
            </w:tcBorders>
            <w:shd w:val="clear" w:color="auto" w:fill="auto"/>
            <w:tcMar>
              <w:left w:w="0" w:type="dxa"/>
            </w:tcMar>
          </w:tcPr>
          <w:p w14:paraId="09AC8949" w14:textId="77777777" w:rsidR="00BA5125" w:rsidRDefault="00BA5125" w:rsidP="00BA5125">
            <w:pPr>
              <w:pStyle w:val="Marginlie"/>
            </w:pPr>
            <w:r>
              <w:t xml:space="preserve">K meziročnímu růstu HPH přispěly loni nejvíce zpracovatelský průmysl </w:t>
            </w:r>
            <w:r>
              <w:br/>
              <w:t xml:space="preserve">a oblast IT, opačně působil hlavně propad výkonu těžby </w:t>
            </w:r>
            <w:r>
              <w:br/>
              <w:t>a energetiky.</w:t>
            </w:r>
          </w:p>
          <w:p w14:paraId="3B1B77FC" w14:textId="77777777" w:rsidR="00BA5125" w:rsidRPr="00C95A68" w:rsidRDefault="00BA5125" w:rsidP="00BA5125">
            <w:pPr>
              <w:pStyle w:val="Marginlie"/>
              <w:rPr>
                <w:color w:val="0D0D0D" w:themeColor="text1" w:themeTint="F2"/>
                <w:spacing w:val="-4"/>
              </w:rPr>
            </w:pPr>
          </w:p>
        </w:tc>
        <w:tc>
          <w:tcPr>
            <w:tcW w:w="229" w:type="dxa"/>
            <w:tcBorders>
              <w:top w:val="nil"/>
              <w:left w:val="nil"/>
              <w:bottom w:val="nil"/>
              <w:right w:val="nil"/>
            </w:tcBorders>
            <w:shd w:val="clear" w:color="auto" w:fill="auto"/>
            <w:tcMar>
              <w:left w:w="0" w:type="dxa"/>
            </w:tcMar>
          </w:tcPr>
          <w:p w14:paraId="27D6C4D2" w14:textId="77777777" w:rsidR="00BA5125" w:rsidRPr="00C95A6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75498560" w14:textId="77777777" w:rsidR="00BA5125" w:rsidRPr="00C95A68" w:rsidRDefault="00BA5125" w:rsidP="00BA5125">
            <w:pPr>
              <w:spacing w:after="200"/>
              <w:rPr>
                <w:color w:val="0D0D0D" w:themeColor="text1" w:themeTint="F2"/>
                <w:spacing w:val="-4"/>
              </w:rPr>
            </w:pPr>
            <w:r>
              <w:rPr>
                <w:color w:val="0D0D0D" w:themeColor="text1" w:themeTint="F2"/>
                <w:spacing w:val="-4"/>
              </w:rPr>
              <w:t>Za celý rok 2023 se souhrnná HPH zvýšila o 0,5 %, když meziroční růst zvolnil druhým rokem po sobě. Potřetí v řadě přispěl k růstu nejvíce zpracovatelský průmysl (+0,5 p. b.), jehož výkon loni vzrostl o 2,2 %. Jen nepatrně menší vliv měly dlouhodobě rozvíjející se informační a komunikační činnosti, v nichž HPH vzrostla nejvíce ze všech hlavních odvětví (6,2 %). Nezanedbatelnou roli držely i veřejné služby (+0,2 p. b.), přestože se jejich výkon zvýšil nejméně za posledních osm let (1,1 %). Naopak negativně působily především těžba a dobývání, v nichž se HPH meziročně propadla téměř o pětinu, a proti růstu celé ekonomiky působila silou (</w:t>
            </w:r>
            <w:r>
              <w:rPr>
                <w:color w:val="0D0D0D" w:themeColor="text1" w:themeTint="F2"/>
              </w:rPr>
              <w:t>−</w:t>
            </w:r>
            <w:r>
              <w:rPr>
                <w:color w:val="0D0D0D" w:themeColor="text1" w:themeTint="F2"/>
                <w:spacing w:val="-4"/>
              </w:rPr>
              <w:t>0,4 p. b.)</w:t>
            </w:r>
            <w:r>
              <w:rPr>
                <w:rStyle w:val="Znakapoznpodarou"/>
                <w:color w:val="0D0D0D" w:themeColor="text1" w:themeTint="F2"/>
                <w:spacing w:val="-4"/>
              </w:rPr>
              <w:footnoteReference w:id="15"/>
            </w:r>
            <w:r>
              <w:rPr>
                <w:color w:val="0D0D0D" w:themeColor="text1" w:themeTint="F2"/>
                <w:spacing w:val="-4"/>
              </w:rPr>
              <w:t xml:space="preserve">. Srovnatelný vliv na vývoj HPH mělo také </w:t>
            </w:r>
            <w:r>
              <w:rPr>
                <w:bCs/>
              </w:rPr>
              <w:t>uskupení o</w:t>
            </w:r>
            <w:r w:rsidRPr="00F3101E">
              <w:rPr>
                <w:bCs/>
              </w:rPr>
              <w:t>bchod, doprava, ubytování a pohostinstv</w:t>
            </w:r>
            <w:r>
              <w:rPr>
                <w:bCs/>
              </w:rPr>
              <w:t>í, jehož výkon se za loňský rok snížil o 1,8</w:t>
            </w:r>
            <w:r>
              <w:rPr>
                <w:color w:val="0D0D0D" w:themeColor="text1" w:themeTint="F2"/>
                <w:spacing w:val="-4"/>
              </w:rPr>
              <w:t> </w:t>
            </w:r>
            <w:r>
              <w:rPr>
                <w:bCs/>
              </w:rPr>
              <w:t xml:space="preserve">%. Vliv citelného poklesu spotřeby tuzemských domácností za základní i „zbytné“ statky byl částečně tlumen rostoucí poptávkou nerezidentů v cestovním ruchu. Pátý rok v řadě se snížila HPH ve stavebnictví, loňský pokles byl ovšem za toto období nejméně výrazný (−1,2 %) a jeho makroekonomický dopad tak zůstal ve stínu ostatních odvětví. </w:t>
            </w:r>
          </w:p>
        </w:tc>
      </w:tr>
      <w:tr w:rsidR="00BA5125" w:rsidRPr="003D1D6D" w14:paraId="285CC07E" w14:textId="77777777" w:rsidTr="00BA5125">
        <w:trPr>
          <w:trHeight w:val="145"/>
        </w:trPr>
        <w:tc>
          <w:tcPr>
            <w:tcW w:w="1814" w:type="dxa"/>
            <w:tcBorders>
              <w:top w:val="nil"/>
              <w:left w:val="nil"/>
              <w:bottom w:val="nil"/>
              <w:right w:val="nil"/>
            </w:tcBorders>
            <w:shd w:val="clear" w:color="auto" w:fill="auto"/>
            <w:tcMar>
              <w:left w:w="0" w:type="dxa"/>
            </w:tcMar>
          </w:tcPr>
          <w:p w14:paraId="1D7416E1" w14:textId="77777777" w:rsidR="00BA5125" w:rsidRPr="0089127D" w:rsidRDefault="00BA5125" w:rsidP="00BA5125">
            <w:pPr>
              <w:pStyle w:val="Marginlie"/>
              <w:rPr>
                <w:color w:val="0D0D0D" w:themeColor="text1" w:themeTint="F2"/>
                <w:spacing w:val="-4"/>
              </w:rPr>
            </w:pPr>
            <w:r>
              <w:rPr>
                <w:color w:val="0D0D0D" w:themeColor="text1" w:themeTint="F2"/>
                <w:spacing w:val="-4"/>
              </w:rPr>
              <w:t xml:space="preserve">Pokles těžby dřeva se zmírňoval. Výroba masa nadále klesala. Loňská úroda byla u většiny hlavních plodin dobrá. </w:t>
            </w:r>
          </w:p>
        </w:tc>
        <w:tc>
          <w:tcPr>
            <w:tcW w:w="229" w:type="dxa"/>
            <w:tcBorders>
              <w:top w:val="nil"/>
              <w:left w:val="nil"/>
              <w:bottom w:val="nil"/>
              <w:right w:val="nil"/>
            </w:tcBorders>
            <w:shd w:val="clear" w:color="auto" w:fill="auto"/>
            <w:tcMar>
              <w:left w:w="0" w:type="dxa"/>
            </w:tcMar>
          </w:tcPr>
          <w:p w14:paraId="099E8038" w14:textId="77777777" w:rsidR="00BA5125" w:rsidRPr="0089127D"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20A9ACF4" w14:textId="77777777" w:rsidR="00BA5125" w:rsidRPr="0089127D" w:rsidRDefault="00BA5125" w:rsidP="00BA5125">
            <w:pPr>
              <w:spacing w:after="200"/>
              <w:rPr>
                <w:color w:val="0D0D0D" w:themeColor="text1" w:themeTint="F2"/>
              </w:rPr>
            </w:pPr>
            <w:r w:rsidRPr="0089127D">
              <w:rPr>
                <w:bCs/>
                <w:color w:val="0D0D0D" w:themeColor="text1" w:themeTint="F2"/>
              </w:rPr>
              <w:t>V primárním sektoru se HPH po dvou výraznějších poklesech v letech 2021 a 2022 loni téměř nezmě</w:t>
            </w:r>
            <w:r>
              <w:rPr>
                <w:bCs/>
                <w:color w:val="0D0D0D" w:themeColor="text1" w:themeTint="F2"/>
              </w:rPr>
              <w:t>nila (+0,3 %). Přetrvával útlum</w:t>
            </w:r>
            <w:r w:rsidRPr="0089127D">
              <w:rPr>
                <w:bCs/>
                <w:color w:val="0D0D0D" w:themeColor="text1" w:themeTint="F2"/>
              </w:rPr>
              <w:t xml:space="preserve"> kůrovcové těžby dřeva, ale pomalejším tempem než v předchozích dvou letech. Objem celkové těžby se postupně přibližuje k úrovni před vypuknutím kůrovcové kalamity (rok 2017). </w:t>
            </w:r>
            <w:r w:rsidRPr="0089127D">
              <w:rPr>
                <w:color w:val="0D0D0D" w:themeColor="text1" w:themeTint="F2"/>
              </w:rPr>
              <w:t>V zemědělství loni klesla výroba masa na jatkách (</w:t>
            </w:r>
            <w:r>
              <w:rPr>
                <w:color w:val="0D0D0D" w:themeColor="text1" w:themeTint="F2"/>
              </w:rPr>
              <w:t>−</w:t>
            </w:r>
            <w:r w:rsidRPr="0089127D">
              <w:rPr>
                <w:color w:val="0D0D0D" w:themeColor="text1" w:themeTint="F2"/>
              </w:rPr>
              <w:t xml:space="preserve">2,6 %), </w:t>
            </w:r>
            <w:r>
              <w:rPr>
                <w:color w:val="0D0D0D" w:themeColor="text1" w:themeTint="F2"/>
              </w:rPr>
              <w:t>avšak mírněji než v roce 2022 (−</w:t>
            </w:r>
            <w:r w:rsidRPr="0089127D">
              <w:rPr>
                <w:color w:val="0D0D0D" w:themeColor="text1" w:themeTint="F2"/>
              </w:rPr>
              <w:t>4,2 %). Naopak dlouhodobý trend mírného posilování výroby mléka přetrval</w:t>
            </w:r>
            <w:r w:rsidRPr="0089127D">
              <w:rPr>
                <w:rStyle w:val="Znakapoznpodarou"/>
                <w:color w:val="0D0D0D" w:themeColor="text1" w:themeTint="F2"/>
              </w:rPr>
              <w:footnoteReference w:id="16"/>
            </w:r>
            <w:r w:rsidRPr="0089127D">
              <w:rPr>
                <w:color w:val="0D0D0D" w:themeColor="text1" w:themeTint="F2"/>
              </w:rPr>
              <w:t>. U většiny hlavních plodin došlo sice k meziročnímu poklesu úrody</w:t>
            </w:r>
            <w:r w:rsidRPr="0089127D">
              <w:rPr>
                <w:rStyle w:val="Znakapoznpodarou"/>
                <w:color w:val="0D0D0D" w:themeColor="text1" w:themeTint="F2"/>
              </w:rPr>
              <w:footnoteReference w:id="17"/>
            </w:r>
            <w:r>
              <w:rPr>
                <w:color w:val="0D0D0D" w:themeColor="text1" w:themeTint="F2"/>
              </w:rPr>
              <w:t>, i tak lze loňskou</w:t>
            </w:r>
            <w:r w:rsidRPr="0089127D">
              <w:rPr>
                <w:color w:val="0D0D0D" w:themeColor="text1" w:themeTint="F2"/>
              </w:rPr>
              <w:t xml:space="preserve"> sklizeň považovat za dobrou (u některých obilovin či olejnin dokonce za nadprůměrnou).</w:t>
            </w:r>
          </w:p>
        </w:tc>
      </w:tr>
      <w:tr w:rsidR="00BA5125" w:rsidRPr="003D1D6D" w14:paraId="1D2392A2" w14:textId="77777777" w:rsidTr="00BA5125">
        <w:trPr>
          <w:trHeight w:val="145"/>
        </w:trPr>
        <w:tc>
          <w:tcPr>
            <w:tcW w:w="1814" w:type="dxa"/>
            <w:tcBorders>
              <w:top w:val="nil"/>
              <w:left w:val="nil"/>
              <w:bottom w:val="nil"/>
              <w:right w:val="nil"/>
            </w:tcBorders>
            <w:shd w:val="clear" w:color="auto" w:fill="auto"/>
            <w:tcMar>
              <w:left w:w="0" w:type="dxa"/>
            </w:tcMar>
          </w:tcPr>
          <w:p w14:paraId="09516FED" w14:textId="77777777" w:rsidR="00BA5125" w:rsidRDefault="00BA5125" w:rsidP="00BA5125">
            <w:pPr>
              <w:pStyle w:val="Marginlie"/>
              <w:rPr>
                <w:color w:val="0D0D0D" w:themeColor="text1" w:themeTint="F2"/>
                <w:spacing w:val="-4"/>
              </w:rPr>
            </w:pPr>
            <w:r>
              <w:rPr>
                <w:color w:val="0D0D0D" w:themeColor="text1" w:themeTint="F2"/>
                <w:spacing w:val="-4"/>
              </w:rPr>
              <w:t>Průmysl procházel cyklickým útlumem. Po celý loňský rok se potýkal s vysokou cenovou úrovní vstupů i slabou domácí a zahraniční poptávkou.</w:t>
            </w:r>
          </w:p>
          <w:p w14:paraId="143F9BE3" w14:textId="77777777" w:rsidR="00BA5125" w:rsidRDefault="00BA5125" w:rsidP="00BA5125">
            <w:pPr>
              <w:pStyle w:val="Marginlie"/>
              <w:rPr>
                <w:color w:val="0D0D0D" w:themeColor="text1" w:themeTint="F2"/>
                <w:spacing w:val="-4"/>
              </w:rPr>
            </w:pPr>
          </w:p>
          <w:p w14:paraId="674BFD33" w14:textId="77777777" w:rsidR="00BA5125" w:rsidRDefault="00BA5125" w:rsidP="00BA5125">
            <w:pPr>
              <w:pStyle w:val="Marginlie"/>
              <w:rPr>
                <w:color w:val="0D0D0D" w:themeColor="text1" w:themeTint="F2"/>
                <w:spacing w:val="-4"/>
              </w:rPr>
            </w:pPr>
            <w:r>
              <w:rPr>
                <w:color w:val="0D0D0D" w:themeColor="text1" w:themeTint="F2"/>
                <w:spacing w:val="-4"/>
              </w:rPr>
              <w:t xml:space="preserve">Nepříznivý vývoj průmyslu byl tlumen vyšší produkcí výroby motorových vozidel. Ani ta se ovšem nevyvarovala krátkodobých výpadků. </w:t>
            </w:r>
          </w:p>
        </w:tc>
        <w:tc>
          <w:tcPr>
            <w:tcW w:w="229" w:type="dxa"/>
            <w:tcBorders>
              <w:top w:val="nil"/>
              <w:left w:val="nil"/>
              <w:bottom w:val="nil"/>
              <w:right w:val="nil"/>
            </w:tcBorders>
            <w:shd w:val="clear" w:color="auto" w:fill="auto"/>
            <w:tcMar>
              <w:left w:w="0" w:type="dxa"/>
            </w:tcMar>
          </w:tcPr>
          <w:p w14:paraId="693D6E08"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4B3274F" w14:textId="77777777" w:rsidR="00BA5125" w:rsidRPr="0013125D" w:rsidRDefault="00BA5125" w:rsidP="00BA5125">
            <w:pPr>
              <w:spacing w:after="0"/>
              <w:rPr>
                <w:color w:val="0D0D0D" w:themeColor="text1" w:themeTint="F2"/>
                <w:spacing w:val="-4"/>
              </w:rPr>
            </w:pPr>
            <w:r w:rsidRPr="00340D81">
              <w:rPr>
                <w:color w:val="0D0D0D" w:themeColor="text1" w:themeTint="F2"/>
                <w:spacing w:val="-4"/>
              </w:rPr>
              <w:t>Průmysl v</w:t>
            </w:r>
            <w:r>
              <w:rPr>
                <w:color w:val="0D0D0D" w:themeColor="text1" w:themeTint="F2"/>
                <w:spacing w:val="-4"/>
              </w:rPr>
              <w:t> </w:t>
            </w:r>
            <w:r w:rsidRPr="00340D81">
              <w:rPr>
                <w:color w:val="0D0D0D" w:themeColor="text1" w:themeTint="F2"/>
                <w:spacing w:val="-4"/>
              </w:rPr>
              <w:t>Česku</w:t>
            </w:r>
            <w:r>
              <w:rPr>
                <w:color w:val="0D0D0D" w:themeColor="text1" w:themeTint="F2"/>
                <w:spacing w:val="-4"/>
              </w:rPr>
              <w:t>,</w:t>
            </w:r>
            <w:r w:rsidRPr="00340D81">
              <w:rPr>
                <w:color w:val="0D0D0D" w:themeColor="text1" w:themeTint="F2"/>
                <w:spacing w:val="-4"/>
              </w:rPr>
              <w:t xml:space="preserve"> podobně jako ve většině států EU</w:t>
            </w:r>
            <w:r>
              <w:rPr>
                <w:color w:val="0D0D0D" w:themeColor="text1" w:themeTint="F2"/>
                <w:spacing w:val="-4"/>
              </w:rPr>
              <w:t>,</w:t>
            </w:r>
            <w:r w:rsidRPr="00340D81">
              <w:rPr>
                <w:color w:val="0D0D0D" w:themeColor="text1" w:themeTint="F2"/>
                <w:spacing w:val="-4"/>
              </w:rPr>
              <w:t xml:space="preserve"> </w:t>
            </w:r>
            <w:r>
              <w:rPr>
                <w:color w:val="0D0D0D" w:themeColor="text1" w:themeTint="F2"/>
                <w:spacing w:val="-4"/>
              </w:rPr>
              <w:t xml:space="preserve">se </w:t>
            </w:r>
            <w:r w:rsidRPr="00340D81">
              <w:rPr>
                <w:color w:val="0D0D0D" w:themeColor="text1" w:themeTint="F2"/>
                <w:spacing w:val="-4"/>
              </w:rPr>
              <w:t xml:space="preserve">loni nacházel v cyklickém útlumu, jehož počátek lze vystopovat již v polovině roku 2022. </w:t>
            </w:r>
            <w:r>
              <w:rPr>
                <w:color w:val="0D0D0D" w:themeColor="text1" w:themeTint="F2"/>
                <w:spacing w:val="-4"/>
              </w:rPr>
              <w:t>Nákladové tlaky spojené s prudkým růstem cen energií a</w:t>
            </w:r>
            <w:r>
              <w:rPr>
                <w:spacing w:val="-5"/>
              </w:rPr>
              <w:t> </w:t>
            </w:r>
            <w:r>
              <w:rPr>
                <w:color w:val="0D0D0D" w:themeColor="text1" w:themeTint="F2"/>
                <w:spacing w:val="-4"/>
              </w:rPr>
              <w:t xml:space="preserve">dalších vstupů (i </w:t>
            </w:r>
            <w:r w:rsidRPr="0014753A">
              <w:rPr>
                <w:color w:val="0D0D0D" w:themeColor="text1" w:themeTint="F2"/>
                <w:spacing w:val="-4"/>
              </w:rPr>
              <w:t>nejistoty ohledně jejich vývoje) byly umocněny slábnoucí poptávkou v klíčových exportních</w:t>
            </w:r>
            <w:r>
              <w:rPr>
                <w:color w:val="0D0D0D" w:themeColor="text1" w:themeTint="F2"/>
                <w:spacing w:val="-4"/>
              </w:rPr>
              <w:t xml:space="preserve"> teritoriích. Vedle toho působily útlum spotřeby </w:t>
            </w:r>
            <w:r>
              <w:rPr>
                <w:color w:val="0D0D0D" w:themeColor="text1" w:themeTint="F2"/>
                <w:spacing w:val="-4"/>
              </w:rPr>
              <w:lastRenderedPageBreak/>
              <w:t>domácností i soukromé investiční aktivity. Přestože ceny energií se loni stabilizovaly, nacházely se stále výrazně nad úrovní roku 2021. To mělo přirozeně dopad zejména na energeticky náročné průmyslové obory. Nepříznivý vývoj byl tlumen oživením v automobilovém průmyslu, jenž postupně finalizoval větší objem zakázek nahromaděných z období, kdy plynulost výroby vázla kvůli narušeným dodavatelským řetězcům</w:t>
            </w:r>
            <w:r w:rsidRPr="004C5026">
              <w:rPr>
                <w:color w:val="0D0D0D" w:themeColor="text1" w:themeTint="F2"/>
                <w:spacing w:val="-4"/>
              </w:rPr>
              <w:t xml:space="preserve">. </w:t>
            </w:r>
            <w:r>
              <w:rPr>
                <w:color w:val="0D0D0D" w:themeColor="text1" w:themeTint="F2"/>
                <w:spacing w:val="-4"/>
              </w:rPr>
              <w:t>Tuzemská průmyslová</w:t>
            </w:r>
            <w:r w:rsidRPr="004C5026">
              <w:rPr>
                <w:color w:val="0D0D0D" w:themeColor="text1" w:themeTint="F2"/>
                <w:spacing w:val="-4"/>
              </w:rPr>
              <w:t xml:space="preserve"> produkce</w:t>
            </w:r>
            <w:r w:rsidRPr="004C5026">
              <w:rPr>
                <w:rStyle w:val="Znakapoznpodarou"/>
                <w:color w:val="0D0D0D" w:themeColor="text1" w:themeTint="F2"/>
                <w:spacing w:val="-4"/>
              </w:rPr>
              <w:footnoteReference w:id="18"/>
            </w:r>
            <w:r w:rsidRPr="004C5026">
              <w:rPr>
                <w:color w:val="0D0D0D" w:themeColor="text1" w:themeTint="F2"/>
                <w:spacing w:val="-4"/>
              </w:rPr>
              <w:t xml:space="preserve"> v první polovině roku 2023 </w:t>
            </w:r>
            <w:proofErr w:type="spellStart"/>
            <w:r>
              <w:rPr>
                <w:color w:val="0D0D0D" w:themeColor="text1" w:themeTint="F2"/>
                <w:spacing w:val="-4"/>
              </w:rPr>
              <w:t>mezikvartálně</w:t>
            </w:r>
            <w:proofErr w:type="spellEnd"/>
            <w:r>
              <w:rPr>
                <w:color w:val="0D0D0D" w:themeColor="text1" w:themeTint="F2"/>
                <w:spacing w:val="-4"/>
              </w:rPr>
              <w:t xml:space="preserve"> </w:t>
            </w:r>
            <w:r w:rsidRPr="004C5026">
              <w:rPr>
                <w:color w:val="0D0D0D" w:themeColor="text1" w:themeTint="F2"/>
                <w:spacing w:val="-4"/>
              </w:rPr>
              <w:t>spíše stagnoval</w:t>
            </w:r>
            <w:r>
              <w:rPr>
                <w:color w:val="0D0D0D" w:themeColor="text1" w:themeTint="F2"/>
                <w:spacing w:val="-4"/>
              </w:rPr>
              <w:t xml:space="preserve">a, ve 3. čtvrtletí se snížila o 2,3 % (nejvíce za poslední tři roky), zejména vlivem výroby motorových vozidel, jejíž plynulost byla krátkodobě narušena problémy s dodávkami některých komponent. Ve 4. čtvrtletí došlo k dílčímu oživení, neboť produkce vzrostla o 1,9 %, a to především zásluhou výroby dopravních prostředků (kde byly realizovány i některé velké </w:t>
            </w:r>
            <w:r w:rsidRPr="0013125D">
              <w:rPr>
                <w:color w:val="0D0D0D" w:themeColor="text1" w:themeTint="F2"/>
                <w:spacing w:val="-4"/>
              </w:rPr>
              <w:t>mimořádné zakázky) a jejich hlavních dodavatelských odvětví. I přesto produkce celého průmyslu na konci roku mírně zaostávala (o 1,1 %)</w:t>
            </w:r>
            <w:r>
              <w:rPr>
                <w:rStyle w:val="Znakapoznpodarou"/>
                <w:color w:val="0D0D0D" w:themeColor="text1" w:themeTint="F2"/>
                <w:spacing w:val="-4"/>
              </w:rPr>
              <w:footnoteReference w:id="19"/>
            </w:r>
            <w:r>
              <w:rPr>
                <w:color w:val="0D0D0D" w:themeColor="text1" w:themeTint="F2"/>
                <w:spacing w:val="-4"/>
              </w:rPr>
              <w:t xml:space="preserve"> </w:t>
            </w:r>
            <w:r w:rsidRPr="0013125D">
              <w:rPr>
                <w:color w:val="0D0D0D" w:themeColor="text1" w:themeTint="F2"/>
                <w:spacing w:val="-4"/>
              </w:rPr>
              <w:t>za vrcholem</w:t>
            </w:r>
            <w:r>
              <w:rPr>
                <w:color w:val="0D0D0D" w:themeColor="text1" w:themeTint="F2"/>
                <w:spacing w:val="-4"/>
              </w:rPr>
              <w:t xml:space="preserve"> z</w:t>
            </w:r>
            <w:r w:rsidRPr="004C5026">
              <w:rPr>
                <w:color w:val="0D0D0D" w:themeColor="text1" w:themeTint="F2"/>
                <w:spacing w:val="-4"/>
              </w:rPr>
              <w:t> </w:t>
            </w:r>
            <w:r w:rsidRPr="0013125D">
              <w:rPr>
                <w:color w:val="0D0D0D" w:themeColor="text1" w:themeTint="F2"/>
                <w:spacing w:val="-4"/>
              </w:rPr>
              <w:t xml:space="preserve">období </w:t>
            </w:r>
            <w:proofErr w:type="spellStart"/>
            <w:r w:rsidRPr="0013125D">
              <w:rPr>
                <w:color w:val="0D0D0D" w:themeColor="text1" w:themeTint="F2"/>
                <w:spacing w:val="-4"/>
              </w:rPr>
              <w:t>předpandemické</w:t>
            </w:r>
            <w:proofErr w:type="spellEnd"/>
            <w:r w:rsidRPr="0013125D">
              <w:rPr>
                <w:color w:val="0D0D0D" w:themeColor="text1" w:themeTint="F2"/>
                <w:spacing w:val="-4"/>
              </w:rPr>
              <w:t xml:space="preserve"> konjunktury (2. čtvrtletí 2019)</w:t>
            </w:r>
            <w:r>
              <w:rPr>
                <w:color w:val="0D0D0D" w:themeColor="text1" w:themeTint="F2"/>
                <w:spacing w:val="-4"/>
              </w:rPr>
              <w:t>.</w:t>
            </w:r>
          </w:p>
          <w:p w14:paraId="17F7EBF3" w14:textId="77777777" w:rsidR="00BA5125" w:rsidRDefault="00BA5125" w:rsidP="00BA5125">
            <w:pPr>
              <w:spacing w:after="0"/>
              <w:rPr>
                <w:color w:val="0D0D0D" w:themeColor="text1" w:themeTint="F2"/>
                <w:spacing w:val="-4"/>
              </w:rPr>
            </w:pPr>
          </w:p>
        </w:tc>
      </w:tr>
      <w:tr w:rsidR="00BA5125" w:rsidRPr="003D1D6D" w14:paraId="519756E2" w14:textId="77777777" w:rsidTr="00BA5125">
        <w:trPr>
          <w:trHeight w:val="145"/>
        </w:trPr>
        <w:tc>
          <w:tcPr>
            <w:tcW w:w="1814" w:type="dxa"/>
            <w:tcBorders>
              <w:top w:val="nil"/>
              <w:left w:val="nil"/>
              <w:bottom w:val="nil"/>
              <w:right w:val="nil"/>
            </w:tcBorders>
            <w:shd w:val="clear" w:color="auto" w:fill="auto"/>
            <w:tcMar>
              <w:left w:w="0" w:type="dxa"/>
            </w:tcMar>
          </w:tcPr>
          <w:p w14:paraId="78BD2405" w14:textId="77777777" w:rsidR="00BA5125" w:rsidRDefault="00BA5125" w:rsidP="00BA5125">
            <w:pPr>
              <w:pStyle w:val="Marginlie"/>
              <w:rPr>
                <w:color w:val="0D0D0D" w:themeColor="text1" w:themeTint="F2"/>
                <w:spacing w:val="-4"/>
              </w:rPr>
            </w:pPr>
            <w:r>
              <w:rPr>
                <w:color w:val="0D0D0D" w:themeColor="text1" w:themeTint="F2"/>
                <w:spacing w:val="-4"/>
              </w:rPr>
              <w:lastRenderedPageBreak/>
              <w:t>Navzdory rychlému růstu produkce ve výrobě dopravních prostředků se výkon celého průmyslu loni mírně snížil.</w:t>
            </w:r>
          </w:p>
        </w:tc>
        <w:tc>
          <w:tcPr>
            <w:tcW w:w="229" w:type="dxa"/>
            <w:tcBorders>
              <w:top w:val="nil"/>
              <w:left w:val="nil"/>
              <w:bottom w:val="nil"/>
              <w:right w:val="nil"/>
            </w:tcBorders>
            <w:shd w:val="clear" w:color="auto" w:fill="auto"/>
            <w:tcMar>
              <w:left w:w="0" w:type="dxa"/>
            </w:tcMar>
          </w:tcPr>
          <w:p w14:paraId="0B1BC57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4373EEA7" w14:textId="77777777" w:rsidR="00BA5125" w:rsidRDefault="00BA5125" w:rsidP="00BA5125">
            <w:pPr>
              <w:spacing w:after="180"/>
              <w:rPr>
                <w:color w:val="0D0D0D" w:themeColor="text1" w:themeTint="F2"/>
                <w:spacing w:val="-4"/>
              </w:rPr>
            </w:pPr>
            <w:r>
              <w:rPr>
                <w:color w:val="0D0D0D" w:themeColor="text1" w:themeTint="F2"/>
                <w:spacing w:val="-4"/>
              </w:rPr>
              <w:t xml:space="preserve">Za celý loňský rok se průmyslová produkce snížila o 0,8 %, klesla tak po dvou letech </w:t>
            </w:r>
            <w:proofErr w:type="spellStart"/>
            <w:r>
              <w:rPr>
                <w:color w:val="0D0D0D" w:themeColor="text1" w:themeTint="F2"/>
                <w:spacing w:val="-4"/>
              </w:rPr>
              <w:t>pokrizového</w:t>
            </w:r>
            <w:proofErr w:type="spellEnd"/>
            <w:r>
              <w:rPr>
                <w:color w:val="0D0D0D" w:themeColor="text1" w:themeTint="F2"/>
                <w:spacing w:val="-4"/>
              </w:rPr>
              <w:t xml:space="preserve"> zotavování. Vývoj průmyslu výrazně ovlivnila výroba dopravních prostředků, kde růst produkce loni zrychlil na 16,6 % (nejvíce za posledních 12 let)</w:t>
            </w:r>
            <w:r>
              <w:rPr>
                <w:rStyle w:val="Znakapoznpodarou"/>
                <w:color w:val="0D0D0D" w:themeColor="text1" w:themeTint="F2"/>
                <w:spacing w:val="-4"/>
              </w:rPr>
              <w:footnoteReference w:id="20"/>
            </w:r>
            <w:r>
              <w:rPr>
                <w:color w:val="0D0D0D" w:themeColor="text1" w:themeTint="F2"/>
                <w:spacing w:val="-4"/>
              </w:rPr>
              <w:t>. Dařilo se jak výrobě osobních automobilů</w:t>
            </w:r>
            <w:r>
              <w:rPr>
                <w:rStyle w:val="Znakapoznpodarou"/>
                <w:color w:val="0D0D0D" w:themeColor="text1" w:themeTint="F2"/>
                <w:spacing w:val="-4"/>
              </w:rPr>
              <w:footnoteReference w:id="21"/>
            </w:r>
            <w:r>
              <w:rPr>
                <w:color w:val="0D0D0D" w:themeColor="text1" w:themeTint="F2"/>
                <w:spacing w:val="-4"/>
              </w:rPr>
              <w:t xml:space="preserve"> (profitující z rostoucí tuzemské i zahraniční poptávky</w:t>
            </w:r>
            <w:r>
              <w:rPr>
                <w:rStyle w:val="Znakapoznpodarou"/>
                <w:color w:val="0D0D0D" w:themeColor="text1" w:themeTint="F2"/>
                <w:spacing w:val="-4"/>
              </w:rPr>
              <w:footnoteReference w:id="22"/>
            </w:r>
            <w:r>
              <w:rPr>
                <w:color w:val="0D0D0D" w:themeColor="text1" w:themeTint="F2"/>
                <w:spacing w:val="-4"/>
              </w:rPr>
              <w:t>), tak ostatních dopravních prostředků (tažené významnými tuzemskými zakázkami pro armádu a také železnice). I přes občasné dílčí výpadky v dodávkách některých výrobních komponent zůstalo po většinu loňského roku využití výrobních kapacit ve výrobě motorových vozidel nad 92 % a patřilo v rámci průmyslu k nejvyšším</w:t>
            </w:r>
            <w:r>
              <w:rPr>
                <w:rStyle w:val="Znakapoznpodarou"/>
                <w:color w:val="0D0D0D" w:themeColor="text1" w:themeTint="F2"/>
                <w:spacing w:val="-4"/>
              </w:rPr>
              <w:footnoteReference w:id="23"/>
            </w:r>
            <w:r>
              <w:rPr>
                <w:color w:val="0D0D0D" w:themeColor="text1" w:themeTint="F2"/>
                <w:spacing w:val="-4"/>
              </w:rPr>
              <w:t xml:space="preserve">. </w:t>
            </w:r>
          </w:p>
        </w:tc>
      </w:tr>
      <w:tr w:rsidR="00BA5125" w:rsidRPr="003D1D6D" w14:paraId="031471AE" w14:textId="77777777" w:rsidTr="00BA5125">
        <w:trPr>
          <w:trHeight w:val="145"/>
        </w:trPr>
        <w:tc>
          <w:tcPr>
            <w:tcW w:w="1814" w:type="dxa"/>
            <w:tcBorders>
              <w:top w:val="nil"/>
              <w:left w:val="nil"/>
              <w:bottom w:val="nil"/>
              <w:right w:val="nil"/>
            </w:tcBorders>
            <w:shd w:val="clear" w:color="auto" w:fill="auto"/>
            <w:tcMar>
              <w:left w:w="0" w:type="dxa"/>
            </w:tcMar>
          </w:tcPr>
          <w:p w14:paraId="35ECEA41" w14:textId="77777777" w:rsidR="00BA5125" w:rsidRDefault="00BA5125" w:rsidP="00BA5125">
            <w:pPr>
              <w:pStyle w:val="Marginlie"/>
              <w:rPr>
                <w:color w:val="0D0D0D" w:themeColor="text1" w:themeTint="F2"/>
                <w:spacing w:val="-4"/>
              </w:rPr>
            </w:pPr>
            <w:r>
              <w:rPr>
                <w:color w:val="0D0D0D" w:themeColor="text1" w:themeTint="F2"/>
                <w:spacing w:val="-4"/>
              </w:rPr>
              <w:t>Největší útlum postihl výrobu stavebních materiálů. Ve většině energeticky náročných zpracovatelských oborů klesala produkce v roce 2022 i 2023.</w:t>
            </w:r>
          </w:p>
        </w:tc>
        <w:tc>
          <w:tcPr>
            <w:tcW w:w="229" w:type="dxa"/>
            <w:tcBorders>
              <w:top w:val="nil"/>
              <w:left w:val="nil"/>
              <w:bottom w:val="nil"/>
              <w:right w:val="nil"/>
            </w:tcBorders>
            <w:shd w:val="clear" w:color="auto" w:fill="auto"/>
            <w:tcMar>
              <w:left w:w="0" w:type="dxa"/>
            </w:tcMar>
          </w:tcPr>
          <w:p w14:paraId="5CE38465"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1F5B0D28" w14:textId="77777777" w:rsidR="00BA5125" w:rsidRPr="00457369" w:rsidRDefault="00BA5125" w:rsidP="00BA5125">
            <w:pPr>
              <w:spacing w:after="180"/>
              <w:rPr>
                <w:spacing w:val="-5"/>
              </w:rPr>
            </w:pPr>
            <w:r>
              <w:rPr>
                <w:spacing w:val="-5"/>
              </w:rPr>
              <w:t xml:space="preserve">Rozvoj výroby dopravních prostředků podpořil i návazný obor elektrotechnického průmyslu, který však rostl mírněji (+4,2 %) a ve směru růstu celého průmyslu přispěl pouze 0,3 p. b. V dalším návazném oboru – gumárenství a </w:t>
            </w:r>
            <w:proofErr w:type="spellStart"/>
            <w:r>
              <w:rPr>
                <w:spacing w:val="-5"/>
              </w:rPr>
              <w:t>plastikářství</w:t>
            </w:r>
            <w:proofErr w:type="spellEnd"/>
            <w:r>
              <w:rPr>
                <w:spacing w:val="-5"/>
              </w:rPr>
              <w:t xml:space="preserve"> – produkce dokonce mírně klesla (</w:t>
            </w:r>
            <w:r>
              <w:rPr>
                <w:color w:val="0D0D0D" w:themeColor="text1" w:themeTint="F2"/>
              </w:rPr>
              <w:t>−</w:t>
            </w:r>
            <w:r>
              <w:rPr>
                <w:spacing w:val="-5"/>
              </w:rPr>
              <w:t>4,5</w:t>
            </w:r>
            <w:r>
              <w:rPr>
                <w:color w:val="0D0D0D" w:themeColor="text1" w:themeTint="F2"/>
                <w:spacing w:val="-4"/>
              </w:rPr>
              <w:t> </w:t>
            </w:r>
            <w:r>
              <w:rPr>
                <w:spacing w:val="-5"/>
              </w:rPr>
              <w:t xml:space="preserve">%), zčásti patrně i proto, že ve srovnání s výše uvedenými se tento vyznačuje vyšší energetickou náročností. Ta spolu se sníženou poptávkou ze strany stavebnictví výrazně ovlivňovala výrobu ostatních nekovových minerálních výrobců, kde se loni produkce propadla o 17,1 % (nejvíce po roce 2009), nejintenzivněji ze všech průmyslových oborů. </w:t>
            </w:r>
            <w:r>
              <w:rPr>
                <w:color w:val="0D0D0D" w:themeColor="text1" w:themeTint="F2"/>
                <w:spacing w:val="-4"/>
              </w:rPr>
              <w:t>Se slabšími výkony stavebnictví souvisí i změna poptávky po technických textiliích, jež se odrazila v 11% poklesu produkce v celém textilním průmyslu</w:t>
            </w:r>
            <w:r>
              <w:rPr>
                <w:spacing w:val="-5"/>
              </w:rPr>
              <w:t xml:space="preserve">. Slabá tuzemská i zahraniční poptávka vyústila ve více než 14% útlum v hutnictví a slévárenství (produkce se snížila druhý rok v řadě, za posledních pět let skoro o čtvrtinu). Obdobně také chemický průmysl se loni druhý rok v řadě potýkal s prudkým růstem cen vstupů a současně s poklesem poptávky po produkci. Ta se loni snížila o 9,4 %. Strádaly i některé malé obory s energeticky náročnou produkcí, v případě dřevozpracujícího a papírenského průmyslu k tomu však významně přispěla i nižší těžba dřeva. </w:t>
            </w:r>
          </w:p>
        </w:tc>
      </w:tr>
      <w:tr w:rsidR="00BA5125" w:rsidRPr="003D1D6D" w14:paraId="3DAAD178" w14:textId="77777777" w:rsidTr="00BA5125">
        <w:trPr>
          <w:trHeight w:val="145"/>
        </w:trPr>
        <w:tc>
          <w:tcPr>
            <w:tcW w:w="1814" w:type="dxa"/>
            <w:tcBorders>
              <w:top w:val="nil"/>
              <w:left w:val="nil"/>
              <w:bottom w:val="nil"/>
              <w:right w:val="nil"/>
            </w:tcBorders>
            <w:shd w:val="clear" w:color="auto" w:fill="auto"/>
            <w:tcMar>
              <w:left w:w="0" w:type="dxa"/>
            </w:tcMar>
          </w:tcPr>
          <w:p w14:paraId="4259D1E3" w14:textId="77777777" w:rsidR="00BA5125" w:rsidRDefault="00BA5125" w:rsidP="00BA5125">
            <w:pPr>
              <w:pStyle w:val="Marginlie"/>
              <w:rPr>
                <w:color w:val="0D0D0D" w:themeColor="text1" w:themeTint="F2"/>
                <w:spacing w:val="-4"/>
              </w:rPr>
            </w:pPr>
            <w:r>
              <w:rPr>
                <w:color w:val="0D0D0D" w:themeColor="text1" w:themeTint="F2"/>
                <w:spacing w:val="-4"/>
              </w:rPr>
              <w:t xml:space="preserve">Z oborů vyrábějících investiční produkty klesla nejvíce produkce ve strojírenství. Negativně </w:t>
            </w:r>
            <w:r>
              <w:rPr>
                <w:color w:val="0D0D0D" w:themeColor="text1" w:themeTint="F2"/>
                <w:spacing w:val="-4"/>
              </w:rPr>
              <w:lastRenderedPageBreak/>
              <w:t xml:space="preserve">působila hlavně slabší zahraniční poptávka. </w:t>
            </w:r>
          </w:p>
        </w:tc>
        <w:tc>
          <w:tcPr>
            <w:tcW w:w="229" w:type="dxa"/>
            <w:tcBorders>
              <w:top w:val="nil"/>
              <w:left w:val="nil"/>
              <w:bottom w:val="nil"/>
              <w:right w:val="nil"/>
            </w:tcBorders>
            <w:shd w:val="clear" w:color="auto" w:fill="auto"/>
            <w:tcMar>
              <w:left w:w="0" w:type="dxa"/>
            </w:tcMar>
          </w:tcPr>
          <w:p w14:paraId="0AD5DBB8"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495ADBB0" w14:textId="77777777" w:rsidR="00BA5125" w:rsidRDefault="00BA5125" w:rsidP="00BA5125">
            <w:pPr>
              <w:spacing w:after="180"/>
              <w:rPr>
                <w:color w:val="0D0D0D" w:themeColor="text1" w:themeTint="F2"/>
                <w:spacing w:val="-4"/>
              </w:rPr>
            </w:pPr>
            <w:r>
              <w:rPr>
                <w:color w:val="0D0D0D" w:themeColor="text1" w:themeTint="F2"/>
                <w:spacing w:val="-4"/>
              </w:rPr>
              <w:t xml:space="preserve">Přetrvávající slabší důvěra podnikatelů v ekonomiku spolu se zhoršenou dostupností úvěrového financování (vlivem vysokých úrokových sazeb) podvazuje růst soukromé investiční aktivity. To negativně dopadá na většinu průmyslových oborů zaměřených na </w:t>
            </w:r>
            <w:r>
              <w:rPr>
                <w:color w:val="0D0D0D" w:themeColor="text1" w:themeTint="F2"/>
                <w:spacing w:val="-4"/>
              </w:rPr>
              <w:lastRenderedPageBreak/>
              <w:t xml:space="preserve">výrobu investičních produktů. V letech 2021 i 2022 sice patřila produkce ve strojírenství v rámci průmyslu k nejrychleji rostoucím, loni se však snížila o 1,6 %, v první řadě vinou </w:t>
            </w:r>
            <w:r w:rsidRPr="00C25DB9">
              <w:rPr>
                <w:color w:val="0D0D0D" w:themeColor="text1" w:themeTint="F2"/>
                <w:spacing w:val="-2"/>
              </w:rPr>
              <w:t>slabší zahraniční</w:t>
            </w:r>
            <w:r>
              <w:rPr>
                <w:color w:val="0D0D0D" w:themeColor="text1" w:themeTint="F2"/>
                <w:spacing w:val="-2"/>
              </w:rPr>
              <w:t xml:space="preserve"> poptávky. Ta stála rovněž</w:t>
            </w:r>
            <w:r w:rsidRPr="00C25DB9">
              <w:rPr>
                <w:color w:val="0D0D0D" w:themeColor="text1" w:themeTint="F2"/>
                <w:spacing w:val="-2"/>
              </w:rPr>
              <w:t xml:space="preserve"> za mírným loňským poklesem kovodělného</w:t>
            </w:r>
            <w:r>
              <w:rPr>
                <w:color w:val="0D0D0D" w:themeColor="text1" w:themeTint="F2"/>
                <w:spacing w:val="-2"/>
              </w:rPr>
              <w:t xml:space="preserve"> průmyslu (−1,1</w:t>
            </w:r>
            <w:r w:rsidRPr="00C25DB9">
              <w:rPr>
                <w:color w:val="0D0D0D" w:themeColor="text1" w:themeTint="F2"/>
                <w:spacing w:val="-2"/>
              </w:rPr>
              <w:t xml:space="preserve"> %)</w:t>
            </w:r>
            <w:r>
              <w:rPr>
                <w:color w:val="0D0D0D" w:themeColor="text1" w:themeTint="F2"/>
                <w:spacing w:val="-2"/>
              </w:rPr>
              <w:t>, kde většímu útlumu zabránila tuzemská poptávka (</w:t>
            </w:r>
            <w:r>
              <w:rPr>
                <w:color w:val="0D0D0D" w:themeColor="text1" w:themeTint="F2"/>
                <w:spacing w:val="-4"/>
              </w:rPr>
              <w:t xml:space="preserve">státní zakázky v oblasti obrany a bezpečnosti). Tato poptávka mj. v podobě rozvoje </w:t>
            </w:r>
            <w:proofErr w:type="spellStart"/>
            <w:r>
              <w:rPr>
                <w:color w:val="0D0D0D" w:themeColor="text1" w:themeTint="F2"/>
                <w:spacing w:val="-4"/>
              </w:rPr>
              <w:t>fotovoltaiky</w:t>
            </w:r>
            <w:proofErr w:type="spellEnd"/>
            <w:r>
              <w:rPr>
                <w:color w:val="0D0D0D" w:themeColor="text1" w:themeTint="F2"/>
                <w:spacing w:val="-4"/>
              </w:rPr>
              <w:t xml:space="preserve">  podpořila také elektronický průmysl, kde produkce mírně rostla třetí rok v řadě (loni </w:t>
            </w:r>
            <w:r>
              <w:rPr>
                <w:color w:val="0D0D0D" w:themeColor="text1" w:themeTint="F2"/>
              </w:rPr>
              <w:t>+1,3</w:t>
            </w:r>
            <w:r>
              <w:rPr>
                <w:color w:val="0D0D0D" w:themeColor="text1" w:themeTint="F2"/>
                <w:spacing w:val="-4"/>
              </w:rPr>
              <w:t xml:space="preserve"> %). </w:t>
            </w:r>
          </w:p>
        </w:tc>
      </w:tr>
      <w:tr w:rsidR="00BA5125" w:rsidRPr="003D1D6D" w14:paraId="624805FD" w14:textId="77777777" w:rsidTr="00BA5125">
        <w:trPr>
          <w:trHeight w:val="145"/>
        </w:trPr>
        <w:tc>
          <w:tcPr>
            <w:tcW w:w="1814" w:type="dxa"/>
            <w:tcBorders>
              <w:top w:val="nil"/>
              <w:left w:val="nil"/>
              <w:bottom w:val="nil"/>
              <w:right w:val="nil"/>
            </w:tcBorders>
            <w:shd w:val="clear" w:color="auto" w:fill="auto"/>
            <w:tcMar>
              <w:left w:w="0" w:type="dxa"/>
            </w:tcMar>
          </w:tcPr>
          <w:p w14:paraId="5D32BCF6" w14:textId="77777777" w:rsidR="00BA5125" w:rsidRDefault="00BA5125" w:rsidP="00BA5125">
            <w:pPr>
              <w:pStyle w:val="Marginlie"/>
              <w:rPr>
                <w:color w:val="0D0D0D" w:themeColor="text1" w:themeTint="F2"/>
                <w:spacing w:val="-4"/>
              </w:rPr>
            </w:pPr>
            <w:r>
              <w:rPr>
                <w:color w:val="0D0D0D" w:themeColor="text1" w:themeTint="F2"/>
                <w:spacing w:val="-4"/>
              </w:rPr>
              <w:lastRenderedPageBreak/>
              <w:t>Omezování zbytných i běžných výdajů domácností vedlo k poklesu potravinářského, nápojového či nábytkářského průmyslu.</w:t>
            </w:r>
          </w:p>
          <w:p w14:paraId="7E88176F" w14:textId="77777777" w:rsidR="00BA5125" w:rsidRDefault="00BA5125" w:rsidP="00BA5125">
            <w:pPr>
              <w:pStyle w:val="Marginlie"/>
              <w:rPr>
                <w:color w:val="0D0D0D" w:themeColor="text1" w:themeTint="F2"/>
                <w:spacing w:val="-4"/>
              </w:rPr>
            </w:pPr>
          </w:p>
          <w:p w14:paraId="45F7F702" w14:textId="77777777" w:rsidR="00BA5125" w:rsidRDefault="00BA5125" w:rsidP="00BA5125">
            <w:pPr>
              <w:pStyle w:val="Marginlie"/>
              <w:rPr>
                <w:color w:val="0D0D0D" w:themeColor="text1" w:themeTint="F2"/>
                <w:spacing w:val="-4"/>
              </w:rPr>
            </w:pPr>
          </w:p>
          <w:p w14:paraId="54CBE0F7" w14:textId="77777777" w:rsidR="00BA5125" w:rsidRDefault="00BA5125" w:rsidP="00BA5125">
            <w:pPr>
              <w:pStyle w:val="Marginlie"/>
              <w:rPr>
                <w:color w:val="0D0D0D" w:themeColor="text1" w:themeTint="F2"/>
                <w:spacing w:val="-4"/>
              </w:rPr>
            </w:pPr>
          </w:p>
          <w:p w14:paraId="2C824A62" w14:textId="77777777" w:rsidR="00BA5125" w:rsidRDefault="00BA5125" w:rsidP="00BA5125">
            <w:pPr>
              <w:pStyle w:val="Marginlie"/>
              <w:rPr>
                <w:color w:val="0D0D0D" w:themeColor="text1" w:themeTint="F2"/>
                <w:spacing w:val="-4"/>
              </w:rPr>
            </w:pPr>
          </w:p>
          <w:p w14:paraId="1D6C6599" w14:textId="77777777" w:rsidR="00BA5125" w:rsidRDefault="00BA5125" w:rsidP="00BA5125">
            <w:pPr>
              <w:pStyle w:val="Marginlie"/>
              <w:rPr>
                <w:color w:val="0D0D0D" w:themeColor="text1" w:themeTint="F2"/>
                <w:spacing w:val="-4"/>
              </w:rPr>
            </w:pPr>
          </w:p>
          <w:p w14:paraId="628269CF" w14:textId="77777777" w:rsidR="00BA5125" w:rsidRDefault="00BA5125" w:rsidP="00BA5125">
            <w:pPr>
              <w:pStyle w:val="Marginlie"/>
              <w:rPr>
                <w:color w:val="0D0D0D" w:themeColor="text1" w:themeTint="F2"/>
                <w:spacing w:val="-4"/>
              </w:rPr>
            </w:pPr>
            <w:r>
              <w:rPr>
                <w:color w:val="0D0D0D" w:themeColor="text1" w:themeTint="F2"/>
                <w:spacing w:val="-4"/>
              </w:rPr>
              <w:t>Pokračující růst farmaceutického i kožedělného průmyslu podpořila zahraniční poptávka.</w:t>
            </w:r>
          </w:p>
          <w:p w14:paraId="40221220" w14:textId="77777777" w:rsidR="00BA5125" w:rsidRDefault="00BA5125" w:rsidP="00BA5125">
            <w:pPr>
              <w:pStyle w:val="Marginlie"/>
              <w:rPr>
                <w:color w:val="0D0D0D" w:themeColor="text1" w:themeTint="F2"/>
                <w:spacing w:val="-4"/>
              </w:rPr>
            </w:pPr>
          </w:p>
        </w:tc>
        <w:tc>
          <w:tcPr>
            <w:tcW w:w="229" w:type="dxa"/>
            <w:tcBorders>
              <w:top w:val="nil"/>
              <w:left w:val="nil"/>
              <w:bottom w:val="nil"/>
              <w:right w:val="nil"/>
            </w:tcBorders>
            <w:shd w:val="clear" w:color="auto" w:fill="auto"/>
            <w:tcMar>
              <w:left w:w="0" w:type="dxa"/>
            </w:tcMar>
          </w:tcPr>
          <w:p w14:paraId="761E2CFD"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EB0DE2B" w14:textId="77777777" w:rsidR="00BA5125" w:rsidRDefault="00BA5125" w:rsidP="00BA5125">
            <w:pPr>
              <w:spacing w:after="180"/>
              <w:rPr>
                <w:color w:val="0D0D0D" w:themeColor="text1" w:themeTint="F2"/>
                <w:spacing w:val="-4"/>
              </w:rPr>
            </w:pPr>
            <w:r>
              <w:rPr>
                <w:color w:val="0D0D0D" w:themeColor="text1" w:themeTint="F2"/>
                <w:spacing w:val="-4"/>
              </w:rPr>
              <w:t>Poklesu produkce se loni nevyhnula ani většina zpravidla menších zpracovatelských oborů zaměřených převážně na produkty krátkodobé spotřeby. Výkon potravinářství se mírně snížil druhý rok v řadě, loni o 1,5 %</w:t>
            </w:r>
            <w:r>
              <w:rPr>
                <w:rStyle w:val="Znakapoznpodarou"/>
                <w:color w:val="0D0D0D" w:themeColor="text1" w:themeTint="F2"/>
                <w:spacing w:val="-4"/>
              </w:rPr>
              <w:footnoteReference w:id="24"/>
            </w:r>
            <w:r>
              <w:rPr>
                <w:color w:val="0D0D0D" w:themeColor="text1" w:themeTint="F2"/>
                <w:spacing w:val="-4"/>
              </w:rPr>
              <w:t xml:space="preserve">. Podobný pokles postihl v roce 2023 i výrobce nápojů. Ještě výrazněji se snížila produkce ve výrazně proexportně zaměřeném oděvním průmyslu </w:t>
            </w:r>
            <w:r w:rsidRPr="006C59E1">
              <w:rPr>
                <w:color w:val="0D0D0D" w:themeColor="text1" w:themeTint="F2"/>
                <w:spacing w:val="-6"/>
              </w:rPr>
              <w:t>(</w:t>
            </w:r>
            <w:r>
              <w:rPr>
                <w:color w:val="0D0D0D" w:themeColor="text1" w:themeTint="F2"/>
                <w:spacing w:val="-6"/>
              </w:rPr>
              <w:t>−</w:t>
            </w:r>
            <w:r w:rsidRPr="006C59E1">
              <w:rPr>
                <w:color w:val="0D0D0D" w:themeColor="text1" w:themeTint="F2"/>
                <w:spacing w:val="-6"/>
              </w:rPr>
              <w:t>4,3 %), který nenavázal na předloňské oživení.  Omezování „zbytných“ výdajů domácností</w:t>
            </w:r>
            <w:r w:rsidRPr="00201E70">
              <w:rPr>
                <w:color w:val="0D0D0D" w:themeColor="text1" w:themeTint="F2"/>
                <w:spacing w:val="-4"/>
              </w:rPr>
              <w:t xml:space="preserve"> v reakci na propad reálných výdělků</w:t>
            </w:r>
            <w:r>
              <w:rPr>
                <w:color w:val="0D0D0D" w:themeColor="text1" w:themeTint="F2"/>
                <w:spacing w:val="-4"/>
              </w:rPr>
              <w:t xml:space="preserve"> patrně loni zastavilo dlouhodobě rozvíjející se ostatní zpracovatelský průmysl</w:t>
            </w:r>
            <w:r>
              <w:rPr>
                <w:rStyle w:val="Znakapoznpodarou"/>
                <w:color w:val="0D0D0D" w:themeColor="text1" w:themeTint="F2"/>
                <w:spacing w:val="-4"/>
              </w:rPr>
              <w:footnoteReference w:id="25"/>
            </w:r>
            <w:r>
              <w:rPr>
                <w:color w:val="0D0D0D" w:themeColor="text1" w:themeTint="F2"/>
                <w:spacing w:val="-4"/>
              </w:rPr>
              <w:t xml:space="preserve">. Jeho produkce klesla o 3,6 % </w:t>
            </w:r>
            <w:r w:rsidRPr="00C25DB9">
              <w:rPr>
                <w:color w:val="0D0D0D" w:themeColor="text1" w:themeTint="F2"/>
                <w:spacing w:val="-2"/>
              </w:rPr>
              <w:t>–</w:t>
            </w:r>
            <w:r>
              <w:rPr>
                <w:color w:val="0D0D0D" w:themeColor="text1" w:themeTint="F2"/>
                <w:spacing w:val="-2"/>
              </w:rPr>
              <w:t xml:space="preserve"> </w:t>
            </w:r>
            <w:r>
              <w:rPr>
                <w:color w:val="0D0D0D" w:themeColor="text1" w:themeTint="F2"/>
                <w:spacing w:val="-4"/>
              </w:rPr>
              <w:t>nejvíce po roce 2009. Podobné vlivy působily loni i na nábytkářský průmysl, jeho výrazný propad (</w:t>
            </w:r>
            <w:r>
              <w:rPr>
                <w:color w:val="0D0D0D" w:themeColor="text1" w:themeTint="F2"/>
                <w:spacing w:val="-2"/>
              </w:rPr>
              <w:t>o</w:t>
            </w:r>
            <w:r>
              <w:rPr>
                <w:color w:val="0D0D0D" w:themeColor="text1" w:themeTint="F2"/>
                <w:spacing w:val="-4"/>
              </w:rPr>
              <w:t> 11,1 %) je však v první řadě důsledkem slabé zahraniční poptávky. Z malých oborů se vymykal dlouhodobě rostoucí výrazně proexportně zaměřený farmaceutický průmysl, v němž loni produkce vzrostla o 6,1 % (za posledních pět let o 42,9 %). Vedle stabilní zahraniční poptávky mu pomohl i loňský růst zakázek z tuzemska. Díky zahraniční poptávce se dařilo také kožedělnému a obuvnickému průmyslu, jenž zaznamenal vyšší produkci třetí rok v řadě.</w:t>
            </w:r>
          </w:p>
        </w:tc>
      </w:tr>
      <w:tr w:rsidR="00BA5125" w:rsidRPr="00A92514" w14:paraId="6469CBB5" w14:textId="77777777" w:rsidTr="00BA5125">
        <w:trPr>
          <w:trHeight w:val="170"/>
        </w:trPr>
        <w:tc>
          <w:tcPr>
            <w:tcW w:w="1814" w:type="dxa"/>
            <w:vMerge w:val="restart"/>
            <w:tcBorders>
              <w:top w:val="nil"/>
              <w:left w:val="nil"/>
              <w:bottom w:val="nil"/>
              <w:right w:val="nil"/>
            </w:tcBorders>
            <w:shd w:val="clear" w:color="auto" w:fill="auto"/>
            <w:tcMar>
              <w:left w:w="0" w:type="dxa"/>
            </w:tcMar>
          </w:tcPr>
          <w:p w14:paraId="001AAA2F" w14:textId="77777777" w:rsidR="00BA5125" w:rsidRDefault="00BA5125" w:rsidP="00BA5125">
            <w:pPr>
              <w:pStyle w:val="Marginlie"/>
            </w:pPr>
          </w:p>
        </w:tc>
        <w:tc>
          <w:tcPr>
            <w:tcW w:w="229" w:type="dxa"/>
            <w:vMerge w:val="restart"/>
            <w:tcBorders>
              <w:top w:val="nil"/>
              <w:left w:val="nil"/>
              <w:bottom w:val="nil"/>
              <w:right w:val="nil"/>
            </w:tcBorders>
            <w:shd w:val="clear" w:color="auto" w:fill="auto"/>
            <w:tcMar>
              <w:left w:w="0" w:type="dxa"/>
            </w:tcMar>
          </w:tcPr>
          <w:p w14:paraId="19FF7670"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86F645A" w14:textId="77777777" w:rsidR="00BA5125" w:rsidRPr="00884AAD" w:rsidRDefault="00BA5125" w:rsidP="00BA5125">
            <w:pPr>
              <w:spacing w:after="0"/>
              <w:rPr>
                <w:spacing w:val="-2"/>
              </w:rPr>
            </w:pPr>
            <w:r w:rsidRPr="00884AAD">
              <w:rPr>
                <w:rFonts w:cs="Arial"/>
                <w:b/>
                <w:bCs/>
                <w:color w:val="000000"/>
                <w:spacing w:val="-2"/>
                <w:szCs w:val="20"/>
              </w:rPr>
              <w:t xml:space="preserve">Graf č. 4 </w:t>
            </w:r>
            <w:r w:rsidRPr="00884AAD">
              <w:rPr>
                <w:b/>
                <w:spacing w:val="-2"/>
              </w:rPr>
              <w:t xml:space="preserve">Příspěvky dílčích odvětví k meziroční změně průmyslové produkce v ČR </w:t>
            </w:r>
            <w:r w:rsidRPr="00884AAD">
              <w:rPr>
                <w:spacing w:val="-2"/>
              </w:rPr>
              <w:t xml:space="preserve">(očištěno o kalendářní vlivy, reálně, v p. b.) </w:t>
            </w:r>
            <w:r w:rsidRPr="00884AAD">
              <w:rPr>
                <w:b/>
                <w:spacing w:val="-2"/>
              </w:rPr>
              <w:t xml:space="preserve">a produkce v celém průmyslu v ČR, Německu a EU27 </w:t>
            </w:r>
            <w:r w:rsidRPr="00884AAD">
              <w:rPr>
                <w:spacing w:val="-2"/>
              </w:rPr>
              <w:t>(se</w:t>
            </w:r>
            <w:r>
              <w:rPr>
                <w:spacing w:val="-2"/>
              </w:rPr>
              <w:t>zónně očištěno, úroveň roku 2021</w:t>
            </w:r>
            <w:r w:rsidRPr="00884AAD">
              <w:rPr>
                <w:spacing w:val="-2"/>
              </w:rPr>
              <w:t>=100, pravá osa)</w:t>
            </w:r>
          </w:p>
        </w:tc>
      </w:tr>
      <w:tr w:rsidR="00BA5125" w:rsidRPr="0067514E" w14:paraId="66A1866B" w14:textId="77777777" w:rsidTr="00BA5125">
        <w:tblPrEx>
          <w:tblCellMar>
            <w:left w:w="70" w:type="dxa"/>
            <w:right w:w="70" w:type="dxa"/>
          </w:tblCellMar>
        </w:tblPrEx>
        <w:trPr>
          <w:trHeight w:val="170"/>
        </w:trPr>
        <w:tc>
          <w:tcPr>
            <w:tcW w:w="1814" w:type="dxa"/>
            <w:vMerge/>
            <w:tcBorders>
              <w:top w:val="nil"/>
              <w:left w:val="nil"/>
              <w:bottom w:val="nil"/>
              <w:right w:val="nil"/>
            </w:tcBorders>
            <w:shd w:val="clear" w:color="auto" w:fill="auto"/>
          </w:tcPr>
          <w:p w14:paraId="49B8CA47" w14:textId="77777777" w:rsidR="00BA5125" w:rsidRDefault="00BA5125" w:rsidP="00BA5125">
            <w:pPr>
              <w:pStyle w:val="Marginlie"/>
            </w:pPr>
          </w:p>
        </w:tc>
        <w:tc>
          <w:tcPr>
            <w:tcW w:w="229" w:type="dxa"/>
            <w:vMerge/>
            <w:tcBorders>
              <w:top w:val="nil"/>
              <w:left w:val="nil"/>
              <w:bottom w:val="nil"/>
              <w:right w:val="nil"/>
            </w:tcBorders>
            <w:shd w:val="clear" w:color="auto" w:fill="auto"/>
          </w:tcPr>
          <w:p w14:paraId="5134D25E"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72775269" w14:textId="77777777" w:rsidR="00BA5125" w:rsidRPr="0067514E" w:rsidRDefault="00BA5125" w:rsidP="00BA5125">
            <w:pPr>
              <w:spacing w:after="0"/>
              <w:rPr>
                <w:spacing w:val="-6"/>
              </w:rPr>
            </w:pPr>
            <w:r>
              <w:rPr>
                <w:noProof/>
              </w:rPr>
              <w:drawing>
                <wp:inline distT="0" distB="0" distL="0" distR="0" wp14:anchorId="66E6C107" wp14:editId="3D881CA2">
                  <wp:extent cx="4613910" cy="3536950"/>
                  <wp:effectExtent l="0" t="0" r="0" b="635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BA5125" w:rsidRPr="00E52D45" w14:paraId="3172F44F" w14:textId="77777777" w:rsidTr="00BA5125">
        <w:trPr>
          <w:trHeight w:val="170"/>
        </w:trPr>
        <w:tc>
          <w:tcPr>
            <w:tcW w:w="1814" w:type="dxa"/>
            <w:vMerge/>
            <w:tcBorders>
              <w:top w:val="nil"/>
              <w:left w:val="nil"/>
              <w:bottom w:val="nil"/>
              <w:right w:val="nil"/>
            </w:tcBorders>
            <w:shd w:val="clear" w:color="auto" w:fill="auto"/>
            <w:tcMar>
              <w:left w:w="0" w:type="dxa"/>
            </w:tcMar>
          </w:tcPr>
          <w:p w14:paraId="5DAEB5E0" w14:textId="77777777" w:rsidR="00BA5125" w:rsidRDefault="00BA5125" w:rsidP="00BA5125">
            <w:pPr>
              <w:pStyle w:val="Marginlie"/>
            </w:pPr>
          </w:p>
        </w:tc>
        <w:tc>
          <w:tcPr>
            <w:tcW w:w="229" w:type="dxa"/>
            <w:vMerge/>
            <w:tcBorders>
              <w:top w:val="nil"/>
              <w:left w:val="nil"/>
              <w:bottom w:val="nil"/>
              <w:right w:val="nil"/>
            </w:tcBorders>
            <w:shd w:val="clear" w:color="auto" w:fill="auto"/>
            <w:tcMar>
              <w:left w:w="0" w:type="dxa"/>
            </w:tcMar>
          </w:tcPr>
          <w:p w14:paraId="128427A6"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2F1B38A" w14:textId="77777777" w:rsidR="00BA5125" w:rsidRDefault="00BA5125" w:rsidP="00BA5125">
            <w:pPr>
              <w:tabs>
                <w:tab w:val="right" w:pos="7683"/>
              </w:tabs>
              <w:spacing w:after="0" w:line="240" w:lineRule="auto"/>
              <w:jc w:val="left"/>
              <w:rPr>
                <w:rFonts w:cs="Arial"/>
                <w:sz w:val="14"/>
                <w:szCs w:val="14"/>
              </w:rPr>
            </w:pPr>
            <w:r>
              <w:rPr>
                <w:rFonts w:cs="Arial"/>
                <w:sz w:val="14"/>
                <w:szCs w:val="14"/>
              </w:rPr>
              <w:t xml:space="preserve">Poznámka: Tržby jsou uvedeny v běžných cenách. </w:t>
            </w:r>
            <w:r>
              <w:rPr>
                <w:rFonts w:cs="Arial"/>
                <w:sz w:val="14"/>
                <w:szCs w:val="14"/>
              </w:rPr>
              <w:tab/>
              <w:t xml:space="preserve"> </w:t>
            </w:r>
          </w:p>
          <w:p w14:paraId="3D81A3BA" w14:textId="77777777" w:rsidR="00BA5125" w:rsidRPr="00E52D45" w:rsidRDefault="00BA5125" w:rsidP="00BA5125">
            <w:pPr>
              <w:tabs>
                <w:tab w:val="right" w:pos="7683"/>
              </w:tabs>
              <w:spacing w:after="200" w:line="240" w:lineRule="auto"/>
              <w:jc w:val="left"/>
              <w:rPr>
                <w:spacing w:val="-2"/>
                <w:sz w:val="14"/>
                <w:szCs w:val="14"/>
              </w:rPr>
            </w:pP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tc>
      </w:tr>
      <w:tr w:rsidR="00BA5125" w:rsidRPr="00823342" w14:paraId="7625DA87" w14:textId="77777777" w:rsidTr="00BA5125">
        <w:trPr>
          <w:trHeight w:val="170"/>
        </w:trPr>
        <w:tc>
          <w:tcPr>
            <w:tcW w:w="1814" w:type="dxa"/>
            <w:tcBorders>
              <w:top w:val="nil"/>
              <w:left w:val="nil"/>
              <w:bottom w:val="nil"/>
              <w:right w:val="nil"/>
            </w:tcBorders>
            <w:shd w:val="clear" w:color="auto" w:fill="auto"/>
            <w:tcMar>
              <w:left w:w="0" w:type="dxa"/>
            </w:tcMar>
          </w:tcPr>
          <w:p w14:paraId="22133718" w14:textId="77777777" w:rsidR="00BA5125" w:rsidRDefault="00BA5125" w:rsidP="00BA5125">
            <w:pPr>
              <w:pStyle w:val="Marginlie"/>
              <w:rPr>
                <w:color w:val="0D0D0D" w:themeColor="text1" w:themeTint="F2"/>
                <w:spacing w:val="-4"/>
              </w:rPr>
            </w:pPr>
            <w:r>
              <w:rPr>
                <w:color w:val="0D0D0D" w:themeColor="text1" w:themeTint="F2"/>
                <w:spacing w:val="-4"/>
              </w:rPr>
              <w:t xml:space="preserve">Za nižší produkcí v průmyslu stála hlavně energetika. Pokles spotřeby elektřiny, plynu a tepla v podnicích </w:t>
            </w:r>
            <w:r>
              <w:rPr>
                <w:color w:val="0D0D0D" w:themeColor="text1" w:themeTint="F2"/>
                <w:spacing w:val="-4"/>
              </w:rPr>
              <w:lastRenderedPageBreak/>
              <w:t>i domácnostech pokračoval.</w:t>
            </w:r>
          </w:p>
          <w:p w14:paraId="563556A1" w14:textId="77777777" w:rsidR="00BA5125" w:rsidRDefault="00BA5125" w:rsidP="00BA5125">
            <w:pPr>
              <w:pStyle w:val="Marginlie"/>
              <w:rPr>
                <w:color w:val="0D0D0D" w:themeColor="text1" w:themeTint="F2"/>
                <w:spacing w:val="-4"/>
              </w:rPr>
            </w:pPr>
            <w:r>
              <w:rPr>
                <w:color w:val="0D0D0D" w:themeColor="text1" w:themeTint="F2"/>
                <w:spacing w:val="-4"/>
              </w:rPr>
              <w:t>Po dvouletém oživení se opět propadla produkce v těžebním průmyslu. Vytěžilo se méně uhlí i stavebních materiálů.</w:t>
            </w:r>
          </w:p>
          <w:p w14:paraId="57494032" w14:textId="77777777" w:rsidR="00BA5125" w:rsidRDefault="00BA5125" w:rsidP="00BA5125">
            <w:pPr>
              <w:pStyle w:val="Marginlie"/>
              <w:rPr>
                <w:color w:val="0D0D0D" w:themeColor="text1" w:themeTint="F2"/>
                <w:spacing w:val="-4"/>
              </w:rPr>
            </w:pPr>
          </w:p>
        </w:tc>
        <w:tc>
          <w:tcPr>
            <w:tcW w:w="229" w:type="dxa"/>
            <w:tcBorders>
              <w:top w:val="nil"/>
              <w:left w:val="nil"/>
              <w:bottom w:val="nil"/>
              <w:right w:val="nil"/>
            </w:tcBorders>
            <w:shd w:val="clear" w:color="auto" w:fill="auto"/>
            <w:tcMar>
              <w:left w:w="0" w:type="dxa"/>
            </w:tcMar>
          </w:tcPr>
          <w:p w14:paraId="3030929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2753959" w14:textId="77777777" w:rsidR="00BA5125" w:rsidRDefault="00BA5125" w:rsidP="00BA5125">
            <w:pPr>
              <w:spacing w:after="180"/>
              <w:rPr>
                <w:color w:val="0D0D0D" w:themeColor="text1" w:themeTint="F2"/>
                <w:spacing w:val="-4"/>
              </w:rPr>
            </w:pPr>
            <w:r>
              <w:rPr>
                <w:color w:val="0D0D0D" w:themeColor="text1" w:themeTint="F2"/>
                <w:spacing w:val="-4"/>
              </w:rPr>
              <w:t xml:space="preserve">Výkon celého průmyslu loni nejvíce brzdila energetika, jejíž produkce se propadla o rekordních 11,1 % (v roce 2022 „jen“ o 2,3 %) a k poklesu průmyslu přispěla 1,1 p. b. </w:t>
            </w:r>
            <w:r>
              <w:rPr>
                <w:color w:val="0D0D0D" w:themeColor="text1" w:themeTint="F2"/>
                <w:spacing w:val="-5"/>
              </w:rPr>
              <w:t>Za nižší výrobou elektřiny stál z drtivé části hlubší útlum u parních a paroplynových elektráren (</w:t>
            </w:r>
            <w:r>
              <w:rPr>
                <w:color w:val="0D0D0D" w:themeColor="text1" w:themeTint="F2"/>
                <w:spacing w:val="-2"/>
              </w:rPr>
              <w:t>−1</w:t>
            </w:r>
            <w:r>
              <w:rPr>
                <w:color w:val="0D0D0D" w:themeColor="text1" w:themeTint="F2"/>
                <w:spacing w:val="-5"/>
              </w:rPr>
              <w:t xml:space="preserve">8 %), řádově menší dopad měla produkce jaderných elektráren (−2,0 %). Vedle </w:t>
            </w:r>
            <w:r>
              <w:rPr>
                <w:color w:val="0D0D0D" w:themeColor="text1" w:themeTint="F2"/>
                <w:spacing w:val="-5"/>
              </w:rPr>
              <w:lastRenderedPageBreak/>
              <w:t>pravidelných odstávek výrobních zařízení souvisel výkon celé energetiky s dalším očekávaným poklesem tuzemské poptávky</w:t>
            </w:r>
            <w:r w:rsidRPr="00B0580E">
              <w:rPr>
                <w:rStyle w:val="Znakapoznpodarou"/>
                <w:color w:val="0D0D0D" w:themeColor="text1" w:themeTint="F2"/>
                <w:spacing w:val="-5"/>
              </w:rPr>
              <w:footnoteReference w:id="26"/>
            </w:r>
            <w:r>
              <w:rPr>
                <w:color w:val="0D0D0D" w:themeColor="text1" w:themeTint="F2"/>
                <w:spacing w:val="-5"/>
              </w:rPr>
              <w:t xml:space="preserve">. V ní se loni stejně jako v roce 2022 projevily dopady opatření směřující k </w:t>
            </w:r>
            <w:r w:rsidRPr="005447DB">
              <w:rPr>
                <w:color w:val="0D0D0D" w:themeColor="text1" w:themeTint="F2"/>
                <w:spacing w:val="-5"/>
              </w:rPr>
              <w:t>úspor</w:t>
            </w:r>
            <w:r>
              <w:rPr>
                <w:color w:val="0D0D0D" w:themeColor="text1" w:themeTint="F2"/>
                <w:spacing w:val="-5"/>
              </w:rPr>
              <w:t>ám spotřeby</w:t>
            </w:r>
            <w:r w:rsidRPr="005447DB">
              <w:rPr>
                <w:color w:val="0D0D0D" w:themeColor="text1" w:themeTint="F2"/>
                <w:spacing w:val="-5"/>
              </w:rPr>
              <w:t xml:space="preserve"> elektřiny, zemní</w:t>
            </w:r>
            <w:r>
              <w:rPr>
                <w:color w:val="0D0D0D" w:themeColor="text1" w:themeTint="F2"/>
                <w:spacing w:val="-5"/>
              </w:rPr>
              <w:t>ho</w:t>
            </w:r>
            <w:r w:rsidRPr="005447DB">
              <w:rPr>
                <w:color w:val="0D0D0D" w:themeColor="text1" w:themeTint="F2"/>
                <w:spacing w:val="-5"/>
              </w:rPr>
              <w:t xml:space="preserve"> plynu i tepla na straně domácností </w:t>
            </w:r>
            <w:r w:rsidRPr="00B0580E">
              <w:rPr>
                <w:color w:val="0D0D0D" w:themeColor="text1" w:themeTint="F2"/>
                <w:spacing w:val="-5"/>
              </w:rPr>
              <w:t>i firem</w:t>
            </w:r>
            <w:r>
              <w:rPr>
                <w:color w:val="0D0D0D" w:themeColor="text1" w:themeTint="F2"/>
                <w:spacing w:val="-5"/>
              </w:rPr>
              <w:t>. Ve srovnání s rokem 2022 navíc vzrostl vliv nižší poptávky po energiích v podnicích kvůli poklesu výrobní činnosti</w:t>
            </w:r>
            <w:r>
              <w:rPr>
                <w:rStyle w:val="Znakapoznpodarou"/>
                <w:color w:val="0D0D0D" w:themeColor="text1" w:themeTint="F2"/>
                <w:spacing w:val="-5"/>
              </w:rPr>
              <w:footnoteReference w:id="27"/>
            </w:r>
            <w:r>
              <w:rPr>
                <w:color w:val="0D0D0D" w:themeColor="text1" w:themeTint="F2"/>
                <w:spacing w:val="-5"/>
              </w:rPr>
              <w:t>, ale i díky příznivým klimatickým podmínkám</w:t>
            </w:r>
            <w:r>
              <w:rPr>
                <w:rStyle w:val="Znakapoznpodarou"/>
                <w:color w:val="0D0D0D" w:themeColor="text1" w:themeTint="F2"/>
                <w:spacing w:val="-5"/>
              </w:rPr>
              <w:footnoteReference w:id="28"/>
            </w:r>
            <w:r>
              <w:rPr>
                <w:color w:val="0D0D0D" w:themeColor="text1" w:themeTint="F2"/>
                <w:spacing w:val="-5"/>
              </w:rPr>
              <w:t xml:space="preserve">. Po dočasném oživení v letech 2021 i 2022 se loni propadla o celou šestinu produkce ve vysoce energeticky náročném odvětví těžby a dobývání. K tomu přispěl zejména řízený dlouhodobý útlum stále méně rentabilní těžby uhlí, přerušený jen mírným růstem v roce 2022. Loni se naopak prohloubil pokles výkonu v těžbě </w:t>
            </w:r>
            <w:r>
              <w:rPr>
                <w:color w:val="0D0D0D" w:themeColor="text1" w:themeTint="F2"/>
                <w:spacing w:val="-4"/>
              </w:rPr>
              <w:t xml:space="preserve">stavebních materiálů (na −16,4 %), ten se přitom před nástupem energetické krize slibně rozvíjel. </w:t>
            </w:r>
          </w:p>
        </w:tc>
      </w:tr>
      <w:tr w:rsidR="00BA5125" w:rsidRPr="00705C3E" w14:paraId="02C1A53A" w14:textId="77777777" w:rsidTr="00BA5125">
        <w:trPr>
          <w:trHeight w:val="134"/>
        </w:trPr>
        <w:tc>
          <w:tcPr>
            <w:tcW w:w="1814" w:type="dxa"/>
            <w:vMerge w:val="restart"/>
            <w:tcBorders>
              <w:top w:val="nil"/>
              <w:left w:val="nil"/>
              <w:bottom w:val="nil"/>
              <w:right w:val="nil"/>
            </w:tcBorders>
            <w:shd w:val="clear" w:color="auto" w:fill="auto"/>
            <w:tcMar>
              <w:left w:w="0" w:type="dxa"/>
            </w:tcMar>
          </w:tcPr>
          <w:p w14:paraId="253D6D06" w14:textId="77777777" w:rsidR="00BA5125" w:rsidRDefault="00BA5125" w:rsidP="00BA5125">
            <w:pPr>
              <w:pStyle w:val="Marginlie"/>
            </w:pPr>
          </w:p>
        </w:tc>
        <w:tc>
          <w:tcPr>
            <w:tcW w:w="229" w:type="dxa"/>
            <w:vMerge w:val="restart"/>
            <w:tcBorders>
              <w:top w:val="nil"/>
              <w:left w:val="nil"/>
              <w:bottom w:val="nil"/>
              <w:right w:val="nil"/>
            </w:tcBorders>
            <w:shd w:val="clear" w:color="auto" w:fill="auto"/>
            <w:tcMar>
              <w:left w:w="0" w:type="dxa"/>
            </w:tcMar>
          </w:tcPr>
          <w:p w14:paraId="408C3BF2"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EE498AA" w14:textId="77777777" w:rsidR="00BA5125" w:rsidRPr="00705C3E" w:rsidRDefault="00BA5125" w:rsidP="00BA5125">
            <w:pPr>
              <w:spacing w:after="0"/>
              <w:rPr>
                <w:color w:val="0D0D0D" w:themeColor="text1" w:themeTint="F2"/>
                <w:spacing w:val="-5"/>
              </w:rPr>
            </w:pPr>
            <w:r w:rsidRPr="00760356">
              <w:rPr>
                <w:b/>
                <w:spacing w:val="-2"/>
              </w:rPr>
              <w:t xml:space="preserve">Graf </w:t>
            </w:r>
            <w:proofErr w:type="gramStart"/>
            <w:r w:rsidRPr="00760356">
              <w:rPr>
                <w:b/>
                <w:spacing w:val="-2"/>
              </w:rPr>
              <w:t>č. 5</w:t>
            </w:r>
            <w:r>
              <w:rPr>
                <w:b/>
                <w:spacing w:val="-2"/>
              </w:rPr>
              <w:t xml:space="preserve">  Nové</w:t>
            </w:r>
            <w:proofErr w:type="gramEnd"/>
            <w:r>
              <w:rPr>
                <w:b/>
                <w:spacing w:val="-2"/>
              </w:rPr>
              <w:t xml:space="preserve"> zakázky v </w:t>
            </w:r>
            <w:r w:rsidRPr="00760356">
              <w:rPr>
                <w:b/>
                <w:spacing w:val="-2"/>
              </w:rPr>
              <w:t xml:space="preserve">průmyslu </w:t>
            </w:r>
            <w:r w:rsidRPr="00760356">
              <w:rPr>
                <w:bCs/>
                <w:spacing w:val="-2"/>
              </w:rPr>
              <w:t>(</w:t>
            </w:r>
            <w:r>
              <w:rPr>
                <w:bCs/>
                <w:spacing w:val="-2"/>
              </w:rPr>
              <w:t>nominálně</w:t>
            </w:r>
            <w:r w:rsidRPr="00760356">
              <w:rPr>
                <w:bCs/>
                <w:spacing w:val="-2"/>
              </w:rPr>
              <w:t xml:space="preserve">, </w:t>
            </w:r>
            <w:r w:rsidRPr="00760356">
              <w:rPr>
                <w:spacing w:val="-2"/>
              </w:rPr>
              <w:t>meziročně</w:t>
            </w:r>
            <w:r>
              <w:rPr>
                <w:spacing w:val="-2"/>
              </w:rPr>
              <w:t>,</w:t>
            </w:r>
            <w:r w:rsidRPr="00760356">
              <w:rPr>
                <w:bCs/>
                <w:spacing w:val="-2"/>
              </w:rPr>
              <w:t xml:space="preserve"> v %)</w:t>
            </w:r>
            <w:r>
              <w:rPr>
                <w:b/>
                <w:spacing w:val="-2"/>
              </w:rPr>
              <w:t xml:space="preserve">, </w:t>
            </w:r>
            <w:r w:rsidRPr="00760356">
              <w:rPr>
                <w:b/>
                <w:spacing w:val="-2"/>
              </w:rPr>
              <w:t>využi</w:t>
            </w:r>
            <w:r>
              <w:rPr>
                <w:b/>
                <w:spacing w:val="-2"/>
              </w:rPr>
              <w:t xml:space="preserve">tí výrobních kapacit v průmyslu, </w:t>
            </w:r>
            <w:r w:rsidRPr="00760356">
              <w:rPr>
                <w:b/>
                <w:spacing w:val="-2"/>
              </w:rPr>
              <w:t>vybrané bariéry růst</w:t>
            </w:r>
            <w:r w:rsidRPr="006E759E">
              <w:rPr>
                <w:b/>
                <w:spacing w:val="-2"/>
              </w:rPr>
              <w:t>u</w:t>
            </w:r>
            <w:r w:rsidRPr="006E759E">
              <w:rPr>
                <w:spacing w:val="-2"/>
              </w:rPr>
              <w:t xml:space="preserve">* (v %, pravá osa) </w:t>
            </w:r>
            <w:r w:rsidRPr="006E759E">
              <w:rPr>
                <w:b/>
                <w:spacing w:val="-2"/>
              </w:rPr>
              <w:t>a </w:t>
            </w:r>
            <w:r>
              <w:rPr>
                <w:b/>
              </w:rPr>
              <w:t>saldo</w:t>
            </w:r>
            <w:r w:rsidRPr="006E759E">
              <w:rPr>
                <w:b/>
              </w:rPr>
              <w:t xml:space="preserve"> důvěry</w:t>
            </w:r>
            <w:r w:rsidRPr="00883202">
              <w:rPr>
                <w:b/>
              </w:rPr>
              <w:t xml:space="preserve"> </w:t>
            </w:r>
            <w:r>
              <w:rPr>
                <w:b/>
              </w:rPr>
              <w:t xml:space="preserve">podnikatelů </w:t>
            </w:r>
            <w:r w:rsidRPr="00883202">
              <w:rPr>
                <w:b/>
              </w:rPr>
              <w:t xml:space="preserve">v průmyslu* </w:t>
            </w:r>
            <w:r>
              <w:t xml:space="preserve">(v p. b., pravá </w:t>
            </w:r>
            <w:r w:rsidRPr="00883202">
              <w:t>osa)</w:t>
            </w:r>
          </w:p>
        </w:tc>
      </w:tr>
      <w:tr w:rsidR="00BA5125" w:rsidRPr="00705C3E" w14:paraId="3574061A" w14:textId="77777777" w:rsidTr="00BA5125">
        <w:tblPrEx>
          <w:tblCellMar>
            <w:left w:w="70" w:type="dxa"/>
            <w:right w:w="70" w:type="dxa"/>
          </w:tblCellMar>
        </w:tblPrEx>
        <w:trPr>
          <w:trHeight w:val="133"/>
        </w:trPr>
        <w:tc>
          <w:tcPr>
            <w:tcW w:w="1814" w:type="dxa"/>
            <w:vMerge/>
            <w:tcBorders>
              <w:top w:val="nil"/>
              <w:left w:val="nil"/>
              <w:bottom w:val="nil"/>
              <w:right w:val="nil"/>
            </w:tcBorders>
            <w:shd w:val="clear" w:color="auto" w:fill="auto"/>
          </w:tcPr>
          <w:p w14:paraId="59EC5206" w14:textId="77777777" w:rsidR="00BA5125" w:rsidRDefault="00BA5125" w:rsidP="00BA5125">
            <w:pPr>
              <w:pStyle w:val="Marginlie"/>
            </w:pPr>
          </w:p>
        </w:tc>
        <w:tc>
          <w:tcPr>
            <w:tcW w:w="229" w:type="dxa"/>
            <w:vMerge/>
            <w:tcBorders>
              <w:top w:val="nil"/>
              <w:left w:val="nil"/>
              <w:bottom w:val="nil"/>
              <w:right w:val="nil"/>
            </w:tcBorders>
            <w:shd w:val="clear" w:color="auto" w:fill="auto"/>
          </w:tcPr>
          <w:p w14:paraId="5A13939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3C12B9F0" w14:textId="77777777" w:rsidR="00BA5125" w:rsidRPr="00705C3E" w:rsidRDefault="00BA5125" w:rsidP="00BA5125">
            <w:pPr>
              <w:spacing w:after="0"/>
              <w:rPr>
                <w:color w:val="0D0D0D" w:themeColor="text1" w:themeTint="F2"/>
                <w:spacing w:val="-5"/>
              </w:rPr>
            </w:pPr>
            <w:r>
              <w:rPr>
                <w:noProof/>
              </w:rPr>
              <w:drawing>
                <wp:inline distT="0" distB="0" distL="0" distR="0" wp14:anchorId="29BF4CB1" wp14:editId="2AEDF3F9">
                  <wp:extent cx="4679332" cy="3636780"/>
                  <wp:effectExtent l="0" t="0" r="6985" b="1905"/>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BA5125" w:rsidRPr="00705C3E" w14:paraId="657AE2C8" w14:textId="77777777" w:rsidTr="00BA5125">
        <w:trPr>
          <w:trHeight w:val="133"/>
        </w:trPr>
        <w:tc>
          <w:tcPr>
            <w:tcW w:w="1814" w:type="dxa"/>
            <w:vMerge/>
            <w:tcBorders>
              <w:top w:val="nil"/>
              <w:left w:val="nil"/>
              <w:bottom w:val="nil"/>
              <w:right w:val="nil"/>
            </w:tcBorders>
            <w:shd w:val="clear" w:color="auto" w:fill="auto"/>
            <w:tcMar>
              <w:left w:w="0" w:type="dxa"/>
            </w:tcMar>
          </w:tcPr>
          <w:p w14:paraId="3F1AEC16" w14:textId="77777777" w:rsidR="00BA5125" w:rsidRDefault="00BA5125" w:rsidP="00BA5125">
            <w:pPr>
              <w:pStyle w:val="Marginlie"/>
            </w:pPr>
          </w:p>
        </w:tc>
        <w:tc>
          <w:tcPr>
            <w:tcW w:w="229" w:type="dxa"/>
            <w:vMerge/>
            <w:tcBorders>
              <w:top w:val="nil"/>
              <w:left w:val="nil"/>
              <w:bottom w:val="nil"/>
              <w:right w:val="nil"/>
            </w:tcBorders>
            <w:shd w:val="clear" w:color="auto" w:fill="auto"/>
            <w:tcMar>
              <w:left w:w="0" w:type="dxa"/>
            </w:tcMar>
          </w:tcPr>
          <w:p w14:paraId="06DFDD44"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53821F0" w14:textId="77777777" w:rsidR="00BA5125" w:rsidRPr="00705C3E" w:rsidRDefault="00BA5125" w:rsidP="00BA5125">
            <w:pPr>
              <w:spacing w:after="200" w:line="240" w:lineRule="auto"/>
              <w:rPr>
                <w:color w:val="0D0D0D" w:themeColor="text1" w:themeTint="F2"/>
                <w:spacing w:val="-5"/>
              </w:rPr>
            </w:pPr>
            <w:r w:rsidRPr="008B3FE9">
              <w:rPr>
                <w:color w:val="0D0D0D" w:themeColor="text1" w:themeTint="F2"/>
                <w:spacing w:val="-5"/>
                <w:sz w:val="14"/>
                <w:szCs w:val="14"/>
              </w:rPr>
              <w:t>*</w:t>
            </w:r>
            <w:r w:rsidRPr="008B3FE9">
              <w:rPr>
                <w:rFonts w:cs="Arial"/>
                <w:sz w:val="14"/>
                <w:szCs w:val="14"/>
              </w:rPr>
              <w:t>Vyu</w:t>
            </w:r>
            <w:r w:rsidRPr="00883202">
              <w:rPr>
                <w:rFonts w:cs="Arial"/>
                <w:sz w:val="14"/>
                <w:szCs w:val="14"/>
              </w:rPr>
              <w:t>žití průmys</w:t>
            </w:r>
            <w:r>
              <w:rPr>
                <w:rFonts w:cs="Arial"/>
                <w:sz w:val="14"/>
                <w:szCs w:val="14"/>
              </w:rPr>
              <w:t xml:space="preserve">lových kapacit i bariéry růstu vyjadřují stav v prvním měsíci daného čtvrtletí, </w:t>
            </w:r>
            <w:r w:rsidRPr="006E759E">
              <w:rPr>
                <w:rFonts w:cs="Arial"/>
                <w:sz w:val="14"/>
                <w:szCs w:val="14"/>
              </w:rPr>
              <w:t>saldo důvěry</w:t>
            </w:r>
            <w:r>
              <w:rPr>
                <w:rFonts w:cs="Arial"/>
                <w:sz w:val="14"/>
                <w:szCs w:val="14"/>
              </w:rPr>
              <w:t xml:space="preserve"> podnikatelů je vztaženo k</w:t>
            </w:r>
            <w:r w:rsidRPr="00883202">
              <w:rPr>
                <w:rFonts w:cs="Arial"/>
                <w:sz w:val="14"/>
                <w:szCs w:val="14"/>
              </w:rPr>
              <w:t xml:space="preserve">e </w:t>
            </w:r>
            <w:r>
              <w:rPr>
                <w:rFonts w:cs="Arial"/>
                <w:sz w:val="14"/>
                <w:szCs w:val="14"/>
              </w:rPr>
              <w:t xml:space="preserve">druhému měsíci čtvrtletí. Zakázky jsou očištěny o kalendářní vlivy, ostatní ukazatele jsou </w:t>
            </w:r>
            <w:r w:rsidRPr="00883202">
              <w:rPr>
                <w:rFonts w:cs="Arial"/>
                <w:spacing w:val="-2"/>
                <w:sz w:val="14"/>
                <w:szCs w:val="14"/>
              </w:rPr>
              <w:t>sezónně očištěny</w:t>
            </w:r>
            <w:r>
              <w:rPr>
                <w:rFonts w:cs="Arial"/>
                <w:spacing w:val="-2"/>
                <w:sz w:val="14"/>
                <w:szCs w:val="14"/>
              </w:rPr>
              <w:t>.</w:t>
            </w:r>
            <w:r w:rsidRPr="00883202">
              <w:rPr>
                <w:rFonts w:cs="Arial"/>
                <w:spacing w:val="-2"/>
                <w:sz w:val="14"/>
                <w:szCs w:val="14"/>
              </w:rPr>
              <w:t xml:space="preserve"> </w:t>
            </w:r>
            <w:r>
              <w:rPr>
                <w:rFonts w:cs="Arial"/>
                <w:sz w:val="14"/>
                <w:szCs w:val="14"/>
              </w:rPr>
              <w:t xml:space="preserve">Podniky mohly uvést více hlavních růstových bariér současně.                                                                   </w:t>
            </w: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tc>
      </w:tr>
      <w:tr w:rsidR="00BA5125" w:rsidRPr="005A37A7" w14:paraId="6D10388C" w14:textId="77777777" w:rsidTr="00BA5125">
        <w:trPr>
          <w:trHeight w:val="170"/>
        </w:trPr>
        <w:tc>
          <w:tcPr>
            <w:tcW w:w="1814" w:type="dxa"/>
            <w:tcBorders>
              <w:top w:val="nil"/>
              <w:left w:val="nil"/>
              <w:bottom w:val="nil"/>
              <w:right w:val="nil"/>
            </w:tcBorders>
            <w:shd w:val="clear" w:color="auto" w:fill="auto"/>
            <w:tcMar>
              <w:left w:w="0" w:type="dxa"/>
            </w:tcMar>
          </w:tcPr>
          <w:p w14:paraId="365AF064" w14:textId="77777777" w:rsidR="00BA5125" w:rsidRDefault="00BA5125" w:rsidP="00BA5125">
            <w:pPr>
              <w:pStyle w:val="Marginlie"/>
              <w:rPr>
                <w:color w:val="0D0D0D" w:themeColor="text1" w:themeTint="F2"/>
              </w:rPr>
            </w:pPr>
            <w:r>
              <w:rPr>
                <w:color w:val="0D0D0D" w:themeColor="text1" w:themeTint="F2"/>
              </w:rPr>
              <w:t>Hodnota nových průmyslových zakázek se po většinu loňského roku mírně snižovala.</w:t>
            </w:r>
          </w:p>
          <w:p w14:paraId="59C50F15" w14:textId="77777777" w:rsidR="00BA5125" w:rsidRDefault="00BA5125" w:rsidP="00BA5125">
            <w:pPr>
              <w:pStyle w:val="Marginlie"/>
              <w:rPr>
                <w:color w:val="0D0D0D" w:themeColor="text1" w:themeTint="F2"/>
                <w:sz w:val="20"/>
                <w:szCs w:val="20"/>
              </w:rPr>
            </w:pPr>
          </w:p>
          <w:p w14:paraId="77E081E6" w14:textId="77777777" w:rsidR="00BA5125" w:rsidRPr="0014753A" w:rsidRDefault="00BA5125" w:rsidP="00BA5125">
            <w:pPr>
              <w:pStyle w:val="Marginlie"/>
              <w:rPr>
                <w:color w:val="0D0D0D" w:themeColor="text1" w:themeTint="F2"/>
                <w:sz w:val="20"/>
                <w:szCs w:val="20"/>
              </w:rPr>
            </w:pPr>
          </w:p>
          <w:p w14:paraId="7AE45C9F" w14:textId="77777777" w:rsidR="00BA5125" w:rsidRPr="000067CC" w:rsidRDefault="00BA5125" w:rsidP="00BA5125">
            <w:pPr>
              <w:pStyle w:val="Marginlie"/>
              <w:rPr>
                <w:color w:val="0D0D0D" w:themeColor="text1" w:themeTint="F2"/>
                <w:sz w:val="20"/>
                <w:szCs w:val="20"/>
              </w:rPr>
            </w:pPr>
            <w:r>
              <w:rPr>
                <w:color w:val="0D0D0D" w:themeColor="text1" w:themeTint="F2"/>
                <w:spacing w:val="-5"/>
              </w:rPr>
              <w:lastRenderedPageBreak/>
              <w:t>Nepříznivé vyhlídky se stále týkaly energeticky náročných oborů.</w:t>
            </w:r>
            <w:r>
              <w:rPr>
                <w:color w:val="0D0D0D" w:themeColor="text1" w:themeTint="F2"/>
                <w:sz w:val="20"/>
                <w:szCs w:val="20"/>
              </w:rPr>
              <w:t xml:space="preserve"> </w:t>
            </w:r>
            <w:r>
              <w:rPr>
                <w:color w:val="0D0D0D" w:themeColor="text1" w:themeTint="F2"/>
              </w:rPr>
              <w:t>Mírný růst poptávky přetrvával ve výrobě motorových vozidel a elektrotechnice.</w:t>
            </w:r>
          </w:p>
        </w:tc>
        <w:tc>
          <w:tcPr>
            <w:tcW w:w="229" w:type="dxa"/>
            <w:tcBorders>
              <w:top w:val="nil"/>
              <w:left w:val="nil"/>
              <w:bottom w:val="nil"/>
              <w:right w:val="nil"/>
            </w:tcBorders>
            <w:shd w:val="clear" w:color="auto" w:fill="auto"/>
            <w:tcMar>
              <w:left w:w="0" w:type="dxa"/>
            </w:tcMar>
          </w:tcPr>
          <w:p w14:paraId="25C23A92" w14:textId="77777777" w:rsidR="00BA5125" w:rsidRPr="00B51DC6"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274DC1CA" w14:textId="77777777" w:rsidR="00BA5125" w:rsidRPr="000067CC" w:rsidRDefault="00BA5125" w:rsidP="00BA5125">
            <w:pPr>
              <w:spacing w:after="200"/>
              <w:rPr>
                <w:color w:val="0D0D0D" w:themeColor="text1" w:themeTint="F2"/>
                <w:spacing w:val="-5"/>
              </w:rPr>
            </w:pPr>
            <w:r w:rsidRPr="003C78DE">
              <w:rPr>
                <w:color w:val="0D0D0D" w:themeColor="text1" w:themeTint="F2"/>
                <w:spacing w:val="-5"/>
              </w:rPr>
              <w:t xml:space="preserve">Dynamika nových průmyslových zakázek potvrzovala </w:t>
            </w:r>
            <w:r>
              <w:rPr>
                <w:color w:val="0D0D0D" w:themeColor="text1" w:themeTint="F2"/>
                <w:spacing w:val="-5"/>
              </w:rPr>
              <w:t xml:space="preserve">přetrvávající slabou poptávku. Nominální hodnota zakázek </w:t>
            </w:r>
            <w:r w:rsidRPr="00D97905">
              <w:rPr>
                <w:color w:val="0D0D0D" w:themeColor="text1" w:themeTint="F2"/>
                <w:spacing w:val="-5"/>
              </w:rPr>
              <w:t xml:space="preserve">ve sledovaných </w:t>
            </w:r>
            <w:r>
              <w:rPr>
                <w:color w:val="0D0D0D" w:themeColor="text1" w:themeTint="F2"/>
                <w:spacing w:val="-5"/>
              </w:rPr>
              <w:t>průmyslových oborech</w:t>
            </w:r>
            <w:r w:rsidRPr="00030362">
              <w:rPr>
                <w:rStyle w:val="Znakapoznpodarou"/>
                <w:color w:val="0D0D0D" w:themeColor="text1" w:themeTint="F2"/>
                <w:spacing w:val="-5"/>
              </w:rPr>
              <w:footnoteReference w:id="29"/>
            </w:r>
            <w:r>
              <w:rPr>
                <w:color w:val="0D0D0D" w:themeColor="text1" w:themeTint="F2"/>
                <w:spacing w:val="-5"/>
              </w:rPr>
              <w:t xml:space="preserve"> klesala po většinu loňského roku a v jeho úhrnu se meziročně snížila o 1,3 %. Druhým rokem v řadě naznačovaly méně příznivý vývoj zahraniční zakázky (oproti tuzemským). Ve 4. čtvrtletí 2023 sice celkové zakázky klesly jen o 1,0 %, nižší poptávku ovšem signalizovala většina </w:t>
            </w:r>
            <w:r>
              <w:rPr>
                <w:color w:val="0D0D0D" w:themeColor="text1" w:themeTint="F2"/>
                <w:spacing w:val="-5"/>
              </w:rPr>
              <w:lastRenderedPageBreak/>
              <w:t>oborů – nejvíce hutnictví (</w:t>
            </w:r>
            <w:r>
              <w:rPr>
                <w:color w:val="0D0D0D" w:themeColor="text1" w:themeTint="F2"/>
                <w:spacing w:val="-2"/>
              </w:rPr>
              <w:t>−</w:t>
            </w:r>
            <w:r>
              <w:rPr>
                <w:color w:val="0D0D0D" w:themeColor="text1" w:themeTint="F2"/>
                <w:spacing w:val="-5"/>
              </w:rPr>
              <w:t>21 %) a chemický průmysl (</w:t>
            </w:r>
            <w:r>
              <w:rPr>
                <w:color w:val="0D0D0D" w:themeColor="text1" w:themeTint="F2"/>
                <w:spacing w:val="-2"/>
              </w:rPr>
              <w:t>−</w:t>
            </w:r>
            <w:r>
              <w:rPr>
                <w:color w:val="0D0D0D" w:themeColor="text1" w:themeTint="F2"/>
                <w:spacing w:val="-5"/>
              </w:rPr>
              <w:t>18 %), ale také elektronický průmysl (</w:t>
            </w:r>
            <w:r>
              <w:rPr>
                <w:color w:val="0D0D0D" w:themeColor="text1" w:themeTint="F2"/>
                <w:spacing w:val="-2"/>
              </w:rPr>
              <w:t>−</w:t>
            </w:r>
            <w:r>
              <w:rPr>
                <w:color w:val="0D0D0D" w:themeColor="text1" w:themeTint="F2"/>
                <w:spacing w:val="-5"/>
              </w:rPr>
              <w:t>12 %), který přitom patří k energeticky nejméně náročným průmyslovým oborům. Mírněji klesly zakázky ve strojírenství (</w:t>
            </w:r>
            <w:r>
              <w:rPr>
                <w:color w:val="0D0D0D" w:themeColor="text1" w:themeTint="F2"/>
                <w:spacing w:val="-2"/>
              </w:rPr>
              <w:t>−</w:t>
            </w:r>
            <w:r>
              <w:rPr>
                <w:color w:val="0D0D0D" w:themeColor="text1" w:themeTint="F2"/>
                <w:spacing w:val="-5"/>
              </w:rPr>
              <w:t>5 %) a kovodělném průmyslu (</w:t>
            </w:r>
            <w:r>
              <w:rPr>
                <w:color w:val="0D0D0D" w:themeColor="text1" w:themeTint="F2"/>
                <w:spacing w:val="-2"/>
              </w:rPr>
              <w:t>−</w:t>
            </w:r>
            <w:r>
              <w:rPr>
                <w:color w:val="0D0D0D" w:themeColor="text1" w:themeTint="F2"/>
                <w:spacing w:val="-5"/>
              </w:rPr>
              <w:t>2 %). Ve výrobě motorových vozidel rostly zakázky po celý rok, ve 4. čtvrtletí o 9 % (zvyšovala se poptávka z tuzemska i zahraničí). Mírný růst celkové poptávky se týkal i výroby elektrických zařízení, z malých oborů pak oděvnictví.</w:t>
            </w:r>
          </w:p>
        </w:tc>
      </w:tr>
      <w:tr w:rsidR="00BA5125" w:rsidRPr="005A37A7" w14:paraId="602E8055" w14:textId="77777777" w:rsidTr="00BA5125">
        <w:trPr>
          <w:trHeight w:val="170"/>
        </w:trPr>
        <w:tc>
          <w:tcPr>
            <w:tcW w:w="1814" w:type="dxa"/>
            <w:tcBorders>
              <w:top w:val="nil"/>
              <w:left w:val="nil"/>
              <w:bottom w:val="nil"/>
              <w:right w:val="nil"/>
            </w:tcBorders>
            <w:shd w:val="clear" w:color="auto" w:fill="auto"/>
            <w:tcMar>
              <w:left w:w="0" w:type="dxa"/>
            </w:tcMar>
          </w:tcPr>
          <w:p w14:paraId="22564EB8" w14:textId="77777777" w:rsidR="00BA5125" w:rsidRDefault="00BA5125" w:rsidP="00BA5125">
            <w:pPr>
              <w:pStyle w:val="Marginlie"/>
              <w:rPr>
                <w:color w:val="0D0D0D" w:themeColor="text1" w:themeTint="F2"/>
                <w:spacing w:val="-4"/>
              </w:rPr>
            </w:pPr>
            <w:r>
              <w:rPr>
                <w:color w:val="0D0D0D" w:themeColor="text1" w:themeTint="F2"/>
                <w:spacing w:val="-4"/>
              </w:rPr>
              <w:lastRenderedPageBreak/>
              <w:t>Důvěra podnikatelů v průmyslu setrvávala po celý rok 2023 v mírně negativním pásmu. Na počátku letošního roku se zhoršila.</w:t>
            </w:r>
          </w:p>
          <w:p w14:paraId="6416A60F" w14:textId="77777777" w:rsidR="00BA5125" w:rsidRDefault="00BA5125" w:rsidP="00BA5125">
            <w:pPr>
              <w:pStyle w:val="Marginlie"/>
              <w:rPr>
                <w:color w:val="0D0D0D" w:themeColor="text1" w:themeTint="F2"/>
                <w:spacing w:val="-4"/>
              </w:rPr>
            </w:pPr>
          </w:p>
          <w:p w14:paraId="53ED76A6" w14:textId="77777777" w:rsidR="00BA5125" w:rsidRDefault="00BA5125" w:rsidP="00BA5125">
            <w:pPr>
              <w:pStyle w:val="Marginlie"/>
              <w:rPr>
                <w:color w:val="0D0D0D" w:themeColor="text1" w:themeTint="F2"/>
                <w:spacing w:val="-4"/>
              </w:rPr>
            </w:pPr>
          </w:p>
          <w:p w14:paraId="57ED990B" w14:textId="77777777" w:rsidR="00BA5125" w:rsidRDefault="00BA5125" w:rsidP="00BA5125">
            <w:pPr>
              <w:pStyle w:val="Marginlie"/>
              <w:rPr>
                <w:color w:val="0D0D0D" w:themeColor="text1" w:themeTint="F2"/>
                <w:spacing w:val="-4"/>
              </w:rPr>
            </w:pPr>
          </w:p>
          <w:p w14:paraId="51151390" w14:textId="77777777" w:rsidR="00BA5125" w:rsidRDefault="00BA5125" w:rsidP="00BA5125">
            <w:pPr>
              <w:pStyle w:val="Marginlie"/>
              <w:rPr>
                <w:color w:val="0D0D0D" w:themeColor="text1" w:themeTint="F2"/>
                <w:spacing w:val="-4"/>
              </w:rPr>
            </w:pPr>
            <w:r>
              <w:rPr>
                <w:color w:val="0D0D0D" w:themeColor="text1" w:themeTint="F2"/>
                <w:spacing w:val="-4"/>
              </w:rPr>
              <w:t xml:space="preserve">Aktuální hodnocení současné poptávky je nejhorší za poslední tři </w:t>
            </w:r>
            <w:r>
              <w:rPr>
                <w:color w:val="0D0D0D" w:themeColor="text1" w:themeTint="F2"/>
                <w:spacing w:val="-4"/>
              </w:rPr>
              <w:br/>
              <w:t>a půl roku.</w:t>
            </w:r>
          </w:p>
        </w:tc>
        <w:tc>
          <w:tcPr>
            <w:tcW w:w="229" w:type="dxa"/>
            <w:tcBorders>
              <w:top w:val="nil"/>
              <w:left w:val="nil"/>
              <w:bottom w:val="nil"/>
              <w:right w:val="nil"/>
            </w:tcBorders>
            <w:shd w:val="clear" w:color="auto" w:fill="auto"/>
            <w:tcMar>
              <w:left w:w="0" w:type="dxa"/>
            </w:tcMar>
          </w:tcPr>
          <w:p w14:paraId="309C499D" w14:textId="77777777" w:rsidR="00BA5125" w:rsidRPr="004B53F7"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76C0DEC1" w14:textId="77777777" w:rsidR="00BA5125" w:rsidRPr="00AE4366" w:rsidRDefault="00BA5125" w:rsidP="00BA5125">
            <w:pPr>
              <w:spacing w:after="200"/>
              <w:rPr>
                <w:color w:val="0D0D0D" w:themeColor="text1" w:themeTint="F2"/>
                <w:spacing w:val="-3"/>
              </w:rPr>
            </w:pPr>
            <w:r w:rsidRPr="00305A06">
              <w:rPr>
                <w:color w:val="0D0D0D" w:themeColor="text1" w:themeTint="F2"/>
                <w:spacing w:val="-3"/>
              </w:rPr>
              <w:t>Důvěra podnikatelů v průmyslu zůstávala po celý loňský rok v</w:t>
            </w:r>
            <w:r>
              <w:rPr>
                <w:color w:val="0D0D0D" w:themeColor="text1" w:themeTint="F2"/>
                <w:spacing w:val="-3"/>
              </w:rPr>
              <w:t xml:space="preserve"> mírně </w:t>
            </w:r>
            <w:r w:rsidRPr="00305A06">
              <w:rPr>
                <w:color w:val="0D0D0D" w:themeColor="text1" w:themeTint="F2"/>
                <w:spacing w:val="-3"/>
              </w:rPr>
              <w:t xml:space="preserve">negativním </w:t>
            </w:r>
            <w:r>
              <w:rPr>
                <w:color w:val="0D0D0D" w:themeColor="text1" w:themeTint="F2"/>
                <w:spacing w:val="-3"/>
              </w:rPr>
              <w:t>pásmu. Zejména v 1. pololetí 2023 se</w:t>
            </w:r>
            <w:r w:rsidRPr="00305A06">
              <w:rPr>
                <w:color w:val="0D0D0D" w:themeColor="text1" w:themeTint="F2"/>
                <w:spacing w:val="-3"/>
              </w:rPr>
              <w:t xml:space="preserve"> </w:t>
            </w:r>
            <w:r>
              <w:rPr>
                <w:color w:val="0D0D0D" w:themeColor="text1" w:themeTint="F2"/>
                <w:spacing w:val="-3"/>
              </w:rPr>
              <w:t xml:space="preserve">snižovala </w:t>
            </w:r>
            <w:r w:rsidRPr="00305A06">
              <w:rPr>
                <w:color w:val="0D0D0D" w:themeColor="text1" w:themeTint="F2"/>
                <w:spacing w:val="-3"/>
              </w:rPr>
              <w:t>vlivem zhoršujících se hospodářských výhledů v klíčových expo</w:t>
            </w:r>
            <w:r>
              <w:rPr>
                <w:color w:val="0D0D0D" w:themeColor="text1" w:themeTint="F2"/>
                <w:spacing w:val="-3"/>
              </w:rPr>
              <w:t xml:space="preserve">rtních destinacích. </w:t>
            </w:r>
            <w:r w:rsidRPr="00305A06">
              <w:rPr>
                <w:color w:val="0D0D0D" w:themeColor="text1" w:themeTint="F2"/>
                <w:spacing w:val="-3"/>
              </w:rPr>
              <w:t>V</w:t>
            </w:r>
            <w:r>
              <w:rPr>
                <w:color w:val="0D0D0D" w:themeColor="text1" w:themeTint="F2"/>
                <w:spacing w:val="-3"/>
              </w:rPr>
              <w:t> září dosáhla tříletého minima. Příznivější vývoj, podpořený posílením optimismu výrobců motorových vozidel patrným ve 4. čtvrtletí, skončil s nástupem letošního roku. Aktuálně narůstající pesimismus souvisí se zhoršeným hodnocením u poptávky (zejména zahraniční), krátkodobých očekávání vlastní výroby, hospodářské situace podniku i mírným růstem zásob hotových výrobků. Již skoro polovina podniků (nejvíce za posledních tři a půl roku) uvedla letos v únoru nedostatečnou poptávku jako jednu z bariér růstu</w:t>
            </w:r>
            <w:r w:rsidRPr="005A37A7">
              <w:rPr>
                <w:rStyle w:val="Znakapoznpodarou"/>
                <w:color w:val="0D0D0D" w:themeColor="text1" w:themeTint="F2"/>
                <w:spacing w:val="-3"/>
              </w:rPr>
              <w:footnoteReference w:id="30"/>
            </w:r>
            <w:r>
              <w:rPr>
                <w:color w:val="0D0D0D" w:themeColor="text1" w:themeTint="F2"/>
                <w:spacing w:val="-3"/>
              </w:rPr>
              <w:t>. Naopak nedostatek pracovníků limitoval méně než 15 % podniků</w:t>
            </w:r>
            <w:r>
              <w:rPr>
                <w:rStyle w:val="Znakapoznpodarou"/>
                <w:color w:val="0D0D0D" w:themeColor="text1" w:themeTint="F2"/>
                <w:spacing w:val="-3"/>
              </w:rPr>
              <w:footnoteReference w:id="31"/>
            </w:r>
            <w:r>
              <w:rPr>
                <w:color w:val="0D0D0D" w:themeColor="text1" w:themeTint="F2"/>
                <w:spacing w:val="-3"/>
              </w:rPr>
              <w:t>. Po příznivém vývoji ve 2. pololetí 2023 se nedostupnost materiálu a zařízení stává aktuálně opět palčivějším problémem, jenž limituje skoro třetinu podniků</w:t>
            </w:r>
            <w:r>
              <w:rPr>
                <w:rStyle w:val="Znakapoznpodarou"/>
                <w:color w:val="0D0D0D" w:themeColor="text1" w:themeTint="F2"/>
                <w:spacing w:val="-3"/>
              </w:rPr>
              <w:footnoteReference w:id="32"/>
            </w:r>
            <w:r>
              <w:rPr>
                <w:color w:val="0D0D0D" w:themeColor="text1" w:themeTint="F2"/>
                <w:spacing w:val="-3"/>
              </w:rPr>
              <w:t>, což je však stále méně než na počátku loňského roku.</w:t>
            </w:r>
          </w:p>
        </w:tc>
      </w:tr>
      <w:tr w:rsidR="00BA5125" w:rsidRPr="00784EC8" w14:paraId="3A608136" w14:textId="77777777" w:rsidTr="00BA5125">
        <w:trPr>
          <w:trHeight w:val="170"/>
        </w:trPr>
        <w:tc>
          <w:tcPr>
            <w:tcW w:w="1814" w:type="dxa"/>
            <w:tcBorders>
              <w:top w:val="nil"/>
              <w:left w:val="nil"/>
              <w:bottom w:val="nil"/>
              <w:right w:val="nil"/>
            </w:tcBorders>
            <w:shd w:val="clear" w:color="auto" w:fill="auto"/>
            <w:tcMar>
              <w:left w:w="0" w:type="dxa"/>
            </w:tcMar>
          </w:tcPr>
          <w:p w14:paraId="72FE1E35" w14:textId="77777777" w:rsidR="00BA5125" w:rsidRDefault="00BA5125" w:rsidP="00BA5125">
            <w:pPr>
              <w:pStyle w:val="Marginlie"/>
              <w:rPr>
                <w:color w:val="0D0D0D" w:themeColor="text1" w:themeTint="F2"/>
                <w:spacing w:val="-4"/>
              </w:rPr>
            </w:pPr>
            <w:r>
              <w:rPr>
                <w:color w:val="0D0D0D" w:themeColor="text1" w:themeTint="F2"/>
                <w:spacing w:val="-4"/>
              </w:rPr>
              <w:t xml:space="preserve">Výkon stavebnictví stále ovlivňovaly významné nákladové tlaky i slábnoucí soukromá investiční aktivita. </w:t>
            </w:r>
          </w:p>
        </w:tc>
        <w:tc>
          <w:tcPr>
            <w:tcW w:w="229" w:type="dxa"/>
            <w:tcBorders>
              <w:top w:val="nil"/>
              <w:left w:val="nil"/>
              <w:bottom w:val="nil"/>
              <w:right w:val="nil"/>
            </w:tcBorders>
            <w:shd w:val="clear" w:color="auto" w:fill="auto"/>
            <w:tcMar>
              <w:left w:w="0" w:type="dxa"/>
            </w:tcMar>
          </w:tcPr>
          <w:p w14:paraId="19D9D596"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54E3988F" w14:textId="77777777" w:rsidR="00BA5125" w:rsidRDefault="00BA5125" w:rsidP="00BA5125">
            <w:pPr>
              <w:spacing w:after="200"/>
              <w:rPr>
                <w:color w:val="0D0D0D" w:themeColor="text1" w:themeTint="F2"/>
                <w:spacing w:val="-6"/>
              </w:rPr>
            </w:pPr>
            <w:r>
              <w:rPr>
                <w:color w:val="0D0D0D" w:themeColor="text1" w:themeTint="F2"/>
                <w:spacing w:val="-6"/>
              </w:rPr>
              <w:t>Na s</w:t>
            </w:r>
            <w:r w:rsidRPr="0036189F">
              <w:rPr>
                <w:color w:val="0D0D0D" w:themeColor="text1" w:themeTint="F2"/>
                <w:spacing w:val="-6"/>
              </w:rPr>
              <w:t xml:space="preserve">tavebnictví </w:t>
            </w:r>
            <w:r>
              <w:rPr>
                <w:color w:val="0D0D0D" w:themeColor="text1" w:themeTint="F2"/>
                <w:spacing w:val="-6"/>
              </w:rPr>
              <w:t>loni působily</w:t>
            </w:r>
            <w:r w:rsidRPr="0036189F">
              <w:rPr>
                <w:color w:val="0D0D0D" w:themeColor="text1" w:themeTint="F2"/>
                <w:spacing w:val="-6"/>
              </w:rPr>
              <w:t xml:space="preserve"> </w:t>
            </w:r>
            <w:r>
              <w:rPr>
                <w:color w:val="0D0D0D" w:themeColor="text1" w:themeTint="F2"/>
                <w:spacing w:val="-6"/>
              </w:rPr>
              <w:t>přetrvávající nákladové tlaky i slabá investiční aktivita v soukromé sféře. Ačkoli meziroční růst cen stavebních materiálů zmírňoval (v září dokonce již ceny po více než třech letech nepatrně klesly), výraznějšímu poklesu realizovaných i očekávaných cen stavební výroby</w:t>
            </w:r>
            <w:r>
              <w:rPr>
                <w:rStyle w:val="Znakapoznpodarou"/>
                <w:color w:val="0D0D0D" w:themeColor="text1" w:themeTint="F2"/>
                <w:spacing w:val="-6"/>
              </w:rPr>
              <w:footnoteReference w:id="33"/>
            </w:r>
            <w:r>
              <w:rPr>
                <w:color w:val="0D0D0D" w:themeColor="text1" w:themeTint="F2"/>
                <w:spacing w:val="-6"/>
              </w:rPr>
              <w:t xml:space="preserve"> bránil svižný růst pracovních nákladů ovlivněný </w:t>
            </w:r>
            <w:r w:rsidRPr="000F6F33">
              <w:rPr>
                <w:color w:val="0D0D0D" w:themeColor="text1" w:themeTint="F2"/>
                <w:spacing w:val="-4"/>
              </w:rPr>
              <w:t xml:space="preserve">chronickým nedostatkem </w:t>
            </w:r>
            <w:r>
              <w:rPr>
                <w:color w:val="0D0D0D" w:themeColor="text1" w:themeTint="F2"/>
                <w:spacing w:val="-4"/>
              </w:rPr>
              <w:t xml:space="preserve">(zejména </w:t>
            </w:r>
            <w:r w:rsidRPr="000F6F33">
              <w:rPr>
                <w:color w:val="0D0D0D" w:themeColor="text1" w:themeTint="F2"/>
                <w:spacing w:val="-4"/>
              </w:rPr>
              <w:t>kvalifikované</w:t>
            </w:r>
            <w:r>
              <w:rPr>
                <w:color w:val="0D0D0D" w:themeColor="text1" w:themeTint="F2"/>
                <w:spacing w:val="-4"/>
              </w:rPr>
              <w:t>) pracovní síly</w:t>
            </w:r>
            <w:r w:rsidRPr="000F6F33">
              <w:rPr>
                <w:color w:val="0D0D0D" w:themeColor="text1" w:themeTint="F2"/>
                <w:spacing w:val="-4"/>
              </w:rPr>
              <w:t xml:space="preserve">. </w:t>
            </w:r>
            <w:r w:rsidRPr="000F6F33">
              <w:rPr>
                <w:rStyle w:val="normaltextrun"/>
                <w:rFonts w:eastAsia="MS Gothic" w:cs="Arial"/>
                <w:spacing w:val="-4"/>
                <w:szCs w:val="20"/>
              </w:rPr>
              <w:t>Zhoršená finanční situace domácností</w:t>
            </w:r>
            <w:r>
              <w:rPr>
                <w:rStyle w:val="normaltextrun"/>
                <w:rFonts w:eastAsia="MS Gothic" w:cs="Arial"/>
                <w:szCs w:val="20"/>
              </w:rPr>
              <w:t xml:space="preserve"> spolu se sníženou dostupností hypoték</w:t>
            </w:r>
            <w:r>
              <w:rPr>
                <w:rStyle w:val="Znakapoznpodarou"/>
                <w:rFonts w:eastAsia="MS Gothic"/>
                <w:szCs w:val="20"/>
              </w:rPr>
              <w:footnoteReference w:id="34"/>
            </w:r>
            <w:r>
              <w:rPr>
                <w:rStyle w:val="normaltextrun"/>
                <w:rFonts w:eastAsia="MS Gothic" w:cs="Arial"/>
                <w:szCs w:val="20"/>
              </w:rPr>
              <w:t xml:space="preserve"> zásadně ochladily loňský boom realitního trhu. Proti hlubšímu útlumu výkonu stavebnictví naopak působily veřejné investice</w:t>
            </w:r>
            <w:r>
              <w:rPr>
                <w:rStyle w:val="Znakapoznpodarou"/>
                <w:rFonts w:eastAsia="MS Gothic"/>
                <w:szCs w:val="20"/>
              </w:rPr>
              <w:footnoteReference w:id="35"/>
            </w:r>
            <w:r>
              <w:rPr>
                <w:rStyle w:val="normaltextrun"/>
                <w:rFonts w:eastAsia="MS Gothic" w:cs="Arial"/>
                <w:szCs w:val="20"/>
              </w:rPr>
              <w:t>, resp. sílící příliv prostředků z rozpočtu EU určený na výstavbu i modernizaci dopravní infrastruktury či na snížení energetické náročnosti v oblasti bydlení.</w:t>
            </w:r>
          </w:p>
        </w:tc>
      </w:tr>
      <w:tr w:rsidR="00BA5125" w:rsidRPr="00784EC8" w14:paraId="4B6D923C" w14:textId="77777777" w:rsidTr="00BA5125">
        <w:trPr>
          <w:trHeight w:val="170"/>
        </w:trPr>
        <w:tc>
          <w:tcPr>
            <w:tcW w:w="1814" w:type="dxa"/>
            <w:tcBorders>
              <w:top w:val="nil"/>
              <w:left w:val="nil"/>
              <w:bottom w:val="nil"/>
              <w:right w:val="nil"/>
            </w:tcBorders>
            <w:shd w:val="clear" w:color="auto" w:fill="auto"/>
            <w:tcMar>
              <w:left w:w="0" w:type="dxa"/>
            </w:tcMar>
          </w:tcPr>
          <w:p w14:paraId="2349D799" w14:textId="77777777" w:rsidR="00BA5125" w:rsidRDefault="00BA5125" w:rsidP="00BA5125">
            <w:pPr>
              <w:pStyle w:val="Marginlie"/>
              <w:rPr>
                <w:color w:val="0D0D0D" w:themeColor="text1" w:themeTint="F2"/>
                <w:spacing w:val="-4"/>
              </w:rPr>
            </w:pPr>
            <w:r>
              <w:rPr>
                <w:color w:val="0D0D0D" w:themeColor="text1" w:themeTint="F2"/>
                <w:spacing w:val="-4"/>
              </w:rPr>
              <w:t>Po mírném oživení v letech 2021 i 2022 se stavební produkce loni snížila, klesly pozemní i inženýrské stavitelství.</w:t>
            </w:r>
          </w:p>
        </w:tc>
        <w:tc>
          <w:tcPr>
            <w:tcW w:w="229" w:type="dxa"/>
            <w:tcBorders>
              <w:top w:val="nil"/>
              <w:left w:val="nil"/>
              <w:bottom w:val="nil"/>
              <w:right w:val="nil"/>
            </w:tcBorders>
            <w:shd w:val="clear" w:color="auto" w:fill="auto"/>
            <w:tcMar>
              <w:left w:w="0" w:type="dxa"/>
            </w:tcMar>
          </w:tcPr>
          <w:p w14:paraId="62E0E065"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680D7E65" w14:textId="77777777" w:rsidR="00BA5125" w:rsidRDefault="00BA5125" w:rsidP="00BA5125">
            <w:pPr>
              <w:spacing w:after="0"/>
              <w:rPr>
                <w:color w:val="0D0D0D" w:themeColor="text1" w:themeTint="F2"/>
                <w:spacing w:val="-6"/>
              </w:rPr>
            </w:pPr>
            <w:r>
              <w:rPr>
                <w:color w:val="0D0D0D" w:themeColor="text1" w:themeTint="F2"/>
                <w:spacing w:val="-6"/>
              </w:rPr>
              <w:t>S</w:t>
            </w:r>
            <w:r w:rsidRPr="0047559F">
              <w:rPr>
                <w:color w:val="0D0D0D" w:themeColor="text1" w:themeTint="F2"/>
                <w:spacing w:val="-6"/>
              </w:rPr>
              <w:t>tavební produkce</w:t>
            </w:r>
            <w:r w:rsidRPr="0047559F">
              <w:rPr>
                <w:rStyle w:val="Znakapoznpodarou"/>
                <w:color w:val="0D0D0D" w:themeColor="text1" w:themeTint="F2"/>
                <w:spacing w:val="-6"/>
              </w:rPr>
              <w:footnoteReference w:id="36"/>
            </w:r>
            <w:r>
              <w:rPr>
                <w:color w:val="0D0D0D" w:themeColor="text1" w:themeTint="F2"/>
                <w:spacing w:val="-6"/>
              </w:rPr>
              <w:t xml:space="preserve"> sice na počátku roku 2023 </w:t>
            </w:r>
            <w:proofErr w:type="spellStart"/>
            <w:r>
              <w:rPr>
                <w:color w:val="0D0D0D" w:themeColor="text1" w:themeTint="F2"/>
                <w:spacing w:val="-6"/>
              </w:rPr>
              <w:t>mezikvartálně</w:t>
            </w:r>
            <w:proofErr w:type="spellEnd"/>
            <w:r>
              <w:rPr>
                <w:color w:val="0D0D0D" w:themeColor="text1" w:themeTint="F2"/>
                <w:spacing w:val="-6"/>
              </w:rPr>
              <w:t xml:space="preserve"> vzrostla o 1,8 % (zčásti díky velmi mírné zimě, jež pomohla zejména pozemnímu stavitelství), v následujícím kvartálu se však výrazněji snížila (o 2,8 %). Ve 2. pololetí sestupný trend produkce pokračoval, byť mírnějšími tempy. Na sklonku roku tak výkon celého odvětví za vrcholem z období poslední konjunk</w:t>
            </w:r>
            <w:r w:rsidRPr="008D1961">
              <w:rPr>
                <w:color w:val="0D0D0D" w:themeColor="text1" w:themeTint="F2"/>
                <w:spacing w:val="-6"/>
              </w:rPr>
              <w:t>tury</w:t>
            </w:r>
            <w:r>
              <w:rPr>
                <w:color w:val="0D0D0D" w:themeColor="text1" w:themeTint="F2"/>
                <w:spacing w:val="-6"/>
              </w:rPr>
              <w:t xml:space="preserve"> (3. čtvrtletí 2019) bezmála o 6 % zaostával (z toho pozemní stavitelství o 8,3 %). Ve srovnání se stejným obdobím předcházejícího roku klesala stavební produkce ve všech loňských čtvrtletích a za celý rok 2023 pak o 2,4 %, k čemuž přispělo především pozemní stavitelství (</w:t>
            </w:r>
            <w:r>
              <w:rPr>
                <w:color w:val="0D0D0D" w:themeColor="text1" w:themeTint="F2"/>
                <w:spacing w:val="-2"/>
              </w:rPr>
              <w:t>−</w:t>
            </w:r>
            <w:r>
              <w:rPr>
                <w:color w:val="0D0D0D" w:themeColor="text1" w:themeTint="F2"/>
                <w:spacing w:val="-6"/>
              </w:rPr>
              <w:t>0,9 p. b.).</w:t>
            </w:r>
          </w:p>
          <w:p w14:paraId="68B6E49F" w14:textId="77777777" w:rsidR="00BA5125" w:rsidRDefault="00BA5125" w:rsidP="00BA5125">
            <w:pPr>
              <w:spacing w:after="0"/>
              <w:rPr>
                <w:color w:val="0D0D0D" w:themeColor="text1" w:themeTint="F2"/>
                <w:spacing w:val="-6"/>
              </w:rPr>
            </w:pPr>
          </w:p>
        </w:tc>
      </w:tr>
      <w:tr w:rsidR="00BA5125" w:rsidRPr="00784EC8" w14:paraId="185C7D66" w14:textId="77777777" w:rsidTr="00BA5125">
        <w:trPr>
          <w:trHeight w:val="170"/>
        </w:trPr>
        <w:tc>
          <w:tcPr>
            <w:tcW w:w="1814" w:type="dxa"/>
            <w:tcBorders>
              <w:top w:val="nil"/>
              <w:left w:val="nil"/>
              <w:bottom w:val="nil"/>
              <w:right w:val="nil"/>
            </w:tcBorders>
            <w:shd w:val="clear" w:color="auto" w:fill="auto"/>
            <w:tcMar>
              <w:left w:w="0" w:type="dxa"/>
            </w:tcMar>
          </w:tcPr>
          <w:p w14:paraId="458FE5E8" w14:textId="77777777" w:rsidR="00BA5125" w:rsidRDefault="00BA5125" w:rsidP="00BA5125">
            <w:pPr>
              <w:pStyle w:val="Marginlie"/>
              <w:rPr>
                <w:color w:val="0D0D0D" w:themeColor="text1" w:themeTint="F2"/>
                <w:spacing w:val="-4"/>
              </w:rPr>
            </w:pPr>
            <w:r>
              <w:rPr>
                <w:color w:val="0D0D0D" w:themeColor="text1" w:themeTint="F2"/>
                <w:spacing w:val="-4"/>
              </w:rPr>
              <w:t xml:space="preserve">Pokles poptávky se zřetelně otiskl v zahajované bytové výstavbě, kde se výrazně </w:t>
            </w:r>
            <w:r>
              <w:rPr>
                <w:color w:val="0D0D0D" w:themeColor="text1" w:themeTint="F2"/>
                <w:spacing w:val="-4"/>
              </w:rPr>
              <w:lastRenderedPageBreak/>
              <w:t>propadl počet bytů v rodinných domech.</w:t>
            </w:r>
          </w:p>
          <w:p w14:paraId="3C73D484" w14:textId="77777777" w:rsidR="00BA5125" w:rsidRDefault="00BA5125" w:rsidP="00BA5125">
            <w:pPr>
              <w:pStyle w:val="Marginlie"/>
              <w:rPr>
                <w:color w:val="0D0D0D" w:themeColor="text1" w:themeTint="F2"/>
                <w:spacing w:val="-4"/>
              </w:rPr>
            </w:pPr>
          </w:p>
          <w:p w14:paraId="42ACA09F" w14:textId="77777777" w:rsidR="00BA5125" w:rsidRDefault="00BA5125" w:rsidP="00BA5125">
            <w:pPr>
              <w:pStyle w:val="Marginlie"/>
              <w:rPr>
                <w:color w:val="0D0D0D" w:themeColor="text1" w:themeTint="F2"/>
                <w:spacing w:val="-4"/>
              </w:rPr>
            </w:pPr>
          </w:p>
          <w:p w14:paraId="739AD757" w14:textId="77777777" w:rsidR="00BA5125" w:rsidRDefault="00BA5125" w:rsidP="00BA5125">
            <w:pPr>
              <w:pStyle w:val="Marginlie"/>
              <w:rPr>
                <w:color w:val="0D0D0D" w:themeColor="text1" w:themeTint="F2"/>
                <w:spacing w:val="-4"/>
              </w:rPr>
            </w:pPr>
            <w:r>
              <w:rPr>
                <w:color w:val="0D0D0D" w:themeColor="text1" w:themeTint="F2"/>
                <w:spacing w:val="-4"/>
              </w:rPr>
              <w:t>Počet dokončených bytů v bytových domech stále konkuroval rozsahu výstavby z konjunkturních let nulté dekády.</w:t>
            </w:r>
          </w:p>
          <w:p w14:paraId="16440DCF" w14:textId="77777777" w:rsidR="00BA5125" w:rsidRPr="00784EC8" w:rsidRDefault="00BA5125" w:rsidP="00BA5125">
            <w:pPr>
              <w:pStyle w:val="Marginlie"/>
              <w:rPr>
                <w:color w:val="0D0D0D" w:themeColor="text1" w:themeTint="F2"/>
                <w:spacing w:val="-4"/>
              </w:rPr>
            </w:pPr>
          </w:p>
        </w:tc>
        <w:tc>
          <w:tcPr>
            <w:tcW w:w="229" w:type="dxa"/>
            <w:tcBorders>
              <w:top w:val="nil"/>
              <w:left w:val="nil"/>
              <w:bottom w:val="nil"/>
              <w:right w:val="nil"/>
            </w:tcBorders>
            <w:shd w:val="clear" w:color="auto" w:fill="auto"/>
            <w:tcMar>
              <w:left w:w="0" w:type="dxa"/>
            </w:tcMar>
          </w:tcPr>
          <w:p w14:paraId="4BD27293"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638249F7" w14:textId="77777777" w:rsidR="00BA5125" w:rsidRPr="00C301B8" w:rsidRDefault="00BA5125" w:rsidP="00BA5125">
            <w:pPr>
              <w:spacing w:after="200"/>
              <w:rPr>
                <w:rFonts w:eastAsia="MS Gothic" w:cs="Arial"/>
                <w:spacing w:val="-2"/>
                <w:szCs w:val="20"/>
              </w:rPr>
            </w:pPr>
            <w:r w:rsidRPr="505056C0">
              <w:t xml:space="preserve">„Zamrznutí“ realitního trhu se stále </w:t>
            </w:r>
            <w:r>
              <w:t xml:space="preserve">zřetelněji </w:t>
            </w:r>
            <w:r w:rsidRPr="505056C0">
              <w:t>odráželo v nízké intenzitě zahajované výstavby, hlavně rodinných domů.</w:t>
            </w:r>
            <w:r>
              <w:t xml:space="preserve"> Pokles výstavby započatý v roce 2022 se loni prohloubil (na 15,5 % meziročně). </w:t>
            </w:r>
            <w:r>
              <w:rPr>
                <w:color w:val="0D0D0D" w:themeColor="text1" w:themeTint="F2"/>
                <w:spacing w:val="-6"/>
              </w:rPr>
              <w:t xml:space="preserve">Nejvíce se snížila výstavba rodinných domů, kde byl </w:t>
            </w:r>
            <w:r>
              <w:rPr>
                <w:rStyle w:val="normaltextrun"/>
                <w:rFonts w:eastAsia="MS Gothic" w:cs="Arial"/>
                <w:spacing w:val="-4"/>
                <w:szCs w:val="20"/>
              </w:rPr>
              <w:lastRenderedPageBreak/>
              <w:t>v</w:t>
            </w:r>
            <w:r w:rsidRPr="00713180">
              <w:rPr>
                <w:rStyle w:val="normaltextrun"/>
                <w:rFonts w:eastAsia="MS Gothic" w:cs="Arial"/>
                <w:spacing w:val="-4"/>
                <w:szCs w:val="20"/>
              </w:rPr>
              <w:t>livem vysokých finančních nákladů i nedostatku pracovníků</w:t>
            </w:r>
            <w:r>
              <w:rPr>
                <w:rStyle w:val="normaltextrun"/>
                <w:rFonts w:eastAsia="MS Gothic" w:cs="Arial"/>
                <w:szCs w:val="20"/>
              </w:rPr>
              <w:t xml:space="preserve"> (hlavně v menších stavebních firmách) </w:t>
            </w:r>
            <w:r>
              <w:rPr>
                <w:color w:val="0D0D0D" w:themeColor="text1" w:themeTint="F2"/>
                <w:spacing w:val="-6"/>
              </w:rPr>
              <w:t>počet zahájených bytů nejnižší za posledních osm let (14,6 tis.), k poklesu došlo ale i ve všech dalších segmentech výstavby (vyjma úprav stávajících bytových domů).</w:t>
            </w:r>
            <w:r>
              <w:rPr>
                <w:rStyle w:val="normaltextrun"/>
                <w:rFonts w:eastAsia="MS Gothic" w:cs="Arial"/>
                <w:szCs w:val="20"/>
              </w:rPr>
              <w:t xml:space="preserve"> Počet dokončených bytů vlivem vysoké </w:t>
            </w:r>
            <w:r w:rsidRPr="00D1005F">
              <w:rPr>
                <w:rStyle w:val="normaltextrun"/>
                <w:rFonts w:eastAsia="MS Gothic" w:cs="Arial"/>
                <w:spacing w:val="-2"/>
                <w:szCs w:val="20"/>
              </w:rPr>
              <w:t xml:space="preserve">rozestavěnosti z předchozích </w:t>
            </w:r>
            <w:r>
              <w:rPr>
                <w:rStyle w:val="normaltextrun"/>
                <w:rFonts w:eastAsia="MS Gothic" w:cs="Arial"/>
                <w:spacing w:val="-2"/>
                <w:szCs w:val="20"/>
              </w:rPr>
              <w:t>let loni klesl jen mírně (o 3,4 %), k čemuž opět nejvíce přispěla slabší výstavba rodinných domů. Naopak v kategorii bytových domů se počet bytů potřetí v řadě meziročně zvýšil a činil 14,2 tis. (vyšší výstavba v éře samostatné ČR byla docílena jen v roce 2007, a to 18,2 tis.). Více než třetina z celkového počtu všech dokončených bytů v Česku dlouhodobě připadá na Prahu a Středočeský kraj.</w:t>
            </w:r>
          </w:p>
        </w:tc>
      </w:tr>
      <w:tr w:rsidR="00BA5125" w:rsidRPr="00D232BB" w14:paraId="3F96B3FE" w14:textId="77777777" w:rsidTr="00BA5125">
        <w:trPr>
          <w:trHeight w:val="170"/>
        </w:trPr>
        <w:tc>
          <w:tcPr>
            <w:tcW w:w="1814" w:type="dxa"/>
            <w:vMerge w:val="restart"/>
            <w:tcBorders>
              <w:top w:val="nil"/>
              <w:left w:val="nil"/>
              <w:bottom w:val="nil"/>
              <w:right w:val="nil"/>
            </w:tcBorders>
            <w:shd w:val="clear" w:color="auto" w:fill="auto"/>
            <w:tcMar>
              <w:left w:w="0" w:type="dxa"/>
            </w:tcMar>
          </w:tcPr>
          <w:p w14:paraId="2F435E6A" w14:textId="77777777" w:rsidR="00BA5125" w:rsidRDefault="00BA5125" w:rsidP="00BA5125">
            <w:pPr>
              <w:pStyle w:val="Marginlie"/>
            </w:pPr>
          </w:p>
        </w:tc>
        <w:tc>
          <w:tcPr>
            <w:tcW w:w="229" w:type="dxa"/>
            <w:vMerge w:val="restart"/>
            <w:tcBorders>
              <w:top w:val="nil"/>
              <w:left w:val="nil"/>
              <w:bottom w:val="nil"/>
              <w:right w:val="nil"/>
            </w:tcBorders>
            <w:shd w:val="clear" w:color="auto" w:fill="auto"/>
            <w:tcMar>
              <w:left w:w="0" w:type="dxa"/>
            </w:tcMar>
          </w:tcPr>
          <w:p w14:paraId="4689D05D"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300B610B" w14:textId="77777777" w:rsidR="00BA5125" w:rsidRPr="00D232BB" w:rsidRDefault="00BA5125" w:rsidP="00BA5125">
            <w:pPr>
              <w:spacing w:after="20"/>
              <w:rPr>
                <w:rFonts w:cs="Arial"/>
                <w:bCs/>
              </w:rPr>
            </w:pPr>
            <w:r w:rsidRPr="006E759E">
              <w:rPr>
                <w:b/>
                <w:spacing w:val="-5"/>
              </w:rPr>
              <w:t xml:space="preserve">Graf č. 6 Příspěvky odvětví k meziroční změně stavební produkce </w:t>
            </w:r>
            <w:r w:rsidRPr="006E759E">
              <w:rPr>
                <w:spacing w:val="-5"/>
              </w:rPr>
              <w:t>(reálně, v p. b.)</w:t>
            </w:r>
            <w:r w:rsidRPr="006E759E">
              <w:rPr>
                <w:b/>
                <w:bCs/>
                <w:spacing w:val="-5"/>
              </w:rPr>
              <w:t>,</w:t>
            </w:r>
            <w:r w:rsidRPr="006E759E">
              <w:rPr>
                <w:b/>
                <w:bCs/>
                <w:spacing w:val="-5"/>
              </w:rPr>
              <w:br/>
            </w:r>
            <w:r w:rsidRPr="006E759E">
              <w:rPr>
                <w:b/>
                <w:spacing w:val="-5"/>
              </w:rPr>
              <w:t xml:space="preserve">nové stavební zakázky </w:t>
            </w:r>
            <w:r w:rsidRPr="006E759E">
              <w:rPr>
                <w:spacing w:val="-5"/>
              </w:rPr>
              <w:t>(</w:t>
            </w:r>
            <w:r w:rsidRPr="006E759E">
              <w:rPr>
                <w:bCs/>
                <w:spacing w:val="-5"/>
              </w:rPr>
              <w:t xml:space="preserve">nominálně, </w:t>
            </w:r>
            <w:r w:rsidRPr="006E759E">
              <w:rPr>
                <w:spacing w:val="-5"/>
              </w:rPr>
              <w:t>meziročně,</w:t>
            </w:r>
            <w:r w:rsidRPr="006E759E">
              <w:rPr>
                <w:bCs/>
                <w:spacing w:val="-5"/>
              </w:rPr>
              <w:t xml:space="preserve"> v %)</w:t>
            </w:r>
            <w:r w:rsidRPr="006E759E">
              <w:rPr>
                <w:b/>
                <w:spacing w:val="-5"/>
              </w:rPr>
              <w:t>, saldo důvěry podnikatelů ve stavebnictví*</w:t>
            </w:r>
            <w:r w:rsidRPr="006E759E">
              <w:rPr>
                <w:spacing w:val="-5"/>
              </w:rPr>
              <w:t xml:space="preserve"> (v p. b., pravá osa) </w:t>
            </w:r>
            <w:r w:rsidRPr="006E759E">
              <w:rPr>
                <w:b/>
                <w:spacing w:val="-5"/>
              </w:rPr>
              <w:t>a vybrané bariéry růstu</w:t>
            </w:r>
            <w:r w:rsidRPr="006E759E">
              <w:rPr>
                <w:spacing w:val="-5"/>
              </w:rPr>
              <w:t>* (v %, pravá osa)</w:t>
            </w:r>
          </w:p>
        </w:tc>
      </w:tr>
      <w:tr w:rsidR="00BA5125" w:rsidRPr="0067514E" w14:paraId="37FB4DDE" w14:textId="77777777" w:rsidTr="00BA5125">
        <w:tblPrEx>
          <w:tblCellMar>
            <w:left w:w="70" w:type="dxa"/>
            <w:right w:w="70" w:type="dxa"/>
          </w:tblCellMar>
        </w:tblPrEx>
        <w:trPr>
          <w:trHeight w:val="170"/>
        </w:trPr>
        <w:tc>
          <w:tcPr>
            <w:tcW w:w="1814" w:type="dxa"/>
            <w:vMerge/>
            <w:tcBorders>
              <w:top w:val="nil"/>
              <w:left w:val="nil"/>
              <w:bottom w:val="nil"/>
              <w:right w:val="nil"/>
            </w:tcBorders>
            <w:shd w:val="clear" w:color="auto" w:fill="auto"/>
          </w:tcPr>
          <w:p w14:paraId="1383FEAD" w14:textId="77777777" w:rsidR="00BA5125" w:rsidRDefault="00BA5125" w:rsidP="00BA5125">
            <w:pPr>
              <w:pStyle w:val="Marginlie"/>
            </w:pPr>
          </w:p>
        </w:tc>
        <w:tc>
          <w:tcPr>
            <w:tcW w:w="229" w:type="dxa"/>
            <w:vMerge/>
            <w:tcBorders>
              <w:top w:val="nil"/>
              <w:left w:val="nil"/>
              <w:bottom w:val="nil"/>
              <w:right w:val="nil"/>
            </w:tcBorders>
            <w:shd w:val="clear" w:color="auto" w:fill="auto"/>
          </w:tcPr>
          <w:p w14:paraId="49CDFFC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7EDB23DA" w14:textId="77777777" w:rsidR="00BA5125" w:rsidRPr="0067514E" w:rsidRDefault="00BA5125" w:rsidP="00BA5125">
            <w:pPr>
              <w:spacing w:after="0"/>
              <w:rPr>
                <w:spacing w:val="-6"/>
              </w:rPr>
            </w:pPr>
            <w:r>
              <w:rPr>
                <w:noProof/>
              </w:rPr>
              <w:drawing>
                <wp:inline distT="0" distB="0" distL="0" distR="0" wp14:anchorId="05B570DA" wp14:editId="1CB7030F">
                  <wp:extent cx="4734560" cy="3331845"/>
                  <wp:effectExtent l="0" t="0" r="8890" b="190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BA5125" w:rsidRPr="008F2BE2" w14:paraId="56811CDE" w14:textId="77777777" w:rsidTr="00BA5125">
        <w:trPr>
          <w:trHeight w:val="170"/>
        </w:trPr>
        <w:tc>
          <w:tcPr>
            <w:tcW w:w="1814" w:type="dxa"/>
            <w:vMerge/>
            <w:tcBorders>
              <w:top w:val="nil"/>
              <w:left w:val="nil"/>
              <w:bottom w:val="nil"/>
              <w:right w:val="nil"/>
            </w:tcBorders>
            <w:shd w:val="clear" w:color="auto" w:fill="auto"/>
            <w:tcMar>
              <w:left w:w="0" w:type="dxa"/>
            </w:tcMar>
          </w:tcPr>
          <w:p w14:paraId="3EE7183D" w14:textId="77777777" w:rsidR="00BA5125" w:rsidRDefault="00BA5125" w:rsidP="00BA5125">
            <w:pPr>
              <w:pStyle w:val="Marginlie"/>
            </w:pPr>
          </w:p>
        </w:tc>
        <w:tc>
          <w:tcPr>
            <w:tcW w:w="229" w:type="dxa"/>
            <w:vMerge/>
            <w:tcBorders>
              <w:top w:val="nil"/>
              <w:left w:val="nil"/>
              <w:bottom w:val="nil"/>
              <w:right w:val="nil"/>
            </w:tcBorders>
            <w:shd w:val="clear" w:color="auto" w:fill="auto"/>
            <w:tcMar>
              <w:left w:w="0" w:type="dxa"/>
            </w:tcMar>
          </w:tcPr>
          <w:p w14:paraId="4299A6CA"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1BA069ED" w14:textId="77777777" w:rsidR="00BA5125" w:rsidRPr="00883202" w:rsidRDefault="00BA5125" w:rsidP="00BA5125">
            <w:pPr>
              <w:spacing w:after="0"/>
              <w:rPr>
                <w:rFonts w:cs="Arial"/>
                <w:sz w:val="14"/>
                <w:szCs w:val="14"/>
              </w:rPr>
            </w:pPr>
            <w:r>
              <w:rPr>
                <w:rFonts w:cs="Arial"/>
                <w:sz w:val="14"/>
                <w:szCs w:val="14"/>
              </w:rPr>
              <w:t xml:space="preserve">Poznámka: </w:t>
            </w:r>
            <w:r w:rsidRPr="00883202">
              <w:rPr>
                <w:rFonts w:cs="Arial"/>
                <w:sz w:val="14"/>
                <w:szCs w:val="14"/>
              </w:rPr>
              <w:t>Údaje o stavební produkci jsou očištěny o kalendářní vlivy.</w:t>
            </w:r>
          </w:p>
          <w:p w14:paraId="740C7B11" w14:textId="77777777" w:rsidR="00BA5125" w:rsidRDefault="00BA5125" w:rsidP="00BA5125">
            <w:pPr>
              <w:pStyle w:val="Textpoznpodarou"/>
              <w:jc w:val="both"/>
              <w:rPr>
                <w:rFonts w:cs="Arial"/>
                <w:sz w:val="14"/>
                <w:szCs w:val="14"/>
              </w:rPr>
            </w:pPr>
            <w:r w:rsidRPr="00883202">
              <w:rPr>
                <w:rFonts w:cs="Arial"/>
                <w:sz w:val="14"/>
                <w:szCs w:val="14"/>
              </w:rPr>
              <w:t>*</w:t>
            </w:r>
            <w:r w:rsidRPr="006E759E">
              <w:rPr>
                <w:rFonts w:cs="Arial"/>
                <w:spacing w:val="-2"/>
                <w:sz w:val="14"/>
                <w:szCs w:val="14"/>
              </w:rPr>
              <w:t>Saldo důvěry podnikatelů i bariéry</w:t>
            </w:r>
            <w:r w:rsidRPr="00883202">
              <w:rPr>
                <w:rFonts w:cs="Arial"/>
                <w:spacing w:val="-2"/>
                <w:sz w:val="14"/>
                <w:szCs w:val="14"/>
              </w:rPr>
              <w:t xml:space="preserve">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                                                                                                 </w:t>
            </w: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p w14:paraId="1DDA3071" w14:textId="77777777" w:rsidR="00BA5125" w:rsidRPr="008F2BE2" w:rsidRDefault="00BA5125" w:rsidP="00BA5125">
            <w:pPr>
              <w:pStyle w:val="Textpoznpodarou"/>
              <w:jc w:val="both"/>
              <w:rPr>
                <w:spacing w:val="-4"/>
                <w:sz w:val="14"/>
                <w:szCs w:val="14"/>
              </w:rPr>
            </w:pPr>
          </w:p>
        </w:tc>
      </w:tr>
      <w:tr w:rsidR="00BA5125" w14:paraId="026B331B" w14:textId="77777777" w:rsidTr="00BA5125">
        <w:trPr>
          <w:trHeight w:val="170"/>
        </w:trPr>
        <w:tc>
          <w:tcPr>
            <w:tcW w:w="1814" w:type="dxa"/>
            <w:tcBorders>
              <w:top w:val="nil"/>
              <w:left w:val="nil"/>
              <w:bottom w:val="nil"/>
              <w:right w:val="nil"/>
            </w:tcBorders>
            <w:shd w:val="clear" w:color="auto" w:fill="auto"/>
            <w:tcMar>
              <w:left w:w="0" w:type="dxa"/>
            </w:tcMar>
          </w:tcPr>
          <w:p w14:paraId="323D44DE" w14:textId="77777777" w:rsidR="00BA5125" w:rsidRDefault="00BA5125" w:rsidP="00BA5125">
            <w:pPr>
              <w:pStyle w:val="Marginlie"/>
              <w:rPr>
                <w:rFonts w:cs="Arial"/>
                <w:color w:val="0D0D0D" w:themeColor="text1" w:themeTint="F2"/>
                <w:spacing w:val="-4"/>
              </w:rPr>
            </w:pPr>
            <w:r>
              <w:rPr>
                <w:rFonts w:cs="Arial"/>
                <w:color w:val="0D0D0D" w:themeColor="text1" w:themeTint="F2"/>
                <w:spacing w:val="-4"/>
              </w:rPr>
              <w:t xml:space="preserve">Orientační hodnota povolených staveb ve </w:t>
            </w:r>
            <w:r>
              <w:rPr>
                <w:rFonts w:cs="Arial"/>
                <w:color w:val="0D0D0D" w:themeColor="text1" w:themeTint="F2"/>
                <w:spacing w:val="-4"/>
              </w:rPr>
              <w:br/>
              <w:t xml:space="preserve">4. čtvrtletí výrazněji vzrostla. Mírněji se zvýšil </w:t>
            </w:r>
            <w:r>
              <w:rPr>
                <w:rFonts w:cs="Arial"/>
                <w:color w:val="0D0D0D" w:themeColor="text1" w:themeTint="F2"/>
                <w:spacing w:val="-4"/>
              </w:rPr>
              <w:br/>
              <w:t>i objem zakázek, stále však vázla soukromá poptávka.</w:t>
            </w:r>
          </w:p>
          <w:p w14:paraId="7387D8C7" w14:textId="77777777" w:rsidR="00BA5125" w:rsidRDefault="00BA5125" w:rsidP="00BA5125">
            <w:pPr>
              <w:pStyle w:val="Marginlie"/>
              <w:rPr>
                <w:rFonts w:cs="Arial"/>
                <w:color w:val="0D0D0D" w:themeColor="text1" w:themeTint="F2"/>
                <w:spacing w:val="-4"/>
              </w:rPr>
            </w:pPr>
          </w:p>
          <w:p w14:paraId="3D944C38" w14:textId="77777777" w:rsidR="00BA5125" w:rsidRDefault="00BA5125" w:rsidP="00BA5125">
            <w:pPr>
              <w:pStyle w:val="Marginlie"/>
              <w:rPr>
                <w:rFonts w:cs="Arial"/>
                <w:color w:val="0D0D0D" w:themeColor="text1" w:themeTint="F2"/>
                <w:spacing w:val="-4"/>
              </w:rPr>
            </w:pPr>
          </w:p>
          <w:p w14:paraId="7D3CD8FB" w14:textId="77777777" w:rsidR="00BA5125" w:rsidRDefault="00BA5125" w:rsidP="00BA5125">
            <w:pPr>
              <w:pStyle w:val="Marginlie"/>
              <w:rPr>
                <w:rFonts w:cs="Arial"/>
                <w:color w:val="0D0D0D" w:themeColor="text1" w:themeTint="F2"/>
                <w:spacing w:val="-4"/>
              </w:rPr>
            </w:pPr>
          </w:p>
          <w:p w14:paraId="225D10D1" w14:textId="77777777" w:rsidR="00BA5125" w:rsidRDefault="00BA5125" w:rsidP="00BA5125">
            <w:pPr>
              <w:pStyle w:val="Marginlie"/>
              <w:rPr>
                <w:rFonts w:cs="Arial"/>
                <w:color w:val="0D0D0D" w:themeColor="text1" w:themeTint="F2"/>
                <w:spacing w:val="-4"/>
              </w:rPr>
            </w:pPr>
          </w:p>
          <w:p w14:paraId="675AF0AC" w14:textId="77777777" w:rsidR="00BA5125" w:rsidRDefault="00BA5125" w:rsidP="00BA5125">
            <w:pPr>
              <w:pStyle w:val="Marginlie"/>
              <w:rPr>
                <w:rFonts w:cs="Arial"/>
                <w:color w:val="0D0D0D" w:themeColor="text1" w:themeTint="F2"/>
                <w:spacing w:val="-4"/>
              </w:rPr>
            </w:pPr>
            <w:r>
              <w:rPr>
                <w:spacing w:val="-4"/>
              </w:rPr>
              <w:t>Pesimismus podnikatelů ve stavebnictví se letos na počátku roku snížil.</w:t>
            </w:r>
          </w:p>
          <w:p w14:paraId="26CFF304" w14:textId="77777777" w:rsidR="00BA5125" w:rsidRPr="00E16B2A" w:rsidRDefault="00BA5125" w:rsidP="00BA5125">
            <w:pPr>
              <w:pStyle w:val="Marginlie"/>
              <w:rPr>
                <w:rFonts w:cs="Arial"/>
                <w:color w:val="0D0D0D" w:themeColor="text1" w:themeTint="F2"/>
                <w:spacing w:val="-4"/>
              </w:rPr>
            </w:pPr>
          </w:p>
        </w:tc>
        <w:tc>
          <w:tcPr>
            <w:tcW w:w="229" w:type="dxa"/>
            <w:tcBorders>
              <w:top w:val="nil"/>
              <w:left w:val="nil"/>
              <w:bottom w:val="nil"/>
              <w:right w:val="nil"/>
            </w:tcBorders>
            <w:shd w:val="clear" w:color="auto" w:fill="auto"/>
            <w:tcMar>
              <w:left w:w="0" w:type="dxa"/>
            </w:tcMar>
          </w:tcPr>
          <w:p w14:paraId="12AAB5F3" w14:textId="77777777" w:rsidR="00BA5125" w:rsidRPr="00D87405" w:rsidRDefault="00BA5125" w:rsidP="00BA5125">
            <w:pPr>
              <w:pStyle w:val="Textpoznpodarou"/>
              <w:jc w:val="both"/>
              <w:rPr>
                <w:rFonts w:eastAsia="Times New Roman" w:cs="Arial"/>
                <w:color w:val="0D0D0D" w:themeColor="text1" w:themeTint="F2"/>
                <w:spacing w:val="-4"/>
              </w:rPr>
            </w:pPr>
          </w:p>
        </w:tc>
        <w:tc>
          <w:tcPr>
            <w:tcW w:w="7596" w:type="dxa"/>
            <w:tcBorders>
              <w:top w:val="nil"/>
              <w:left w:val="nil"/>
              <w:bottom w:val="nil"/>
              <w:right w:val="nil"/>
            </w:tcBorders>
            <w:shd w:val="clear" w:color="auto" w:fill="auto"/>
            <w:tcMar>
              <w:left w:w="0" w:type="dxa"/>
            </w:tcMar>
          </w:tcPr>
          <w:p w14:paraId="3A12E86B" w14:textId="77777777" w:rsidR="00BA5125" w:rsidRPr="00C301B8" w:rsidRDefault="00BA5125" w:rsidP="00BA5125">
            <w:pPr>
              <w:spacing w:after="120"/>
              <w:rPr>
                <w:color w:val="0D0D0D" w:themeColor="text1" w:themeTint="F2"/>
                <w:spacing w:val="-6"/>
              </w:rPr>
            </w:pPr>
            <w:r>
              <w:rPr>
                <w:color w:val="0D0D0D" w:themeColor="text1" w:themeTint="F2"/>
                <w:spacing w:val="-6"/>
              </w:rPr>
              <w:t>Některé p</w:t>
            </w:r>
            <w:r w:rsidRPr="00C301B8">
              <w:rPr>
                <w:color w:val="0D0D0D" w:themeColor="text1" w:themeTint="F2"/>
                <w:spacing w:val="-6"/>
              </w:rPr>
              <w:t>ředst</w:t>
            </w:r>
            <w:r>
              <w:rPr>
                <w:color w:val="0D0D0D" w:themeColor="text1" w:themeTint="F2"/>
                <w:spacing w:val="-6"/>
              </w:rPr>
              <w:t>ihové ukazatele ve stavebnictví</w:t>
            </w:r>
            <w:r w:rsidRPr="00C301B8">
              <w:rPr>
                <w:color w:val="0D0D0D" w:themeColor="text1" w:themeTint="F2"/>
                <w:spacing w:val="-6"/>
              </w:rPr>
              <w:t xml:space="preserve"> mohou zavdávat mírnému optimismu. Orientační hodnota povolených staveb vzrostla ve 4. čtvrtletí meziročně o 35 %, jen v prosinci o</w:t>
            </w:r>
            <w:r>
              <w:rPr>
                <w:color w:val="0D0D0D" w:themeColor="text1" w:themeTint="F2"/>
                <w:spacing w:val="-6"/>
              </w:rPr>
              <w:t xml:space="preserve"> 62 % </w:t>
            </w:r>
            <w:r w:rsidRPr="00C25DB9">
              <w:rPr>
                <w:color w:val="0D0D0D" w:themeColor="text1" w:themeTint="F2"/>
                <w:spacing w:val="-2"/>
              </w:rPr>
              <w:t>–</w:t>
            </w:r>
            <w:r>
              <w:rPr>
                <w:color w:val="0D0D0D" w:themeColor="text1" w:themeTint="F2"/>
                <w:spacing w:val="-6"/>
              </w:rPr>
              <w:t xml:space="preserve"> tedy na 84 mld. korun (druhou</w:t>
            </w:r>
            <w:r w:rsidRPr="00C301B8">
              <w:rPr>
                <w:color w:val="0D0D0D" w:themeColor="text1" w:themeTint="F2"/>
                <w:spacing w:val="-6"/>
              </w:rPr>
              <w:t xml:space="preserve"> nejvyšší hodnotu v historii – za červencem 2021, kdy byla </w:t>
            </w:r>
            <w:r>
              <w:rPr>
                <w:color w:val="0D0D0D" w:themeColor="text1" w:themeTint="F2"/>
                <w:spacing w:val="-6"/>
              </w:rPr>
              <w:t xml:space="preserve">v Praze </w:t>
            </w:r>
            <w:r w:rsidRPr="00C301B8">
              <w:rPr>
                <w:color w:val="0D0D0D" w:themeColor="text1" w:themeTint="F2"/>
                <w:spacing w:val="-6"/>
              </w:rPr>
              <w:t xml:space="preserve">povolena výstavba metra D). Prosincový růst měl </w:t>
            </w:r>
            <w:r>
              <w:rPr>
                <w:color w:val="0D0D0D" w:themeColor="text1" w:themeTint="F2"/>
                <w:spacing w:val="-6"/>
              </w:rPr>
              <w:t xml:space="preserve">takřka </w:t>
            </w:r>
            <w:r w:rsidRPr="00C301B8">
              <w:rPr>
                <w:color w:val="0D0D0D" w:themeColor="text1" w:themeTint="F2"/>
                <w:spacing w:val="-6"/>
              </w:rPr>
              <w:t xml:space="preserve">plošný charakter, po odečtení velkých staveb (nad 1 mld. korun) činil nominálně 20 % (reálně 17 %). Hodnota nových zakázek byla ve </w:t>
            </w:r>
            <w:r>
              <w:rPr>
                <w:color w:val="0D0D0D" w:themeColor="text1" w:themeTint="F2"/>
                <w:spacing w:val="-6"/>
              </w:rPr>
              <w:t>4. čtvrtletí meziročně vyšší o 9,3</w:t>
            </w:r>
            <w:r w:rsidRPr="00C301B8">
              <w:rPr>
                <w:color w:val="0D0D0D" w:themeColor="text1" w:themeTint="F2"/>
                <w:spacing w:val="-6"/>
              </w:rPr>
              <w:t xml:space="preserve"> % (rostla druhý kvartál v řadě), projevilo se </w:t>
            </w:r>
            <w:r>
              <w:rPr>
                <w:color w:val="0D0D0D" w:themeColor="text1" w:themeTint="F2"/>
                <w:spacing w:val="-6"/>
              </w:rPr>
              <w:t>v ní</w:t>
            </w:r>
            <w:r w:rsidRPr="00C301B8">
              <w:rPr>
                <w:color w:val="0D0D0D" w:themeColor="text1" w:themeTint="F2"/>
                <w:spacing w:val="-6"/>
              </w:rPr>
              <w:t xml:space="preserve"> oživení pozemního stavitelství. Celková zásoba práce (stav hodnoty dosud nerealizovaných zakázek) byla n</w:t>
            </w:r>
            <w:r>
              <w:rPr>
                <w:color w:val="0D0D0D" w:themeColor="text1" w:themeTint="F2"/>
                <w:spacing w:val="-6"/>
              </w:rPr>
              <w:t>a konci prosince meziročně o rovných 7</w:t>
            </w:r>
            <w:r w:rsidRPr="00C301B8">
              <w:rPr>
                <w:color w:val="0D0D0D" w:themeColor="text1" w:themeTint="F2"/>
                <w:spacing w:val="-6"/>
              </w:rPr>
              <w:t xml:space="preserve"> % vyšší, zatím ale jen díky vyšší poptávce od veřejných zadavatelů. Mírný růst poptávky, stavební činnosti i</w:t>
            </w:r>
            <w:r>
              <w:rPr>
                <w:color w:val="0D0D0D" w:themeColor="text1" w:themeTint="F2"/>
                <w:spacing w:val="-6"/>
              </w:rPr>
              <w:t> </w:t>
            </w:r>
            <w:r w:rsidRPr="00C301B8">
              <w:rPr>
                <w:color w:val="0D0D0D" w:themeColor="text1" w:themeTint="F2"/>
                <w:spacing w:val="-6"/>
              </w:rPr>
              <w:t>zaměstnanosti očekávají dle konjunkturálního šetření (leden 2024) i stavební podnikatelé. Je</w:t>
            </w:r>
            <w:r>
              <w:rPr>
                <w:color w:val="0D0D0D" w:themeColor="text1" w:themeTint="F2"/>
                <w:spacing w:val="-6"/>
              </w:rPr>
              <w:t xml:space="preserve">jich saldo důvěry bylo letos v únoru nejvyšší za posledních 15 </w:t>
            </w:r>
            <w:r w:rsidRPr="00C301B8">
              <w:rPr>
                <w:color w:val="0D0D0D" w:themeColor="text1" w:themeTint="F2"/>
                <w:spacing w:val="-6"/>
              </w:rPr>
              <w:t>měsíců.</w:t>
            </w:r>
          </w:p>
        </w:tc>
      </w:tr>
      <w:tr w:rsidR="00BA5125" w14:paraId="639218E8" w14:textId="77777777" w:rsidTr="00BA5125">
        <w:trPr>
          <w:trHeight w:val="170"/>
        </w:trPr>
        <w:tc>
          <w:tcPr>
            <w:tcW w:w="1814" w:type="dxa"/>
            <w:tcBorders>
              <w:top w:val="nil"/>
              <w:left w:val="nil"/>
              <w:bottom w:val="nil"/>
              <w:right w:val="nil"/>
            </w:tcBorders>
            <w:shd w:val="clear" w:color="auto" w:fill="auto"/>
            <w:tcMar>
              <w:left w:w="0" w:type="dxa"/>
            </w:tcMar>
          </w:tcPr>
          <w:p w14:paraId="65944B4D" w14:textId="77777777" w:rsidR="00BA5125" w:rsidRDefault="00BA5125" w:rsidP="00BA5125">
            <w:pPr>
              <w:pStyle w:val="Marginlie"/>
              <w:rPr>
                <w:color w:val="0D0D0D" w:themeColor="text1" w:themeTint="F2"/>
                <w:spacing w:val="-4"/>
              </w:rPr>
            </w:pPr>
            <w:proofErr w:type="spellStart"/>
            <w:r>
              <w:rPr>
                <w:color w:val="0D0D0D" w:themeColor="text1" w:themeTint="F2"/>
                <w:spacing w:val="-4"/>
              </w:rPr>
              <w:t>Mezikvartální</w:t>
            </w:r>
            <w:proofErr w:type="spellEnd"/>
            <w:r>
              <w:rPr>
                <w:color w:val="0D0D0D" w:themeColor="text1" w:themeTint="F2"/>
                <w:spacing w:val="-4"/>
              </w:rPr>
              <w:t xml:space="preserve"> pokles tržeb ve službách přetrvával po většinu roku. Výše tržeb opět klesla pod předkrizovou úroveň.</w:t>
            </w:r>
          </w:p>
        </w:tc>
        <w:tc>
          <w:tcPr>
            <w:tcW w:w="229" w:type="dxa"/>
            <w:tcBorders>
              <w:top w:val="nil"/>
              <w:left w:val="nil"/>
              <w:bottom w:val="nil"/>
              <w:right w:val="nil"/>
            </w:tcBorders>
            <w:shd w:val="clear" w:color="auto" w:fill="auto"/>
            <w:tcMar>
              <w:left w:w="0" w:type="dxa"/>
            </w:tcMar>
          </w:tcPr>
          <w:p w14:paraId="0519C788"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49086EDE" w14:textId="77777777" w:rsidR="00BA5125" w:rsidRPr="00690662" w:rsidRDefault="00BA5125" w:rsidP="00BA5125">
            <w:r w:rsidRPr="00C8516F">
              <w:rPr>
                <w:color w:val="0D0D0D" w:themeColor="text1" w:themeTint="F2"/>
                <w:spacing w:val="-4"/>
              </w:rPr>
              <w:t>Poptávka po službách byla po celý loňský rok utlumená. Ačkoli potenciál</w:t>
            </w:r>
            <w:r w:rsidRPr="00C8516F">
              <w:rPr>
                <w:rFonts w:cs="Arial"/>
                <w:color w:val="0D0D0D" w:themeColor="text1" w:themeTint="F2"/>
                <w:spacing w:val="-4"/>
              </w:rPr>
              <w:t xml:space="preserve"> jejího oživení se po odeznění pandemie v některých segmentech služeb (např. v cestovním ruchu) zatím zcela nevyčerpal, významnější roli hrálo to, že u řady oblastí se projevila tendence tuzemských domácností k omezování „zbytných“ výdajů. Dopady vysokého růstu cen </w:t>
            </w:r>
            <w:r>
              <w:rPr>
                <w:rFonts w:cs="Arial"/>
                <w:color w:val="0D0D0D" w:themeColor="text1" w:themeTint="F2"/>
                <w:spacing w:val="-4"/>
              </w:rPr>
              <w:br/>
            </w:r>
            <w:r w:rsidRPr="00C8516F">
              <w:rPr>
                <w:rFonts w:cs="Arial"/>
                <w:color w:val="0D0D0D" w:themeColor="text1" w:themeTint="F2"/>
                <w:spacing w:val="-4"/>
              </w:rPr>
              <w:t>i ekonomické stagnace z</w:t>
            </w:r>
            <w:r>
              <w:rPr>
                <w:rFonts w:cs="Arial"/>
                <w:color w:val="0D0D0D" w:themeColor="text1" w:themeTint="F2"/>
                <w:spacing w:val="-4"/>
              </w:rPr>
              <w:t>asáhly rovněž</w:t>
            </w:r>
            <w:r w:rsidRPr="00C8516F">
              <w:rPr>
                <w:rFonts w:cs="Arial"/>
                <w:color w:val="0D0D0D" w:themeColor="text1" w:themeTint="F2"/>
                <w:spacing w:val="-4"/>
              </w:rPr>
              <w:t xml:space="preserve"> podnikovou sféru, což vedlo ke zvýšené potřebě optimalizace výrobních nákladů (např. u podpůrných a administrativních činností).</w:t>
            </w:r>
            <w:r w:rsidRPr="00C8516F">
              <w:rPr>
                <w:color w:val="0D0D0D" w:themeColor="text1" w:themeTint="F2"/>
                <w:spacing w:val="-4"/>
              </w:rPr>
              <w:t xml:space="preserve"> </w:t>
            </w:r>
            <w:r w:rsidRPr="00C8516F">
              <w:rPr>
                <w:rFonts w:cs="Arial"/>
                <w:color w:val="0D0D0D" w:themeColor="text1" w:themeTint="F2"/>
                <w:spacing w:val="-4"/>
              </w:rPr>
              <w:t xml:space="preserve">Tržby </w:t>
            </w:r>
            <w:r w:rsidRPr="00C8516F">
              <w:rPr>
                <w:rFonts w:cs="Arial"/>
                <w:color w:val="0D0D0D" w:themeColor="text1" w:themeTint="F2"/>
                <w:spacing w:val="-4"/>
              </w:rPr>
              <w:lastRenderedPageBreak/>
              <w:t>ve službách</w:t>
            </w:r>
            <w:r w:rsidRPr="00C8516F">
              <w:rPr>
                <w:color w:val="0D0D0D" w:themeColor="text1" w:themeTint="F2"/>
                <w:spacing w:val="-4"/>
                <w:vertAlign w:val="superscript"/>
              </w:rPr>
              <w:footnoteReference w:id="37"/>
            </w:r>
            <w:r w:rsidRPr="00C8516F">
              <w:rPr>
                <w:rFonts w:cs="Arial"/>
                <w:color w:val="0D0D0D" w:themeColor="text1" w:themeTint="F2"/>
                <w:spacing w:val="-4"/>
              </w:rPr>
              <w:t xml:space="preserve"> loni na počátku roku </w:t>
            </w:r>
            <w:proofErr w:type="spellStart"/>
            <w:r w:rsidRPr="00C8516F">
              <w:rPr>
                <w:rFonts w:cs="Arial"/>
                <w:color w:val="0D0D0D" w:themeColor="text1" w:themeTint="F2"/>
                <w:spacing w:val="-4"/>
              </w:rPr>
              <w:t>mezikvartálně</w:t>
            </w:r>
            <w:proofErr w:type="spellEnd"/>
            <w:r w:rsidRPr="00C8516F">
              <w:rPr>
                <w:rFonts w:cs="Arial"/>
                <w:color w:val="0D0D0D" w:themeColor="text1" w:themeTint="F2"/>
                <w:spacing w:val="-4"/>
              </w:rPr>
              <w:t xml:space="preserve"> kl</w:t>
            </w:r>
            <w:r>
              <w:rPr>
                <w:rFonts w:cs="Arial"/>
                <w:color w:val="0D0D0D" w:themeColor="text1" w:themeTint="F2"/>
                <w:spacing w:val="-4"/>
              </w:rPr>
              <w:t>esly o 0,3</w:t>
            </w:r>
            <w:r w:rsidRPr="00C8516F">
              <w:rPr>
                <w:rFonts w:cs="Arial"/>
                <w:color w:val="0D0D0D" w:themeColor="text1" w:themeTint="F2"/>
                <w:spacing w:val="-4"/>
              </w:rPr>
              <w:t xml:space="preserve"> %, ve 2. i 3. čtvrtletí se</w:t>
            </w:r>
            <w:r>
              <w:rPr>
                <w:rFonts w:cs="Arial"/>
                <w:color w:val="0D0D0D" w:themeColor="text1" w:themeTint="F2"/>
                <w:spacing w:val="-4"/>
              </w:rPr>
              <w:t xml:space="preserve"> následně snížily o dalších 1,5</w:t>
            </w:r>
            <w:r w:rsidRPr="00C8516F">
              <w:rPr>
                <w:rFonts w:cs="Arial"/>
                <w:color w:val="0D0D0D" w:themeColor="text1" w:themeTint="F2"/>
                <w:spacing w:val="-4"/>
              </w:rPr>
              <w:t> </w:t>
            </w:r>
            <w:r>
              <w:rPr>
                <w:rFonts w:cs="Arial"/>
                <w:color w:val="0D0D0D" w:themeColor="text1" w:themeTint="F2"/>
                <w:spacing w:val="-4"/>
              </w:rPr>
              <w:t>%, resp. 1,1</w:t>
            </w:r>
            <w:r w:rsidRPr="00C8516F">
              <w:rPr>
                <w:rFonts w:cs="Arial"/>
                <w:color w:val="0D0D0D" w:themeColor="text1" w:themeTint="F2"/>
                <w:spacing w:val="-4"/>
              </w:rPr>
              <w:t xml:space="preserve"> %. </w:t>
            </w:r>
            <w:r>
              <w:rPr>
                <w:rFonts w:cs="Arial"/>
                <w:color w:val="0D0D0D" w:themeColor="text1" w:themeTint="F2"/>
                <w:spacing w:val="-4"/>
              </w:rPr>
              <w:t>Na poklesu tržeb, který započal již ve 4. čtvrtletí 2022 a skončil ve 4. čtvrtletí 2023,</w:t>
            </w:r>
            <w:r>
              <w:t xml:space="preserve"> </w:t>
            </w:r>
            <w:r w:rsidRPr="00C8516F">
              <w:rPr>
                <w:rFonts w:cs="Arial"/>
                <w:color w:val="0D0D0D" w:themeColor="text1" w:themeTint="F2"/>
                <w:spacing w:val="-4"/>
              </w:rPr>
              <w:t>mělo zásadní pod</w:t>
            </w:r>
            <w:r>
              <w:rPr>
                <w:rFonts w:cs="Arial"/>
                <w:color w:val="0D0D0D" w:themeColor="text1" w:themeTint="F2"/>
                <w:spacing w:val="-4"/>
              </w:rPr>
              <w:t>íl odvětví dopravy a skladování. P</w:t>
            </w:r>
            <w:r w:rsidRPr="00C8516F">
              <w:rPr>
                <w:rFonts w:cs="Arial"/>
                <w:color w:val="0D0D0D" w:themeColor="text1" w:themeTint="F2"/>
                <w:spacing w:val="-4"/>
              </w:rPr>
              <w:t>optávka se ovšem snižovala</w:t>
            </w:r>
            <w:r>
              <w:rPr>
                <w:rFonts w:cs="Arial"/>
                <w:color w:val="0D0D0D" w:themeColor="text1" w:themeTint="F2"/>
                <w:spacing w:val="-4"/>
              </w:rPr>
              <w:t xml:space="preserve"> </w:t>
            </w:r>
            <w:r w:rsidRPr="00C8516F">
              <w:rPr>
                <w:rFonts w:cs="Arial"/>
                <w:color w:val="0D0D0D" w:themeColor="text1" w:themeTint="F2"/>
                <w:spacing w:val="-4"/>
              </w:rPr>
              <w:t>i ve většině ostatních odvětví</w:t>
            </w:r>
            <w:r>
              <w:rPr>
                <w:rFonts w:cs="Arial"/>
                <w:color w:val="0D0D0D" w:themeColor="text1" w:themeTint="F2"/>
                <w:spacing w:val="-4"/>
              </w:rPr>
              <w:t xml:space="preserve"> služeb.</w:t>
            </w:r>
            <w:r w:rsidRPr="00C8516F">
              <w:rPr>
                <w:rFonts w:cs="Arial"/>
                <w:color w:val="0D0D0D" w:themeColor="text1" w:themeTint="F2"/>
                <w:spacing w:val="-4"/>
              </w:rPr>
              <w:t xml:space="preserve"> Na konci roku 2023 došlo ke stabilizaci, když se </w:t>
            </w:r>
            <w:proofErr w:type="spellStart"/>
            <w:r w:rsidRPr="00C8516F">
              <w:rPr>
                <w:rFonts w:cs="Arial"/>
                <w:color w:val="0D0D0D" w:themeColor="text1" w:themeTint="F2"/>
                <w:spacing w:val="-4"/>
              </w:rPr>
              <w:t>mezikvartáln</w:t>
            </w:r>
            <w:r>
              <w:rPr>
                <w:rFonts w:cs="Arial"/>
                <w:color w:val="0D0D0D" w:themeColor="text1" w:themeTint="F2"/>
                <w:spacing w:val="-4"/>
              </w:rPr>
              <w:t>í</w:t>
            </w:r>
            <w:proofErr w:type="spellEnd"/>
            <w:r>
              <w:rPr>
                <w:rFonts w:cs="Arial"/>
                <w:color w:val="0D0D0D" w:themeColor="text1" w:themeTint="F2"/>
                <w:spacing w:val="-4"/>
              </w:rPr>
              <w:t xml:space="preserve"> pokles tržeb zastavil (+0,4</w:t>
            </w:r>
            <w:r w:rsidRPr="00C8516F">
              <w:rPr>
                <w:rFonts w:cs="Arial"/>
                <w:color w:val="0D0D0D" w:themeColor="text1" w:themeTint="F2"/>
                <w:spacing w:val="-4"/>
              </w:rPr>
              <w:t xml:space="preserve"> %), v samotné dopravě a skladování ale poptávka dále slábla. Celkové tržby v</w:t>
            </w:r>
            <w:r>
              <w:rPr>
                <w:rFonts w:cs="Arial"/>
                <w:color w:val="0D0D0D" w:themeColor="text1" w:themeTint="F2"/>
                <w:spacing w:val="-4"/>
              </w:rPr>
              <w:t xml:space="preserve">e službách za svým vrcholem z období </w:t>
            </w:r>
            <w:proofErr w:type="spellStart"/>
            <w:r>
              <w:rPr>
                <w:rFonts w:cs="Arial"/>
                <w:color w:val="0D0D0D" w:themeColor="text1" w:themeTint="F2"/>
                <w:spacing w:val="-4"/>
              </w:rPr>
              <w:t>předpandemické</w:t>
            </w:r>
            <w:proofErr w:type="spellEnd"/>
            <w:r>
              <w:rPr>
                <w:rFonts w:cs="Arial"/>
                <w:color w:val="0D0D0D" w:themeColor="text1" w:themeTint="F2"/>
                <w:spacing w:val="-4"/>
              </w:rPr>
              <w:t xml:space="preserve"> konjunktury (2. čtvrtletí 2019) po většinu loňského roku mírně zaostávaly, ve 4. čtvrtletí o necelé 1 %</w:t>
            </w:r>
            <w:r w:rsidRPr="00C8516F">
              <w:rPr>
                <w:rStyle w:val="Znakapoznpodarou"/>
                <w:color w:val="0D0D0D" w:themeColor="text1" w:themeTint="F2"/>
                <w:spacing w:val="-4"/>
              </w:rPr>
              <w:footnoteReference w:id="38"/>
            </w:r>
            <w:r w:rsidRPr="00C8516F">
              <w:rPr>
                <w:rFonts w:cs="Arial"/>
                <w:color w:val="0D0D0D" w:themeColor="text1" w:themeTint="F2"/>
                <w:spacing w:val="-4"/>
              </w:rPr>
              <w:t>.</w:t>
            </w:r>
          </w:p>
        </w:tc>
      </w:tr>
      <w:tr w:rsidR="00BA5125" w14:paraId="302BD928" w14:textId="77777777" w:rsidTr="00BA5125">
        <w:trPr>
          <w:trHeight w:val="170"/>
        </w:trPr>
        <w:tc>
          <w:tcPr>
            <w:tcW w:w="1814" w:type="dxa"/>
            <w:tcBorders>
              <w:top w:val="nil"/>
              <w:left w:val="nil"/>
              <w:bottom w:val="nil"/>
              <w:right w:val="nil"/>
            </w:tcBorders>
            <w:shd w:val="clear" w:color="auto" w:fill="auto"/>
            <w:tcMar>
              <w:left w:w="0" w:type="dxa"/>
            </w:tcMar>
          </w:tcPr>
          <w:p w14:paraId="76D26973" w14:textId="77777777" w:rsidR="00BA5125" w:rsidRDefault="00BA5125" w:rsidP="00BA5125">
            <w:pPr>
              <w:pStyle w:val="Marginlie"/>
            </w:pPr>
            <w:r>
              <w:lastRenderedPageBreak/>
              <w:t xml:space="preserve">Za celoročním poklesem tržeb ve službách stála loni hlavně doprava a skladování. </w:t>
            </w:r>
          </w:p>
          <w:p w14:paraId="01245392" w14:textId="77777777" w:rsidR="00BA5125" w:rsidRDefault="00BA5125" w:rsidP="00BA5125">
            <w:pPr>
              <w:pStyle w:val="Marginlie"/>
            </w:pPr>
          </w:p>
          <w:p w14:paraId="69A6C601" w14:textId="77777777" w:rsidR="00BA5125" w:rsidRDefault="00BA5125" w:rsidP="00BA5125">
            <w:pPr>
              <w:pStyle w:val="Marginlie"/>
            </w:pPr>
          </w:p>
          <w:p w14:paraId="3E06F685" w14:textId="77777777" w:rsidR="00BA5125" w:rsidRDefault="00BA5125" w:rsidP="00BA5125">
            <w:pPr>
              <w:pStyle w:val="Marginlie"/>
            </w:pPr>
          </w:p>
          <w:p w14:paraId="2C2C2FAC" w14:textId="77777777" w:rsidR="00BA5125" w:rsidRDefault="00BA5125" w:rsidP="00BA5125">
            <w:pPr>
              <w:pStyle w:val="Marginlie"/>
            </w:pPr>
          </w:p>
          <w:p w14:paraId="362DADC8" w14:textId="77777777" w:rsidR="00BA5125" w:rsidRDefault="00BA5125" w:rsidP="00BA5125">
            <w:pPr>
              <w:pStyle w:val="Marginlie"/>
            </w:pPr>
          </w:p>
          <w:p w14:paraId="11709266" w14:textId="77777777" w:rsidR="00BA5125" w:rsidRDefault="00BA5125" w:rsidP="00BA5125">
            <w:pPr>
              <w:pStyle w:val="Marginlie"/>
            </w:pPr>
            <w:r>
              <w:t>Přepravní výkony osobní dopravy rostly, v nákladní dopravě klesaly.</w:t>
            </w:r>
          </w:p>
        </w:tc>
        <w:tc>
          <w:tcPr>
            <w:tcW w:w="229" w:type="dxa"/>
            <w:tcBorders>
              <w:top w:val="nil"/>
              <w:left w:val="nil"/>
              <w:bottom w:val="nil"/>
              <w:right w:val="nil"/>
            </w:tcBorders>
            <w:shd w:val="clear" w:color="auto" w:fill="auto"/>
            <w:tcMar>
              <w:left w:w="0" w:type="dxa"/>
            </w:tcMar>
          </w:tcPr>
          <w:p w14:paraId="26AD0422"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6846537" w14:textId="77777777" w:rsidR="00BA5125" w:rsidRPr="00103038" w:rsidRDefault="00BA5125" w:rsidP="00BA5125">
            <w:r w:rsidRPr="008503CF">
              <w:rPr>
                <w:rFonts w:cs="Arial"/>
                <w:color w:val="0D0D0D" w:themeColor="text1" w:themeTint="F2"/>
                <w:spacing w:val="-4"/>
              </w:rPr>
              <w:t>Tržby ve službách se v roce 2023 (po svižném růstu v pře</w:t>
            </w:r>
            <w:r>
              <w:rPr>
                <w:rFonts w:cs="Arial"/>
                <w:color w:val="0D0D0D" w:themeColor="text1" w:themeTint="F2"/>
                <w:spacing w:val="-4"/>
              </w:rPr>
              <w:t xml:space="preserve">dchozích dvou letech) snížily </w:t>
            </w:r>
            <w:r w:rsidRPr="008503CF">
              <w:rPr>
                <w:rFonts w:cs="Arial"/>
                <w:color w:val="0D0D0D" w:themeColor="text1" w:themeTint="F2"/>
                <w:spacing w:val="-4"/>
              </w:rPr>
              <w:t>o 1,6 %</w:t>
            </w:r>
            <w:r>
              <w:rPr>
                <w:rFonts w:cs="Arial"/>
                <w:color w:val="0D0D0D" w:themeColor="text1" w:themeTint="F2"/>
                <w:spacing w:val="-6"/>
              </w:rPr>
              <w:t xml:space="preserve"> (meziročně klesaly od 2. čtvrtletí 2023). Na tom měla zcela zásadní vliv slabá poptávka v klíčovém odvětví dopravy a skladování (celoroční pokles o 8,4 %, příspěvek k vývoji služeb </w:t>
            </w:r>
            <w:r>
              <w:rPr>
                <w:color w:val="0D0D0D" w:themeColor="text1" w:themeTint="F2"/>
                <w:spacing w:val="-6"/>
              </w:rPr>
              <w:t>−</w:t>
            </w:r>
            <w:r>
              <w:rPr>
                <w:rFonts w:cs="Arial"/>
                <w:color w:val="0D0D0D" w:themeColor="text1" w:themeTint="F2"/>
                <w:spacing w:val="-6"/>
              </w:rPr>
              <w:t>2,6 p. b.). Z toho ve skladování (vč. vedlejších činností v dopravě</w:t>
            </w:r>
            <w:r>
              <w:rPr>
                <w:color w:val="0D0D0D" w:themeColor="text1" w:themeTint="F2"/>
                <w:spacing w:val="-6"/>
              </w:rPr>
              <w:t>)</w:t>
            </w:r>
            <w:r>
              <w:rPr>
                <w:rFonts w:cs="Arial"/>
                <w:color w:val="0D0D0D" w:themeColor="text1" w:themeTint="F2"/>
                <w:spacing w:val="-6"/>
              </w:rPr>
              <w:t xml:space="preserve"> se tržby propadly o</w:t>
            </w:r>
            <w:r w:rsidRPr="00C8516F">
              <w:rPr>
                <w:rFonts w:cs="Arial"/>
                <w:color w:val="0D0D0D" w:themeColor="text1" w:themeTint="F2"/>
                <w:spacing w:val="-4"/>
              </w:rPr>
              <w:t> </w:t>
            </w:r>
            <w:r>
              <w:rPr>
                <w:rFonts w:cs="Arial"/>
                <w:color w:val="0D0D0D" w:themeColor="text1" w:themeTint="F2"/>
                <w:spacing w:val="-6"/>
              </w:rPr>
              <w:t>rekordních 11,4 %</w:t>
            </w:r>
            <w:r>
              <w:rPr>
                <w:rStyle w:val="Znakapoznpodarou"/>
                <w:color w:val="0D0D0D" w:themeColor="text1" w:themeTint="F2"/>
                <w:spacing w:val="-6"/>
              </w:rPr>
              <w:footnoteReference w:id="39"/>
            </w:r>
            <w:r>
              <w:rPr>
                <w:rFonts w:cs="Arial"/>
                <w:color w:val="0D0D0D" w:themeColor="text1" w:themeTint="F2"/>
                <w:spacing w:val="-6"/>
              </w:rPr>
              <w:t>. K hlubokému poklesu došlo i v pozemní a potrubní dopravě (</w:t>
            </w:r>
            <w:r>
              <w:rPr>
                <w:color w:val="0D0D0D" w:themeColor="text1" w:themeTint="F2"/>
                <w:spacing w:val="-6"/>
              </w:rPr>
              <w:t>−</w:t>
            </w:r>
            <w:r>
              <w:rPr>
                <w:rFonts w:cs="Arial"/>
                <w:color w:val="0D0D0D" w:themeColor="text1" w:themeTint="F2"/>
                <w:spacing w:val="-6"/>
              </w:rPr>
              <w:t xml:space="preserve">8,0 %). Recese v průmyslu, stavebnictví i obchodu doprovázená poklesem obratu zahraničního </w:t>
            </w:r>
            <w:r w:rsidRPr="00F4476A">
              <w:rPr>
                <w:rFonts w:cs="Arial"/>
                <w:color w:val="0D0D0D" w:themeColor="text1" w:themeTint="F2"/>
                <w:spacing w:val="-4"/>
              </w:rPr>
              <w:t>obchodu</w:t>
            </w:r>
            <w:r w:rsidRPr="00F4476A">
              <w:rPr>
                <w:rStyle w:val="Znakapoznpodarou"/>
                <w:color w:val="0D0D0D" w:themeColor="text1" w:themeTint="F2"/>
                <w:spacing w:val="-4"/>
              </w:rPr>
              <w:footnoteReference w:id="40"/>
            </w:r>
            <w:r w:rsidRPr="00F4476A">
              <w:rPr>
                <w:rFonts w:cs="Arial"/>
                <w:color w:val="0D0D0D" w:themeColor="text1" w:themeTint="F2"/>
                <w:spacing w:val="-4"/>
              </w:rPr>
              <w:t xml:space="preserve"> se odrazila v nižších přepravních výkone</w:t>
            </w:r>
            <w:r>
              <w:rPr>
                <w:rFonts w:cs="Arial"/>
                <w:color w:val="0D0D0D" w:themeColor="text1" w:themeTint="F2"/>
                <w:spacing w:val="-4"/>
              </w:rPr>
              <w:t>ch silniční i</w:t>
            </w:r>
            <w:r w:rsidRPr="00C8516F">
              <w:rPr>
                <w:rFonts w:cs="Arial"/>
                <w:color w:val="0D0D0D" w:themeColor="text1" w:themeTint="F2"/>
                <w:spacing w:val="-4"/>
              </w:rPr>
              <w:t> </w:t>
            </w:r>
            <w:r w:rsidRPr="00F4476A">
              <w:rPr>
                <w:rFonts w:cs="Arial"/>
                <w:color w:val="0D0D0D" w:themeColor="text1" w:themeTint="F2"/>
                <w:spacing w:val="-4"/>
              </w:rPr>
              <w:t>železniční</w:t>
            </w:r>
            <w:r>
              <w:rPr>
                <w:rFonts w:cs="Arial"/>
                <w:color w:val="0D0D0D" w:themeColor="text1" w:themeTint="F2"/>
                <w:spacing w:val="-4"/>
              </w:rPr>
              <w:t xml:space="preserve"> nákladní dopravy</w:t>
            </w:r>
            <w:r w:rsidRPr="00F4476A">
              <w:rPr>
                <w:rStyle w:val="Znakapoznpodarou"/>
                <w:color w:val="0D0D0D" w:themeColor="text1" w:themeTint="F2"/>
                <w:spacing w:val="-4"/>
              </w:rPr>
              <w:footnoteReference w:id="41"/>
            </w:r>
            <w:r w:rsidRPr="00F4476A">
              <w:rPr>
                <w:rFonts w:cs="Arial"/>
                <w:color w:val="0D0D0D" w:themeColor="text1" w:themeTint="F2"/>
                <w:spacing w:val="-4"/>
              </w:rPr>
              <w:t>.</w:t>
            </w:r>
            <w:r>
              <w:rPr>
                <w:rFonts w:cs="Arial"/>
                <w:color w:val="0D0D0D" w:themeColor="text1" w:themeTint="F2"/>
                <w:spacing w:val="-6"/>
              </w:rPr>
              <w:t xml:space="preserve"> Pozitivně se naopak v tržbách pozemní dopravy projevil mírný růst výkonů osobní železniční dopravy spojený s výraznějším posílením přeshraniční dopravy, ale i</w:t>
            </w:r>
            <w:r w:rsidRPr="00C8516F">
              <w:rPr>
                <w:rFonts w:cs="Arial"/>
                <w:color w:val="0D0D0D" w:themeColor="text1" w:themeTint="F2"/>
                <w:spacing w:val="-4"/>
              </w:rPr>
              <w:t> </w:t>
            </w:r>
            <w:r>
              <w:rPr>
                <w:rFonts w:cs="Arial"/>
                <w:color w:val="0D0D0D" w:themeColor="text1" w:themeTint="F2"/>
                <w:spacing w:val="-4"/>
              </w:rPr>
              <w:t xml:space="preserve">s </w:t>
            </w:r>
            <w:r>
              <w:rPr>
                <w:rFonts w:cs="Arial"/>
                <w:color w:val="0D0D0D" w:themeColor="text1" w:themeTint="F2"/>
                <w:spacing w:val="-6"/>
              </w:rPr>
              <w:t xml:space="preserve">rozvojem regionální dopravy (modernizace tratí, </w:t>
            </w:r>
            <w:r w:rsidRPr="008B794B">
              <w:rPr>
                <w:rFonts w:cs="Arial"/>
                <w:color w:val="0D0D0D" w:themeColor="text1" w:themeTint="F2"/>
                <w:spacing w:val="-6"/>
              </w:rPr>
              <w:t>zapojování nových oblastí do systémů integrované dopravy).</w:t>
            </w:r>
            <w:r>
              <w:rPr>
                <w:rFonts w:cs="Arial"/>
                <w:color w:val="0D0D0D" w:themeColor="text1" w:themeTint="F2"/>
                <w:spacing w:val="-6"/>
              </w:rPr>
              <w:t xml:space="preserve"> Meziročně vzrostly i výkony pravidelné v</w:t>
            </w:r>
            <w:r w:rsidRPr="0098768D">
              <w:rPr>
                <w:rFonts w:cs="Arial"/>
                <w:color w:val="0D0D0D" w:themeColor="text1" w:themeTint="F2"/>
                <w:spacing w:val="-6"/>
              </w:rPr>
              <w:t>e</w:t>
            </w:r>
            <w:r>
              <w:rPr>
                <w:rFonts w:cs="Arial"/>
                <w:color w:val="0D0D0D" w:themeColor="text1" w:themeTint="F2"/>
                <w:spacing w:val="-6"/>
              </w:rPr>
              <w:t>řejné autobusové dopravy (stejně jako v ostatních druzích osobní dopravy však zaostaly za „</w:t>
            </w:r>
            <w:proofErr w:type="spellStart"/>
            <w:r>
              <w:rPr>
                <w:rFonts w:cs="Arial"/>
                <w:color w:val="0D0D0D" w:themeColor="text1" w:themeTint="F2"/>
                <w:spacing w:val="-6"/>
              </w:rPr>
              <w:t>předcovidovou</w:t>
            </w:r>
            <w:proofErr w:type="spellEnd"/>
            <w:r>
              <w:rPr>
                <w:rFonts w:cs="Arial"/>
                <w:color w:val="0D0D0D" w:themeColor="text1" w:themeTint="F2"/>
                <w:spacing w:val="-6"/>
              </w:rPr>
              <w:t>“ úrovní). Pokračující zotavování příjezdového cestovního ruchu podpořilo tržby v letecké dopravě (+5,1 %). Mírně se zvýšily rovněž tržby ve vodní dopravě. Naopak p</w:t>
            </w:r>
            <w:r w:rsidRPr="008A6FD3">
              <w:rPr>
                <w:rFonts w:cs="Arial"/>
                <w:color w:val="0D0D0D" w:themeColor="text1" w:themeTint="F2"/>
                <w:spacing w:val="-6"/>
              </w:rPr>
              <w:t>oštovní a kurýrní činnosti</w:t>
            </w:r>
            <w:r>
              <w:rPr>
                <w:rFonts w:cs="Arial"/>
                <w:color w:val="0D0D0D" w:themeColor="text1" w:themeTint="F2"/>
                <w:spacing w:val="-6"/>
              </w:rPr>
              <w:t xml:space="preserve"> utržily meziročně o 3,3 % méně. Výkon zde částečně i vlivem slabší poptávky po </w:t>
            </w:r>
            <w:r w:rsidRPr="00103038">
              <w:rPr>
                <w:rFonts w:cs="Arial"/>
                <w:color w:val="0D0D0D" w:themeColor="text1" w:themeTint="F2"/>
                <w:spacing w:val="-7"/>
              </w:rPr>
              <w:t>internetových prodejích klesl druhý rok v řadě, oproti roku 2019 však byl o téměř osminu vyšší.</w:t>
            </w:r>
          </w:p>
        </w:tc>
      </w:tr>
      <w:tr w:rsidR="00BA5125" w14:paraId="15301107" w14:textId="77777777" w:rsidTr="00BA5125">
        <w:trPr>
          <w:trHeight w:val="170"/>
        </w:trPr>
        <w:tc>
          <w:tcPr>
            <w:tcW w:w="1814" w:type="dxa"/>
            <w:tcBorders>
              <w:top w:val="nil"/>
              <w:left w:val="nil"/>
              <w:bottom w:val="nil"/>
              <w:right w:val="nil"/>
            </w:tcBorders>
            <w:shd w:val="clear" w:color="auto" w:fill="auto"/>
            <w:tcMar>
              <w:left w:w="0" w:type="dxa"/>
            </w:tcMar>
          </w:tcPr>
          <w:p w14:paraId="1D3695C5" w14:textId="77777777" w:rsidR="00BA5125" w:rsidRPr="002A2FF6" w:rsidRDefault="00BA5125" w:rsidP="00BA5125">
            <w:pPr>
              <w:pStyle w:val="Marginlie"/>
              <w:rPr>
                <w:color w:val="0D0D0D" w:themeColor="text1" w:themeTint="F2"/>
              </w:rPr>
            </w:pPr>
            <w:r w:rsidRPr="002A2FF6">
              <w:rPr>
                <w:color w:val="0D0D0D" w:themeColor="text1" w:themeTint="F2"/>
              </w:rPr>
              <w:t>Propad tržeb pracovních agentur pokračoval, cyklický útlum poptávky nastal i ve většině dalších podnikových služeb.</w:t>
            </w:r>
          </w:p>
          <w:p w14:paraId="521C6FEC" w14:textId="77777777" w:rsidR="00BA5125" w:rsidRDefault="00BA5125" w:rsidP="00BA5125">
            <w:pPr>
              <w:pStyle w:val="Marginlie"/>
            </w:pPr>
            <w:r>
              <w:t xml:space="preserve"> </w:t>
            </w:r>
          </w:p>
        </w:tc>
        <w:tc>
          <w:tcPr>
            <w:tcW w:w="229" w:type="dxa"/>
            <w:tcBorders>
              <w:top w:val="nil"/>
              <w:left w:val="nil"/>
              <w:bottom w:val="nil"/>
              <w:right w:val="nil"/>
            </w:tcBorders>
            <w:shd w:val="clear" w:color="auto" w:fill="auto"/>
            <w:tcMar>
              <w:left w:w="0" w:type="dxa"/>
            </w:tcMar>
          </w:tcPr>
          <w:p w14:paraId="27FE83E8"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6A172695" w14:textId="77777777" w:rsidR="00BA5125" w:rsidRPr="00FA02C0" w:rsidRDefault="00BA5125" w:rsidP="00BA5125">
            <w:pPr>
              <w:spacing w:after="200"/>
              <w:rPr>
                <w:color w:val="0D0D0D" w:themeColor="text1" w:themeTint="F2"/>
                <w:spacing w:val="-4"/>
              </w:rPr>
            </w:pPr>
            <w:r>
              <w:rPr>
                <w:color w:val="0D0D0D" w:themeColor="text1" w:themeTint="F2"/>
                <w:spacing w:val="-4"/>
              </w:rPr>
              <w:t>V odvětví administrativní a podpůrné činnosti tržby za loňský rok velmi mírně vzrostly (+0,8 %). Zásadní roli zde měly</w:t>
            </w:r>
            <w:r w:rsidRPr="00583B84">
              <w:rPr>
                <w:rFonts w:cs="Arial"/>
                <w:color w:val="0D0D0D" w:themeColor="text1" w:themeTint="F2"/>
                <w:spacing w:val="-2"/>
              </w:rPr>
              <w:t xml:space="preserve"> </w:t>
            </w:r>
            <w:r>
              <w:rPr>
                <w:rFonts w:cs="Arial"/>
                <w:color w:val="0D0D0D" w:themeColor="text1" w:themeTint="F2"/>
                <w:spacing w:val="-2"/>
              </w:rPr>
              <w:t>cestovní</w:t>
            </w:r>
            <w:r w:rsidRPr="00583B84">
              <w:rPr>
                <w:rFonts w:cs="Arial"/>
                <w:color w:val="0D0D0D" w:themeColor="text1" w:themeTint="F2"/>
                <w:spacing w:val="-2"/>
              </w:rPr>
              <w:t xml:space="preserve"> age</w:t>
            </w:r>
            <w:r>
              <w:rPr>
                <w:rFonts w:cs="Arial"/>
                <w:color w:val="0D0D0D" w:themeColor="text1" w:themeTint="F2"/>
                <w:spacing w:val="-2"/>
              </w:rPr>
              <w:t>ntury a</w:t>
            </w:r>
            <w:r>
              <w:rPr>
                <w:color w:val="0D0D0D" w:themeColor="text1" w:themeTint="F2"/>
                <w:spacing w:val="-4"/>
              </w:rPr>
              <w:t> </w:t>
            </w:r>
            <w:r>
              <w:rPr>
                <w:rFonts w:cs="Arial"/>
                <w:color w:val="0D0D0D" w:themeColor="text1" w:themeTint="F2"/>
                <w:spacing w:val="-2"/>
              </w:rPr>
              <w:t>kanceláře, jimž za loňský rok tržby vzrostly o</w:t>
            </w:r>
            <w:r w:rsidRPr="00362082">
              <w:rPr>
                <w:color w:val="0D0D0D" w:themeColor="text1" w:themeTint="F2"/>
                <w:spacing w:val="-4"/>
              </w:rPr>
              <w:t> </w:t>
            </w:r>
            <w:r>
              <w:rPr>
                <w:color w:val="0D0D0D" w:themeColor="text1" w:themeTint="F2"/>
                <w:spacing w:val="-4"/>
              </w:rPr>
              <w:t>rovných 16</w:t>
            </w:r>
            <w:r w:rsidRPr="00583B84">
              <w:rPr>
                <w:rFonts w:cs="Arial"/>
                <w:color w:val="0D0D0D" w:themeColor="text1" w:themeTint="F2"/>
                <w:spacing w:val="-2"/>
              </w:rPr>
              <w:t xml:space="preserve"> %</w:t>
            </w:r>
            <w:r>
              <w:rPr>
                <w:rFonts w:cs="Arial"/>
                <w:color w:val="0D0D0D" w:themeColor="text1" w:themeTint="F2"/>
                <w:spacing w:val="-2"/>
              </w:rPr>
              <w:t xml:space="preserve"> (a poprvé lehce překonaly úroveň z roku 2019) a kompenzovaly tak klesající tržby v ostatních dílčích odvětvích (navázaných primárně na poptávku ze strany podniků). </w:t>
            </w:r>
            <w:r>
              <w:rPr>
                <w:color w:val="0D0D0D" w:themeColor="text1" w:themeTint="F2"/>
                <w:spacing w:val="-4"/>
              </w:rPr>
              <w:t>U nich se projevil především nižší výkon pracovních agentur (</w:t>
            </w:r>
            <w:r>
              <w:rPr>
                <w:color w:val="0D0D0D" w:themeColor="text1" w:themeTint="F2"/>
                <w:spacing w:val="-6"/>
              </w:rPr>
              <w:t>−</w:t>
            </w:r>
            <w:r>
              <w:rPr>
                <w:color w:val="0D0D0D" w:themeColor="text1" w:themeTint="F2"/>
                <w:spacing w:val="-4"/>
              </w:rPr>
              <w:t xml:space="preserve">13,8 %, za </w:t>
            </w:r>
            <w:r w:rsidRPr="002A2FF6">
              <w:rPr>
                <w:color w:val="0D0D0D" w:themeColor="text1" w:themeTint="F2"/>
                <w:spacing w:val="-2"/>
              </w:rPr>
              <w:t xml:space="preserve">dva roky </w:t>
            </w:r>
            <w:r>
              <w:rPr>
                <w:color w:val="0D0D0D" w:themeColor="text1" w:themeTint="F2"/>
                <w:spacing w:val="-2"/>
              </w:rPr>
              <w:t>−</w:t>
            </w:r>
            <w:r w:rsidRPr="002A2FF6">
              <w:rPr>
                <w:color w:val="0D0D0D" w:themeColor="text1" w:themeTint="F2"/>
                <w:spacing w:val="-2"/>
              </w:rPr>
              <w:t>22,4 %)</w:t>
            </w:r>
            <w:r w:rsidRPr="002A2FF6">
              <w:rPr>
                <w:rStyle w:val="Znakapoznpodarou"/>
                <w:color w:val="0D0D0D" w:themeColor="text1" w:themeTint="F2"/>
                <w:spacing w:val="-2"/>
              </w:rPr>
              <w:footnoteReference w:id="42"/>
            </w:r>
            <w:r w:rsidRPr="002A2FF6">
              <w:rPr>
                <w:color w:val="0D0D0D" w:themeColor="text1" w:themeTint="F2"/>
                <w:spacing w:val="-2"/>
              </w:rPr>
              <w:t xml:space="preserve">. Mírnější cyklický útlum poptávky </w:t>
            </w:r>
            <w:r>
              <w:rPr>
                <w:color w:val="0D0D0D" w:themeColor="text1" w:themeTint="F2"/>
                <w:spacing w:val="-2"/>
              </w:rPr>
              <w:t xml:space="preserve">pak </w:t>
            </w:r>
            <w:r w:rsidRPr="002A2FF6">
              <w:rPr>
                <w:color w:val="0D0D0D" w:themeColor="text1" w:themeTint="F2"/>
                <w:spacing w:val="-2"/>
              </w:rPr>
              <w:t>nastal v oblasti pronájmu a operativního</w:t>
            </w:r>
            <w:r w:rsidRPr="00362082">
              <w:rPr>
                <w:color w:val="0D0D0D" w:themeColor="text1" w:themeTint="F2"/>
                <w:spacing w:val="-4"/>
              </w:rPr>
              <w:t xml:space="preserve"> leasingu</w:t>
            </w:r>
            <w:r>
              <w:rPr>
                <w:color w:val="0D0D0D" w:themeColor="text1" w:themeTint="F2"/>
                <w:spacing w:val="-4"/>
              </w:rPr>
              <w:t xml:space="preserve"> (</w:t>
            </w:r>
            <w:r>
              <w:rPr>
                <w:color w:val="0D0D0D" w:themeColor="text1" w:themeTint="F2"/>
                <w:spacing w:val="-6"/>
              </w:rPr>
              <w:t>−</w:t>
            </w:r>
            <w:r>
              <w:rPr>
                <w:color w:val="0D0D0D" w:themeColor="text1" w:themeTint="F2"/>
                <w:spacing w:val="-4"/>
              </w:rPr>
              <w:t>3,5 %), kde nejvíce klesaly tržby za stroje, zařízení a nákladní automobily, ale rovněž za výrobky</w:t>
            </w:r>
            <w:r w:rsidRPr="00362082">
              <w:rPr>
                <w:color w:val="0D0D0D" w:themeColor="text1" w:themeTint="F2"/>
                <w:spacing w:val="-4"/>
              </w:rPr>
              <w:t xml:space="preserve"> pro osobní potřebu a převážně pro domácnost</w:t>
            </w:r>
            <w:r>
              <w:rPr>
                <w:color w:val="0D0D0D" w:themeColor="text1" w:themeTint="F2"/>
                <w:spacing w:val="-4"/>
              </w:rPr>
              <w:t>. Tlak na snižování nákladů i rozvoj digitalizace vyústily ve slabší poptávku po úklidových činnostech či po b</w:t>
            </w:r>
            <w:r w:rsidRPr="00DE1692">
              <w:rPr>
                <w:color w:val="0D0D0D" w:themeColor="text1" w:themeTint="F2"/>
                <w:spacing w:val="-4"/>
              </w:rPr>
              <w:t>ezpečnostní</w:t>
            </w:r>
            <w:r>
              <w:rPr>
                <w:color w:val="0D0D0D" w:themeColor="text1" w:themeTint="F2"/>
                <w:spacing w:val="-4"/>
              </w:rPr>
              <w:t>ch</w:t>
            </w:r>
            <w:r w:rsidRPr="00DE1692">
              <w:rPr>
                <w:color w:val="0D0D0D" w:themeColor="text1" w:themeTint="F2"/>
                <w:spacing w:val="-4"/>
              </w:rPr>
              <w:t xml:space="preserve"> a pátrací</w:t>
            </w:r>
            <w:r>
              <w:rPr>
                <w:color w:val="0D0D0D" w:themeColor="text1" w:themeTint="F2"/>
                <w:spacing w:val="-4"/>
              </w:rPr>
              <w:t>ch činnostech.</w:t>
            </w:r>
          </w:p>
        </w:tc>
      </w:tr>
      <w:tr w:rsidR="00BA5125" w14:paraId="3C73F299" w14:textId="77777777" w:rsidTr="00BA5125">
        <w:trPr>
          <w:trHeight w:val="170"/>
        </w:trPr>
        <w:tc>
          <w:tcPr>
            <w:tcW w:w="1814" w:type="dxa"/>
            <w:tcBorders>
              <w:top w:val="nil"/>
              <w:left w:val="nil"/>
              <w:bottom w:val="nil"/>
              <w:right w:val="nil"/>
            </w:tcBorders>
            <w:shd w:val="clear" w:color="auto" w:fill="auto"/>
            <w:tcMar>
              <w:left w:w="0" w:type="dxa"/>
            </w:tcMar>
          </w:tcPr>
          <w:p w14:paraId="7009E66C" w14:textId="77777777" w:rsidR="00BA5125" w:rsidRDefault="00BA5125" w:rsidP="00BA5125">
            <w:pPr>
              <w:pStyle w:val="Marginlie"/>
            </w:pPr>
            <w:r>
              <w:t>Tržby v ubytování loni nadále rostly, celoroční poptávka v tuzemském cestovním ruchu ale stále plně nedosáhla úrovně z roku 2019.</w:t>
            </w:r>
          </w:p>
        </w:tc>
        <w:tc>
          <w:tcPr>
            <w:tcW w:w="229" w:type="dxa"/>
            <w:tcBorders>
              <w:top w:val="nil"/>
              <w:left w:val="nil"/>
              <w:bottom w:val="nil"/>
              <w:right w:val="nil"/>
            </w:tcBorders>
            <w:shd w:val="clear" w:color="auto" w:fill="auto"/>
            <w:tcMar>
              <w:left w:w="0" w:type="dxa"/>
            </w:tcMar>
          </w:tcPr>
          <w:p w14:paraId="46D9B5DE"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2922F093" w14:textId="77777777" w:rsidR="00BA5125" w:rsidRDefault="00BA5125" w:rsidP="00BA5125">
            <w:pPr>
              <w:spacing w:after="200"/>
              <w:rPr>
                <w:rFonts w:cs="Arial"/>
                <w:color w:val="0D0D0D" w:themeColor="text1" w:themeTint="F2"/>
                <w:szCs w:val="20"/>
              </w:rPr>
            </w:pPr>
            <w:r>
              <w:rPr>
                <w:rFonts w:cs="Arial"/>
                <w:color w:val="0D0D0D" w:themeColor="text1" w:themeTint="F2"/>
                <w:szCs w:val="20"/>
              </w:rPr>
              <w:t xml:space="preserve">Rozvíjející se cestovních ruch se odrazil i ve výkonu odvětví </w:t>
            </w:r>
            <w:r>
              <w:rPr>
                <w:color w:val="0D0D0D" w:themeColor="text1" w:themeTint="F2"/>
                <w:spacing w:val="-6"/>
              </w:rPr>
              <w:t>u</w:t>
            </w:r>
            <w:r w:rsidRPr="00F65FD8">
              <w:rPr>
                <w:color w:val="0D0D0D" w:themeColor="text1" w:themeTint="F2"/>
                <w:spacing w:val="-6"/>
              </w:rPr>
              <w:t>byt</w:t>
            </w:r>
            <w:r>
              <w:rPr>
                <w:color w:val="0D0D0D" w:themeColor="text1" w:themeTint="F2"/>
                <w:spacing w:val="-6"/>
              </w:rPr>
              <w:t xml:space="preserve">ování, stravování a pohostinství, kde se loni tržby navýšily o 2,5 %. Stejně jako v roce 2022, rostla i loni svižněji poptávka v ubytování (+3,0 %), kde těžila z častějších příjezdů zahraničních hostů. Především díky nim se celková poptávka v tuzemském cestovním ruchu dynamicky zvyšovala druhým rokem v řadě. Celoroční počet všech přenocování v hromadných ubytovacích zařízeních v ČR se však ani loni plně nedorovnal rekordní úrovni z roku 2019 </w:t>
            </w:r>
            <w:r>
              <w:rPr>
                <w:color w:val="0D0D0D" w:themeColor="text1" w:themeTint="F2"/>
                <w:spacing w:val="-6"/>
              </w:rPr>
              <w:lastRenderedPageBreak/>
              <w:t>(o 1,8 %, z toho u nerezidentů zaostal o celých 14 %)</w:t>
            </w:r>
            <w:r>
              <w:rPr>
                <w:rStyle w:val="Znakapoznpodarou"/>
                <w:color w:val="0D0D0D" w:themeColor="text1" w:themeTint="F2"/>
                <w:spacing w:val="-6"/>
              </w:rPr>
              <w:footnoteReference w:id="43"/>
            </w:r>
            <w:r>
              <w:rPr>
                <w:color w:val="0D0D0D" w:themeColor="text1" w:themeTint="F2"/>
                <w:spacing w:val="-6"/>
              </w:rPr>
              <w:t xml:space="preserve">, zčásti také kvůli zkracující se délce pobytů. </w:t>
            </w:r>
            <w:r>
              <w:rPr>
                <w:color w:val="0D0D0D" w:themeColor="text1" w:themeTint="F2"/>
                <w:spacing w:val="-4"/>
              </w:rPr>
              <w:t>Segment stravování a pohostinství více ovlivňovala stále slábnoucí kupní síla tuzemských domácností a tržby zde loni meziročně posílily jen o 2,3 %.</w:t>
            </w:r>
          </w:p>
        </w:tc>
      </w:tr>
      <w:tr w:rsidR="00BA5125" w14:paraId="2DCE3E66" w14:textId="77777777" w:rsidTr="00BA5125">
        <w:trPr>
          <w:trHeight w:val="170"/>
        </w:trPr>
        <w:tc>
          <w:tcPr>
            <w:tcW w:w="1814" w:type="dxa"/>
            <w:tcBorders>
              <w:top w:val="nil"/>
              <w:left w:val="nil"/>
              <w:bottom w:val="nil"/>
              <w:right w:val="nil"/>
            </w:tcBorders>
            <w:shd w:val="clear" w:color="auto" w:fill="auto"/>
            <w:tcMar>
              <w:left w:w="0" w:type="dxa"/>
            </w:tcMar>
          </w:tcPr>
          <w:p w14:paraId="472E9E17"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6273AF45"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0B17DEE2" w14:textId="77777777" w:rsidR="00BA5125" w:rsidRPr="00C32591" w:rsidRDefault="00BA5125" w:rsidP="00BA5125">
            <w:pPr>
              <w:spacing w:after="40"/>
              <w:rPr>
                <w:b/>
                <w:spacing w:val="-4"/>
              </w:rPr>
            </w:pPr>
            <w:r w:rsidRPr="00C32591">
              <w:rPr>
                <w:b/>
                <w:spacing w:val="-4"/>
              </w:rPr>
              <w:t xml:space="preserve">Graf č. 7 </w:t>
            </w:r>
            <w:r w:rsidRPr="00C32591">
              <w:rPr>
                <w:b/>
                <w:bCs/>
                <w:spacing w:val="-4"/>
              </w:rPr>
              <w:t>Příspěvky dílčích odvětví k meziroční změně tržeb ve službách*</w:t>
            </w:r>
            <w:r w:rsidRPr="00C32591">
              <w:rPr>
                <w:b/>
                <w:spacing w:val="-4"/>
              </w:rPr>
              <w:br/>
            </w:r>
            <w:r w:rsidRPr="00C32591">
              <w:rPr>
                <w:spacing w:val="-4"/>
              </w:rPr>
              <w:t>(reálně, v p. b),</w:t>
            </w:r>
            <w:r w:rsidRPr="00C32591">
              <w:rPr>
                <w:b/>
                <w:spacing w:val="-4"/>
              </w:rPr>
              <w:t xml:space="preserve"> </w:t>
            </w:r>
            <w:r w:rsidRPr="00C32591">
              <w:rPr>
                <w:b/>
                <w:bCs/>
                <w:spacing w:val="-4"/>
              </w:rPr>
              <w:t xml:space="preserve">celkové tržby ve službách* </w:t>
            </w:r>
            <w:r>
              <w:rPr>
                <w:spacing w:val="-4"/>
              </w:rPr>
              <w:t>(báze 2021</w:t>
            </w:r>
            <w:r w:rsidRPr="00C32591">
              <w:rPr>
                <w:spacing w:val="-4"/>
              </w:rPr>
              <w:t>=100, pravá osa),</w:t>
            </w:r>
            <w:r w:rsidRPr="00C32591">
              <w:rPr>
                <w:b/>
                <w:spacing w:val="-4"/>
              </w:rPr>
              <w:t xml:space="preserve"> </w:t>
            </w:r>
            <w:r w:rsidRPr="00C32591">
              <w:rPr>
                <w:b/>
                <w:bCs/>
                <w:spacing w:val="-4"/>
              </w:rPr>
              <w:t>saldo důvěry podnikatelů ve službách**</w:t>
            </w:r>
            <w:r w:rsidRPr="00C32591">
              <w:rPr>
                <w:b/>
                <w:spacing w:val="-4"/>
              </w:rPr>
              <w:t xml:space="preserve"> </w:t>
            </w:r>
            <w:r w:rsidRPr="00C32591">
              <w:rPr>
                <w:spacing w:val="-4"/>
              </w:rPr>
              <w:t>(v p. b., pravá osa)</w:t>
            </w:r>
            <w:r>
              <w:rPr>
                <w:b/>
                <w:bCs/>
                <w:spacing w:val="-4"/>
              </w:rPr>
              <w:t xml:space="preserve"> a </w:t>
            </w:r>
            <w:r w:rsidRPr="00C32591">
              <w:rPr>
                <w:b/>
                <w:bCs/>
                <w:spacing w:val="-4"/>
              </w:rPr>
              <w:t>bariéry růstu**</w:t>
            </w:r>
            <w:r w:rsidRPr="00C32591">
              <w:rPr>
                <w:b/>
                <w:spacing w:val="-4"/>
              </w:rPr>
              <w:t xml:space="preserve"> </w:t>
            </w:r>
            <w:r w:rsidRPr="00C32591">
              <w:rPr>
                <w:spacing w:val="-4"/>
              </w:rPr>
              <w:t xml:space="preserve">(v %, pravá osa) </w:t>
            </w:r>
          </w:p>
        </w:tc>
      </w:tr>
      <w:tr w:rsidR="00BA5125" w14:paraId="75B8C91A" w14:textId="77777777" w:rsidTr="00BA5125">
        <w:tblPrEx>
          <w:tblCellMar>
            <w:left w:w="70" w:type="dxa"/>
            <w:right w:w="70" w:type="dxa"/>
          </w:tblCellMar>
        </w:tblPrEx>
        <w:trPr>
          <w:trHeight w:val="170"/>
        </w:trPr>
        <w:tc>
          <w:tcPr>
            <w:tcW w:w="1814" w:type="dxa"/>
            <w:tcBorders>
              <w:top w:val="nil"/>
              <w:left w:val="nil"/>
              <w:bottom w:val="nil"/>
              <w:right w:val="nil"/>
            </w:tcBorders>
            <w:shd w:val="clear" w:color="auto" w:fill="auto"/>
          </w:tcPr>
          <w:p w14:paraId="5C3C8EAB" w14:textId="77777777" w:rsidR="00BA5125" w:rsidRDefault="00BA5125" w:rsidP="00BA5125">
            <w:pPr>
              <w:pStyle w:val="Marginlie"/>
            </w:pPr>
          </w:p>
        </w:tc>
        <w:tc>
          <w:tcPr>
            <w:tcW w:w="229" w:type="dxa"/>
            <w:tcBorders>
              <w:top w:val="nil"/>
              <w:left w:val="nil"/>
              <w:bottom w:val="nil"/>
              <w:right w:val="nil"/>
            </w:tcBorders>
            <w:shd w:val="clear" w:color="auto" w:fill="auto"/>
          </w:tcPr>
          <w:p w14:paraId="1A3A1821"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41BC73F1" w14:textId="77777777" w:rsidR="00BA5125" w:rsidRPr="004C1143" w:rsidRDefault="00BA5125" w:rsidP="00BA5125">
            <w:pPr>
              <w:spacing w:after="0"/>
              <w:rPr>
                <w:rFonts w:cs="Arial"/>
                <w:sz w:val="14"/>
                <w:szCs w:val="14"/>
              </w:rPr>
            </w:pPr>
            <w:r>
              <w:rPr>
                <w:noProof/>
              </w:rPr>
              <w:drawing>
                <wp:inline distT="0" distB="0" distL="0" distR="0" wp14:anchorId="33FD2234" wp14:editId="1115F0DF">
                  <wp:extent cx="4661391" cy="3636780"/>
                  <wp:effectExtent l="0" t="0" r="6350" b="190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BA5125" w14:paraId="26BDED57" w14:textId="77777777" w:rsidTr="00BA5125">
        <w:trPr>
          <w:trHeight w:val="170"/>
        </w:trPr>
        <w:tc>
          <w:tcPr>
            <w:tcW w:w="1814" w:type="dxa"/>
            <w:tcBorders>
              <w:top w:val="nil"/>
              <w:left w:val="nil"/>
              <w:bottom w:val="nil"/>
              <w:right w:val="nil"/>
            </w:tcBorders>
            <w:shd w:val="clear" w:color="auto" w:fill="auto"/>
            <w:tcMar>
              <w:left w:w="0" w:type="dxa"/>
            </w:tcMar>
          </w:tcPr>
          <w:p w14:paraId="4D07E182"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426303D4"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6B96C06B" w14:textId="77777777" w:rsidR="00BA5125" w:rsidRPr="00C32591" w:rsidRDefault="00BA5125" w:rsidP="00BA5125">
            <w:pPr>
              <w:spacing w:after="0" w:line="240" w:lineRule="auto"/>
              <w:rPr>
                <w:rFonts w:cs="Arial"/>
                <w:spacing w:val="-4"/>
                <w:sz w:val="14"/>
                <w:szCs w:val="14"/>
              </w:rPr>
            </w:pPr>
            <w:r w:rsidRPr="00C32591">
              <w:rPr>
                <w:rFonts w:cs="Arial"/>
                <w:spacing w:val="-4"/>
                <w:sz w:val="14"/>
                <w:szCs w:val="14"/>
              </w:rPr>
              <w:t>Poznámka: všechny údaje jsou sezónně očištěny, pouze příspěvky dílčích odvětví k růstu tržeb jsou očištěny jen o kalendářní vlivy.</w:t>
            </w:r>
          </w:p>
          <w:p w14:paraId="1160B200" w14:textId="77777777" w:rsidR="00BA5125" w:rsidRPr="00C32591" w:rsidRDefault="00BA5125" w:rsidP="00BA5125">
            <w:pPr>
              <w:spacing w:after="0" w:line="240" w:lineRule="auto"/>
              <w:rPr>
                <w:rFonts w:cs="Arial"/>
                <w:sz w:val="14"/>
                <w:szCs w:val="14"/>
              </w:rPr>
            </w:pPr>
            <w:r w:rsidRPr="00C32591">
              <w:rPr>
                <w:rFonts w:cs="Arial"/>
                <w:sz w:val="14"/>
                <w:szCs w:val="14"/>
              </w:rPr>
              <w:t>*Bez odvětví obchodu, peněžnictví, pojišťovnictví, vědy, výzkumu a veřejných služeb.</w:t>
            </w:r>
          </w:p>
          <w:p w14:paraId="4599577B" w14:textId="77777777" w:rsidR="00BA5125" w:rsidRPr="004C1143" w:rsidRDefault="00BA5125" w:rsidP="00BA5125">
            <w:pPr>
              <w:spacing w:after="200" w:line="240" w:lineRule="auto"/>
              <w:rPr>
                <w:rFonts w:cs="Arial"/>
                <w:sz w:val="14"/>
                <w:szCs w:val="14"/>
              </w:rPr>
            </w:pPr>
            <w:r w:rsidRPr="00052ADA">
              <w:rPr>
                <w:rFonts w:cs="Arial"/>
                <w:sz w:val="14"/>
                <w:szCs w:val="14"/>
              </w:rPr>
              <w:t>.**</w:t>
            </w:r>
            <w:r w:rsidRPr="00052ADA">
              <w:rPr>
                <w:rFonts w:cs="Arial"/>
                <w:spacing w:val="-2"/>
                <w:sz w:val="14"/>
                <w:szCs w:val="14"/>
              </w:rPr>
              <w:t>Zahrnuje i finanční sektor. Saldo důvěry podnikatelů i barié</w:t>
            </w:r>
            <w:r>
              <w:rPr>
                <w:rFonts w:cs="Arial"/>
                <w:spacing w:val="-2"/>
                <w:sz w:val="14"/>
                <w:szCs w:val="14"/>
              </w:rPr>
              <w:t xml:space="preserve">ry růstu </w:t>
            </w:r>
            <w:r w:rsidRPr="00052ADA">
              <w:rPr>
                <w:rFonts w:cs="Arial"/>
                <w:spacing w:val="-2"/>
                <w:sz w:val="14"/>
                <w:szCs w:val="14"/>
              </w:rPr>
              <w:t xml:space="preserve">vyjadřují stav v prvním (bariéry růstu), resp. ve druhém měsíci daného čtvrtletí (saldo důvěry). </w:t>
            </w:r>
            <w:r w:rsidRPr="00052ADA">
              <w:rPr>
                <w:rFonts w:cs="Arial"/>
                <w:sz w:val="14"/>
                <w:szCs w:val="14"/>
              </w:rPr>
              <w:t>Podniky mohly uvést více hlavních bariér současně.</w:t>
            </w:r>
            <w:r>
              <w:rPr>
                <w:rFonts w:cs="Arial"/>
                <w:sz w:val="14"/>
                <w:szCs w:val="14"/>
              </w:rPr>
              <w:t xml:space="preserve">                    </w:t>
            </w:r>
            <w:r w:rsidRPr="00052ADA">
              <w:rPr>
                <w:rFonts w:cs="Arial"/>
                <w:sz w:val="14"/>
                <w:szCs w:val="14"/>
              </w:rPr>
              <w:t xml:space="preserve">    Zdroj: ČSÚ, </w:t>
            </w:r>
            <w:proofErr w:type="spellStart"/>
            <w:r w:rsidRPr="00052ADA">
              <w:rPr>
                <w:rFonts w:cs="Arial"/>
                <w:sz w:val="14"/>
                <w:szCs w:val="14"/>
              </w:rPr>
              <w:t>Eurostat</w:t>
            </w:r>
            <w:proofErr w:type="spellEnd"/>
          </w:p>
        </w:tc>
      </w:tr>
      <w:tr w:rsidR="00BA5125" w14:paraId="4FF42E6F" w14:textId="77777777" w:rsidTr="00BA5125">
        <w:trPr>
          <w:trHeight w:val="170"/>
        </w:trPr>
        <w:tc>
          <w:tcPr>
            <w:tcW w:w="1814" w:type="dxa"/>
            <w:tcBorders>
              <w:top w:val="nil"/>
              <w:left w:val="nil"/>
              <w:bottom w:val="nil"/>
              <w:right w:val="nil"/>
            </w:tcBorders>
            <w:shd w:val="clear" w:color="auto" w:fill="auto"/>
            <w:tcMar>
              <w:left w:w="0" w:type="dxa"/>
            </w:tcMar>
          </w:tcPr>
          <w:p w14:paraId="5F46EC69" w14:textId="77777777" w:rsidR="00BA5125" w:rsidRPr="00112739" w:rsidRDefault="00BA5125" w:rsidP="00BA5125">
            <w:pPr>
              <w:pStyle w:val="Marginlie"/>
              <w:rPr>
                <w:color w:val="0D0D0D" w:themeColor="text1" w:themeTint="F2"/>
                <w:spacing w:val="-6"/>
              </w:rPr>
            </w:pPr>
            <w:r>
              <w:rPr>
                <w:color w:val="0D0D0D" w:themeColor="text1" w:themeTint="F2"/>
                <w:spacing w:val="-6"/>
              </w:rPr>
              <w:t xml:space="preserve">Rostoucí poptávku po </w:t>
            </w:r>
            <w:r>
              <w:rPr>
                <w:color w:val="0D0D0D" w:themeColor="text1" w:themeTint="F2"/>
                <w:spacing w:val="-4"/>
              </w:rPr>
              <w:t>profesních, technických a</w:t>
            </w:r>
            <w:r w:rsidRPr="00112739">
              <w:rPr>
                <w:color w:val="0D0D0D" w:themeColor="text1" w:themeTint="F2"/>
                <w:spacing w:val="-6"/>
              </w:rPr>
              <w:t> </w:t>
            </w:r>
            <w:r w:rsidRPr="00112739">
              <w:rPr>
                <w:color w:val="0D0D0D" w:themeColor="text1" w:themeTint="F2"/>
                <w:spacing w:val="-4"/>
              </w:rPr>
              <w:t>vědeckých činnostech</w:t>
            </w:r>
            <w:r>
              <w:rPr>
                <w:color w:val="0D0D0D" w:themeColor="text1" w:themeTint="F2"/>
                <w:spacing w:val="-4"/>
              </w:rPr>
              <w:t xml:space="preserve"> nadále táhly hlavně architektonické a</w:t>
            </w:r>
            <w:r w:rsidRPr="00112739">
              <w:rPr>
                <w:color w:val="0D0D0D" w:themeColor="text1" w:themeTint="F2"/>
                <w:spacing w:val="-6"/>
              </w:rPr>
              <w:t> </w:t>
            </w:r>
            <w:r>
              <w:rPr>
                <w:color w:val="0D0D0D" w:themeColor="text1" w:themeTint="F2"/>
                <w:spacing w:val="-4"/>
              </w:rPr>
              <w:t>inženýrské služby.</w:t>
            </w:r>
          </w:p>
        </w:tc>
        <w:tc>
          <w:tcPr>
            <w:tcW w:w="229" w:type="dxa"/>
            <w:tcBorders>
              <w:top w:val="nil"/>
              <w:left w:val="nil"/>
              <w:bottom w:val="nil"/>
              <w:right w:val="nil"/>
            </w:tcBorders>
            <w:shd w:val="clear" w:color="auto" w:fill="auto"/>
            <w:tcMar>
              <w:left w:w="0" w:type="dxa"/>
            </w:tcMar>
          </w:tcPr>
          <w:p w14:paraId="3EE84EC3"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712267C7" w14:textId="77777777" w:rsidR="00BA5125" w:rsidRPr="00EB7A5A" w:rsidRDefault="00BA5125" w:rsidP="00BA5125">
            <w:pPr>
              <w:spacing w:after="200"/>
              <w:rPr>
                <w:rFonts w:cs="Arial"/>
                <w:color w:val="0D0D0D" w:themeColor="text1" w:themeTint="F2"/>
                <w:spacing w:val="-4"/>
              </w:rPr>
            </w:pPr>
            <w:r w:rsidRPr="00EB7A5A">
              <w:rPr>
                <w:rFonts w:cs="Arial"/>
                <w:color w:val="0D0D0D" w:themeColor="text1" w:themeTint="F2"/>
                <w:spacing w:val="-4"/>
              </w:rPr>
              <w:t xml:space="preserve">Přestože meziroční růst tržeb </w:t>
            </w:r>
            <w:r w:rsidRPr="00EB7A5A">
              <w:rPr>
                <w:color w:val="0D0D0D" w:themeColor="text1" w:themeTint="F2"/>
                <w:spacing w:val="-4"/>
              </w:rPr>
              <w:t>v profesních, vědeckých a technických činnost</w:t>
            </w:r>
            <w:r>
              <w:rPr>
                <w:color w:val="0D0D0D" w:themeColor="text1" w:themeTint="F2"/>
                <w:spacing w:val="-4"/>
              </w:rPr>
              <w:t>ech loni druhý rok zvolnil (na 3,1</w:t>
            </w:r>
            <w:r w:rsidRPr="00EB7A5A">
              <w:rPr>
                <w:color w:val="0D0D0D" w:themeColor="text1" w:themeTint="F2"/>
                <w:spacing w:val="-4"/>
              </w:rPr>
              <w:t xml:space="preserve"> %), proti poklesu celkových tržeb ve službách působil ze všech odvětví nej</w:t>
            </w:r>
            <w:r>
              <w:rPr>
                <w:color w:val="0D0D0D" w:themeColor="text1" w:themeTint="F2"/>
                <w:spacing w:val="-4"/>
              </w:rPr>
              <w:t>více (+0,7</w:t>
            </w:r>
            <w:r w:rsidRPr="00EB7A5A">
              <w:rPr>
                <w:color w:val="0D0D0D" w:themeColor="text1" w:themeTint="F2"/>
                <w:spacing w:val="-4"/>
              </w:rPr>
              <w:t xml:space="preserve"> p. b.). Navzd</w:t>
            </w:r>
            <w:r>
              <w:rPr>
                <w:color w:val="0D0D0D" w:themeColor="text1" w:themeTint="F2"/>
                <w:spacing w:val="-4"/>
              </w:rPr>
              <w:t>ory potížím ve stavebnictví přispěly k růstu tržeb celého odvětví nejvíce architektonické a inženýrské činnosti</w:t>
            </w:r>
            <w:r w:rsidRPr="00EB7A5A">
              <w:rPr>
                <w:color w:val="0D0D0D" w:themeColor="text1" w:themeTint="F2"/>
                <w:spacing w:val="-4"/>
              </w:rPr>
              <w:t xml:space="preserve"> (</w:t>
            </w:r>
            <w:r>
              <w:rPr>
                <w:color w:val="0D0D0D" w:themeColor="text1" w:themeTint="F2"/>
                <w:spacing w:val="-4"/>
              </w:rPr>
              <w:t>kde se zvýšily o 2,8</w:t>
            </w:r>
            <w:r w:rsidRPr="00EB7A5A">
              <w:rPr>
                <w:color w:val="0D0D0D" w:themeColor="text1" w:themeTint="F2"/>
                <w:spacing w:val="-4"/>
              </w:rPr>
              <w:t xml:space="preserve"> %)</w:t>
            </w:r>
            <w:r>
              <w:rPr>
                <w:color w:val="0D0D0D" w:themeColor="text1" w:themeTint="F2"/>
                <w:spacing w:val="-4"/>
              </w:rPr>
              <w:t>.</w:t>
            </w:r>
            <w:r w:rsidRPr="00EB7A5A">
              <w:rPr>
                <w:color w:val="0D0D0D" w:themeColor="text1" w:themeTint="F2"/>
                <w:spacing w:val="-4"/>
              </w:rPr>
              <w:t xml:space="preserve"> </w:t>
            </w:r>
            <w:r>
              <w:rPr>
                <w:color w:val="0D0D0D" w:themeColor="text1" w:themeTint="F2"/>
                <w:spacing w:val="-4"/>
              </w:rPr>
              <w:t xml:space="preserve">Mírný </w:t>
            </w:r>
            <w:r w:rsidRPr="00EB7A5A">
              <w:rPr>
                <w:color w:val="0D0D0D" w:themeColor="text1" w:themeTint="F2"/>
                <w:spacing w:val="-4"/>
              </w:rPr>
              <w:t>růst tržeb registrovaly i další sofistikovanější služby pro podniky (právní a účetnické činnosti</w:t>
            </w:r>
            <w:r>
              <w:rPr>
                <w:color w:val="0D0D0D" w:themeColor="text1" w:themeTint="F2"/>
                <w:spacing w:val="-4"/>
              </w:rPr>
              <w:t>, činnosti vedení podniků a</w:t>
            </w:r>
            <w:r w:rsidRPr="004824CE">
              <w:rPr>
                <w:color w:val="0D0D0D" w:themeColor="text1" w:themeTint="F2"/>
                <w:spacing w:val="-4"/>
              </w:rPr>
              <w:t xml:space="preserve"> poradenství v oblasti řízení</w:t>
            </w:r>
            <w:r w:rsidRPr="00EB7A5A">
              <w:rPr>
                <w:color w:val="0D0D0D" w:themeColor="text1" w:themeTint="F2"/>
                <w:spacing w:val="-4"/>
              </w:rPr>
              <w:t>). Po slabším roku 2022 loni mírně ožila poptávka v oblasti reklamy (+4 %), v kontrastu s tím pokračoval pokles v oblasti průzkumu trhu a veřejného mínění (</w:t>
            </w:r>
            <w:r>
              <w:rPr>
                <w:color w:val="0D0D0D" w:themeColor="text1" w:themeTint="F2"/>
                <w:spacing w:val="-4"/>
              </w:rPr>
              <w:t>−</w:t>
            </w:r>
            <w:r w:rsidRPr="00EB7A5A">
              <w:rPr>
                <w:color w:val="0D0D0D" w:themeColor="text1" w:themeTint="F2"/>
                <w:spacing w:val="-4"/>
              </w:rPr>
              <w:t xml:space="preserve">4 %). </w:t>
            </w:r>
            <w:r>
              <w:rPr>
                <w:color w:val="0D0D0D" w:themeColor="text1" w:themeTint="F2"/>
                <w:spacing w:val="-4"/>
              </w:rPr>
              <w:t>Velmi mírný růst tržeb zaznamenaly loni</w:t>
            </w:r>
            <w:r w:rsidRPr="00EB7A5A">
              <w:rPr>
                <w:color w:val="0D0D0D" w:themeColor="text1" w:themeTint="F2"/>
                <w:spacing w:val="-4"/>
              </w:rPr>
              <w:t xml:space="preserve"> </w:t>
            </w:r>
            <w:r w:rsidRPr="00EB7A5A">
              <w:rPr>
                <w:spacing w:val="-4"/>
              </w:rPr>
              <w:t>ostatní profesní, vědecké a technické činnosti</w:t>
            </w:r>
            <w:r w:rsidRPr="00EB7A5A">
              <w:rPr>
                <w:rStyle w:val="Znakapoznpodarou"/>
                <w:spacing w:val="-4"/>
              </w:rPr>
              <w:footnoteReference w:id="44"/>
            </w:r>
            <w:r w:rsidRPr="00EB7A5A">
              <w:rPr>
                <w:spacing w:val="-4"/>
              </w:rPr>
              <w:t xml:space="preserve"> (</w:t>
            </w:r>
            <w:r>
              <w:rPr>
                <w:color w:val="0D0D0D" w:themeColor="text1" w:themeTint="F2"/>
                <w:spacing w:val="-4"/>
              </w:rPr>
              <w:t>+1</w:t>
            </w:r>
            <w:r>
              <w:rPr>
                <w:spacing w:val="-4"/>
              </w:rPr>
              <w:t>,5</w:t>
            </w:r>
            <w:r w:rsidRPr="00EB7A5A">
              <w:rPr>
                <w:spacing w:val="-4"/>
              </w:rPr>
              <w:t xml:space="preserve"> %), oproti roku 2019 </w:t>
            </w:r>
            <w:r>
              <w:rPr>
                <w:spacing w:val="-4"/>
              </w:rPr>
              <w:t>nicméně zaostaly o 5,8</w:t>
            </w:r>
            <w:r w:rsidRPr="00EB7A5A">
              <w:rPr>
                <w:spacing w:val="-4"/>
              </w:rPr>
              <w:t xml:space="preserve"> %. </w:t>
            </w:r>
          </w:p>
        </w:tc>
      </w:tr>
      <w:tr w:rsidR="00BA5125" w14:paraId="7FEB4E1E" w14:textId="77777777" w:rsidTr="00BA5125">
        <w:trPr>
          <w:trHeight w:val="170"/>
        </w:trPr>
        <w:tc>
          <w:tcPr>
            <w:tcW w:w="1814" w:type="dxa"/>
            <w:tcBorders>
              <w:top w:val="nil"/>
              <w:left w:val="nil"/>
              <w:bottom w:val="nil"/>
              <w:right w:val="nil"/>
            </w:tcBorders>
            <w:shd w:val="clear" w:color="auto" w:fill="auto"/>
            <w:tcMar>
              <w:left w:w="0" w:type="dxa"/>
            </w:tcMar>
          </w:tcPr>
          <w:p w14:paraId="65A63CF3" w14:textId="77777777" w:rsidR="00BA5125" w:rsidRDefault="00BA5125" w:rsidP="00BA5125">
            <w:pPr>
              <w:pStyle w:val="Marginlie"/>
              <w:rPr>
                <w:color w:val="0D0D0D" w:themeColor="text1" w:themeTint="F2"/>
              </w:rPr>
            </w:pPr>
            <w:r w:rsidRPr="00112739">
              <w:rPr>
                <w:color w:val="0D0D0D" w:themeColor="text1" w:themeTint="F2"/>
                <w:spacing w:val="-6"/>
              </w:rPr>
              <w:t>Růst tržeb v dlouhodobě prosperujících informačních a komunika</w:t>
            </w:r>
            <w:r>
              <w:rPr>
                <w:color w:val="0D0D0D" w:themeColor="text1" w:themeTint="F2"/>
                <w:spacing w:val="-6"/>
              </w:rPr>
              <w:t>čních činnostech se zastavil.</w:t>
            </w:r>
          </w:p>
          <w:p w14:paraId="357D344F" w14:textId="77777777" w:rsidR="00BA5125" w:rsidRPr="00951B5E" w:rsidRDefault="00BA5125" w:rsidP="00BA5125">
            <w:pPr>
              <w:pStyle w:val="Marginlie"/>
              <w:rPr>
                <w:color w:val="0D0D0D" w:themeColor="text1" w:themeTint="F2"/>
              </w:rPr>
            </w:pPr>
          </w:p>
        </w:tc>
        <w:tc>
          <w:tcPr>
            <w:tcW w:w="229" w:type="dxa"/>
            <w:tcBorders>
              <w:top w:val="nil"/>
              <w:left w:val="nil"/>
              <w:bottom w:val="nil"/>
              <w:right w:val="nil"/>
            </w:tcBorders>
            <w:shd w:val="clear" w:color="auto" w:fill="auto"/>
            <w:tcMar>
              <w:left w:w="0" w:type="dxa"/>
            </w:tcMar>
          </w:tcPr>
          <w:p w14:paraId="1F4C821C"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5528239E" w14:textId="77777777" w:rsidR="00BA5125" w:rsidRPr="003174EF" w:rsidRDefault="00BA5125" w:rsidP="00BA5125">
            <w:pPr>
              <w:spacing w:after="200"/>
              <w:rPr>
                <w:rFonts w:cs="Arial"/>
                <w:color w:val="0D0D0D" w:themeColor="text1" w:themeTint="F2"/>
                <w:spacing w:val="-6"/>
              </w:rPr>
            </w:pPr>
            <w:r>
              <w:rPr>
                <w:rFonts w:cs="Arial"/>
                <w:color w:val="0D0D0D" w:themeColor="text1" w:themeTint="F2"/>
                <w:spacing w:val="-6"/>
              </w:rPr>
              <w:t>V tradičně dynamickém odvětví i</w:t>
            </w:r>
            <w:r w:rsidRPr="00B86BDD">
              <w:rPr>
                <w:rFonts w:cs="Arial"/>
                <w:color w:val="0D0D0D" w:themeColor="text1" w:themeTint="F2"/>
                <w:spacing w:val="-6"/>
              </w:rPr>
              <w:t>nformační a komunikační</w:t>
            </w:r>
            <w:r>
              <w:rPr>
                <w:rFonts w:cs="Arial"/>
                <w:color w:val="0D0D0D" w:themeColor="text1" w:themeTint="F2"/>
                <w:spacing w:val="-6"/>
              </w:rPr>
              <w:t xml:space="preserve"> činnosti se loni tržby meziročně snížily o 1,2 % (nejvíce </w:t>
            </w:r>
            <w:r w:rsidRPr="00F236AB">
              <w:rPr>
                <w:rFonts w:cs="Arial"/>
                <w:color w:val="0D0D0D" w:themeColor="text1" w:themeTint="F2"/>
                <w:spacing w:val="-2"/>
              </w:rPr>
              <w:t>od roku 2009). K poklesu přispěly zejména nižší tržby za vyda</w:t>
            </w:r>
            <w:r>
              <w:rPr>
                <w:rFonts w:cs="Arial"/>
                <w:color w:val="0D0D0D" w:themeColor="text1" w:themeTint="F2"/>
                <w:spacing w:val="-2"/>
              </w:rPr>
              <w:t xml:space="preserve">vatelské činnosti </w:t>
            </w:r>
            <w:r w:rsidRPr="00F236AB">
              <w:rPr>
                <w:rFonts w:cs="Arial"/>
                <w:color w:val="0D0D0D" w:themeColor="text1" w:themeTint="F2"/>
                <w:spacing w:val="-2"/>
              </w:rPr>
              <w:t>(</w:t>
            </w:r>
            <w:r>
              <w:rPr>
                <w:color w:val="0D0D0D" w:themeColor="text1" w:themeTint="F2"/>
                <w:spacing w:val="-2"/>
              </w:rPr>
              <w:t>−</w:t>
            </w:r>
            <w:r>
              <w:rPr>
                <w:rFonts w:cs="Arial"/>
                <w:color w:val="0D0D0D" w:themeColor="text1" w:themeTint="F2"/>
                <w:spacing w:val="-2"/>
              </w:rPr>
              <w:t>5,0</w:t>
            </w:r>
            <w:r w:rsidRPr="00F236AB">
              <w:rPr>
                <w:rFonts w:cs="Arial"/>
                <w:color w:val="0D0D0D" w:themeColor="text1" w:themeTint="F2"/>
                <w:spacing w:val="-2"/>
              </w:rPr>
              <w:t xml:space="preserve"> %),</w:t>
            </w:r>
            <w:r>
              <w:rPr>
                <w:rFonts w:cs="Arial"/>
                <w:color w:val="0D0D0D" w:themeColor="text1" w:themeTint="F2"/>
                <w:spacing w:val="-6"/>
              </w:rPr>
              <w:t xml:space="preserve"> nejvíce klesl ovšem výkon tzv. filmového a hudebního </w:t>
            </w:r>
            <w:r>
              <w:rPr>
                <w:rFonts w:cs="Arial"/>
                <w:color w:val="0D0D0D" w:themeColor="text1" w:themeTint="F2"/>
                <w:spacing w:val="-6"/>
              </w:rPr>
              <w:lastRenderedPageBreak/>
              <w:t>průmyslu (</w:t>
            </w:r>
            <w:r>
              <w:rPr>
                <w:color w:val="0D0D0D" w:themeColor="text1" w:themeTint="F2"/>
                <w:spacing w:val="-2"/>
              </w:rPr>
              <w:t>−</w:t>
            </w:r>
            <w:r>
              <w:rPr>
                <w:rFonts w:cs="Arial"/>
                <w:color w:val="0D0D0D" w:themeColor="text1" w:themeTint="F2"/>
                <w:spacing w:val="-6"/>
              </w:rPr>
              <w:t>9,4 %)</w:t>
            </w:r>
            <w:r w:rsidRPr="00951B5E">
              <w:rPr>
                <w:rStyle w:val="Znakapoznpodarou"/>
                <w:color w:val="0D0D0D" w:themeColor="text1" w:themeTint="F2"/>
                <w:spacing w:val="-8"/>
              </w:rPr>
              <w:footnoteReference w:id="45"/>
            </w:r>
            <w:r>
              <w:rPr>
                <w:rFonts w:cs="Arial"/>
                <w:color w:val="0D0D0D" w:themeColor="text1" w:themeTint="F2"/>
                <w:spacing w:val="-6"/>
              </w:rPr>
              <w:t>. Netradičně klesly za loňský rok tržby</w:t>
            </w:r>
            <w:r w:rsidRPr="00951B5E">
              <w:rPr>
                <w:color w:val="0D0D0D" w:themeColor="text1" w:themeTint="F2"/>
                <w:spacing w:val="-8"/>
              </w:rPr>
              <w:t xml:space="preserve"> </w:t>
            </w:r>
            <w:r>
              <w:rPr>
                <w:color w:val="0D0D0D" w:themeColor="text1" w:themeTint="F2"/>
                <w:spacing w:val="-8"/>
              </w:rPr>
              <w:t xml:space="preserve">v </w:t>
            </w:r>
            <w:r w:rsidRPr="00951B5E">
              <w:rPr>
                <w:color w:val="0D0D0D" w:themeColor="text1" w:themeTint="F2"/>
                <w:spacing w:val="-8"/>
              </w:rPr>
              <w:t xml:space="preserve">činnostech v oblasti IT </w:t>
            </w:r>
            <w:r w:rsidRPr="004416F5">
              <w:rPr>
                <w:color w:val="0D0D0D" w:themeColor="text1" w:themeTint="F2"/>
                <w:spacing w:val="-6"/>
              </w:rPr>
              <w:t>(zahrnující např. programování či správu počítačového vybavení)</w:t>
            </w:r>
            <w:r>
              <w:rPr>
                <w:color w:val="0D0D0D" w:themeColor="text1" w:themeTint="F2"/>
                <w:spacing w:val="-6"/>
              </w:rPr>
              <w:t xml:space="preserve">, a to o 0,1 %, a zejména pak </w:t>
            </w:r>
            <w:r>
              <w:rPr>
                <w:color w:val="0D0D0D" w:themeColor="text1" w:themeTint="F2"/>
                <w:spacing w:val="-4"/>
              </w:rPr>
              <w:t>v informačních činnostech</w:t>
            </w:r>
            <w:r>
              <w:rPr>
                <w:rStyle w:val="Znakapoznpodarou"/>
                <w:color w:val="0D0D0D" w:themeColor="text1" w:themeTint="F2"/>
                <w:spacing w:val="-4"/>
              </w:rPr>
              <w:footnoteReference w:id="46"/>
            </w:r>
            <w:r>
              <w:rPr>
                <w:color w:val="0D0D0D" w:themeColor="text1" w:themeTint="F2"/>
                <w:spacing w:val="-4"/>
              </w:rPr>
              <w:t xml:space="preserve"> (o</w:t>
            </w:r>
            <w:r w:rsidRPr="00F236AB">
              <w:rPr>
                <w:rFonts w:cs="Arial"/>
                <w:color w:val="0D0D0D" w:themeColor="text1" w:themeTint="F2"/>
                <w:spacing w:val="-2"/>
              </w:rPr>
              <w:t> </w:t>
            </w:r>
            <w:r>
              <w:rPr>
                <w:color w:val="0D0D0D" w:themeColor="text1" w:themeTint="F2"/>
                <w:spacing w:val="-4"/>
              </w:rPr>
              <w:t xml:space="preserve">6,8 %). </w:t>
            </w:r>
            <w:r>
              <w:rPr>
                <w:color w:val="0D0D0D" w:themeColor="text1" w:themeTint="F2"/>
                <w:spacing w:val="-8"/>
              </w:rPr>
              <w:t xml:space="preserve">V dlouhodobě rostoucí oblasti </w:t>
            </w:r>
            <w:r>
              <w:rPr>
                <w:color w:val="0D0D0D" w:themeColor="text1" w:themeTint="F2"/>
                <w:spacing w:val="-6"/>
              </w:rPr>
              <w:t>telekomunikací</w:t>
            </w:r>
            <w:r>
              <w:rPr>
                <w:color w:val="0D0D0D" w:themeColor="text1" w:themeTint="F2"/>
                <w:spacing w:val="-4"/>
              </w:rPr>
              <w:t xml:space="preserve"> loni tržby vzrostly o pouhé 1 %, což bylo nejméně za posledních devět let. Po slabším roku 2022 loni ožily tržby v oblasti tvorby programů a vysílání (+4,9 %) a ve srovnání s rokem 2019 byly o více než desetinu vyšší.</w:t>
            </w:r>
          </w:p>
        </w:tc>
      </w:tr>
      <w:tr w:rsidR="00BA5125" w14:paraId="09C73C3F" w14:textId="77777777" w:rsidTr="00BA5125">
        <w:trPr>
          <w:trHeight w:val="170"/>
        </w:trPr>
        <w:tc>
          <w:tcPr>
            <w:tcW w:w="1814" w:type="dxa"/>
            <w:tcBorders>
              <w:top w:val="nil"/>
              <w:left w:val="nil"/>
              <w:bottom w:val="nil"/>
              <w:right w:val="nil"/>
            </w:tcBorders>
            <w:shd w:val="clear" w:color="auto" w:fill="auto"/>
            <w:tcMar>
              <w:left w:w="0" w:type="dxa"/>
            </w:tcMar>
          </w:tcPr>
          <w:p w14:paraId="0120E06B" w14:textId="77777777" w:rsidR="00BA5125" w:rsidRDefault="00BA5125" w:rsidP="00BA5125">
            <w:pPr>
              <w:pStyle w:val="Marginlie"/>
            </w:pPr>
            <w:r>
              <w:lastRenderedPageBreak/>
              <w:t xml:space="preserve">Útlum maloobchodních tržeb vrcholil v polovině loňského roku. Poté již tržby </w:t>
            </w:r>
            <w:proofErr w:type="spellStart"/>
            <w:r>
              <w:t>mezikvartálně</w:t>
            </w:r>
            <w:proofErr w:type="spellEnd"/>
            <w:r>
              <w:t xml:space="preserve"> nepatrně rostly. </w:t>
            </w:r>
          </w:p>
          <w:p w14:paraId="654E24BD" w14:textId="77777777" w:rsidR="00BA5125" w:rsidRDefault="00BA5125" w:rsidP="00BA5125">
            <w:pPr>
              <w:pStyle w:val="Marginlie"/>
            </w:pPr>
          </w:p>
          <w:p w14:paraId="01E44586" w14:textId="77777777" w:rsidR="00BA5125" w:rsidRDefault="00BA5125" w:rsidP="00BA5125">
            <w:pPr>
              <w:pStyle w:val="Marginlie"/>
            </w:pPr>
          </w:p>
          <w:p w14:paraId="2D4BE2F9" w14:textId="77777777" w:rsidR="00BA5125" w:rsidRDefault="00BA5125" w:rsidP="00BA5125">
            <w:pPr>
              <w:pStyle w:val="Marginlie"/>
            </w:pPr>
            <w:r>
              <w:t>Spotřeba domácností zůstala nadále utlumená a jejich důvěra v ekonomiku nízká.</w:t>
            </w:r>
          </w:p>
        </w:tc>
        <w:tc>
          <w:tcPr>
            <w:tcW w:w="229" w:type="dxa"/>
            <w:tcBorders>
              <w:top w:val="nil"/>
              <w:left w:val="nil"/>
              <w:bottom w:val="nil"/>
              <w:right w:val="nil"/>
            </w:tcBorders>
            <w:shd w:val="clear" w:color="auto" w:fill="auto"/>
            <w:tcMar>
              <w:left w:w="0" w:type="dxa"/>
            </w:tcMar>
          </w:tcPr>
          <w:p w14:paraId="534F3443"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2094DBF6" w14:textId="77777777" w:rsidR="00BA5125" w:rsidRDefault="00BA5125" w:rsidP="00BA5125">
            <w:pPr>
              <w:spacing w:after="200"/>
              <w:rPr>
                <w:rFonts w:cs="Arial"/>
                <w:color w:val="0D0D0D" w:themeColor="text1" w:themeTint="F2"/>
                <w:szCs w:val="20"/>
              </w:rPr>
            </w:pPr>
            <w:r>
              <w:rPr>
                <w:rFonts w:cs="Arial"/>
                <w:color w:val="0D0D0D" w:themeColor="text1" w:themeTint="F2"/>
                <w:szCs w:val="20"/>
              </w:rPr>
              <w:t>Maloobchod se po celý loňský rok potýkal s utlumenou poptávkou, jež pramenila z pokračujícího meziročního poklesu reálných příjmů domácností i slabé spotřebitelské důvěry v ekonomiku</w:t>
            </w:r>
            <w:r>
              <w:rPr>
                <w:rStyle w:val="Znakapoznpodarou"/>
                <w:color w:val="0D0D0D" w:themeColor="text1" w:themeTint="F2"/>
                <w:szCs w:val="20"/>
              </w:rPr>
              <w:footnoteReference w:id="47"/>
            </w:r>
            <w:r>
              <w:rPr>
                <w:rFonts w:cs="Arial"/>
                <w:color w:val="0D0D0D" w:themeColor="text1" w:themeTint="F2"/>
                <w:szCs w:val="20"/>
              </w:rPr>
              <w:t xml:space="preserve">. </w:t>
            </w:r>
            <w:r w:rsidRPr="00583B84">
              <w:rPr>
                <w:rFonts w:cs="Arial"/>
                <w:color w:val="0D0D0D" w:themeColor="text1" w:themeTint="F2"/>
                <w:szCs w:val="20"/>
              </w:rPr>
              <w:t xml:space="preserve">Dílčí </w:t>
            </w:r>
            <w:r w:rsidRPr="00A54181">
              <w:rPr>
                <w:rFonts w:cs="Arial"/>
                <w:color w:val="0D0D0D" w:themeColor="text1" w:themeTint="F2"/>
                <w:spacing w:val="-6"/>
                <w:szCs w:val="20"/>
              </w:rPr>
              <w:t>pozitivní vliv měl rostoucí počet spotřebitelů (díky příchodu uprchlíků z Ukrajiny i postupnému</w:t>
            </w:r>
            <w:r w:rsidRPr="00583B84">
              <w:rPr>
                <w:rFonts w:cs="Arial"/>
                <w:color w:val="0D0D0D" w:themeColor="text1" w:themeTint="F2"/>
                <w:szCs w:val="20"/>
              </w:rPr>
              <w:t xml:space="preserve"> zotavování turismu)</w:t>
            </w:r>
            <w:r>
              <w:rPr>
                <w:rFonts w:cs="Arial"/>
                <w:color w:val="0D0D0D" w:themeColor="text1" w:themeTint="F2"/>
                <w:szCs w:val="20"/>
              </w:rPr>
              <w:t>, naopak negativně působily častější</w:t>
            </w:r>
            <w:r w:rsidRPr="00583B84">
              <w:rPr>
                <w:rFonts w:cs="Arial"/>
                <w:color w:val="0D0D0D" w:themeColor="text1" w:themeTint="F2"/>
                <w:szCs w:val="20"/>
              </w:rPr>
              <w:t xml:space="preserve"> </w:t>
            </w:r>
            <w:r>
              <w:rPr>
                <w:rFonts w:cs="Arial"/>
                <w:color w:val="0D0D0D" w:themeColor="text1" w:themeTint="F2"/>
                <w:szCs w:val="20"/>
              </w:rPr>
              <w:t xml:space="preserve">nákupy </w:t>
            </w:r>
            <w:r w:rsidRPr="00583B84">
              <w:rPr>
                <w:rFonts w:cs="Arial"/>
                <w:color w:val="0D0D0D" w:themeColor="text1" w:themeTint="F2"/>
                <w:szCs w:val="20"/>
              </w:rPr>
              <w:t>tuzemských dom</w:t>
            </w:r>
            <w:r>
              <w:rPr>
                <w:rFonts w:cs="Arial"/>
                <w:color w:val="0D0D0D" w:themeColor="text1" w:themeTint="F2"/>
                <w:szCs w:val="20"/>
              </w:rPr>
              <w:t>ácnosti v zahraničí</w:t>
            </w:r>
            <w:r>
              <w:rPr>
                <w:rStyle w:val="Znakapoznpodarou"/>
                <w:color w:val="0D0D0D" w:themeColor="text1" w:themeTint="F2"/>
                <w:szCs w:val="20"/>
              </w:rPr>
              <w:footnoteReference w:id="48"/>
            </w:r>
            <w:r>
              <w:rPr>
                <w:rFonts w:cs="Arial"/>
                <w:color w:val="0D0D0D" w:themeColor="text1" w:themeTint="F2"/>
                <w:szCs w:val="20"/>
              </w:rPr>
              <w:t xml:space="preserve">. Ve 2. čtvrtletí 2023 se tržby </w:t>
            </w:r>
            <w:r w:rsidRPr="00F079C1">
              <w:rPr>
                <w:rFonts w:cs="Arial"/>
                <w:color w:val="0D0D0D" w:themeColor="text1" w:themeTint="F2"/>
                <w:szCs w:val="20"/>
              </w:rPr>
              <w:t>v maloobchodu</w:t>
            </w:r>
            <w:r w:rsidRPr="00F079C1">
              <w:rPr>
                <w:rStyle w:val="Znakapoznpodarou"/>
                <w:color w:val="0D0D0D" w:themeColor="text1" w:themeTint="F2"/>
              </w:rPr>
              <w:footnoteReference w:id="49"/>
            </w:r>
            <w:r>
              <w:rPr>
                <w:rFonts w:cs="Arial"/>
                <w:color w:val="0D0D0D" w:themeColor="text1" w:themeTint="F2"/>
                <w:szCs w:val="20"/>
              </w:rPr>
              <w:t xml:space="preserve"> </w:t>
            </w:r>
            <w:proofErr w:type="spellStart"/>
            <w:r>
              <w:rPr>
                <w:rFonts w:cs="Arial"/>
                <w:color w:val="0D0D0D" w:themeColor="text1" w:themeTint="F2"/>
                <w:szCs w:val="20"/>
              </w:rPr>
              <w:t>mezikvartálně</w:t>
            </w:r>
            <w:proofErr w:type="spellEnd"/>
            <w:r>
              <w:rPr>
                <w:rFonts w:cs="Arial"/>
                <w:color w:val="0D0D0D" w:themeColor="text1" w:themeTint="F2"/>
                <w:szCs w:val="20"/>
              </w:rPr>
              <w:t xml:space="preserve"> snížily o 0,4 % a pokračovaly tak v poklesu posedmé v řadě (</w:t>
            </w:r>
            <w:r w:rsidRPr="00583B84">
              <w:rPr>
                <w:rFonts w:cs="Arial"/>
                <w:color w:val="0D0D0D" w:themeColor="text1" w:themeTint="F2"/>
                <w:szCs w:val="20"/>
              </w:rPr>
              <w:t>z velké části kopíroval</w:t>
            </w:r>
            <w:r>
              <w:rPr>
                <w:rFonts w:cs="Arial"/>
                <w:color w:val="0D0D0D" w:themeColor="text1" w:themeTint="F2"/>
                <w:szCs w:val="20"/>
              </w:rPr>
              <w:t>y</w:t>
            </w:r>
            <w:r w:rsidRPr="00583B84">
              <w:rPr>
                <w:rFonts w:cs="Arial"/>
                <w:color w:val="0D0D0D" w:themeColor="text1" w:themeTint="F2"/>
                <w:szCs w:val="20"/>
              </w:rPr>
              <w:t xml:space="preserve"> trend celkových výdajů domácností na konečnou spotřebu</w:t>
            </w:r>
            <w:r>
              <w:rPr>
                <w:rFonts w:cs="Arial"/>
                <w:color w:val="0D0D0D" w:themeColor="text1" w:themeTint="F2"/>
                <w:szCs w:val="20"/>
              </w:rPr>
              <w:t>). Délka i hloubka poklesu tržeb</w:t>
            </w:r>
            <w:r>
              <w:rPr>
                <w:rStyle w:val="Znakapoznpodarou"/>
                <w:color w:val="0D0D0D" w:themeColor="text1" w:themeTint="F2"/>
                <w:szCs w:val="20"/>
              </w:rPr>
              <w:footnoteReference w:id="50"/>
            </w:r>
            <w:r>
              <w:rPr>
                <w:rFonts w:cs="Arial"/>
                <w:color w:val="0D0D0D" w:themeColor="text1" w:themeTint="F2"/>
                <w:szCs w:val="20"/>
              </w:rPr>
              <w:t xml:space="preserve"> neměla ve srovnatelné časové řadě (po roce 2000) obdoby. Ve 2. pololetí již </w:t>
            </w:r>
            <w:proofErr w:type="spellStart"/>
            <w:r>
              <w:rPr>
                <w:rFonts w:cs="Arial"/>
                <w:color w:val="0D0D0D" w:themeColor="text1" w:themeTint="F2"/>
                <w:szCs w:val="20"/>
              </w:rPr>
              <w:t>mezikvartální</w:t>
            </w:r>
            <w:proofErr w:type="spellEnd"/>
            <w:r>
              <w:rPr>
                <w:rFonts w:cs="Arial"/>
                <w:color w:val="0D0D0D" w:themeColor="text1" w:themeTint="F2"/>
                <w:szCs w:val="20"/>
              </w:rPr>
              <w:t xml:space="preserve"> pokles tržeb nepokračoval, spotřebitelé se částečně adaptovali na zvýšenou cenovou hladinu zboží, jejich celková poptávka ale zůstávala slabá (i vlivem přetrvávající zvýšené míry úspor domácností). Na konci loňského roku se maloobchodní tržby reálně nacházely zhruba na úrovni ze 4. čtvrtletí 2018 (z toho u potravin dokonce na úrovni roku 2014).</w:t>
            </w:r>
          </w:p>
        </w:tc>
      </w:tr>
      <w:tr w:rsidR="00BA5125" w14:paraId="524C1D83" w14:textId="77777777" w:rsidTr="00BA5125">
        <w:trPr>
          <w:trHeight w:val="170"/>
        </w:trPr>
        <w:tc>
          <w:tcPr>
            <w:tcW w:w="1814" w:type="dxa"/>
            <w:tcBorders>
              <w:top w:val="nil"/>
              <w:left w:val="nil"/>
              <w:bottom w:val="nil"/>
              <w:right w:val="nil"/>
            </w:tcBorders>
            <w:shd w:val="clear" w:color="auto" w:fill="auto"/>
            <w:tcMar>
              <w:left w:w="0" w:type="dxa"/>
            </w:tcMar>
          </w:tcPr>
          <w:p w14:paraId="3B5EE220" w14:textId="77777777" w:rsidR="00BA5125" w:rsidRDefault="00BA5125" w:rsidP="00BA5125">
            <w:pPr>
              <w:pStyle w:val="Marginlie"/>
            </w:pPr>
            <w:r>
              <w:t>Poptávka po potravinářském i nepotravinářském zboží za celý loňský rok rekordně poklesla.</w:t>
            </w:r>
          </w:p>
          <w:p w14:paraId="4215CA07"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58F457AB"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30D40EE4" w14:textId="77777777" w:rsidR="00BA5125" w:rsidRPr="00BD0558" w:rsidRDefault="00BA5125" w:rsidP="00BA5125">
            <w:pPr>
              <w:spacing w:after="200"/>
              <w:rPr>
                <w:rFonts w:cs="Arial"/>
                <w:color w:val="0D0D0D" w:themeColor="text1" w:themeTint="F2"/>
                <w:spacing w:val="-4"/>
                <w:szCs w:val="20"/>
              </w:rPr>
            </w:pPr>
            <w:r w:rsidRPr="00BD0558">
              <w:rPr>
                <w:rFonts w:cs="Arial"/>
                <w:color w:val="0D0D0D" w:themeColor="text1" w:themeTint="F2"/>
                <w:spacing w:val="-4"/>
                <w:szCs w:val="20"/>
              </w:rPr>
              <w:t xml:space="preserve">Za celý loňský rok se maloobchodní tržby snížily </w:t>
            </w:r>
            <w:r>
              <w:rPr>
                <w:rFonts w:cs="Arial"/>
                <w:color w:val="0D0D0D" w:themeColor="text1" w:themeTint="F2"/>
                <w:spacing w:val="-4"/>
                <w:szCs w:val="20"/>
              </w:rPr>
              <w:t xml:space="preserve">meziročně </w:t>
            </w:r>
            <w:r w:rsidRPr="00BD0558">
              <w:rPr>
                <w:rFonts w:cs="Arial"/>
                <w:color w:val="0D0D0D" w:themeColor="text1" w:themeTint="F2"/>
                <w:spacing w:val="-4"/>
                <w:szCs w:val="20"/>
              </w:rPr>
              <w:t xml:space="preserve">o 4,2 % a nepatrně tak prohloubily pokles z předcházejícího roku. Na útlumu poptávky se nejvíce podílelo nepotravinářské zboží, kde </w:t>
            </w:r>
            <w:r>
              <w:rPr>
                <w:rFonts w:cs="Arial"/>
                <w:color w:val="0D0D0D" w:themeColor="text1" w:themeTint="F2"/>
                <w:spacing w:val="-4"/>
                <w:szCs w:val="20"/>
              </w:rPr>
              <w:t xml:space="preserve">se </w:t>
            </w:r>
            <w:r w:rsidRPr="00BD0558">
              <w:rPr>
                <w:rFonts w:cs="Arial"/>
                <w:color w:val="0D0D0D" w:themeColor="text1" w:themeTint="F2"/>
                <w:spacing w:val="-4"/>
                <w:szCs w:val="20"/>
              </w:rPr>
              <w:t xml:space="preserve">tržby snížily o nebývalých 5,1 % (příspěvek k poklesu </w:t>
            </w:r>
            <w:r>
              <w:rPr>
                <w:rFonts w:cs="Arial"/>
                <w:color w:val="0D0D0D" w:themeColor="text1" w:themeTint="F2"/>
                <w:spacing w:val="-4"/>
                <w:szCs w:val="20"/>
              </w:rPr>
              <w:t xml:space="preserve">celého </w:t>
            </w:r>
            <w:r w:rsidRPr="00BD0558">
              <w:rPr>
                <w:rFonts w:cs="Arial"/>
                <w:color w:val="0D0D0D" w:themeColor="text1" w:themeTint="F2"/>
                <w:spacing w:val="-4"/>
                <w:szCs w:val="20"/>
              </w:rPr>
              <w:t xml:space="preserve">maloobchodu </w:t>
            </w:r>
            <w:r>
              <w:rPr>
                <w:color w:val="0D0D0D" w:themeColor="text1" w:themeTint="F2"/>
                <w:spacing w:val="-4"/>
              </w:rPr>
              <w:t>−</w:t>
            </w:r>
            <w:r>
              <w:rPr>
                <w:rFonts w:cs="Arial"/>
                <w:color w:val="0D0D0D" w:themeColor="text1" w:themeTint="F2"/>
                <w:spacing w:val="-4"/>
                <w:szCs w:val="20"/>
              </w:rPr>
              <w:t>2,6</w:t>
            </w:r>
            <w:r w:rsidRPr="00BD0558">
              <w:rPr>
                <w:rFonts w:cs="Arial"/>
                <w:color w:val="0D0D0D" w:themeColor="text1" w:themeTint="F2"/>
                <w:spacing w:val="-4"/>
                <w:szCs w:val="20"/>
              </w:rPr>
              <w:t xml:space="preserve"> p. b.). Srovnatelný a v novodobé historii rovněž nejhlubší pokles zaznamenali i prodejci potravin</w:t>
            </w:r>
            <w:r>
              <w:rPr>
                <w:rFonts w:cs="Arial"/>
                <w:color w:val="0D0D0D" w:themeColor="text1" w:themeTint="F2"/>
                <w:spacing w:val="-4"/>
                <w:szCs w:val="20"/>
              </w:rPr>
              <w:t xml:space="preserve"> (</w:t>
            </w:r>
            <w:r>
              <w:rPr>
                <w:color w:val="0D0D0D" w:themeColor="text1" w:themeTint="F2"/>
                <w:spacing w:val="-4"/>
              </w:rPr>
              <w:t>−</w:t>
            </w:r>
            <w:r>
              <w:rPr>
                <w:rFonts w:cs="Arial"/>
                <w:color w:val="0D0D0D" w:themeColor="text1" w:themeTint="F2"/>
                <w:spacing w:val="-4"/>
                <w:szCs w:val="20"/>
              </w:rPr>
              <w:t>5,8 %)</w:t>
            </w:r>
            <w:r w:rsidRPr="00BD0558">
              <w:rPr>
                <w:rFonts w:cs="Arial"/>
                <w:color w:val="0D0D0D" w:themeColor="text1" w:themeTint="F2"/>
                <w:spacing w:val="-4"/>
                <w:szCs w:val="20"/>
              </w:rPr>
              <w:t>. Z významnějších segmentů maloobchodu se zvyšovaly tržby je</w:t>
            </w:r>
            <w:r>
              <w:rPr>
                <w:rFonts w:cs="Arial"/>
                <w:color w:val="0D0D0D" w:themeColor="text1" w:themeTint="F2"/>
                <w:spacing w:val="-4"/>
                <w:szCs w:val="20"/>
              </w:rPr>
              <w:t>n za prodej pohonných hmot (+5,4</w:t>
            </w:r>
            <w:r w:rsidRPr="00BD0558">
              <w:rPr>
                <w:rFonts w:cs="Arial"/>
                <w:color w:val="0D0D0D" w:themeColor="text1" w:themeTint="F2"/>
                <w:spacing w:val="-4"/>
                <w:szCs w:val="20"/>
              </w:rPr>
              <w:t xml:space="preserve"> %</w:t>
            </w:r>
            <w:r>
              <w:rPr>
                <w:rFonts w:cs="Arial"/>
                <w:color w:val="0D0D0D" w:themeColor="text1" w:themeTint="F2"/>
                <w:spacing w:val="-4"/>
                <w:szCs w:val="20"/>
              </w:rPr>
              <w:t>, příspěvek +0,6</w:t>
            </w:r>
            <w:r w:rsidRPr="00BD0558">
              <w:rPr>
                <w:rFonts w:cs="Arial"/>
                <w:color w:val="0D0D0D" w:themeColor="text1" w:themeTint="F2"/>
                <w:spacing w:val="-4"/>
                <w:szCs w:val="20"/>
              </w:rPr>
              <w:t xml:space="preserve"> p. b.</w:t>
            </w:r>
            <w:r>
              <w:rPr>
                <w:rFonts w:cs="Arial"/>
                <w:color w:val="0D0D0D" w:themeColor="text1" w:themeTint="F2"/>
                <w:spacing w:val="-4"/>
                <w:szCs w:val="20"/>
              </w:rPr>
              <w:t>).</w:t>
            </w:r>
          </w:p>
        </w:tc>
      </w:tr>
      <w:tr w:rsidR="00BA5125" w14:paraId="185BFC0E" w14:textId="77777777" w:rsidTr="00BA5125">
        <w:trPr>
          <w:trHeight w:val="170"/>
        </w:trPr>
        <w:tc>
          <w:tcPr>
            <w:tcW w:w="1814" w:type="dxa"/>
            <w:tcBorders>
              <w:top w:val="nil"/>
              <w:left w:val="nil"/>
              <w:bottom w:val="nil"/>
              <w:right w:val="nil"/>
            </w:tcBorders>
            <w:shd w:val="clear" w:color="auto" w:fill="auto"/>
            <w:tcMar>
              <w:left w:w="0" w:type="dxa"/>
            </w:tcMar>
          </w:tcPr>
          <w:p w14:paraId="4D151EE1" w14:textId="77777777" w:rsidR="00BA5125" w:rsidRDefault="00BA5125" w:rsidP="00BA5125">
            <w:pPr>
              <w:pStyle w:val="Marginlie"/>
              <w:rPr>
                <w:spacing w:val="-4"/>
              </w:rPr>
            </w:pPr>
            <w:r w:rsidRPr="000839A0">
              <w:rPr>
                <w:spacing w:val="-4"/>
              </w:rPr>
              <w:t xml:space="preserve">Meziroční pokles tržeb v maloobchodu </w:t>
            </w:r>
            <w:r>
              <w:rPr>
                <w:spacing w:val="-4"/>
              </w:rPr>
              <w:t>se ve 4.</w:t>
            </w:r>
            <w:r>
              <w:t> </w:t>
            </w:r>
            <w:r w:rsidRPr="000839A0">
              <w:rPr>
                <w:spacing w:val="-4"/>
              </w:rPr>
              <w:t>čtvrtletí</w:t>
            </w:r>
            <w:r>
              <w:rPr>
                <w:spacing w:val="-4"/>
              </w:rPr>
              <w:t xml:space="preserve"> téměř zastavil. Příznivě se projevila</w:t>
            </w:r>
            <w:r w:rsidRPr="000839A0">
              <w:rPr>
                <w:spacing w:val="-4"/>
              </w:rPr>
              <w:t xml:space="preserve"> vyšší poptávka po nepotravinářském zboží, zejména v rámci internetového prodeje.</w:t>
            </w:r>
          </w:p>
          <w:p w14:paraId="3E4E73FB" w14:textId="77777777" w:rsidR="00BA5125" w:rsidRDefault="00BA5125" w:rsidP="00BA5125">
            <w:pPr>
              <w:pStyle w:val="Marginlie"/>
              <w:rPr>
                <w:spacing w:val="-4"/>
              </w:rPr>
            </w:pPr>
          </w:p>
          <w:p w14:paraId="62C440A5" w14:textId="77777777" w:rsidR="00BA5125" w:rsidRDefault="00BA5125" w:rsidP="00BA5125">
            <w:pPr>
              <w:pStyle w:val="Marginlie"/>
              <w:rPr>
                <w:spacing w:val="-4"/>
              </w:rPr>
            </w:pPr>
          </w:p>
          <w:p w14:paraId="1DF0D954" w14:textId="77777777" w:rsidR="00BA5125" w:rsidRDefault="00BA5125" w:rsidP="00BA5125">
            <w:pPr>
              <w:pStyle w:val="Marginlie"/>
              <w:rPr>
                <w:spacing w:val="-4"/>
              </w:rPr>
            </w:pPr>
          </w:p>
          <w:p w14:paraId="3BCE27C2" w14:textId="77777777" w:rsidR="00BA5125" w:rsidRDefault="00BA5125" w:rsidP="00BA5125">
            <w:pPr>
              <w:pStyle w:val="Marginlie"/>
              <w:rPr>
                <w:spacing w:val="-4"/>
              </w:rPr>
            </w:pPr>
          </w:p>
          <w:p w14:paraId="6ED818D0" w14:textId="77777777" w:rsidR="00BA5125" w:rsidRPr="000839A0" w:rsidRDefault="00BA5125" w:rsidP="00BA5125">
            <w:pPr>
              <w:pStyle w:val="Marginlie"/>
              <w:rPr>
                <w:spacing w:val="-4"/>
              </w:rPr>
            </w:pPr>
            <w:r>
              <w:rPr>
                <w:spacing w:val="-4"/>
              </w:rPr>
              <w:lastRenderedPageBreak/>
              <w:t>Pokles tržeb za potraviny pokračoval osmý kvartál v řadě.</w:t>
            </w:r>
          </w:p>
        </w:tc>
        <w:tc>
          <w:tcPr>
            <w:tcW w:w="229" w:type="dxa"/>
            <w:tcBorders>
              <w:top w:val="nil"/>
              <w:left w:val="nil"/>
              <w:bottom w:val="nil"/>
              <w:right w:val="nil"/>
            </w:tcBorders>
            <w:shd w:val="clear" w:color="auto" w:fill="auto"/>
            <w:tcMar>
              <w:left w:w="0" w:type="dxa"/>
            </w:tcMar>
          </w:tcPr>
          <w:p w14:paraId="733CCD82"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EA4EE6E" w14:textId="77777777" w:rsidR="00BA5125" w:rsidRPr="00D1534A" w:rsidRDefault="00BA5125" w:rsidP="00BA5125">
            <w:pPr>
              <w:spacing w:after="200"/>
              <w:rPr>
                <w:rFonts w:cs="Arial"/>
                <w:color w:val="0D0D0D" w:themeColor="text1" w:themeTint="F2"/>
                <w:spacing w:val="-3"/>
                <w:szCs w:val="20"/>
              </w:rPr>
            </w:pPr>
            <w:r w:rsidRPr="00D1534A">
              <w:rPr>
                <w:rFonts w:cs="Arial"/>
                <w:color w:val="0D0D0D" w:themeColor="text1" w:themeTint="F2"/>
                <w:spacing w:val="-3"/>
                <w:szCs w:val="20"/>
              </w:rPr>
              <w:t>Optimističtější pohled skýtá 4. čtvrtletí 2023</w:t>
            </w:r>
            <w:r>
              <w:rPr>
                <w:rFonts w:cs="Arial"/>
                <w:color w:val="0D0D0D" w:themeColor="text1" w:themeTint="F2"/>
                <w:spacing w:val="-3"/>
                <w:szCs w:val="20"/>
              </w:rPr>
              <w:t>, v němž tržby v</w:t>
            </w:r>
            <w:r w:rsidRPr="00D1534A">
              <w:rPr>
                <w:rFonts w:cs="Arial"/>
                <w:color w:val="0D0D0D" w:themeColor="text1" w:themeTint="F2"/>
                <w:spacing w:val="-3"/>
                <w:szCs w:val="20"/>
              </w:rPr>
              <w:t xml:space="preserve"> maloobchodu </w:t>
            </w:r>
            <w:r>
              <w:rPr>
                <w:rFonts w:cs="Arial"/>
                <w:color w:val="0D0D0D" w:themeColor="text1" w:themeTint="F2"/>
                <w:spacing w:val="-2"/>
                <w:szCs w:val="20"/>
              </w:rPr>
              <w:t>meziročně fakticky stagnovaly (</w:t>
            </w:r>
            <w:r>
              <w:rPr>
                <w:color w:val="0D0D0D" w:themeColor="text1" w:themeTint="F2"/>
                <w:spacing w:val="-4"/>
              </w:rPr>
              <w:t>−</w:t>
            </w:r>
            <w:r w:rsidRPr="00D1534A">
              <w:rPr>
                <w:rFonts w:cs="Arial"/>
                <w:color w:val="0D0D0D" w:themeColor="text1" w:themeTint="F2"/>
                <w:spacing w:val="-2"/>
                <w:szCs w:val="20"/>
              </w:rPr>
              <w:t>0,1 %). Pozitivně se projevil růst u nepotravinářského</w:t>
            </w:r>
            <w:r>
              <w:rPr>
                <w:rFonts w:cs="Arial"/>
                <w:color w:val="0D0D0D" w:themeColor="text1" w:themeTint="F2"/>
                <w:spacing w:val="-2"/>
                <w:szCs w:val="20"/>
              </w:rPr>
              <w:t xml:space="preserve"> zboží (+0,8</w:t>
            </w:r>
            <w:r w:rsidRPr="00BD0558">
              <w:rPr>
                <w:rFonts w:cs="Arial"/>
                <w:color w:val="0D0D0D" w:themeColor="text1" w:themeTint="F2"/>
                <w:spacing w:val="-4"/>
                <w:szCs w:val="20"/>
              </w:rPr>
              <w:t> </w:t>
            </w:r>
            <w:r w:rsidRPr="00D1534A">
              <w:rPr>
                <w:rFonts w:cs="Arial"/>
                <w:color w:val="0D0D0D" w:themeColor="text1" w:themeTint="F2"/>
                <w:spacing w:val="-2"/>
                <w:szCs w:val="20"/>
              </w:rPr>
              <w:t>%),</w:t>
            </w:r>
            <w:r>
              <w:rPr>
                <w:rFonts w:cs="Arial"/>
                <w:color w:val="0D0D0D" w:themeColor="text1" w:themeTint="F2"/>
                <w:spacing w:val="-3"/>
                <w:szCs w:val="20"/>
              </w:rPr>
              <w:t xml:space="preserve"> jenž se objevil poprvé za posledních sedm</w:t>
            </w:r>
            <w:r w:rsidRPr="00D1534A">
              <w:rPr>
                <w:rFonts w:cs="Arial"/>
                <w:color w:val="0D0D0D" w:themeColor="text1" w:themeTint="F2"/>
                <w:spacing w:val="-3"/>
                <w:szCs w:val="20"/>
              </w:rPr>
              <w:t xml:space="preserve"> čtvrtletí. B</w:t>
            </w:r>
            <w:r>
              <w:rPr>
                <w:rFonts w:cs="Arial"/>
                <w:color w:val="0D0D0D" w:themeColor="text1" w:themeTint="F2"/>
                <w:spacing w:val="-3"/>
                <w:szCs w:val="20"/>
              </w:rPr>
              <w:t>yl tažený výraznějším oživením u</w:t>
            </w:r>
            <w:r>
              <w:rPr>
                <w:rFonts w:cs="Arial"/>
                <w:color w:val="0D0D0D" w:themeColor="text1" w:themeTint="F2"/>
                <w:szCs w:val="20"/>
              </w:rPr>
              <w:t> </w:t>
            </w:r>
            <w:r>
              <w:rPr>
                <w:rFonts w:cs="Arial"/>
                <w:color w:val="0D0D0D" w:themeColor="text1" w:themeTint="F2"/>
                <w:spacing w:val="-3"/>
                <w:szCs w:val="20"/>
              </w:rPr>
              <w:t>internetových prodejů (+6,4</w:t>
            </w:r>
            <w:r w:rsidRPr="00D1534A">
              <w:rPr>
                <w:rFonts w:cs="Arial"/>
                <w:color w:val="0D0D0D" w:themeColor="text1" w:themeTint="F2"/>
                <w:spacing w:val="-3"/>
                <w:szCs w:val="20"/>
              </w:rPr>
              <w:t xml:space="preserve"> %)</w:t>
            </w:r>
            <w:r w:rsidRPr="00D1534A">
              <w:rPr>
                <w:rStyle w:val="Znakapoznpodarou"/>
                <w:color w:val="0D0D0D" w:themeColor="text1" w:themeTint="F2"/>
                <w:spacing w:val="-3"/>
                <w:szCs w:val="20"/>
              </w:rPr>
              <w:footnoteReference w:id="51"/>
            </w:r>
            <w:r w:rsidRPr="00D1534A">
              <w:rPr>
                <w:rFonts w:cs="Arial"/>
                <w:color w:val="0D0D0D" w:themeColor="text1" w:themeTint="F2"/>
                <w:spacing w:val="-3"/>
                <w:szCs w:val="20"/>
              </w:rPr>
              <w:t>. V rámci specializovaných prodejen</w:t>
            </w:r>
            <w:r w:rsidRPr="00D1534A">
              <w:rPr>
                <w:rStyle w:val="Znakapoznpodarou"/>
                <w:color w:val="0D0D0D" w:themeColor="text1" w:themeTint="F2"/>
                <w:spacing w:val="-3"/>
                <w:szCs w:val="20"/>
              </w:rPr>
              <w:footnoteReference w:id="52"/>
            </w:r>
            <w:r w:rsidRPr="00D1534A">
              <w:rPr>
                <w:rFonts w:cs="Arial"/>
                <w:color w:val="0D0D0D" w:themeColor="text1" w:themeTint="F2"/>
                <w:spacing w:val="-3"/>
                <w:szCs w:val="20"/>
              </w:rPr>
              <w:t xml:space="preserve"> rostla nejvíce poptávka </w:t>
            </w:r>
            <w:r>
              <w:rPr>
                <w:rFonts w:cs="Arial"/>
                <w:color w:val="0D0D0D" w:themeColor="text1" w:themeTint="F2"/>
                <w:spacing w:val="-3"/>
                <w:szCs w:val="20"/>
              </w:rPr>
              <w:t>po</w:t>
            </w:r>
            <w:r w:rsidRPr="00D1534A">
              <w:rPr>
                <w:rFonts w:cs="Arial"/>
                <w:color w:val="0D0D0D" w:themeColor="text1" w:themeTint="F2"/>
                <w:spacing w:val="-3"/>
                <w:szCs w:val="20"/>
              </w:rPr>
              <w:t xml:space="preserve"> kosmetic</w:t>
            </w:r>
            <w:r>
              <w:rPr>
                <w:rFonts w:cs="Arial"/>
                <w:color w:val="0D0D0D" w:themeColor="text1" w:themeTint="F2"/>
                <w:spacing w:val="-3"/>
                <w:szCs w:val="20"/>
              </w:rPr>
              <w:t xml:space="preserve">kých a toaletních výrobcích (+10,0 %) a po </w:t>
            </w:r>
            <w:r w:rsidRPr="00011738">
              <w:rPr>
                <w:rFonts w:cs="Arial"/>
                <w:color w:val="0D0D0D" w:themeColor="text1" w:themeTint="F2"/>
                <w:spacing w:val="-3"/>
                <w:szCs w:val="20"/>
              </w:rPr>
              <w:t>farmaceutick</w:t>
            </w:r>
            <w:r>
              <w:rPr>
                <w:rFonts w:cs="Arial"/>
                <w:color w:val="0D0D0D" w:themeColor="text1" w:themeTint="F2"/>
                <w:spacing w:val="-3"/>
                <w:szCs w:val="20"/>
              </w:rPr>
              <w:t>ém</w:t>
            </w:r>
            <w:r w:rsidRPr="00011738">
              <w:rPr>
                <w:rFonts w:cs="Arial"/>
                <w:color w:val="0D0D0D" w:themeColor="text1" w:themeTint="F2"/>
                <w:spacing w:val="-3"/>
                <w:szCs w:val="20"/>
              </w:rPr>
              <w:t xml:space="preserve"> a zdravotnick</w:t>
            </w:r>
            <w:r>
              <w:rPr>
                <w:rFonts w:cs="Arial"/>
                <w:color w:val="0D0D0D" w:themeColor="text1" w:themeTint="F2"/>
                <w:spacing w:val="-3"/>
                <w:szCs w:val="20"/>
              </w:rPr>
              <w:t>é</w:t>
            </w:r>
            <w:r w:rsidRPr="00011738">
              <w:rPr>
                <w:rFonts w:cs="Arial"/>
                <w:color w:val="0D0D0D" w:themeColor="text1" w:themeTint="F2"/>
                <w:spacing w:val="-3"/>
                <w:szCs w:val="20"/>
              </w:rPr>
              <w:t>m zboží</w:t>
            </w:r>
            <w:r>
              <w:rPr>
                <w:rFonts w:cs="Arial"/>
                <w:color w:val="0D0D0D" w:themeColor="text1" w:themeTint="F2"/>
                <w:spacing w:val="-3"/>
                <w:szCs w:val="20"/>
              </w:rPr>
              <w:t xml:space="preserve"> (+5,1 %)</w:t>
            </w:r>
            <w:r w:rsidRPr="00D1534A">
              <w:rPr>
                <w:rStyle w:val="Znakapoznpodarou"/>
                <w:color w:val="0D0D0D" w:themeColor="text1" w:themeTint="F2"/>
                <w:spacing w:val="-3"/>
                <w:szCs w:val="20"/>
              </w:rPr>
              <w:footnoteReference w:id="53"/>
            </w:r>
            <w:r>
              <w:rPr>
                <w:rFonts w:cs="Arial"/>
                <w:color w:val="0D0D0D" w:themeColor="text1" w:themeTint="F2"/>
                <w:spacing w:val="-3"/>
                <w:szCs w:val="20"/>
              </w:rPr>
              <w:t>. Mírný růst tržeb nastal také v prodejnách s počítačovým</w:t>
            </w:r>
            <w:r w:rsidRPr="00D1534A">
              <w:rPr>
                <w:rFonts w:cs="Arial"/>
                <w:color w:val="0D0D0D" w:themeColor="text1" w:themeTint="F2"/>
                <w:spacing w:val="-3"/>
                <w:szCs w:val="20"/>
              </w:rPr>
              <w:t xml:space="preserve"> a komunikační</w:t>
            </w:r>
            <w:r>
              <w:rPr>
                <w:rFonts w:cs="Arial"/>
                <w:color w:val="0D0D0D" w:themeColor="text1" w:themeTint="F2"/>
                <w:spacing w:val="-3"/>
                <w:szCs w:val="20"/>
              </w:rPr>
              <w:t>m</w:t>
            </w:r>
            <w:r w:rsidRPr="00D1534A">
              <w:rPr>
                <w:rFonts w:cs="Arial"/>
                <w:color w:val="0D0D0D" w:themeColor="text1" w:themeTint="F2"/>
                <w:spacing w:val="-3"/>
                <w:szCs w:val="20"/>
              </w:rPr>
              <w:t xml:space="preserve"> zařízení</w:t>
            </w:r>
            <w:r>
              <w:rPr>
                <w:rFonts w:cs="Arial"/>
                <w:color w:val="0D0D0D" w:themeColor="text1" w:themeTint="F2"/>
                <w:spacing w:val="-3"/>
                <w:szCs w:val="20"/>
              </w:rPr>
              <w:t>m (+1,9</w:t>
            </w:r>
            <w:r w:rsidRPr="00D1534A">
              <w:rPr>
                <w:rFonts w:cs="Arial"/>
                <w:color w:val="0D0D0D" w:themeColor="text1" w:themeTint="F2"/>
                <w:spacing w:val="-3"/>
                <w:szCs w:val="20"/>
              </w:rPr>
              <w:t xml:space="preserve"> %)</w:t>
            </w:r>
            <w:r>
              <w:rPr>
                <w:rFonts w:cs="Arial"/>
                <w:color w:val="0D0D0D" w:themeColor="text1" w:themeTint="F2"/>
                <w:spacing w:val="-3"/>
                <w:szCs w:val="20"/>
              </w:rPr>
              <w:t>, poptávka zde meziročně vzrostla poprvé za posledních sedm kvartálů.</w:t>
            </w:r>
            <w:r w:rsidRPr="00D1534A">
              <w:rPr>
                <w:rFonts w:cs="Arial"/>
                <w:color w:val="0D0D0D" w:themeColor="text1" w:themeTint="F2"/>
                <w:spacing w:val="-3"/>
                <w:szCs w:val="20"/>
              </w:rPr>
              <w:t xml:space="preserve"> Naopak nákup řady „zbytného“ zboží lidé dále </w:t>
            </w:r>
            <w:r>
              <w:rPr>
                <w:rFonts w:cs="Arial"/>
                <w:color w:val="0D0D0D" w:themeColor="text1" w:themeTint="F2"/>
                <w:spacing w:val="-3"/>
                <w:szCs w:val="20"/>
              </w:rPr>
              <w:t xml:space="preserve">často </w:t>
            </w:r>
            <w:r w:rsidRPr="00D1534A">
              <w:rPr>
                <w:rFonts w:cs="Arial"/>
                <w:color w:val="0D0D0D" w:themeColor="text1" w:themeTint="F2"/>
                <w:spacing w:val="-3"/>
                <w:szCs w:val="20"/>
              </w:rPr>
              <w:t>odkládali. Prodejci výrobků převážně pro domácnost (</w:t>
            </w:r>
            <w:r w:rsidRPr="00D1534A">
              <w:rPr>
                <w:rStyle w:val="normaltextrun"/>
                <w:rFonts w:eastAsia="MS Gothic" w:cs="Arial"/>
                <w:spacing w:val="-3"/>
                <w:szCs w:val="20"/>
              </w:rPr>
              <w:t>zahrnující hlavně železářské zboží, stavebniny, barvy, sklo, potřeby pro kutily, elektro, nábytek a</w:t>
            </w:r>
            <w:r w:rsidRPr="00D1534A">
              <w:rPr>
                <w:rFonts w:cs="Arial"/>
                <w:color w:val="0D0D0D" w:themeColor="text1" w:themeTint="F2"/>
                <w:spacing w:val="-3"/>
                <w:szCs w:val="20"/>
              </w:rPr>
              <w:t> </w:t>
            </w:r>
            <w:r w:rsidRPr="00D1534A">
              <w:rPr>
                <w:rStyle w:val="normaltextrun"/>
                <w:rFonts w:eastAsia="MS Gothic" w:cs="Arial"/>
                <w:spacing w:val="-3"/>
                <w:szCs w:val="20"/>
              </w:rPr>
              <w:t xml:space="preserve">svítidla) </w:t>
            </w:r>
            <w:r>
              <w:rPr>
                <w:rFonts w:cs="Arial"/>
                <w:color w:val="0D0D0D" w:themeColor="text1" w:themeTint="F2"/>
                <w:spacing w:val="-3"/>
                <w:szCs w:val="20"/>
              </w:rPr>
              <w:t xml:space="preserve">tak stržili meziročně </w:t>
            </w:r>
            <w:r>
              <w:rPr>
                <w:rFonts w:cs="Arial"/>
                <w:color w:val="0D0D0D" w:themeColor="text1" w:themeTint="F2"/>
                <w:spacing w:val="-3"/>
                <w:szCs w:val="20"/>
              </w:rPr>
              <w:lastRenderedPageBreak/>
              <w:t>o 5,3 % méně,</w:t>
            </w:r>
            <w:r w:rsidRPr="00D1534A">
              <w:rPr>
                <w:rFonts w:cs="Arial"/>
                <w:color w:val="0D0D0D" w:themeColor="text1" w:themeTint="F2"/>
                <w:spacing w:val="-3"/>
                <w:szCs w:val="20"/>
              </w:rPr>
              <w:t xml:space="preserve"> u odě</w:t>
            </w:r>
            <w:r>
              <w:rPr>
                <w:rFonts w:cs="Arial"/>
                <w:color w:val="0D0D0D" w:themeColor="text1" w:themeTint="F2"/>
                <w:spacing w:val="-3"/>
                <w:szCs w:val="20"/>
              </w:rPr>
              <w:t>vů, obuvi a koženého zboží došlo k poklesu o 4,7</w:t>
            </w:r>
            <w:r w:rsidRPr="00D1534A">
              <w:rPr>
                <w:rFonts w:cs="Arial"/>
                <w:color w:val="0D0D0D" w:themeColor="text1" w:themeTint="F2"/>
                <w:spacing w:val="-3"/>
                <w:szCs w:val="20"/>
              </w:rPr>
              <w:t xml:space="preserve"> %</w:t>
            </w:r>
            <w:r w:rsidRPr="00D1534A">
              <w:rPr>
                <w:rStyle w:val="Znakapoznpodarou"/>
                <w:color w:val="0D0D0D" w:themeColor="text1" w:themeTint="F2"/>
                <w:spacing w:val="-3"/>
                <w:szCs w:val="20"/>
              </w:rPr>
              <w:footnoteReference w:id="54"/>
            </w:r>
            <w:r>
              <w:rPr>
                <w:rFonts w:cs="Arial"/>
                <w:color w:val="0D0D0D" w:themeColor="text1" w:themeTint="F2"/>
                <w:spacing w:val="-3"/>
                <w:szCs w:val="20"/>
              </w:rPr>
              <w:t>,</w:t>
            </w:r>
            <w:r w:rsidRPr="00D1534A">
              <w:rPr>
                <w:rFonts w:cs="Arial"/>
                <w:color w:val="0D0D0D" w:themeColor="text1" w:themeTint="F2"/>
                <w:spacing w:val="-3"/>
                <w:szCs w:val="20"/>
              </w:rPr>
              <w:t xml:space="preserve"> u výrobků pro k</w:t>
            </w:r>
            <w:r>
              <w:rPr>
                <w:rFonts w:cs="Arial"/>
                <w:color w:val="0D0D0D" w:themeColor="text1" w:themeTint="F2"/>
                <w:spacing w:val="-3"/>
                <w:szCs w:val="20"/>
              </w:rPr>
              <w:t>ulturu a</w:t>
            </w:r>
            <w:r>
              <w:rPr>
                <w:rFonts w:cs="Arial"/>
                <w:color w:val="0D0D0D" w:themeColor="text1" w:themeTint="F2"/>
                <w:szCs w:val="20"/>
              </w:rPr>
              <w:t> </w:t>
            </w:r>
            <w:r>
              <w:rPr>
                <w:rFonts w:cs="Arial"/>
                <w:color w:val="0D0D0D" w:themeColor="text1" w:themeTint="F2"/>
                <w:spacing w:val="-3"/>
                <w:szCs w:val="20"/>
              </w:rPr>
              <w:t xml:space="preserve">rekreaci to byl pokles o 0,3 %.  </w:t>
            </w:r>
            <w:r w:rsidRPr="00D1534A">
              <w:rPr>
                <w:rFonts w:cs="Arial"/>
                <w:color w:val="0D0D0D" w:themeColor="text1" w:themeTint="F2"/>
                <w:spacing w:val="-3"/>
                <w:szCs w:val="20"/>
              </w:rPr>
              <w:t>Tržby za prodej pot</w:t>
            </w:r>
            <w:r>
              <w:rPr>
                <w:rFonts w:cs="Arial"/>
                <w:color w:val="0D0D0D" w:themeColor="text1" w:themeTint="F2"/>
                <w:spacing w:val="-3"/>
                <w:szCs w:val="20"/>
              </w:rPr>
              <w:t>ravin byly meziročně nižší o</w:t>
            </w:r>
            <w:r>
              <w:rPr>
                <w:rFonts w:cs="Arial"/>
                <w:color w:val="0D0D0D" w:themeColor="text1" w:themeTint="F2"/>
                <w:spacing w:val="-6"/>
                <w:szCs w:val="20"/>
              </w:rPr>
              <w:t> </w:t>
            </w:r>
            <w:r>
              <w:rPr>
                <w:rFonts w:cs="Arial"/>
                <w:color w:val="0D0D0D" w:themeColor="text1" w:themeTint="F2"/>
                <w:spacing w:val="-3"/>
                <w:szCs w:val="20"/>
              </w:rPr>
              <w:t>2,2 % (pokles trval již dva roky</w:t>
            </w:r>
            <w:r w:rsidRPr="00D1534A">
              <w:rPr>
                <w:rFonts w:cs="Arial"/>
                <w:color w:val="0D0D0D" w:themeColor="text1" w:themeTint="F2"/>
                <w:spacing w:val="-3"/>
                <w:szCs w:val="20"/>
              </w:rPr>
              <w:t>). Poptávka se srovnatelně snižovala jak u velkých řetězců, tak u malých specializovaných prodejen (</w:t>
            </w:r>
            <w:r>
              <w:rPr>
                <w:rFonts w:cs="Arial"/>
                <w:color w:val="0D0D0D" w:themeColor="text1" w:themeTint="F2"/>
                <w:spacing w:val="-3"/>
                <w:szCs w:val="20"/>
              </w:rPr>
              <w:t>z</w:t>
            </w:r>
            <w:r>
              <w:rPr>
                <w:rFonts w:cs="Arial"/>
                <w:color w:val="0D0D0D" w:themeColor="text1" w:themeTint="F2"/>
                <w:szCs w:val="20"/>
              </w:rPr>
              <w:t> </w:t>
            </w:r>
            <w:r w:rsidRPr="00D1534A">
              <w:rPr>
                <w:rFonts w:cs="Arial"/>
                <w:color w:val="0D0D0D" w:themeColor="text1" w:themeTint="F2"/>
                <w:spacing w:val="-3"/>
                <w:szCs w:val="20"/>
              </w:rPr>
              <w:t xml:space="preserve">nichž váhově nejvýznamnější sortimentní skupinu představují tabákové výrobky). Tak jako za celý loňský rok, </w:t>
            </w:r>
            <w:r>
              <w:rPr>
                <w:rFonts w:cs="Arial"/>
                <w:color w:val="0D0D0D" w:themeColor="text1" w:themeTint="F2"/>
                <w:spacing w:val="-3"/>
                <w:szCs w:val="20"/>
              </w:rPr>
              <w:t>i v jeho 4.</w:t>
            </w:r>
            <w:r>
              <w:rPr>
                <w:rFonts w:cs="Arial"/>
                <w:color w:val="0D0D0D" w:themeColor="text1" w:themeTint="F2"/>
                <w:spacing w:val="-6"/>
                <w:szCs w:val="20"/>
              </w:rPr>
              <w:t> </w:t>
            </w:r>
            <w:r w:rsidRPr="00D1534A">
              <w:rPr>
                <w:rFonts w:cs="Arial"/>
                <w:color w:val="0D0D0D" w:themeColor="text1" w:themeTint="F2"/>
                <w:spacing w:val="-3"/>
                <w:szCs w:val="20"/>
              </w:rPr>
              <w:t>čtvrtletí přispívaly k vývoji maloobchodu pozitivně tržby za prodej pohonných h</w:t>
            </w:r>
            <w:r>
              <w:rPr>
                <w:rFonts w:cs="Arial"/>
                <w:color w:val="0D0D0D" w:themeColor="text1" w:themeTint="F2"/>
                <w:spacing w:val="-3"/>
                <w:szCs w:val="20"/>
              </w:rPr>
              <w:t>mot (+2,0</w:t>
            </w:r>
            <w:r>
              <w:rPr>
                <w:rFonts w:cs="Arial"/>
                <w:color w:val="0D0D0D" w:themeColor="text1" w:themeTint="F2"/>
                <w:spacing w:val="-6"/>
                <w:szCs w:val="20"/>
              </w:rPr>
              <w:t> </w:t>
            </w:r>
            <w:r w:rsidRPr="00D1534A">
              <w:rPr>
                <w:rFonts w:cs="Arial"/>
                <w:color w:val="0D0D0D" w:themeColor="text1" w:themeTint="F2"/>
                <w:spacing w:val="-3"/>
                <w:szCs w:val="20"/>
              </w:rPr>
              <w:t xml:space="preserve">%). Vyšší spotřebu PHM </w:t>
            </w:r>
            <w:r>
              <w:rPr>
                <w:rFonts w:cs="Arial"/>
                <w:color w:val="0D0D0D" w:themeColor="text1" w:themeTint="F2"/>
                <w:spacing w:val="-3"/>
                <w:szCs w:val="20"/>
              </w:rPr>
              <w:t xml:space="preserve">patrně </w:t>
            </w:r>
            <w:r w:rsidRPr="00D1534A">
              <w:rPr>
                <w:rFonts w:cs="Arial"/>
                <w:color w:val="0D0D0D" w:themeColor="text1" w:themeTint="F2"/>
                <w:spacing w:val="-3"/>
                <w:szCs w:val="20"/>
              </w:rPr>
              <w:t xml:space="preserve">zčásti stimulovala </w:t>
            </w:r>
            <w:r>
              <w:rPr>
                <w:rFonts w:cs="Arial"/>
                <w:color w:val="0D0D0D" w:themeColor="text1" w:themeTint="F2"/>
                <w:spacing w:val="-3"/>
                <w:szCs w:val="20"/>
              </w:rPr>
              <w:t xml:space="preserve">jejich </w:t>
            </w:r>
            <w:r w:rsidRPr="00D1534A">
              <w:rPr>
                <w:rFonts w:cs="Arial"/>
                <w:color w:val="0D0D0D" w:themeColor="text1" w:themeTint="F2"/>
                <w:spacing w:val="-3"/>
                <w:szCs w:val="20"/>
              </w:rPr>
              <w:t xml:space="preserve">příznivější </w:t>
            </w:r>
            <w:r>
              <w:rPr>
                <w:rFonts w:cs="Arial"/>
                <w:color w:val="0D0D0D" w:themeColor="text1" w:themeTint="F2"/>
                <w:spacing w:val="-3"/>
                <w:szCs w:val="20"/>
              </w:rPr>
              <w:t>spotřebitelská cena, jež meziročně klesala od března 2023</w:t>
            </w:r>
            <w:r w:rsidRPr="00D1534A">
              <w:rPr>
                <w:rFonts w:cs="Arial"/>
                <w:color w:val="0D0D0D" w:themeColor="text1" w:themeTint="F2"/>
                <w:spacing w:val="-3"/>
                <w:szCs w:val="20"/>
              </w:rPr>
              <w:t>.</w:t>
            </w:r>
          </w:p>
        </w:tc>
      </w:tr>
      <w:tr w:rsidR="00BA5125" w14:paraId="3A4F45E6" w14:textId="77777777" w:rsidTr="00BA5125">
        <w:trPr>
          <w:trHeight w:val="170"/>
        </w:trPr>
        <w:tc>
          <w:tcPr>
            <w:tcW w:w="1814" w:type="dxa"/>
            <w:tcBorders>
              <w:top w:val="nil"/>
              <w:left w:val="nil"/>
              <w:bottom w:val="nil"/>
              <w:right w:val="nil"/>
            </w:tcBorders>
            <w:shd w:val="clear" w:color="auto" w:fill="auto"/>
            <w:tcMar>
              <w:left w:w="0" w:type="dxa"/>
            </w:tcMar>
          </w:tcPr>
          <w:p w14:paraId="1BE175F0" w14:textId="77777777" w:rsidR="00BA5125" w:rsidRDefault="00BA5125" w:rsidP="00BA5125">
            <w:pPr>
              <w:pStyle w:val="Marginlie"/>
            </w:pPr>
            <w:r>
              <w:lastRenderedPageBreak/>
              <w:t>Růst tržeb v motoristickém segmentu obchodu byl tažen hlavně vyšší poptávkou po automobilech.</w:t>
            </w:r>
          </w:p>
        </w:tc>
        <w:tc>
          <w:tcPr>
            <w:tcW w:w="229" w:type="dxa"/>
            <w:tcBorders>
              <w:top w:val="nil"/>
              <w:left w:val="nil"/>
              <w:bottom w:val="nil"/>
              <w:right w:val="nil"/>
            </w:tcBorders>
            <w:shd w:val="clear" w:color="auto" w:fill="auto"/>
            <w:tcMar>
              <w:left w:w="0" w:type="dxa"/>
            </w:tcMar>
          </w:tcPr>
          <w:p w14:paraId="33762B4A"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7678B13" w14:textId="77777777" w:rsidR="00BA5125" w:rsidRPr="001C4DF9" w:rsidRDefault="00BA5125" w:rsidP="00BA5125">
            <w:pPr>
              <w:spacing w:after="200"/>
              <w:rPr>
                <w:rFonts w:cs="Arial"/>
                <w:color w:val="0D0D0D" w:themeColor="text1" w:themeTint="F2"/>
                <w:spacing w:val="-6"/>
                <w:szCs w:val="20"/>
              </w:rPr>
            </w:pPr>
            <w:r>
              <w:rPr>
                <w:rFonts w:cs="Arial"/>
                <w:color w:val="0D0D0D" w:themeColor="text1" w:themeTint="F2"/>
                <w:szCs w:val="20"/>
              </w:rPr>
              <w:t xml:space="preserve">Na meziročním růstu tržeb v motoristickém segmentu obchodu ve 4. čtvrtletí o 7,4 % (o 5,6 % za celý loňský rok) se podílela zejména vyšší poptávka po </w:t>
            </w:r>
            <w:r>
              <w:rPr>
                <w:rFonts w:cs="Arial"/>
                <w:color w:val="0D0D0D" w:themeColor="text1" w:themeTint="F2"/>
                <w:spacing w:val="-6"/>
                <w:szCs w:val="20"/>
              </w:rPr>
              <w:t>motorových vozidlech, což souviselo s poměrně příznivou situací celého automobilového průmyslu v Česku i EU. Tržby za o</w:t>
            </w:r>
            <w:r w:rsidRPr="003D6D1B">
              <w:rPr>
                <w:rFonts w:cs="Arial"/>
                <w:color w:val="0D0D0D" w:themeColor="text1" w:themeTint="F2"/>
                <w:spacing w:val="-6"/>
                <w:szCs w:val="20"/>
              </w:rPr>
              <w:t>bchod s díly a př</w:t>
            </w:r>
            <w:r>
              <w:rPr>
                <w:rFonts w:cs="Arial"/>
                <w:color w:val="0D0D0D" w:themeColor="text1" w:themeTint="F2"/>
                <w:spacing w:val="-6"/>
                <w:szCs w:val="20"/>
              </w:rPr>
              <w:t>íslušenstvím rostly naopak jen mírně (za celý rok 2023 se dokonce snížily o 4,5 %) a za obchod, opravy a údržbu</w:t>
            </w:r>
            <w:r w:rsidRPr="003D6D1B">
              <w:rPr>
                <w:rFonts w:cs="Arial"/>
                <w:color w:val="0D0D0D" w:themeColor="text1" w:themeTint="F2"/>
                <w:spacing w:val="-6"/>
                <w:szCs w:val="20"/>
              </w:rPr>
              <w:t xml:space="preserve"> motocyklů</w:t>
            </w:r>
            <w:r>
              <w:rPr>
                <w:rFonts w:cs="Arial"/>
                <w:color w:val="0D0D0D" w:themeColor="text1" w:themeTint="F2"/>
                <w:spacing w:val="-6"/>
                <w:szCs w:val="20"/>
              </w:rPr>
              <w:t xml:space="preserve"> klesly bezmála o 7 % (snižovaly se sedmý kvartál v řadě). Oproti konci roku 2019 byly loni tržby v celém motoristickém segmentu obchodu stále skoro o desetinu nižší a zaostaly ve všech jeho oborech (nejvíce v o</w:t>
            </w:r>
            <w:r w:rsidRPr="00901A72">
              <w:rPr>
                <w:rFonts w:cs="Arial"/>
                <w:color w:val="0D0D0D" w:themeColor="text1" w:themeTint="F2"/>
                <w:spacing w:val="-6"/>
                <w:szCs w:val="20"/>
              </w:rPr>
              <w:t>bchod</w:t>
            </w:r>
            <w:r>
              <w:rPr>
                <w:rFonts w:cs="Arial"/>
                <w:color w:val="0D0D0D" w:themeColor="text1" w:themeTint="F2"/>
                <w:spacing w:val="-6"/>
                <w:szCs w:val="20"/>
              </w:rPr>
              <w:t>u</w:t>
            </w:r>
            <w:r w:rsidRPr="00901A72">
              <w:rPr>
                <w:rFonts w:cs="Arial"/>
                <w:color w:val="0D0D0D" w:themeColor="text1" w:themeTint="F2"/>
                <w:spacing w:val="-6"/>
                <w:szCs w:val="20"/>
              </w:rPr>
              <w:t xml:space="preserve"> s díly a příslušenstvím</w:t>
            </w:r>
            <w:r>
              <w:rPr>
                <w:rFonts w:cs="Arial"/>
                <w:color w:val="0D0D0D" w:themeColor="text1" w:themeTint="F2"/>
                <w:spacing w:val="-6"/>
                <w:szCs w:val="20"/>
              </w:rPr>
              <w:t>).</w:t>
            </w:r>
          </w:p>
        </w:tc>
      </w:tr>
      <w:tr w:rsidR="00BA5125" w14:paraId="75C1AB12" w14:textId="77777777" w:rsidTr="00BA5125">
        <w:trPr>
          <w:trHeight w:val="170"/>
        </w:trPr>
        <w:tc>
          <w:tcPr>
            <w:tcW w:w="1814" w:type="dxa"/>
            <w:tcBorders>
              <w:top w:val="nil"/>
              <w:left w:val="nil"/>
              <w:bottom w:val="nil"/>
              <w:right w:val="nil"/>
            </w:tcBorders>
            <w:shd w:val="clear" w:color="auto" w:fill="auto"/>
            <w:tcMar>
              <w:left w:w="0" w:type="dxa"/>
            </w:tcMar>
          </w:tcPr>
          <w:p w14:paraId="0E3954E9" w14:textId="77777777" w:rsidR="00BA5125" w:rsidRPr="00BD3BE9" w:rsidRDefault="00BA5125" w:rsidP="00BA5125">
            <w:pPr>
              <w:pStyle w:val="Marginlie"/>
              <w:rPr>
                <w:color w:val="0D0D0D" w:themeColor="text1" w:themeTint="F2"/>
              </w:rPr>
            </w:pPr>
          </w:p>
        </w:tc>
        <w:tc>
          <w:tcPr>
            <w:tcW w:w="229" w:type="dxa"/>
            <w:tcBorders>
              <w:top w:val="nil"/>
              <w:left w:val="nil"/>
              <w:bottom w:val="nil"/>
              <w:right w:val="nil"/>
            </w:tcBorders>
            <w:shd w:val="clear" w:color="auto" w:fill="auto"/>
            <w:tcMar>
              <w:left w:w="0" w:type="dxa"/>
            </w:tcMar>
          </w:tcPr>
          <w:p w14:paraId="487B25A4" w14:textId="77777777" w:rsidR="00BA5125" w:rsidRPr="00BD3BE9"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375FEADB" w14:textId="77777777" w:rsidR="00BA5125" w:rsidRPr="00C73A63" w:rsidRDefault="00BA5125" w:rsidP="00BA5125">
            <w:pPr>
              <w:spacing w:after="40"/>
              <w:rPr>
                <w:rFonts w:cs="Arial"/>
                <w:color w:val="0D0D0D" w:themeColor="text1" w:themeTint="F2"/>
                <w:spacing w:val="-4"/>
                <w:szCs w:val="20"/>
              </w:rPr>
            </w:pPr>
            <w:r>
              <w:rPr>
                <w:b/>
              </w:rPr>
              <w:t>Graf č. 8</w:t>
            </w:r>
            <w:r w:rsidRPr="00F0005D">
              <w:rPr>
                <w:b/>
              </w:rPr>
              <w:t xml:space="preserve"> </w:t>
            </w:r>
            <w:r w:rsidRPr="004405E2">
              <w:rPr>
                <w:rFonts w:cs="Arial"/>
                <w:b/>
                <w:bCs/>
                <w:color w:val="0D0D0D" w:themeColor="text1" w:themeTint="F2"/>
                <w:spacing w:val="-6"/>
              </w:rPr>
              <w:t xml:space="preserve">Příspěvky dílčích odvětví k meziroční změně tržeb v maloobchodu* </w:t>
            </w:r>
            <w:r w:rsidRPr="004405E2">
              <w:rPr>
                <w:rFonts w:cs="Arial"/>
                <w:color w:val="0D0D0D" w:themeColor="text1" w:themeTint="F2"/>
                <w:spacing w:val="-6"/>
              </w:rPr>
              <w:t xml:space="preserve">(reálně, v p. b.), </w:t>
            </w:r>
            <w:r w:rsidRPr="004405E2">
              <w:rPr>
                <w:rFonts w:cs="Arial"/>
                <w:b/>
                <w:bCs/>
                <w:color w:val="0D0D0D" w:themeColor="text1" w:themeTint="F2"/>
                <w:spacing w:val="-6"/>
              </w:rPr>
              <w:t xml:space="preserve">tržby v maloobchodu a v motoristickém segmentu obchodu** </w:t>
            </w:r>
            <w:r w:rsidRPr="004405E2">
              <w:rPr>
                <w:rFonts w:cs="Arial"/>
                <w:color w:val="0D0D0D" w:themeColor="text1" w:themeTint="F2"/>
                <w:spacing w:val="-6"/>
              </w:rPr>
              <w:t>(reálně, ú</w:t>
            </w:r>
            <w:r>
              <w:rPr>
                <w:rFonts w:cs="Arial"/>
                <w:color w:val="0D0D0D" w:themeColor="text1" w:themeTint="F2"/>
                <w:spacing w:val="-6"/>
              </w:rPr>
              <w:t xml:space="preserve">roveň roku 2021=100, pravá osa), </w:t>
            </w:r>
            <w:r w:rsidRPr="004405E2">
              <w:rPr>
                <w:rFonts w:cs="Arial"/>
                <w:b/>
                <w:bCs/>
                <w:color w:val="0D0D0D" w:themeColor="text1" w:themeTint="F2"/>
                <w:spacing w:val="-6"/>
              </w:rPr>
              <w:t>s</w:t>
            </w:r>
            <w:r>
              <w:rPr>
                <w:rFonts w:cs="Arial"/>
                <w:b/>
                <w:bCs/>
                <w:color w:val="0D0D0D" w:themeColor="text1" w:themeTint="F2"/>
                <w:spacing w:val="-6"/>
              </w:rPr>
              <w:t xml:space="preserve">aldo důvěry </w:t>
            </w:r>
            <w:r w:rsidRPr="00BC34D2">
              <w:rPr>
                <w:rFonts w:cs="Arial"/>
                <w:b/>
                <w:bCs/>
                <w:color w:val="0D0D0D" w:themeColor="text1" w:themeTint="F2"/>
                <w:spacing w:val="-6"/>
              </w:rPr>
              <w:t>spotřebitelů i obchodníků</w:t>
            </w:r>
            <w:r w:rsidRPr="004405E2">
              <w:rPr>
                <w:rFonts w:cs="Arial"/>
                <w:b/>
                <w:bCs/>
                <w:color w:val="0D0D0D" w:themeColor="text1" w:themeTint="F2"/>
                <w:spacing w:val="-6"/>
              </w:rPr>
              <w:t xml:space="preserve">*** </w:t>
            </w:r>
            <w:r w:rsidRPr="004405E2">
              <w:rPr>
                <w:rFonts w:cs="Arial"/>
                <w:color w:val="0D0D0D" w:themeColor="text1" w:themeTint="F2"/>
                <w:spacing w:val="-6"/>
              </w:rPr>
              <w:t>(v p. b., pravá osa)</w:t>
            </w:r>
          </w:p>
        </w:tc>
      </w:tr>
      <w:tr w:rsidR="00BA5125" w14:paraId="40C33E6C" w14:textId="77777777" w:rsidTr="00BA5125">
        <w:tblPrEx>
          <w:tblCellMar>
            <w:left w:w="70" w:type="dxa"/>
            <w:right w:w="70" w:type="dxa"/>
          </w:tblCellMar>
        </w:tblPrEx>
        <w:trPr>
          <w:trHeight w:val="170"/>
        </w:trPr>
        <w:tc>
          <w:tcPr>
            <w:tcW w:w="1814" w:type="dxa"/>
            <w:tcBorders>
              <w:top w:val="nil"/>
              <w:left w:val="nil"/>
              <w:bottom w:val="nil"/>
              <w:right w:val="nil"/>
            </w:tcBorders>
            <w:shd w:val="clear" w:color="auto" w:fill="auto"/>
          </w:tcPr>
          <w:p w14:paraId="21CCD7BD" w14:textId="77777777" w:rsidR="00BA5125" w:rsidRDefault="00BA5125" w:rsidP="00BA5125">
            <w:pPr>
              <w:pStyle w:val="Marginlie"/>
            </w:pPr>
          </w:p>
        </w:tc>
        <w:tc>
          <w:tcPr>
            <w:tcW w:w="229" w:type="dxa"/>
            <w:tcBorders>
              <w:top w:val="nil"/>
              <w:left w:val="nil"/>
              <w:bottom w:val="nil"/>
              <w:right w:val="nil"/>
            </w:tcBorders>
            <w:shd w:val="clear" w:color="auto" w:fill="auto"/>
          </w:tcPr>
          <w:p w14:paraId="4A7D2D6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3F44782D" w14:textId="77777777" w:rsidR="00BA5125" w:rsidRPr="004C1143" w:rsidRDefault="00BA5125" w:rsidP="00BA5125">
            <w:pPr>
              <w:spacing w:after="0"/>
              <w:rPr>
                <w:rFonts w:cs="Arial"/>
                <w:sz w:val="14"/>
                <w:szCs w:val="14"/>
              </w:rPr>
            </w:pPr>
            <w:r>
              <w:rPr>
                <w:noProof/>
              </w:rPr>
              <w:drawing>
                <wp:inline distT="0" distB="0" distL="0" distR="0" wp14:anchorId="11C65589" wp14:editId="00CC16EE">
                  <wp:extent cx="4734560" cy="3690620"/>
                  <wp:effectExtent l="0" t="0" r="8890" b="508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BA5125" w14:paraId="55F879AB" w14:textId="77777777" w:rsidTr="00BA5125">
        <w:trPr>
          <w:trHeight w:val="170"/>
        </w:trPr>
        <w:tc>
          <w:tcPr>
            <w:tcW w:w="1814" w:type="dxa"/>
            <w:tcBorders>
              <w:top w:val="nil"/>
              <w:left w:val="nil"/>
              <w:bottom w:val="nil"/>
              <w:right w:val="nil"/>
            </w:tcBorders>
            <w:shd w:val="clear" w:color="auto" w:fill="auto"/>
            <w:tcMar>
              <w:left w:w="0" w:type="dxa"/>
            </w:tcMar>
          </w:tcPr>
          <w:p w14:paraId="1D3E9A8A"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05BB69CB"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01D63311" w14:textId="77777777" w:rsidR="00BA5125" w:rsidRPr="00052ADA" w:rsidRDefault="00BA5125" w:rsidP="00BA5125">
            <w:pPr>
              <w:spacing w:after="0" w:line="240" w:lineRule="auto"/>
              <w:rPr>
                <w:rFonts w:cs="Arial"/>
                <w:sz w:val="14"/>
                <w:szCs w:val="14"/>
              </w:rPr>
            </w:pPr>
            <w:r>
              <w:rPr>
                <w:rFonts w:cs="Arial"/>
                <w:color w:val="0D0D0D" w:themeColor="text1" w:themeTint="F2"/>
                <w:spacing w:val="-6"/>
              </w:rPr>
              <w:t>*</w:t>
            </w:r>
            <w:r w:rsidRPr="00052ADA">
              <w:rPr>
                <w:rFonts w:cs="Arial"/>
                <w:sz w:val="14"/>
                <w:szCs w:val="14"/>
              </w:rPr>
              <w:t xml:space="preserve"> Tržby jsou očištěny o kalendářní vlivy.       ** Tržby jsou sezónně i kalendářně očištěny.</w:t>
            </w:r>
          </w:p>
          <w:p w14:paraId="1171CDFF" w14:textId="77777777" w:rsidR="00BA5125" w:rsidRPr="004C1143" w:rsidRDefault="00BA5125" w:rsidP="00BA5125">
            <w:pPr>
              <w:spacing w:after="0"/>
              <w:rPr>
                <w:rFonts w:cs="Arial"/>
                <w:sz w:val="14"/>
                <w:szCs w:val="14"/>
              </w:rPr>
            </w:pPr>
            <w:r>
              <w:rPr>
                <w:rFonts w:cs="Arial"/>
                <w:color w:val="0D0D0D" w:themeColor="text1" w:themeTint="F2"/>
                <w:spacing w:val="-4"/>
                <w:sz w:val="14"/>
                <w:szCs w:val="14"/>
              </w:rPr>
              <w:t>*** Salda důvěry jsou sezónně očištěna a vyjadřují</w:t>
            </w:r>
            <w:r w:rsidRPr="00052ADA">
              <w:rPr>
                <w:rFonts w:cs="Arial"/>
                <w:color w:val="0D0D0D" w:themeColor="text1" w:themeTint="F2"/>
                <w:spacing w:val="-4"/>
                <w:sz w:val="14"/>
                <w:szCs w:val="14"/>
              </w:rPr>
              <w:t xml:space="preserve"> stav ve druhém měs</w:t>
            </w:r>
            <w:r>
              <w:rPr>
                <w:rFonts w:cs="Arial"/>
                <w:color w:val="0D0D0D" w:themeColor="text1" w:themeTint="F2"/>
                <w:spacing w:val="-4"/>
                <w:sz w:val="14"/>
                <w:szCs w:val="14"/>
              </w:rPr>
              <w:t>íci daného čtvrtletí.</w:t>
            </w:r>
            <w:r>
              <w:rPr>
                <w:rFonts w:cs="Arial"/>
                <w:color w:val="0D0D0D" w:themeColor="text1" w:themeTint="F2"/>
                <w:spacing w:val="-4"/>
                <w:sz w:val="14"/>
                <w:szCs w:val="14"/>
              </w:rPr>
              <w:tab/>
              <w:t xml:space="preserve">      </w:t>
            </w:r>
            <w:r w:rsidRPr="00052ADA">
              <w:rPr>
                <w:rFonts w:cs="Arial"/>
                <w:color w:val="0D0D0D" w:themeColor="text1" w:themeTint="F2"/>
                <w:spacing w:val="-4"/>
                <w:sz w:val="14"/>
                <w:szCs w:val="14"/>
              </w:rPr>
              <w:t xml:space="preserve">       </w:t>
            </w:r>
            <w:r>
              <w:rPr>
                <w:rFonts w:cs="Arial"/>
                <w:color w:val="0D0D0D" w:themeColor="text1" w:themeTint="F2"/>
                <w:spacing w:val="-4"/>
                <w:sz w:val="14"/>
                <w:szCs w:val="14"/>
              </w:rPr>
              <w:t xml:space="preserve">                   </w:t>
            </w:r>
            <w:r w:rsidRPr="00052ADA">
              <w:rPr>
                <w:rFonts w:cs="Arial"/>
                <w:color w:val="0D0D0D" w:themeColor="text1" w:themeTint="F2"/>
                <w:spacing w:val="-4"/>
                <w:sz w:val="14"/>
                <w:szCs w:val="14"/>
              </w:rPr>
              <w:t xml:space="preserve">  Zdroj: ČSÚ</w:t>
            </w:r>
          </w:p>
        </w:tc>
      </w:tr>
    </w:tbl>
    <w:p w14:paraId="38607149" w14:textId="77777777" w:rsidR="00BA5125" w:rsidRPr="00004D2D" w:rsidRDefault="00BA5125" w:rsidP="00BA5125">
      <w:pPr>
        <w:spacing w:after="0" w:line="240" w:lineRule="auto"/>
        <w:jc w:val="left"/>
        <w:rPr>
          <w:rFonts w:eastAsia="MS Gothic"/>
          <w:b/>
          <w:bCs/>
          <w:color w:val="71818C"/>
          <w:sz w:val="2"/>
          <w:szCs w:val="2"/>
        </w:rPr>
      </w:pPr>
    </w:p>
    <w:p w14:paraId="47B88B4F" w14:textId="77777777" w:rsidR="00B97F3A" w:rsidRPr="00BB286B" w:rsidRDefault="00B97F3A" w:rsidP="00B97F3A">
      <w:pPr>
        <w:pStyle w:val="Nadpis11"/>
        <w:rPr>
          <w:b w:val="0"/>
          <w:sz w:val="2"/>
          <w:szCs w:val="2"/>
          <w:highlight w:val="yellow"/>
        </w:rPr>
      </w:pPr>
    </w:p>
    <w:p w14:paraId="0DC528DF" w14:textId="77777777" w:rsidR="00B97F3A" w:rsidRPr="00BB286B" w:rsidRDefault="00B97F3A" w:rsidP="00B97F3A">
      <w:pPr>
        <w:pStyle w:val="Nadpis11"/>
        <w:rPr>
          <w:sz w:val="2"/>
          <w:szCs w:val="2"/>
          <w:highlight w:val="yellow"/>
        </w:rPr>
      </w:pPr>
    </w:p>
    <w:p w14:paraId="78C24AC4" w14:textId="77777777" w:rsidR="00EA1EBB" w:rsidRDefault="00EA1EBB" w:rsidP="00EA1EBB">
      <w:pPr>
        <w:pStyle w:val="Nadpis11"/>
        <w:rPr>
          <w:sz w:val="2"/>
          <w:szCs w:val="2"/>
        </w:rPr>
      </w:pPr>
      <w:bookmarkStart w:id="32" w:name="_Toc153531176"/>
      <w:bookmarkStart w:id="33" w:name="_Toc161914424"/>
      <w:r>
        <w:t>4</w:t>
      </w:r>
      <w:bookmarkStart w:id="34" w:name="_Toc511215218"/>
      <w:bookmarkStart w:id="35" w:name="_Toc19090679"/>
      <w:bookmarkStart w:id="36" w:name="_Toc74643856"/>
      <w:bookmarkStart w:id="37" w:name="_Toc42852411"/>
      <w:bookmarkStart w:id="38" w:name="_Toc74643857"/>
      <w:bookmarkEnd w:id="34"/>
      <w:bookmarkEnd w:id="35"/>
      <w:r>
        <w:t>. Vnější vztahy</w:t>
      </w:r>
      <w:bookmarkEnd w:id="32"/>
      <w:bookmarkEnd w:id="33"/>
    </w:p>
    <w:tbl>
      <w:tblPr>
        <w:tblW w:w="9639" w:type="dxa"/>
        <w:tblInd w:w="-15" w:type="dxa"/>
        <w:tblCellMar>
          <w:left w:w="0" w:type="dxa"/>
          <w:right w:w="0" w:type="dxa"/>
        </w:tblCellMar>
        <w:tblLook w:val="00A0" w:firstRow="1" w:lastRow="0" w:firstColumn="1" w:lastColumn="0" w:noHBand="0" w:noVBand="0"/>
      </w:tblPr>
      <w:tblGrid>
        <w:gridCol w:w="1748"/>
        <w:gridCol w:w="221"/>
        <w:gridCol w:w="7670"/>
      </w:tblGrid>
      <w:tr w:rsidR="00EA1EBB" w14:paraId="6BED2C85" w14:textId="77777777" w:rsidTr="00EA1EBB">
        <w:trPr>
          <w:trHeight w:val="145"/>
        </w:trPr>
        <w:tc>
          <w:tcPr>
            <w:tcW w:w="1748" w:type="dxa"/>
            <w:hideMark/>
          </w:tcPr>
          <w:p w14:paraId="50BB4168" w14:textId="77777777" w:rsidR="00EA1EBB" w:rsidRDefault="00EA1EBB">
            <w:pPr>
              <w:pStyle w:val="Marginlie"/>
              <w:rPr>
                <w:lang w:eastAsia="en-US"/>
              </w:rPr>
            </w:pPr>
            <w:r>
              <w:rPr>
                <w:lang w:eastAsia="en-US"/>
              </w:rPr>
              <w:t>Hodnota vývozu zboží loni celkově vzrostla jen mírně.</w:t>
            </w:r>
          </w:p>
        </w:tc>
        <w:tc>
          <w:tcPr>
            <w:tcW w:w="221" w:type="dxa"/>
          </w:tcPr>
          <w:p w14:paraId="3AC90487" w14:textId="77777777" w:rsidR="00EA1EBB" w:rsidRDefault="00EA1EBB">
            <w:pPr>
              <w:pStyle w:val="Textpoznpodarou"/>
              <w:jc w:val="both"/>
              <w:rPr>
                <w:spacing w:val="-4"/>
                <w:lang w:eastAsia="en-US"/>
              </w:rPr>
            </w:pPr>
          </w:p>
        </w:tc>
        <w:tc>
          <w:tcPr>
            <w:tcW w:w="7670" w:type="dxa"/>
            <w:hideMark/>
          </w:tcPr>
          <w:p w14:paraId="4CBF8F66" w14:textId="77777777" w:rsidR="00EA1EBB" w:rsidRDefault="00EA1EBB">
            <w:pPr>
              <w:spacing w:after="180"/>
              <w:rPr>
                <w:spacing w:val="-4"/>
                <w:lang w:eastAsia="en-US"/>
              </w:rPr>
            </w:pPr>
            <w:r>
              <w:rPr>
                <w:spacing w:val="-4"/>
                <w:lang w:eastAsia="en-US"/>
              </w:rPr>
              <w:t>Celková hodnota vývozu zboží</w:t>
            </w:r>
            <w:r>
              <w:rPr>
                <w:rStyle w:val="Znakapoznpodarou"/>
                <w:spacing w:val="-4"/>
                <w:lang w:eastAsia="en-US"/>
              </w:rPr>
              <w:footnoteReference w:id="55"/>
            </w:r>
            <w:r>
              <w:rPr>
                <w:spacing w:val="-4"/>
                <w:lang w:eastAsia="en-US"/>
              </w:rPr>
              <w:t xml:space="preserve"> v roce 2023 dosáhla 4 452,7 mld. korun, což představovalo nárůst oproti roku 2022 o 45,4 mld. (1,0 %). Vývoj v jednotlivých čtvrtletích roku 2023 byl ale značně různorodý a byl ovlivněn srovnávací základnou roku 2022 i vývojem cen</w:t>
            </w:r>
            <w:r>
              <w:rPr>
                <w:rStyle w:val="Znakapoznpodarou"/>
                <w:spacing w:val="-4"/>
                <w:lang w:eastAsia="en-US"/>
              </w:rPr>
              <w:footnoteReference w:id="56"/>
            </w:r>
            <w:r>
              <w:rPr>
                <w:spacing w:val="-4"/>
                <w:lang w:eastAsia="en-US"/>
              </w:rPr>
              <w:t xml:space="preserve">. Celkový mírný nárůst hodnoty exportu zboží je výsledkem příznivého vývoje v první polovině roku (zejména růst o 10,8 % v 1. čtvrtletí a mírný přírůstek o 1,0 % ve 2. kvartálu). Ve 3. čtvrtletí ale export zboží meziročně klesl o 6,6 %. Ve 4. kvartálu 2023 se pokles zmírnil na 0,6 %. Hodnota vývozu se snížila o 7,4 mld. korun a dosáhla 1 138,7 mld. Podle sezónně očištěných údajů ve 4. čtvrtletí hodnota vývozu mezičtvrtletně vzrostla o 1,6 %.    </w:t>
            </w:r>
          </w:p>
        </w:tc>
      </w:tr>
      <w:tr w:rsidR="00EA1EBB" w14:paraId="19906319" w14:textId="77777777" w:rsidTr="00EA1EBB">
        <w:trPr>
          <w:trHeight w:val="145"/>
        </w:trPr>
        <w:tc>
          <w:tcPr>
            <w:tcW w:w="1748" w:type="dxa"/>
            <w:hideMark/>
          </w:tcPr>
          <w:p w14:paraId="04D1DCD0" w14:textId="77777777" w:rsidR="00EA1EBB" w:rsidRDefault="00EA1EBB">
            <w:pPr>
              <w:pStyle w:val="Marginlie"/>
              <w:rPr>
                <w:lang w:eastAsia="en-US"/>
              </w:rPr>
            </w:pPr>
            <w:r>
              <w:rPr>
                <w:lang w:eastAsia="en-US"/>
              </w:rPr>
              <w:t>Loni vývoz do EU stagnoval. Export mimo EU mírně vzrostl.</w:t>
            </w:r>
          </w:p>
        </w:tc>
        <w:tc>
          <w:tcPr>
            <w:tcW w:w="221" w:type="dxa"/>
          </w:tcPr>
          <w:p w14:paraId="0210B9A9" w14:textId="77777777" w:rsidR="00EA1EBB" w:rsidRDefault="00EA1EBB">
            <w:pPr>
              <w:pStyle w:val="Textpoznpodarou"/>
              <w:jc w:val="both"/>
              <w:rPr>
                <w:spacing w:val="-4"/>
                <w:lang w:eastAsia="en-US"/>
              </w:rPr>
            </w:pPr>
          </w:p>
        </w:tc>
        <w:tc>
          <w:tcPr>
            <w:tcW w:w="7670" w:type="dxa"/>
            <w:hideMark/>
          </w:tcPr>
          <w:p w14:paraId="56AF2E4F" w14:textId="77777777" w:rsidR="00EA1EBB" w:rsidRDefault="00EA1EBB">
            <w:pPr>
              <w:spacing w:after="180"/>
              <w:rPr>
                <w:spacing w:val="-4"/>
                <w:lang w:eastAsia="en-US"/>
              </w:rPr>
            </w:pPr>
            <w:r>
              <w:rPr>
                <w:spacing w:val="-4"/>
                <w:lang w:eastAsia="en-US"/>
              </w:rPr>
              <w:t>Hodnota vývozu do zemí EU za celý rok 2023 v zásadě stagnovala (růst o 3,2 mld. korun, 0,1 %), protože export začal po silném navýšení v první čtvrtině roku meziročně klesat a propad se ve 2. pololetí dál prohloubil. Dynamika exportu do EU tak nenavázala na dvě výrazná navýšení z let 2021 a 2022. Export do zemí mimo EU loni celkově vzrostl o 41,7 mld. korun (4,9 %). U řady zemí loni vývoz celkově vzrostl jen mírně nebo stagnoval. Zejména u našich geografických sousedů se na vývoji exportu projevily změny cen elektřiny</w:t>
            </w:r>
            <w:r>
              <w:rPr>
                <w:rStyle w:val="Znakapoznpodarou"/>
                <w:spacing w:val="-4"/>
                <w:lang w:eastAsia="en-US"/>
              </w:rPr>
              <w:footnoteReference w:id="57"/>
            </w:r>
            <w:r>
              <w:rPr>
                <w:spacing w:val="-4"/>
                <w:lang w:eastAsia="en-US"/>
              </w:rPr>
              <w:t>. Nejvíce se loni zvýšila hodnota vývozu zboží do Turecka (+17,4 mld. korun, 34,1 %), Velké Británie (+15,1 mld., 9,1 %), Francie (+11,4 mld., 5,3 %), Německa (+13,8 mld., 1,0 %), Polska (+10,0 mld., 3,2 %), na Ukrajinu (+9,7 mld., 38,1 %), do Švýcarska (+7,0 mld., 9,4 %) a do Maďarska (+5,1 mld., 3,9 %). Naproti tomu se loni propadl export zboží na Slovensko (−32,3 mld. korun, −7,2 %), do Rakouska (−22,3 mld., −11,1 %) nebo do Ruska (−16,9 mld., −52,3 %). Hlubší pohled na menší obchodní partnery ukazuje pokračující prudký růst vývozu do Ázerbájdžánu (+1,4 mld. korun, 49,7 %) a výrazné navýšení exportu do Indonésie (+1,6 mld., 74,0 %). V samotném 4. čtvrtletí 2023 se vývoz do Evropské unie meziročně propadl o 20,0 mld. korun (−2,2 %). Naopak hodnota zboží vyvezeného mimo EU vzrostla (+12,4 mld. korun, 5,4 %). Nejvíce se meziročně snížila hodnota vývozu do Německa (−15,2 mld. korun, −4,5 %) a Rakouska (−7,5 mld., −15,2 %). Pokles byl zaznamenán také u exportu do Španělska (−3,4 mld. korun, −10,0 %), na Slovensko (−2,9 mld., −2,5 %), do Itálie (−2,4 mld., −5,0 %), do Ruska (−2,2 mld., −36,0 %) nebo Nizozemska (−2,0 mld., −5,2 %). Naopak vývoz do Turecka (+4,9 mld., 32,3 %), Polska (+4,6 mld. korun, 5,8 %), Velké Británie (+4,1 mld., 9,6 %) nebo Francie (+2,5 mld., 4,4 %) meziročně vzrostl.</w:t>
            </w:r>
          </w:p>
        </w:tc>
      </w:tr>
      <w:tr w:rsidR="00EA1EBB" w14:paraId="625706A3" w14:textId="77777777" w:rsidTr="00EA1EBB">
        <w:trPr>
          <w:trHeight w:val="170"/>
        </w:trPr>
        <w:tc>
          <w:tcPr>
            <w:tcW w:w="1748" w:type="dxa"/>
            <w:hideMark/>
          </w:tcPr>
          <w:p w14:paraId="53366AC1" w14:textId="77777777" w:rsidR="00EA1EBB" w:rsidRDefault="00EA1EBB">
            <w:pPr>
              <w:pStyle w:val="Marginlie"/>
              <w:rPr>
                <w:lang w:eastAsia="en-US"/>
              </w:rPr>
            </w:pPr>
            <w:r>
              <w:rPr>
                <w:lang w:eastAsia="en-US"/>
              </w:rPr>
              <w:t xml:space="preserve">Vývoz většiny druhů zboží loni klesl. Celkový nárůst byl výsledkem příznivého vývoje </w:t>
            </w:r>
            <w:r>
              <w:rPr>
                <w:lang w:eastAsia="en-US"/>
              </w:rPr>
              <w:br/>
              <w:t xml:space="preserve">u několika exportně významných průmyslových komodit. </w:t>
            </w:r>
          </w:p>
        </w:tc>
        <w:tc>
          <w:tcPr>
            <w:tcW w:w="221" w:type="dxa"/>
          </w:tcPr>
          <w:p w14:paraId="69AA628D" w14:textId="77777777" w:rsidR="00EA1EBB" w:rsidRDefault="00EA1EBB">
            <w:pPr>
              <w:pStyle w:val="Textpoznpodarou"/>
              <w:jc w:val="both"/>
              <w:rPr>
                <w:spacing w:val="-4"/>
                <w:lang w:eastAsia="en-US"/>
              </w:rPr>
            </w:pPr>
          </w:p>
        </w:tc>
        <w:tc>
          <w:tcPr>
            <w:tcW w:w="7670" w:type="dxa"/>
            <w:hideMark/>
          </w:tcPr>
          <w:p w14:paraId="48939F67" w14:textId="77777777" w:rsidR="00EA1EBB" w:rsidRDefault="00EA1EBB">
            <w:pPr>
              <w:spacing w:after="180"/>
              <w:rPr>
                <w:spacing w:val="-4"/>
                <w:lang w:eastAsia="en-US"/>
              </w:rPr>
            </w:pPr>
            <w:r>
              <w:rPr>
                <w:spacing w:val="-4"/>
                <w:lang w:eastAsia="en-US"/>
              </w:rPr>
              <w:t xml:space="preserve">Poměrně mírný nárůst hodnoty exportu byl loni ovlivněn protichůdným působením vývoje u mnoha artiklů, jejichž ceny se propadaly a jejichž vývoz tak klesl, a naopak oživením u řady exportně významných průmyslových komodit. Nejvíce se loni zvýšila hodnota vývozu motorových vozidel (+183,8 mld. korun, 17,6 %), elektrických zařízení (+42,4 mld., 10,2 %), strojů a zařízení (+25,9 mld., 5,2 %) a potravinářských výrobků (+18,4 mld., 12,4 %). Dařilo se také vývozcům ostatních dopravních prostředků (+8,2 mld. korun, 12,5 %). Export většiny druhů zboží ale loni klesl, nejvíce se spolu s cenami propadl vývoz elektřiny, plynu, páry a klimatizovaného vzduchu (−67,4 mld. korun, −56,5 %), základních kovů (−35,4 mld., −18,2 %), chemických látek a výrobků (−29,2 mld., −12,4 %), dřeva a výrobků z něj (−15,4 mld., −25,6 %), ropy a zemního plynu (−13,2 mld., −98,5 %) a produktů lesnictví a těžby dřeva (−10,9 mld., −43,8 %). Silně klesl také export počítačů, elektronických a optických přístrojů (−24,4 mld., −5,9 %) a výraznější pokles byl zaznamenán také u vývozu služeb sběru, likvidace a zpracování odpadu (−8,0 mld., −17,0 %), koksu </w:t>
            </w:r>
            <w:r>
              <w:rPr>
                <w:spacing w:val="-4"/>
                <w:lang w:eastAsia="en-US"/>
              </w:rPr>
              <w:lastRenderedPageBreak/>
              <w:t>a rafinovaných ropných produktů (−7,3 mld., −12,5 %), produktů zemědělství a myslivosti (−6,3 mld., −10,2 %), kovodělných výrobků (−6,2 mld., −2,3 %), nebo ostatních nekovových minerálních výrobků (−6,1 mld., −6,8 %).</w:t>
            </w:r>
          </w:p>
        </w:tc>
      </w:tr>
      <w:tr w:rsidR="00EA1EBB" w14:paraId="5774C5FB" w14:textId="77777777" w:rsidTr="00EA1EBB">
        <w:trPr>
          <w:trHeight w:val="170"/>
        </w:trPr>
        <w:tc>
          <w:tcPr>
            <w:tcW w:w="1748" w:type="dxa"/>
            <w:hideMark/>
          </w:tcPr>
          <w:p w14:paraId="3FA67B59" w14:textId="77777777" w:rsidR="00EA1EBB" w:rsidRDefault="00EA1EBB">
            <w:pPr>
              <w:pStyle w:val="Marginlie"/>
              <w:rPr>
                <w:lang w:eastAsia="en-US"/>
              </w:rPr>
            </w:pPr>
            <w:r>
              <w:rPr>
                <w:lang w:eastAsia="en-US"/>
              </w:rPr>
              <w:lastRenderedPageBreak/>
              <w:t>Ve 4. čtvrtletí se vývoz většiny druhů zboží snížil.</w:t>
            </w:r>
          </w:p>
        </w:tc>
        <w:tc>
          <w:tcPr>
            <w:tcW w:w="221" w:type="dxa"/>
          </w:tcPr>
          <w:p w14:paraId="70D6E0E4" w14:textId="77777777" w:rsidR="00EA1EBB" w:rsidRDefault="00EA1EBB">
            <w:pPr>
              <w:pStyle w:val="Textpoznpodarou"/>
              <w:jc w:val="both"/>
              <w:rPr>
                <w:spacing w:val="-4"/>
                <w:lang w:eastAsia="en-US"/>
              </w:rPr>
            </w:pPr>
          </w:p>
        </w:tc>
        <w:tc>
          <w:tcPr>
            <w:tcW w:w="7670" w:type="dxa"/>
            <w:hideMark/>
          </w:tcPr>
          <w:p w14:paraId="7E7E89AE" w14:textId="77777777" w:rsidR="00EA1EBB" w:rsidRDefault="00EA1EBB">
            <w:pPr>
              <w:spacing w:after="180"/>
              <w:rPr>
                <w:spacing w:val="-4"/>
                <w:lang w:eastAsia="en-US"/>
              </w:rPr>
            </w:pPr>
            <w:r>
              <w:rPr>
                <w:spacing w:val="-4"/>
                <w:lang w:eastAsia="en-US"/>
              </w:rPr>
              <w:t xml:space="preserve">V 4. čtvrtletí meziročně klesl vývoz většiny komodit. K celkovému meziročnímu poklesu exportu nejvíce přispěl propad hodnoty exportu elektřiny, plynu, páry a klimatizovaného vzduchu (−16,7 mld. korun, −56,7 %), počítačů, elektronických a optických přístrojů (−10,2 mld., −8,8 %) a základních kovů (−5,9 mld., −14,2 %). Nižší byla také hodnota vývozu elektrických zařízení (−4,7 mld. korun, −4,0 %), ropy a zemního plynu (−4,3 mld., −98,8 %), chemických látek a přípravků (−3,5 mld., −6,2 %), strojů a zařízení (−3,4 mld., −2,6 %), koksu a rafinovaných ropných výrobků (−2,4 mld., −15,8 %), produktů lesnictví a těžby dřeva (−2,4 mld., −44,0 %), dřeva a výrobků z něj (−2,3 mld., −18,0 %) nebo ostatních nekovových minerálních výrobků (−2,2 mld., −10,0 %). Z mála druhů zboží, u kterého export vzrostl, se nejvíce meziročně zvýšil vývoz motorových vozidel (+48,5 mld. korun, 17,6 %). Výraznější přírůstek měl i vývoz potravinářských výrobků (+3,3 mld. korun, 8,1 %).    </w:t>
            </w:r>
          </w:p>
        </w:tc>
      </w:tr>
      <w:tr w:rsidR="00EA1EBB" w14:paraId="60C8FEAA" w14:textId="77777777" w:rsidTr="00EA1EBB">
        <w:trPr>
          <w:trHeight w:val="126"/>
        </w:trPr>
        <w:tc>
          <w:tcPr>
            <w:tcW w:w="1748" w:type="dxa"/>
            <w:vMerge w:val="restart"/>
          </w:tcPr>
          <w:p w14:paraId="35DC0C12" w14:textId="77777777" w:rsidR="00EA1EBB" w:rsidRDefault="00EA1EBB">
            <w:pPr>
              <w:pStyle w:val="Marginlie"/>
              <w:rPr>
                <w:lang w:eastAsia="en-US"/>
              </w:rPr>
            </w:pPr>
          </w:p>
        </w:tc>
        <w:tc>
          <w:tcPr>
            <w:tcW w:w="221" w:type="dxa"/>
            <w:vMerge w:val="restart"/>
          </w:tcPr>
          <w:p w14:paraId="55C7D8DE" w14:textId="77777777" w:rsidR="00EA1EBB" w:rsidRDefault="00EA1EBB">
            <w:pPr>
              <w:pStyle w:val="Textpoznpodarou"/>
              <w:jc w:val="both"/>
              <w:rPr>
                <w:spacing w:val="-4"/>
                <w:lang w:eastAsia="en-US"/>
              </w:rPr>
            </w:pPr>
          </w:p>
        </w:tc>
        <w:tc>
          <w:tcPr>
            <w:tcW w:w="7670" w:type="dxa"/>
            <w:hideMark/>
          </w:tcPr>
          <w:p w14:paraId="6ED79DAE" w14:textId="4D22C4B6" w:rsidR="00EA1EBB" w:rsidRDefault="00EA1EBB" w:rsidP="00174ED1">
            <w:pPr>
              <w:spacing w:after="0"/>
              <w:rPr>
                <w:spacing w:val="-4"/>
                <w:lang w:eastAsia="en-US"/>
              </w:rPr>
            </w:pPr>
            <w:r>
              <w:rPr>
                <w:b/>
                <w:bCs/>
                <w:spacing w:val="-4"/>
                <w:lang w:eastAsia="en-US"/>
              </w:rPr>
              <w:t>Graf č. </w:t>
            </w:r>
            <w:r w:rsidR="00174ED1">
              <w:rPr>
                <w:b/>
                <w:bCs/>
                <w:spacing w:val="-4"/>
                <w:lang w:eastAsia="en-US"/>
              </w:rPr>
              <w:t>9</w:t>
            </w:r>
            <w:r>
              <w:rPr>
                <w:b/>
                <w:bCs/>
                <w:spacing w:val="-4"/>
                <w:lang w:eastAsia="en-US"/>
              </w:rPr>
              <w:t xml:space="preserve"> Vývoz a dovoz zboží </w:t>
            </w:r>
            <w:r>
              <w:rPr>
                <w:spacing w:val="-4"/>
                <w:lang w:eastAsia="en-US"/>
              </w:rPr>
              <w:t>(meziroční změna, v %)</w:t>
            </w:r>
            <w:r>
              <w:rPr>
                <w:b/>
                <w:bCs/>
                <w:spacing w:val="-4"/>
                <w:lang w:eastAsia="en-US"/>
              </w:rPr>
              <w:t xml:space="preserve"> a bilance zahraničního obchodu se zbožím </w:t>
            </w:r>
            <w:r>
              <w:rPr>
                <w:spacing w:val="-4"/>
                <w:lang w:eastAsia="en-US"/>
              </w:rPr>
              <w:t>(v mld. korun, pravá osa)</w:t>
            </w:r>
          </w:p>
        </w:tc>
      </w:tr>
      <w:tr w:rsidR="00EA1EBB" w14:paraId="005DCA28" w14:textId="77777777" w:rsidTr="00EA1EBB">
        <w:trPr>
          <w:trHeight w:val="125"/>
        </w:trPr>
        <w:tc>
          <w:tcPr>
            <w:tcW w:w="0" w:type="auto"/>
            <w:vMerge/>
            <w:vAlign w:val="center"/>
            <w:hideMark/>
          </w:tcPr>
          <w:p w14:paraId="19DEB3AD" w14:textId="77777777" w:rsidR="00EA1EBB" w:rsidRDefault="00EA1EBB">
            <w:pPr>
              <w:spacing w:after="0" w:line="240" w:lineRule="auto"/>
              <w:jc w:val="left"/>
              <w:rPr>
                <w:spacing w:val="-2"/>
                <w:sz w:val="16"/>
                <w:szCs w:val="16"/>
                <w:lang w:eastAsia="en-US"/>
              </w:rPr>
            </w:pPr>
          </w:p>
        </w:tc>
        <w:tc>
          <w:tcPr>
            <w:tcW w:w="0" w:type="auto"/>
            <w:vMerge/>
            <w:vAlign w:val="center"/>
            <w:hideMark/>
          </w:tcPr>
          <w:p w14:paraId="0F9FA740" w14:textId="77777777" w:rsidR="00EA1EBB" w:rsidRDefault="00EA1EBB">
            <w:pPr>
              <w:spacing w:after="0" w:line="240" w:lineRule="auto"/>
              <w:jc w:val="left"/>
              <w:rPr>
                <w:rFonts w:eastAsia="Calibri"/>
                <w:spacing w:val="-4"/>
                <w:szCs w:val="20"/>
                <w:lang w:eastAsia="en-US"/>
              </w:rPr>
            </w:pPr>
          </w:p>
        </w:tc>
        <w:tc>
          <w:tcPr>
            <w:tcW w:w="7670" w:type="dxa"/>
            <w:tcMar>
              <w:top w:w="0" w:type="dxa"/>
              <w:left w:w="70" w:type="dxa"/>
              <w:bottom w:w="0" w:type="dxa"/>
              <w:right w:w="70" w:type="dxa"/>
            </w:tcMar>
            <w:hideMark/>
          </w:tcPr>
          <w:p w14:paraId="7AE00CF3" w14:textId="1CBCB6A4" w:rsidR="00EA1EBB" w:rsidRDefault="00EA1EBB">
            <w:pPr>
              <w:spacing w:after="0"/>
              <w:rPr>
                <w:spacing w:val="-4"/>
                <w:lang w:eastAsia="en-US"/>
              </w:rPr>
            </w:pPr>
            <w:r>
              <w:rPr>
                <w:noProof/>
              </w:rPr>
              <w:drawing>
                <wp:inline distT="0" distB="0" distL="0" distR="0" wp14:anchorId="3DF683D4" wp14:editId="0A132D47">
                  <wp:extent cx="4769485" cy="3542030"/>
                  <wp:effectExtent l="0" t="0" r="0" b="1270"/>
                  <wp:docPr id="26" name="Graf 26">
                    <a:extLst xmlns:a="http://schemas.openxmlformats.org/drawingml/2006/main">
                      <a:ext uri="{FF2B5EF4-FFF2-40B4-BE49-F238E27FC236}">
                        <a16:creationId xmlns:a16="http://schemas.microsoft.com/office/drawing/2014/main" id="{8E34A376-5955-451A-B8E8-536A257FF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EA1EBB" w14:paraId="038FF672" w14:textId="77777777" w:rsidTr="00EA1EBB">
        <w:trPr>
          <w:trHeight w:val="125"/>
        </w:trPr>
        <w:tc>
          <w:tcPr>
            <w:tcW w:w="0" w:type="auto"/>
            <w:vMerge/>
            <w:vAlign w:val="center"/>
            <w:hideMark/>
          </w:tcPr>
          <w:p w14:paraId="29210805" w14:textId="77777777" w:rsidR="00EA1EBB" w:rsidRDefault="00EA1EBB">
            <w:pPr>
              <w:spacing w:after="0" w:line="240" w:lineRule="auto"/>
              <w:jc w:val="left"/>
              <w:rPr>
                <w:spacing w:val="-2"/>
                <w:sz w:val="16"/>
                <w:szCs w:val="16"/>
                <w:lang w:eastAsia="en-US"/>
              </w:rPr>
            </w:pPr>
          </w:p>
        </w:tc>
        <w:tc>
          <w:tcPr>
            <w:tcW w:w="0" w:type="auto"/>
            <w:vMerge/>
            <w:vAlign w:val="center"/>
            <w:hideMark/>
          </w:tcPr>
          <w:p w14:paraId="733D7717" w14:textId="77777777" w:rsidR="00EA1EBB" w:rsidRDefault="00EA1EBB">
            <w:pPr>
              <w:spacing w:after="0" w:line="240" w:lineRule="auto"/>
              <w:jc w:val="left"/>
              <w:rPr>
                <w:rFonts w:eastAsia="Calibri"/>
                <w:spacing w:val="-4"/>
                <w:szCs w:val="20"/>
                <w:lang w:eastAsia="en-US"/>
              </w:rPr>
            </w:pPr>
          </w:p>
        </w:tc>
        <w:tc>
          <w:tcPr>
            <w:tcW w:w="7670" w:type="dxa"/>
            <w:hideMark/>
          </w:tcPr>
          <w:p w14:paraId="180E9C54" w14:textId="77777777" w:rsidR="00EA1EBB" w:rsidRDefault="00EA1EBB">
            <w:pPr>
              <w:spacing w:after="180"/>
              <w:rPr>
                <w:spacing w:val="-4"/>
                <w:sz w:val="16"/>
                <w:szCs w:val="16"/>
                <w:lang w:eastAsia="en-US"/>
              </w:rPr>
            </w:pPr>
            <w:r>
              <w:rPr>
                <w:spacing w:val="-4"/>
                <w:sz w:val="16"/>
                <w:szCs w:val="16"/>
                <w:lang w:eastAsia="en-US"/>
              </w:rPr>
              <w:t>Zdroj: ČSÚ</w:t>
            </w:r>
          </w:p>
        </w:tc>
      </w:tr>
      <w:tr w:rsidR="00EA1EBB" w14:paraId="2B5A616E" w14:textId="77777777" w:rsidTr="00EA1EBB">
        <w:trPr>
          <w:trHeight w:val="145"/>
        </w:trPr>
        <w:tc>
          <w:tcPr>
            <w:tcW w:w="1748" w:type="dxa"/>
            <w:hideMark/>
          </w:tcPr>
          <w:p w14:paraId="44EE222B" w14:textId="77777777" w:rsidR="00EA1EBB" w:rsidRDefault="00EA1EBB">
            <w:pPr>
              <w:pStyle w:val="Marginlie"/>
              <w:rPr>
                <w:lang w:eastAsia="en-US"/>
              </w:rPr>
            </w:pPr>
            <w:r>
              <w:rPr>
                <w:lang w:eastAsia="en-US"/>
              </w:rPr>
              <w:t>Dovoz se loni prudce propadl, z významné části kvůli propadu cen.</w:t>
            </w:r>
          </w:p>
        </w:tc>
        <w:tc>
          <w:tcPr>
            <w:tcW w:w="221" w:type="dxa"/>
          </w:tcPr>
          <w:p w14:paraId="7EA1B2A5" w14:textId="77777777" w:rsidR="00EA1EBB" w:rsidRDefault="00EA1EBB">
            <w:pPr>
              <w:pStyle w:val="Textpoznpodarou"/>
              <w:jc w:val="both"/>
              <w:rPr>
                <w:spacing w:val="-4"/>
                <w:lang w:eastAsia="en-US"/>
              </w:rPr>
            </w:pPr>
          </w:p>
        </w:tc>
        <w:tc>
          <w:tcPr>
            <w:tcW w:w="7670" w:type="dxa"/>
            <w:hideMark/>
          </w:tcPr>
          <w:p w14:paraId="1C4F5AC8" w14:textId="77777777" w:rsidR="00EA1EBB" w:rsidRDefault="00EA1EBB">
            <w:pPr>
              <w:spacing w:after="180"/>
              <w:rPr>
                <w:spacing w:val="-4"/>
                <w:lang w:eastAsia="en-US"/>
              </w:rPr>
            </w:pPr>
            <w:r>
              <w:rPr>
                <w:spacing w:val="-4"/>
                <w:lang w:eastAsia="en-US"/>
              </w:rPr>
              <w:t>Dovoz zboží se v roce 2023 propadl o 284,3 mld. korun (−6,2 %) na 4 327,8 mld. Velký podíl na poklesu měl vývoj cen surovin a paliv</w:t>
            </w:r>
            <w:r>
              <w:rPr>
                <w:rStyle w:val="Znakapoznpodarou"/>
                <w:spacing w:val="-4"/>
                <w:lang w:eastAsia="en-US"/>
              </w:rPr>
              <w:footnoteReference w:id="58"/>
            </w:r>
            <w:r>
              <w:rPr>
                <w:spacing w:val="-4"/>
                <w:lang w:eastAsia="en-US"/>
              </w:rPr>
              <w:t xml:space="preserve">, ale také útlum domácí spotřební i průmyslové poptávky. Podobně jako u exportu v 1. čtvrtletí 2023 import meziročně vzrostl (5,7 %). Ve zbytku roku se ale dovoz zboží výrazně propadal (−8,2 % a −11,8 % ve 2. a 3. čtvrtletí). Ve 4. kvartálu hodnota dovozu dosáhla 1 089,8 mld. korun a byla meziročně nižší o 110,9 mld. (−9,2 %). Sezónně očištěná data ukazují, že hodnota dovozu ve 4. čtvrtletí mezičtvrtletně klesla o 0,9 %, popáté v řadě. Dovoz z EU se loni snížil o 68,8 mld. korun (−2,5 %). Import zboží ze zemí mimo EU se propadl o 218,5 mld. korun (−12,0 %), na čemž měl značný podíl pokles cen řady surovin, především ropy a zemního plynu. Nejsilnější propad importu byl loni zaznamenán u Ruska (−189,5 mld. korun, −71,3 %), Číny (−49,5 mld., −8,5 %), Polska (−23,2 mld., −5,7 %), Německa (−19,7 mld., −2,0 %) a Rakouska (−18,0 mld., −13,1 %). </w:t>
            </w:r>
            <w:r>
              <w:rPr>
                <w:spacing w:val="-4"/>
                <w:lang w:eastAsia="en-US"/>
              </w:rPr>
              <w:lastRenderedPageBreak/>
              <w:t xml:space="preserve">Jediný výrazný nárůst dovozu byl zaznamenán v případě Norska (+37,0 mld. korun, 75,5 %), které od loňska přebralo roli hlavního dodavatele zemního plynu místo Ruska. V samotném 4. čtvrtletí 2023 dovoz z EU meziročně klesl o 16,7 mld. korun (−2,4 %). Import ze zemí mimo EU se nadále propadal výrazněji (−94,3 mld. korun, −18,8 %). Nejvíce se meziročně propadl dovoz z Číny (−49,6 mld. korun, −27,4 %) a Norska (−21,7 mld., −53,2 %). Nižší byla také hodnota dovozu ze Spojených států (−5,3 mld., −14,3 %), z Polska (−5,0 mld. korun, −5,0 %), Ruska (−4,4 mld., −15,9 %), Rakouska (−4,2 mld., −13,0 %) nebo Německa (−3,9 mld., −1,5 %). Klesal dovoz z většiny sledovaných zemí a výraznější meziroční nárůst byl zaznamenán jen u Kazachstánu (+2,9 mld. korun, 76,3 %, stoupl především dovoz ropy a zemního plynu). </w:t>
            </w:r>
          </w:p>
        </w:tc>
      </w:tr>
      <w:tr w:rsidR="00EA1EBB" w14:paraId="09DFDAB2" w14:textId="77777777" w:rsidTr="00EA1EBB">
        <w:trPr>
          <w:trHeight w:val="145"/>
        </w:trPr>
        <w:tc>
          <w:tcPr>
            <w:tcW w:w="1748" w:type="dxa"/>
            <w:hideMark/>
          </w:tcPr>
          <w:p w14:paraId="45588A55" w14:textId="77777777" w:rsidR="00EA1EBB" w:rsidRDefault="00EA1EBB">
            <w:pPr>
              <w:pStyle w:val="Marginlie"/>
              <w:rPr>
                <w:lang w:eastAsia="en-US"/>
              </w:rPr>
            </w:pPr>
            <w:r>
              <w:rPr>
                <w:lang w:eastAsia="en-US"/>
              </w:rPr>
              <w:lastRenderedPageBreak/>
              <w:t>Nejvíce se loni propadl dovoz ropy a zemního plynu.</w:t>
            </w:r>
          </w:p>
        </w:tc>
        <w:tc>
          <w:tcPr>
            <w:tcW w:w="221" w:type="dxa"/>
          </w:tcPr>
          <w:p w14:paraId="70BFC2C1" w14:textId="77777777" w:rsidR="00EA1EBB" w:rsidRDefault="00EA1EBB">
            <w:pPr>
              <w:pStyle w:val="Textpoznpodarou"/>
              <w:jc w:val="both"/>
              <w:rPr>
                <w:spacing w:val="-4"/>
                <w:lang w:eastAsia="en-US"/>
              </w:rPr>
            </w:pPr>
          </w:p>
        </w:tc>
        <w:tc>
          <w:tcPr>
            <w:tcW w:w="7670" w:type="dxa"/>
            <w:hideMark/>
          </w:tcPr>
          <w:p w14:paraId="079F6B31" w14:textId="77777777" w:rsidR="00EA1EBB" w:rsidRDefault="00EA1EBB">
            <w:pPr>
              <w:spacing w:after="180"/>
              <w:rPr>
                <w:spacing w:val="-4"/>
                <w:lang w:eastAsia="en-US"/>
              </w:rPr>
            </w:pPr>
            <w:r>
              <w:rPr>
                <w:spacing w:val="-4"/>
                <w:lang w:eastAsia="en-US"/>
              </w:rPr>
              <w:t xml:space="preserve">Na loňském propadu dovozu se z většiny podílel import ropy a zemního plynu </w:t>
            </w:r>
            <w:r>
              <w:rPr>
                <w:spacing w:val="-4"/>
                <w:lang w:eastAsia="en-US"/>
              </w:rPr>
              <w:br/>
              <w:t xml:space="preserve">(−161,4 mld. korun, −46,9 %) a dále základní kovy (−61,8 mld., −16,3 %), chemické látky a přípravky (−48,0 mld., −12,2 %) a počítače, elektronické a optické přístroje (−21,1 mld., −4,3 %). Vliv klesajících cen surovin potvrzuje i výrazný pokles hodnoty dovozu koksu a rafinovaných ropných výrobků (−17,1 mld. korun, −15,9 %) elektřiny, plynu, páry a klimatizovaného vzduchu (−15,4 mld. korun, −42,1 %) nebo černého a hnědého uhlí a lignitu (−10,1 mld., −31,5 %). Značný byl rovněž pokles importu ostatních výrobků zpracovatelského průmyslu (−12,5 mld. korun, −12,2 %). Do menšiny výrobků, jejichž dovoz loni vzrostl, se řadí motorová vozidla (+71,2 mld. korun, 12,2 %), elektrická zařízení (+22,5 mld., 5,2 %), ostatní dopravní prostředky (+12,4 mld., 24,6 %) nebo potravinářské výrobky (+11,3 mld., 5,4 %). V samotném 4. čtvrtletí k celkovému meziročnímu poklesu hodnoty dovozu přispěl nejvíce propad u ropy a zemního plynu (−32,4 mld. korun, −38,7 %) a elektrických zařízení (−23,9 mld., −17,9 %). Výraznější snížení bylo zaznamenáno také u importu strojů a zařízení (−10,4 mld. korun, −9,7 %), základních kovů (−10,1 mld., −12,4 %), počítačů, elektronických a optických přístrojů (−9,2 mld., −6,8 %), chemických látek a přípravků (−8,1 mld., −8,5 %), koksu a rafinovaných ropných produktů (−4,1 mld., −15,3 %), oděvů (−3,8 mld., −19,6 %), černého a hnědého uhlí a lignitu (−3,4 mld., −48,1 %) nebo ostatních výrobků zpracovatelského průmyslu (−3,4 mld., −12,0 %). Ve 4. čtvrtletí výrazně meziročně vzrostl jen dovoz motorových vozidel (+14,8 mld. korun, 9,4 %). </w:t>
            </w:r>
          </w:p>
        </w:tc>
      </w:tr>
      <w:tr w:rsidR="00EA1EBB" w14:paraId="791906DB" w14:textId="77777777" w:rsidTr="00EA1EBB">
        <w:trPr>
          <w:trHeight w:val="145"/>
        </w:trPr>
        <w:tc>
          <w:tcPr>
            <w:tcW w:w="1748" w:type="dxa"/>
            <w:hideMark/>
          </w:tcPr>
          <w:p w14:paraId="6BD5925D" w14:textId="77777777" w:rsidR="00EA1EBB" w:rsidRDefault="00EA1EBB">
            <w:pPr>
              <w:pStyle w:val="Marginlie"/>
              <w:rPr>
                <w:lang w:eastAsia="en-US"/>
              </w:rPr>
            </w:pPr>
            <w:r>
              <w:rPr>
                <w:lang w:eastAsia="en-US"/>
              </w:rPr>
              <w:t>Ke zlepšení bilance zahraničního obchodu přispěl nejvíce obchod se zeměmi mimo EU.</w:t>
            </w:r>
          </w:p>
        </w:tc>
        <w:tc>
          <w:tcPr>
            <w:tcW w:w="221" w:type="dxa"/>
          </w:tcPr>
          <w:p w14:paraId="7B5CE05C" w14:textId="77777777" w:rsidR="00EA1EBB" w:rsidRDefault="00EA1EBB">
            <w:pPr>
              <w:pStyle w:val="Textpoznpodarou"/>
              <w:jc w:val="both"/>
              <w:rPr>
                <w:spacing w:val="-4"/>
                <w:lang w:eastAsia="en-US"/>
              </w:rPr>
            </w:pPr>
          </w:p>
        </w:tc>
        <w:tc>
          <w:tcPr>
            <w:tcW w:w="7670" w:type="dxa"/>
            <w:hideMark/>
          </w:tcPr>
          <w:p w14:paraId="35181CE3" w14:textId="77777777" w:rsidR="00EA1EBB" w:rsidRDefault="00EA1EBB">
            <w:pPr>
              <w:spacing w:after="180"/>
              <w:rPr>
                <w:spacing w:val="-4"/>
                <w:lang w:eastAsia="en-US"/>
              </w:rPr>
            </w:pPr>
            <w:r>
              <w:rPr>
                <w:spacing w:val="-4"/>
                <w:lang w:eastAsia="en-US"/>
              </w:rPr>
              <w:t>Bilance zahraničního obchodu se zbožím v roce 2023 skončila přebytkem ve výši 124,9 mld. korun</w:t>
            </w:r>
            <w:r>
              <w:rPr>
                <w:rStyle w:val="Znakapoznpodarou"/>
                <w:spacing w:val="-4"/>
                <w:lang w:eastAsia="en-US"/>
              </w:rPr>
              <w:footnoteReference w:id="59"/>
            </w:r>
            <w:r>
              <w:rPr>
                <w:spacing w:val="-4"/>
                <w:lang w:eastAsia="en-US"/>
              </w:rPr>
              <w:t xml:space="preserve">. To je meziročně o 329,7 mld. korun lepší výsledek, na kterém se projevil zejména propad cen paliv a základních surovin. Bilance dosáhla přebytku v první polovině roku (39,8 mld. korun a 36,4 mld. v 1. a 2. čtvrtletí) a ve třetí čtvrtině roku skončila v drobném deficitu (−0,2 mld.). Ve 4. čtvrtletí 2023 bilance zahraničního obchodu se zbožím dosáhla přebytku 48,9 mld. korun a meziročně se tak zlepšila o 103,5 mld. Sezónně očištěné údaje potvrzují, že po mírném mezičtvrtletním zhoršení ve 3. čtvrtletí se bilance výrazně zlepšila. Loni se celkově zlepšila bilance zahraničního obchodu se zbožím s EU (+72,1 mld. korun) i se zeměmi mimo Unii (+260,2 mld.). Nejvíce loni působil ve směru zlepšení bilance obchod s Ruskem (+172,7 mld. korun), Čínou (+47,1 mld.), Polskem (+33,2 mld.), Německem (+33,4 mld.), Tureckem (+18,5 mld.), Francií (+17,6 mld.), Ukrajinou (+14,1 mld.), Velkou Británií (+11,5 mld.), Belgií (+10,3 mld.) a Itálií (+10,2 mld.). Prudce se naopak loni zhoršila bilance obchodu s Norskem (−39,6 mld. korun) a se Slovenskem (−36,6 mld.). </w:t>
            </w:r>
          </w:p>
        </w:tc>
      </w:tr>
      <w:tr w:rsidR="00EA1EBB" w14:paraId="20C46768" w14:textId="77777777" w:rsidTr="00EA1EBB">
        <w:trPr>
          <w:trHeight w:val="145"/>
        </w:trPr>
        <w:tc>
          <w:tcPr>
            <w:tcW w:w="1748" w:type="dxa"/>
            <w:hideMark/>
          </w:tcPr>
          <w:p w14:paraId="5028E9F5" w14:textId="77777777" w:rsidR="00EA1EBB" w:rsidRDefault="00EA1EBB">
            <w:pPr>
              <w:pStyle w:val="Marginlie"/>
              <w:rPr>
                <w:lang w:eastAsia="en-US"/>
              </w:rPr>
            </w:pPr>
            <w:r>
              <w:rPr>
                <w:lang w:eastAsia="en-US"/>
              </w:rPr>
              <w:t xml:space="preserve">Přebytek bilance obchodu se zeměmi EU se ve 4. čtvrtletí zlepšil jen mírně. </w:t>
            </w:r>
          </w:p>
        </w:tc>
        <w:tc>
          <w:tcPr>
            <w:tcW w:w="221" w:type="dxa"/>
          </w:tcPr>
          <w:p w14:paraId="4CA43325" w14:textId="77777777" w:rsidR="00EA1EBB" w:rsidRDefault="00EA1EBB">
            <w:pPr>
              <w:pStyle w:val="Textpoznpodarou"/>
              <w:jc w:val="both"/>
              <w:rPr>
                <w:spacing w:val="-4"/>
                <w:lang w:eastAsia="en-US"/>
              </w:rPr>
            </w:pPr>
          </w:p>
        </w:tc>
        <w:tc>
          <w:tcPr>
            <w:tcW w:w="7670" w:type="dxa"/>
            <w:hideMark/>
          </w:tcPr>
          <w:p w14:paraId="524AF5CC" w14:textId="77777777" w:rsidR="00EA1EBB" w:rsidRDefault="00EA1EBB">
            <w:pPr>
              <w:spacing w:after="180"/>
              <w:rPr>
                <w:spacing w:val="-4"/>
                <w:lang w:eastAsia="en-US"/>
              </w:rPr>
            </w:pPr>
            <w:r>
              <w:rPr>
                <w:spacing w:val="-4"/>
                <w:lang w:eastAsia="en-US"/>
              </w:rPr>
              <w:t xml:space="preserve">Ve 4. čtvrtletí se na meziročním zlepšení bilance zahraničního obchodu se zbožím z naprosté většiny podílel obchod se zeměmi mimo EU (+106,6 mld. korun), zatímco v případě obchodu s Evropskou unií se kladné saldo mírně snížilo (−3,3 mld.). Nejvíce se meziročně zlepšila bilance obchodu s Čínou (+49,9 mld. korun), Norskem (+20,7 mld.) a Polskem (+9,7 mld.). Lepší byl výsledek zahraničního obchodu také v případě Velké Británie (+6,5 mld.), Turecka (+5,9 mld.), Francie (+4,6 mld.), Ukrajiny (+4,4 mld.), Spojených států (+4,3 mld.) nebo Japonska (+3,2 mld.). Na výše citovaném vývoji bilance </w:t>
            </w:r>
            <w:r>
              <w:rPr>
                <w:spacing w:val="-4"/>
                <w:lang w:eastAsia="en-US"/>
              </w:rPr>
              <w:lastRenderedPageBreak/>
              <w:t>s EU se projevilo meziroční zhoršení kladného salda obchodu s Německem (−11,4 mld. korun), Slovenskem (−4,6 mld.), Španělskem (−4,3 mld.) nebo Rakouskem (−3,3 mld.). Z </w:t>
            </w:r>
            <w:proofErr w:type="spellStart"/>
            <w:r>
              <w:rPr>
                <w:spacing w:val="-4"/>
                <w:lang w:eastAsia="en-US"/>
              </w:rPr>
              <w:t>mimounijních</w:t>
            </w:r>
            <w:proofErr w:type="spellEnd"/>
            <w:r>
              <w:rPr>
                <w:spacing w:val="-4"/>
                <w:lang w:eastAsia="en-US"/>
              </w:rPr>
              <w:t xml:space="preserve"> zemí měl výraznější příspěvek ve směru zhoršení celkové bilance zejména obchod s Kazachstánem (−2,8 mld. korun).  </w:t>
            </w:r>
          </w:p>
        </w:tc>
      </w:tr>
      <w:tr w:rsidR="00EA1EBB" w14:paraId="5DE8C4C7" w14:textId="77777777" w:rsidTr="00EA1EBB">
        <w:trPr>
          <w:trHeight w:val="150"/>
        </w:trPr>
        <w:tc>
          <w:tcPr>
            <w:tcW w:w="1748" w:type="dxa"/>
            <w:vMerge w:val="restart"/>
          </w:tcPr>
          <w:p w14:paraId="29BFC185" w14:textId="77777777" w:rsidR="00EA1EBB" w:rsidRDefault="00EA1EBB">
            <w:pPr>
              <w:pStyle w:val="Marginlie"/>
              <w:rPr>
                <w:lang w:eastAsia="en-US"/>
              </w:rPr>
            </w:pPr>
          </w:p>
        </w:tc>
        <w:tc>
          <w:tcPr>
            <w:tcW w:w="221" w:type="dxa"/>
            <w:vMerge w:val="restart"/>
          </w:tcPr>
          <w:p w14:paraId="3C6FE2C2" w14:textId="77777777" w:rsidR="00EA1EBB" w:rsidRDefault="00EA1EBB">
            <w:pPr>
              <w:pStyle w:val="Textpoznpodarou"/>
              <w:jc w:val="both"/>
              <w:rPr>
                <w:spacing w:val="-4"/>
                <w:lang w:eastAsia="en-US"/>
              </w:rPr>
            </w:pPr>
          </w:p>
        </w:tc>
        <w:tc>
          <w:tcPr>
            <w:tcW w:w="7670" w:type="dxa"/>
            <w:hideMark/>
          </w:tcPr>
          <w:p w14:paraId="2B5B0558" w14:textId="3D2821B1" w:rsidR="00EA1EBB" w:rsidRDefault="00EA1EBB" w:rsidP="00174ED1">
            <w:pPr>
              <w:spacing w:after="0"/>
              <w:rPr>
                <w:spacing w:val="-4"/>
                <w:lang w:eastAsia="en-US"/>
              </w:rPr>
            </w:pPr>
            <w:r>
              <w:rPr>
                <w:rFonts w:cs="Arial"/>
                <w:b/>
                <w:bCs/>
                <w:color w:val="000000"/>
                <w:szCs w:val="20"/>
                <w:lang w:eastAsia="en-US"/>
              </w:rPr>
              <w:t>Graf č. </w:t>
            </w:r>
            <w:r w:rsidR="00174ED1">
              <w:rPr>
                <w:rFonts w:cs="Arial"/>
                <w:b/>
                <w:bCs/>
                <w:color w:val="000000"/>
                <w:szCs w:val="20"/>
                <w:lang w:eastAsia="en-US"/>
              </w:rPr>
              <w:t>10</w:t>
            </w:r>
            <w:r>
              <w:rPr>
                <w:rFonts w:cs="Arial"/>
                <w:b/>
                <w:bCs/>
                <w:color w:val="000000"/>
                <w:szCs w:val="20"/>
                <w:lang w:eastAsia="en-US"/>
              </w:rPr>
              <w:t xml:space="preserve"> </w:t>
            </w:r>
            <w:r>
              <w:rPr>
                <w:b/>
                <w:spacing w:val="-4"/>
                <w:szCs w:val="20"/>
                <w:lang w:eastAsia="en-US"/>
              </w:rPr>
              <w:t xml:space="preserve">Bilance zahraničního obchodu se zbožím ve statistice zahraničního obchodu </w:t>
            </w:r>
            <w:r>
              <w:rPr>
                <w:spacing w:val="-4"/>
                <w:szCs w:val="20"/>
                <w:lang w:eastAsia="en-US"/>
              </w:rPr>
              <w:t>(kumulace roku 2023, v mld. korun, vybrané oddíly klasifikace CPA)</w:t>
            </w:r>
          </w:p>
        </w:tc>
      </w:tr>
      <w:tr w:rsidR="00EA1EBB" w14:paraId="0820E437" w14:textId="77777777" w:rsidTr="00EA1EBB">
        <w:trPr>
          <w:trHeight w:val="150"/>
        </w:trPr>
        <w:tc>
          <w:tcPr>
            <w:tcW w:w="0" w:type="auto"/>
            <w:vMerge/>
            <w:vAlign w:val="center"/>
            <w:hideMark/>
          </w:tcPr>
          <w:p w14:paraId="45D1EEE5" w14:textId="77777777" w:rsidR="00EA1EBB" w:rsidRDefault="00EA1EBB">
            <w:pPr>
              <w:spacing w:after="0" w:line="240" w:lineRule="auto"/>
              <w:jc w:val="left"/>
              <w:rPr>
                <w:spacing w:val="-2"/>
                <w:sz w:val="16"/>
                <w:szCs w:val="16"/>
                <w:lang w:eastAsia="en-US"/>
              </w:rPr>
            </w:pPr>
          </w:p>
        </w:tc>
        <w:tc>
          <w:tcPr>
            <w:tcW w:w="0" w:type="auto"/>
            <w:vMerge/>
            <w:vAlign w:val="center"/>
            <w:hideMark/>
          </w:tcPr>
          <w:p w14:paraId="21C6908C" w14:textId="77777777" w:rsidR="00EA1EBB" w:rsidRDefault="00EA1EBB">
            <w:pPr>
              <w:spacing w:after="0" w:line="240" w:lineRule="auto"/>
              <w:jc w:val="left"/>
              <w:rPr>
                <w:rFonts w:eastAsia="Calibri"/>
                <w:spacing w:val="-4"/>
                <w:szCs w:val="20"/>
                <w:lang w:eastAsia="en-US"/>
              </w:rPr>
            </w:pPr>
          </w:p>
        </w:tc>
        <w:tc>
          <w:tcPr>
            <w:tcW w:w="7670" w:type="dxa"/>
            <w:tcMar>
              <w:top w:w="0" w:type="dxa"/>
              <w:left w:w="70" w:type="dxa"/>
              <w:bottom w:w="0" w:type="dxa"/>
              <w:right w:w="70" w:type="dxa"/>
            </w:tcMar>
            <w:hideMark/>
          </w:tcPr>
          <w:p w14:paraId="59A41E07" w14:textId="4036DCF4" w:rsidR="00EA1EBB" w:rsidRDefault="00EA1EBB">
            <w:pPr>
              <w:spacing w:after="0"/>
              <w:rPr>
                <w:spacing w:val="-4"/>
                <w:lang w:eastAsia="en-US"/>
              </w:rPr>
            </w:pPr>
            <w:r>
              <w:rPr>
                <w:noProof/>
              </w:rPr>
              <w:drawing>
                <wp:inline distT="0" distB="0" distL="0" distR="0" wp14:anchorId="352C1F87" wp14:editId="35F2D735">
                  <wp:extent cx="4769485" cy="3493135"/>
                  <wp:effectExtent l="0" t="0" r="0" b="0"/>
                  <wp:docPr id="25" name="Graf 25">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EA1EBB" w14:paraId="1E64FFEB" w14:textId="77777777" w:rsidTr="00EA1EBB">
        <w:trPr>
          <w:trHeight w:val="150"/>
        </w:trPr>
        <w:tc>
          <w:tcPr>
            <w:tcW w:w="0" w:type="auto"/>
            <w:vMerge/>
            <w:vAlign w:val="center"/>
            <w:hideMark/>
          </w:tcPr>
          <w:p w14:paraId="70DFB425" w14:textId="77777777" w:rsidR="00EA1EBB" w:rsidRDefault="00EA1EBB">
            <w:pPr>
              <w:spacing w:after="0" w:line="240" w:lineRule="auto"/>
              <w:jc w:val="left"/>
              <w:rPr>
                <w:spacing w:val="-2"/>
                <w:sz w:val="16"/>
                <w:szCs w:val="16"/>
                <w:lang w:eastAsia="en-US"/>
              </w:rPr>
            </w:pPr>
          </w:p>
        </w:tc>
        <w:tc>
          <w:tcPr>
            <w:tcW w:w="0" w:type="auto"/>
            <w:vMerge/>
            <w:vAlign w:val="center"/>
            <w:hideMark/>
          </w:tcPr>
          <w:p w14:paraId="510EE90D" w14:textId="77777777" w:rsidR="00EA1EBB" w:rsidRDefault="00EA1EBB">
            <w:pPr>
              <w:spacing w:after="0" w:line="240" w:lineRule="auto"/>
              <w:jc w:val="left"/>
              <w:rPr>
                <w:rFonts w:eastAsia="Calibri"/>
                <w:spacing w:val="-4"/>
                <w:szCs w:val="20"/>
                <w:lang w:eastAsia="en-US"/>
              </w:rPr>
            </w:pPr>
          </w:p>
        </w:tc>
        <w:tc>
          <w:tcPr>
            <w:tcW w:w="7670" w:type="dxa"/>
            <w:hideMark/>
          </w:tcPr>
          <w:p w14:paraId="440F6A12" w14:textId="77777777" w:rsidR="00EA1EBB" w:rsidRDefault="00EA1EBB">
            <w:pPr>
              <w:rPr>
                <w:spacing w:val="-4"/>
                <w:lang w:eastAsia="en-US"/>
              </w:rPr>
            </w:pPr>
            <w:r>
              <w:rPr>
                <w:sz w:val="14"/>
                <w:szCs w:val="14"/>
                <w:lang w:eastAsia="en-US"/>
              </w:rPr>
              <w:t>Zdroj: ČSÚ</w:t>
            </w:r>
          </w:p>
        </w:tc>
      </w:tr>
      <w:tr w:rsidR="00EA1EBB" w14:paraId="2EFBB4AD" w14:textId="77777777" w:rsidTr="00EA1EBB">
        <w:trPr>
          <w:trHeight w:val="477"/>
        </w:trPr>
        <w:tc>
          <w:tcPr>
            <w:tcW w:w="1748" w:type="dxa"/>
            <w:hideMark/>
          </w:tcPr>
          <w:p w14:paraId="23BAA9DF" w14:textId="77777777" w:rsidR="00EA1EBB" w:rsidRDefault="00EA1EBB">
            <w:pPr>
              <w:pStyle w:val="Marginlie"/>
              <w:rPr>
                <w:lang w:eastAsia="en-US"/>
              </w:rPr>
            </w:pPr>
            <w:r>
              <w:rPr>
                <w:lang w:eastAsia="en-US"/>
              </w:rPr>
              <w:t xml:space="preserve">Loni se nejvíce zlepšila bilance obchodu s ropou a zemním plynem </w:t>
            </w:r>
            <w:r>
              <w:rPr>
                <w:lang w:eastAsia="en-US"/>
              </w:rPr>
              <w:br/>
              <w:t>a s motorovými vozidly.</w:t>
            </w:r>
          </w:p>
        </w:tc>
        <w:tc>
          <w:tcPr>
            <w:tcW w:w="221" w:type="dxa"/>
          </w:tcPr>
          <w:p w14:paraId="4B139F23" w14:textId="77777777" w:rsidR="00EA1EBB" w:rsidRDefault="00EA1EBB">
            <w:pPr>
              <w:pStyle w:val="Textpoznpodarou"/>
              <w:jc w:val="both"/>
              <w:rPr>
                <w:spacing w:val="-4"/>
                <w:lang w:eastAsia="en-US"/>
              </w:rPr>
            </w:pPr>
          </w:p>
        </w:tc>
        <w:tc>
          <w:tcPr>
            <w:tcW w:w="7670" w:type="dxa"/>
            <w:hideMark/>
          </w:tcPr>
          <w:p w14:paraId="4ACCD45C" w14:textId="77777777" w:rsidR="00EA1EBB" w:rsidRDefault="00EA1EBB">
            <w:pPr>
              <w:rPr>
                <w:spacing w:val="-4"/>
                <w:lang w:eastAsia="en-US"/>
              </w:rPr>
            </w:pPr>
            <w:r>
              <w:rPr>
                <w:spacing w:val="-4"/>
                <w:lang w:eastAsia="en-US"/>
              </w:rPr>
              <w:t xml:space="preserve">Na loňském mohutném zlepšení bilance mělo největší podíl poklesem cen ovlivněné zmírnění deficitu obchodu s ropou a zemním plynem (+148,2 mld. korun) a zlepšení přebytku obchodu s motorovými vozidly (+112,6 mld.) související s pokračujícím oživením v odvětví. Silně ve směru zlepšení loni působila také bilance obchodu se základními kovy (+26,4 mld. korun), stroji a zařízeními (+24,7 mld.), chemickými látkami a přípravky (+18,8 mld.), elektrickými zařízeními (+20,0 mld.), ostatními výrobky zpracovatelského průmyslu (+12,2 mld.), koksem a rafinovanými ropnými výrobky (+9,8 mld.), základními farmaceutickými výrobky a přípravky (+8,6 mld.), pryžovými a plastovými výrobky (+7,7 mld.), oděvy (+7,5 mld.), černým a hnědým uhlím a lignitem (+7,3 mld.), potravinářskými výrobky (+7,1 mld.), papírem a výrobky z něj (+7,1 mld.) nebo rudami (+6,3 mld.). U většiny komodit se bilance meziročně zlepšovala. Silnými výjimkami byl obchod s elektřinou, plynem, párou a klimatizovaným vzduchem (−51,9 mld. korun), produkty lesnictví a těžby dřeva (−11,1 mld.), produkty zemědělství a myslivosti (−10,1 mld.) a dřevo a výrobky z něj (−7,9 mld.). V samotném 4. čtvrtletí se nejvýrazněji meziročně zlepšovala bilance obchodu s motorovými vozidly (+33,7 mld. korun), ropou </w:t>
            </w:r>
            <w:r>
              <w:rPr>
                <w:lang w:eastAsia="en-US"/>
              </w:rPr>
              <w:t>a zemním</w:t>
            </w:r>
            <w:r>
              <w:rPr>
                <w:spacing w:val="-4"/>
                <w:lang w:eastAsia="en-US"/>
              </w:rPr>
              <w:t xml:space="preserve"> plynem (+28,1 mld.) a elektrickými zařízeními (+19,2 mld.). Příznivě na bilanci působil také obchod se stroji a zařízeními (+7,0 mld. korun), oděvy (+4,6 mld.), chemickými látkami a přípravky (+4,5 mld.), základními kovy (+4,3 mld.), základními farmaceutickými výrobky a přípravky (+4,1 mld.) nebo ostatními výrobky zpracovatelského průmyslu (+3,2 mld.) Ve směru meziročního zhoršení bilance ve 4. čtvrtletí nejvíce působilo zhoršení salda u elektřiny, plynu, páry a klimatizovaného vzduchu (−13,7 mld. korun).</w:t>
            </w:r>
          </w:p>
        </w:tc>
      </w:tr>
      <w:tr w:rsidR="00EA1EBB" w14:paraId="392061E9" w14:textId="77777777" w:rsidTr="00EA1EBB">
        <w:trPr>
          <w:trHeight w:val="477"/>
        </w:trPr>
        <w:tc>
          <w:tcPr>
            <w:tcW w:w="9639" w:type="dxa"/>
            <w:gridSpan w:val="3"/>
          </w:tcPr>
          <w:p w14:paraId="094F0FDE" w14:textId="77777777" w:rsidR="00EA1EBB" w:rsidRDefault="00EA1EBB">
            <w:pPr>
              <w:spacing w:after="0"/>
              <w:rPr>
                <w:spacing w:val="-4"/>
                <w:lang w:eastAsia="en-US"/>
              </w:rPr>
            </w:pPr>
          </w:p>
        </w:tc>
      </w:tr>
      <w:bookmarkEnd w:id="36"/>
      <w:bookmarkEnd w:id="37"/>
      <w:bookmarkEnd w:id="38"/>
    </w:tbl>
    <w:p w14:paraId="2A58EC35" w14:textId="77777777" w:rsidR="00EA1EBB" w:rsidRDefault="00EA1EBB" w:rsidP="00EA1EBB">
      <w:pPr>
        <w:spacing w:after="0" w:line="240" w:lineRule="auto"/>
        <w:jc w:val="left"/>
        <w:rPr>
          <w:rFonts w:eastAsia="MS Gothic"/>
          <w:bCs/>
          <w:color w:val="71818C"/>
          <w:sz w:val="2"/>
          <w:szCs w:val="2"/>
        </w:rPr>
      </w:pPr>
    </w:p>
    <w:p w14:paraId="0D65C287" w14:textId="77777777" w:rsidR="00EA1EBB" w:rsidRDefault="00EA1EBB" w:rsidP="00EA1EBB">
      <w:pPr>
        <w:pStyle w:val="Nadpis11"/>
      </w:pPr>
      <w:bookmarkStart w:id="39" w:name="_Toc153531177"/>
      <w:bookmarkStart w:id="40" w:name="_Toc161914425"/>
      <w:bookmarkEnd w:id="30"/>
      <w:r>
        <w:lastRenderedPageBreak/>
        <w:t>5. Ceny</w:t>
      </w:r>
      <w:bookmarkEnd w:id="39"/>
      <w:bookmarkEnd w:id="40"/>
    </w:p>
    <w:tbl>
      <w:tblPr>
        <w:tblW w:w="9639" w:type="dxa"/>
        <w:tblInd w:w="-15" w:type="dxa"/>
        <w:tblCellMar>
          <w:left w:w="0" w:type="dxa"/>
          <w:right w:w="0" w:type="dxa"/>
        </w:tblCellMar>
        <w:tblLook w:val="00A0" w:firstRow="1" w:lastRow="0" w:firstColumn="1" w:lastColumn="0" w:noHBand="0" w:noVBand="0"/>
      </w:tblPr>
      <w:tblGrid>
        <w:gridCol w:w="1804"/>
        <w:gridCol w:w="224"/>
        <w:gridCol w:w="7611"/>
      </w:tblGrid>
      <w:tr w:rsidR="00EA1EBB" w14:paraId="71473CC2" w14:textId="77777777" w:rsidTr="00EA1EBB">
        <w:trPr>
          <w:trHeight w:val="145"/>
        </w:trPr>
        <w:tc>
          <w:tcPr>
            <w:tcW w:w="1804" w:type="dxa"/>
            <w:hideMark/>
          </w:tcPr>
          <w:p w14:paraId="13E46214" w14:textId="77777777" w:rsidR="00EA1EBB" w:rsidRDefault="00EA1EBB">
            <w:pPr>
              <w:pStyle w:val="Marginlie"/>
              <w:rPr>
                <w:spacing w:val="0"/>
                <w:lang w:eastAsia="en-US"/>
              </w:rPr>
            </w:pPr>
            <w:r>
              <w:rPr>
                <w:spacing w:val="0"/>
                <w:lang w:eastAsia="en-US"/>
              </w:rPr>
              <w:t>Celková cenová hladina loni silně rostla.</w:t>
            </w:r>
          </w:p>
        </w:tc>
        <w:tc>
          <w:tcPr>
            <w:tcW w:w="224" w:type="dxa"/>
          </w:tcPr>
          <w:p w14:paraId="3B93531C" w14:textId="77777777" w:rsidR="00EA1EBB" w:rsidRDefault="00EA1EBB">
            <w:pPr>
              <w:pStyle w:val="Textpoznpodarou1"/>
              <w:jc w:val="both"/>
              <w:rPr>
                <w:lang w:eastAsia="en-US"/>
              </w:rPr>
            </w:pPr>
          </w:p>
        </w:tc>
        <w:tc>
          <w:tcPr>
            <w:tcW w:w="7611" w:type="dxa"/>
            <w:hideMark/>
          </w:tcPr>
          <w:p w14:paraId="1DE83BB4" w14:textId="77777777" w:rsidR="00EA1EBB" w:rsidRDefault="00EA1EBB">
            <w:pPr>
              <w:rPr>
                <w:szCs w:val="20"/>
                <w:lang w:eastAsia="en-US"/>
              </w:rPr>
            </w:pPr>
            <w:r>
              <w:rPr>
                <w:szCs w:val="20"/>
                <w:lang w:eastAsia="en-US"/>
              </w:rPr>
              <w:t xml:space="preserve">Za celý rok 2023 celková cenová hladina v ekonomice měřená deflátorem HDP vzrostla o 8,6 %. Ceny spotřeby byly vyšší o 8,2 %, přičemž u spotřeby domácností růst oslabil na 9,3 % a cenová hladina statků spotřebovávaných sektorem vládních institucí vzrostla o 5,8 %. Ve srovnání se zbytkem ekonomiky mírněji rostly ceny kapitálových statků (4,2 %). Ceny dovozu zboží a služeb se loni propadly výrazněji než ceny exportu, což vedlo ke znatelně kladným směnným relacím, které dosáhly 102,7 %. Ve 4. čtvrtletí 2023 cenová hladina meziročně stoupla o 6,0 %, nejmírněji od konce roku 2021. Ceny spotřeby byly meziročně vyšší o 5,0 %, z toho u domácností o 6,0 % a vlády o 2,5 %. Růst cen kapitálových statků ve 4. čtvrtletí posílil na 3,5 %. Směnné relace zůstaly kladné a dosáhly 102,5 %. Směnné relace zahraničního obchodu se zbožím přitom dosáhly 102,0 %, zatímco u služeb to bylo 105,2 %. Mezičtvrtletně se celková cenová hladina ve 4. čtvrtletí neměnila. U spotřeby došlo k nárůstu o 0,4 % a kapitálové statky zdražily o 3,6 %. Mezičtvrtletní směnné relace byly ale záporné a dosáhly 98,4 %.    </w:t>
            </w:r>
          </w:p>
        </w:tc>
      </w:tr>
      <w:tr w:rsidR="00EA1EBB" w14:paraId="3E701DD2" w14:textId="77777777" w:rsidTr="00EA1EBB">
        <w:trPr>
          <w:trHeight w:val="170"/>
        </w:trPr>
        <w:tc>
          <w:tcPr>
            <w:tcW w:w="1804" w:type="dxa"/>
            <w:vMerge w:val="restart"/>
          </w:tcPr>
          <w:p w14:paraId="54F2CC8C" w14:textId="77777777" w:rsidR="00EA1EBB" w:rsidRDefault="00EA1EBB">
            <w:pPr>
              <w:pStyle w:val="Marginlie"/>
              <w:rPr>
                <w:spacing w:val="0"/>
                <w:lang w:eastAsia="en-US"/>
              </w:rPr>
            </w:pPr>
          </w:p>
        </w:tc>
        <w:tc>
          <w:tcPr>
            <w:tcW w:w="224" w:type="dxa"/>
            <w:vMerge w:val="restart"/>
          </w:tcPr>
          <w:p w14:paraId="019DEA42" w14:textId="77777777" w:rsidR="00EA1EBB" w:rsidRDefault="00EA1EBB">
            <w:pPr>
              <w:pStyle w:val="Textpoznpodarou1"/>
              <w:jc w:val="both"/>
              <w:rPr>
                <w:lang w:eastAsia="en-US"/>
              </w:rPr>
            </w:pPr>
          </w:p>
        </w:tc>
        <w:tc>
          <w:tcPr>
            <w:tcW w:w="7611" w:type="dxa"/>
            <w:hideMark/>
          </w:tcPr>
          <w:p w14:paraId="22309FD3" w14:textId="0259CA41" w:rsidR="00EA1EBB" w:rsidRDefault="00EA1EBB" w:rsidP="00174ED1">
            <w:pPr>
              <w:spacing w:after="0"/>
              <w:rPr>
                <w:lang w:eastAsia="en-US"/>
              </w:rPr>
            </w:pPr>
            <w:r>
              <w:rPr>
                <w:rFonts w:cs="Arial"/>
                <w:b/>
                <w:bCs/>
                <w:color w:val="000000"/>
                <w:sz w:val="18"/>
                <w:szCs w:val="18"/>
                <w:lang w:eastAsia="en-US"/>
              </w:rPr>
              <w:t>Graf č. 1</w:t>
            </w:r>
            <w:r w:rsidR="00174ED1">
              <w:rPr>
                <w:rFonts w:cs="Arial"/>
                <w:b/>
                <w:bCs/>
                <w:color w:val="000000"/>
                <w:sz w:val="18"/>
                <w:szCs w:val="18"/>
                <w:lang w:eastAsia="en-US"/>
              </w:rPr>
              <w:t>1</w:t>
            </w:r>
            <w:r>
              <w:rPr>
                <w:rFonts w:cs="Arial"/>
                <w:b/>
                <w:bCs/>
                <w:color w:val="000000"/>
                <w:sz w:val="18"/>
                <w:szCs w:val="18"/>
                <w:lang w:eastAsia="en-US"/>
              </w:rPr>
              <w:t xml:space="preserve"> Ceny ve vybraných oddílech indexu spotřebitelských cen</w:t>
            </w:r>
            <w:r>
              <w:rPr>
                <w:rFonts w:cs="Arial"/>
                <w:b/>
                <w:color w:val="000000"/>
                <w:sz w:val="18"/>
                <w:szCs w:val="18"/>
                <w:lang w:eastAsia="en-US"/>
              </w:rPr>
              <w:t xml:space="preserve"> </w:t>
            </w:r>
            <w:r>
              <w:rPr>
                <w:rFonts w:cs="Arial"/>
                <w:color w:val="000000"/>
                <w:sz w:val="18"/>
                <w:szCs w:val="18"/>
                <w:lang w:eastAsia="en-US"/>
              </w:rPr>
              <w:t>(meziročně v %)</w:t>
            </w:r>
          </w:p>
        </w:tc>
      </w:tr>
      <w:tr w:rsidR="00EA1EBB" w14:paraId="02F64EB3" w14:textId="77777777" w:rsidTr="00EA1EBB">
        <w:trPr>
          <w:trHeight w:val="170"/>
        </w:trPr>
        <w:tc>
          <w:tcPr>
            <w:tcW w:w="0" w:type="auto"/>
            <w:vMerge/>
            <w:vAlign w:val="center"/>
            <w:hideMark/>
          </w:tcPr>
          <w:p w14:paraId="6E34E128" w14:textId="77777777" w:rsidR="00EA1EBB" w:rsidRDefault="00EA1EBB">
            <w:pPr>
              <w:spacing w:after="0" w:line="240" w:lineRule="auto"/>
              <w:jc w:val="left"/>
              <w:rPr>
                <w:sz w:val="16"/>
                <w:szCs w:val="16"/>
                <w:lang w:eastAsia="en-US"/>
              </w:rPr>
            </w:pPr>
          </w:p>
        </w:tc>
        <w:tc>
          <w:tcPr>
            <w:tcW w:w="0" w:type="auto"/>
            <w:vMerge/>
            <w:vAlign w:val="center"/>
            <w:hideMark/>
          </w:tcPr>
          <w:p w14:paraId="7DAEB835" w14:textId="77777777" w:rsidR="00EA1EBB" w:rsidRDefault="00EA1EBB">
            <w:pPr>
              <w:spacing w:after="0" w:line="240" w:lineRule="auto"/>
              <w:jc w:val="left"/>
              <w:rPr>
                <w:rFonts w:eastAsia="Calibri"/>
                <w:szCs w:val="20"/>
                <w:lang w:eastAsia="en-US"/>
              </w:rPr>
            </w:pPr>
          </w:p>
        </w:tc>
        <w:tc>
          <w:tcPr>
            <w:tcW w:w="7611" w:type="dxa"/>
            <w:tcMar>
              <w:top w:w="0" w:type="dxa"/>
              <w:left w:w="70" w:type="dxa"/>
              <w:bottom w:w="0" w:type="dxa"/>
              <w:right w:w="70" w:type="dxa"/>
            </w:tcMar>
            <w:hideMark/>
          </w:tcPr>
          <w:p w14:paraId="32DDD30C" w14:textId="300322D9" w:rsidR="00EA1EBB" w:rsidRDefault="00EA1EBB">
            <w:pPr>
              <w:spacing w:after="0"/>
              <w:rPr>
                <w:lang w:eastAsia="en-US"/>
              </w:rPr>
            </w:pPr>
            <w:r>
              <w:rPr>
                <w:noProof/>
              </w:rPr>
              <w:drawing>
                <wp:inline distT="0" distB="0" distL="0" distR="0" wp14:anchorId="7809F352" wp14:editId="0489A81D">
                  <wp:extent cx="4736465" cy="3237230"/>
                  <wp:effectExtent l="0" t="0" r="6985" b="1270"/>
                  <wp:docPr id="37" name="Graf 37">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EA1EBB" w14:paraId="345C2603" w14:textId="77777777" w:rsidTr="00EA1EBB">
        <w:trPr>
          <w:trHeight w:val="170"/>
        </w:trPr>
        <w:tc>
          <w:tcPr>
            <w:tcW w:w="0" w:type="auto"/>
            <w:vMerge/>
            <w:vAlign w:val="center"/>
            <w:hideMark/>
          </w:tcPr>
          <w:p w14:paraId="3E35EC9D" w14:textId="77777777" w:rsidR="00EA1EBB" w:rsidRDefault="00EA1EBB">
            <w:pPr>
              <w:spacing w:after="0" w:line="240" w:lineRule="auto"/>
              <w:jc w:val="left"/>
              <w:rPr>
                <w:sz w:val="16"/>
                <w:szCs w:val="16"/>
                <w:lang w:eastAsia="en-US"/>
              </w:rPr>
            </w:pPr>
          </w:p>
        </w:tc>
        <w:tc>
          <w:tcPr>
            <w:tcW w:w="0" w:type="auto"/>
            <w:vMerge/>
            <w:vAlign w:val="center"/>
            <w:hideMark/>
          </w:tcPr>
          <w:p w14:paraId="35C316BC" w14:textId="77777777" w:rsidR="00EA1EBB" w:rsidRDefault="00EA1EBB">
            <w:pPr>
              <w:spacing w:after="0" w:line="240" w:lineRule="auto"/>
              <w:jc w:val="left"/>
              <w:rPr>
                <w:rFonts w:eastAsia="Calibri"/>
                <w:szCs w:val="20"/>
                <w:lang w:eastAsia="en-US"/>
              </w:rPr>
            </w:pPr>
          </w:p>
        </w:tc>
        <w:tc>
          <w:tcPr>
            <w:tcW w:w="7611" w:type="dxa"/>
            <w:hideMark/>
          </w:tcPr>
          <w:p w14:paraId="184BF0A8" w14:textId="77777777" w:rsidR="00EA1EBB" w:rsidRDefault="00EA1EBB">
            <w:pPr>
              <w:rPr>
                <w:lang w:eastAsia="en-US"/>
              </w:rPr>
            </w:pPr>
            <w:r>
              <w:rPr>
                <w:sz w:val="14"/>
                <w:szCs w:val="14"/>
                <w:lang w:eastAsia="en-US"/>
              </w:rPr>
              <w:t>Zdroj: ČSÚ</w:t>
            </w:r>
          </w:p>
        </w:tc>
      </w:tr>
      <w:tr w:rsidR="00EA1EBB" w14:paraId="59B389BB" w14:textId="77777777" w:rsidTr="00EA1EBB">
        <w:trPr>
          <w:trHeight w:val="145"/>
        </w:trPr>
        <w:tc>
          <w:tcPr>
            <w:tcW w:w="1804" w:type="dxa"/>
            <w:hideMark/>
          </w:tcPr>
          <w:p w14:paraId="4E2B17C8" w14:textId="77777777" w:rsidR="00EA1EBB" w:rsidRDefault="00EA1EBB">
            <w:pPr>
              <w:pStyle w:val="Marginlie"/>
              <w:rPr>
                <w:spacing w:val="0"/>
                <w:lang w:eastAsia="en-US"/>
              </w:rPr>
            </w:pPr>
            <w:r>
              <w:rPr>
                <w:spacing w:val="0"/>
                <w:lang w:eastAsia="en-US"/>
              </w:rPr>
              <w:t>Meziroční růst spotřebitelských cen v průběhu roku zpomaloval.</w:t>
            </w:r>
          </w:p>
        </w:tc>
        <w:tc>
          <w:tcPr>
            <w:tcW w:w="224" w:type="dxa"/>
          </w:tcPr>
          <w:p w14:paraId="663C3390" w14:textId="77777777" w:rsidR="00EA1EBB" w:rsidRDefault="00EA1EBB">
            <w:pPr>
              <w:pStyle w:val="Textpoznpodarou1"/>
              <w:jc w:val="both"/>
              <w:rPr>
                <w:lang w:eastAsia="en-US"/>
              </w:rPr>
            </w:pPr>
          </w:p>
        </w:tc>
        <w:tc>
          <w:tcPr>
            <w:tcW w:w="7611" w:type="dxa"/>
            <w:hideMark/>
          </w:tcPr>
          <w:p w14:paraId="2E930856" w14:textId="77777777" w:rsidR="00EA1EBB" w:rsidRDefault="00EA1EBB">
            <w:pPr>
              <w:rPr>
                <w:lang w:eastAsia="en-US"/>
              </w:rPr>
            </w:pPr>
            <w:r>
              <w:rPr>
                <w:lang w:eastAsia="en-US"/>
              </w:rPr>
              <w:t>Meziroční růst spotřebitelských cen v průběhu roku 2023 postupně zpomaloval (16,4 %, 11,1 % a 8,0 % v 1., 2. a 3. čtvrtletí) a závěr roku nebyl výjimkou. Ve 4. čtvrtletí 2023 index spotřebitelských cen meziročně vzrostl o 7,6 %. Meziroční dynamika naprosté většiny oddílů spotřebního koše zpomalila ve srovnání se 3. kvartálem. Výjimkou bylo bydlení, voda energie a paliva, kde se projevila srovnávací základna konce roku 2022, kdy byl do výpočtu inflace zahrnut úsporný tarif a skokově tak klesly ceny energií. Zmírnil se také propad cen dopravy. K meziročnímu růstu spotřebitelských cen ve 4. čtvrtletí 2023 nejvíce přispívalo bydlení a energie, rekreace a kultura, stravování a ubytování a alkoholické nápoje a tabák. Prudce poklesl vliv potravin a nealkoholických nápojů, které cenový růst stimulovaly v předchozích čtvrtletích. Meziročně klesaly jen ceny dopravy. Mezičtvrtletně se spotřebitelské ceny ve 4. kvartálu snížily o 0,4 %. Za celý rok 2023 dosáhl nárůst spotřebitelských cen 10,7 %. Oproti roku 2022 přírůstek zmírnil o 4,4 p. b. Nejvíce k celkovému navýšení cen přispěl vývoj u cen bydlení a energií, potravin a nealkoholických nápojů, rekreací a kultury a stravování a ubytování. Loni klesly pouze ceny dopravy.</w:t>
            </w:r>
          </w:p>
        </w:tc>
      </w:tr>
      <w:tr w:rsidR="00EA1EBB" w14:paraId="55367628" w14:textId="77777777" w:rsidTr="00EA1EBB">
        <w:trPr>
          <w:trHeight w:val="145"/>
        </w:trPr>
        <w:tc>
          <w:tcPr>
            <w:tcW w:w="1804" w:type="dxa"/>
            <w:hideMark/>
          </w:tcPr>
          <w:p w14:paraId="57B7B781" w14:textId="77777777" w:rsidR="00EA1EBB" w:rsidRDefault="00EA1EBB">
            <w:pPr>
              <w:pStyle w:val="Marginlie"/>
              <w:rPr>
                <w:spacing w:val="0"/>
                <w:lang w:eastAsia="en-US"/>
              </w:rPr>
            </w:pPr>
            <w:r>
              <w:rPr>
                <w:spacing w:val="0"/>
                <w:lang w:eastAsia="en-US"/>
              </w:rPr>
              <w:lastRenderedPageBreak/>
              <w:t xml:space="preserve">Na rozdíl od zbytku cen ve spotřebitelském koši </w:t>
            </w:r>
            <w:r>
              <w:rPr>
                <w:spacing w:val="0"/>
                <w:lang w:eastAsia="en-US"/>
              </w:rPr>
              <w:br/>
              <w:t>u bydlení a energií došlo v závěru roku ke zrychlení meziročního růstu.</w:t>
            </w:r>
          </w:p>
        </w:tc>
        <w:tc>
          <w:tcPr>
            <w:tcW w:w="224" w:type="dxa"/>
          </w:tcPr>
          <w:p w14:paraId="3E07B145" w14:textId="77777777" w:rsidR="00EA1EBB" w:rsidRDefault="00EA1EBB">
            <w:pPr>
              <w:pStyle w:val="Textpoznpodarou1"/>
              <w:jc w:val="both"/>
              <w:rPr>
                <w:lang w:eastAsia="en-US"/>
              </w:rPr>
            </w:pPr>
          </w:p>
        </w:tc>
        <w:tc>
          <w:tcPr>
            <w:tcW w:w="7611" w:type="dxa"/>
            <w:hideMark/>
          </w:tcPr>
          <w:p w14:paraId="48288300" w14:textId="77777777" w:rsidR="00EA1EBB" w:rsidRDefault="00EA1EBB">
            <w:pPr>
              <w:rPr>
                <w:lang w:eastAsia="en-US"/>
              </w:rPr>
            </w:pPr>
            <w:r>
              <w:rPr>
                <w:lang w:eastAsia="en-US"/>
              </w:rPr>
              <w:t>Jak již bylo zmíněno, ceny bydlení a energií byly ve 4. čtvrtletí jediným oddílem spotřebního koše, u kterého došlo ke zrychlení meziročního růstu cen. Přírůstek dosáhl 17,8 %. Mírnější bylo meziroční navýšení nájemného z bytu (7,5 %), běžné údržby a oprav (6,2 %), imputovaného nájemného</w:t>
            </w:r>
            <w:r>
              <w:rPr>
                <w:rStyle w:val="Znakapoznpodarou"/>
                <w:lang w:eastAsia="en-US"/>
              </w:rPr>
              <w:footnoteReference w:id="60"/>
            </w:r>
            <w:r>
              <w:rPr>
                <w:lang w:eastAsia="en-US"/>
              </w:rPr>
              <w:t xml:space="preserve"> (0,3 %) a stejný zůstal přírůstek cen za ostatní služby související s bydlením (15,3 %). Vlivem srovnávací základny konce roku 2022 ale v loňském 4. čtvrtletí prudce posílil nárůst cen elektrické a tepelné energie, plynu a ostatních paliv (47,1 %). Mezičtvrtletně se ceny bydlení, vody, energie a paliv snížily o 0,4 %. Za celý rok 2023 cenový nárůst v tomto oddílu činil 16,8 %. Z naprosté většiny za tím stálo navýšení cen energií a paliv (37,2 %), vyšší byly ale také ceny ostatních položek.   </w:t>
            </w:r>
          </w:p>
        </w:tc>
      </w:tr>
      <w:tr w:rsidR="00EA1EBB" w14:paraId="1E28AA6D" w14:textId="77777777" w:rsidTr="00EA1EBB">
        <w:trPr>
          <w:trHeight w:val="145"/>
        </w:trPr>
        <w:tc>
          <w:tcPr>
            <w:tcW w:w="1804" w:type="dxa"/>
            <w:hideMark/>
          </w:tcPr>
          <w:p w14:paraId="255FD099" w14:textId="77777777" w:rsidR="00EA1EBB" w:rsidRDefault="00EA1EBB">
            <w:pPr>
              <w:pStyle w:val="Marginlie"/>
              <w:rPr>
                <w:spacing w:val="0"/>
                <w:lang w:eastAsia="en-US"/>
              </w:rPr>
            </w:pPr>
            <w:r>
              <w:rPr>
                <w:spacing w:val="0"/>
                <w:lang w:eastAsia="en-US"/>
              </w:rPr>
              <w:t>Meziroční růst cen potravin ve 4. čtvrtletí výrazně zpomalil.</w:t>
            </w:r>
          </w:p>
        </w:tc>
        <w:tc>
          <w:tcPr>
            <w:tcW w:w="224" w:type="dxa"/>
          </w:tcPr>
          <w:p w14:paraId="67D23EEB" w14:textId="77777777" w:rsidR="00EA1EBB" w:rsidRDefault="00EA1EBB">
            <w:pPr>
              <w:pStyle w:val="Textpoznpodarou1"/>
              <w:jc w:val="both"/>
              <w:rPr>
                <w:lang w:eastAsia="en-US"/>
              </w:rPr>
            </w:pPr>
          </w:p>
        </w:tc>
        <w:tc>
          <w:tcPr>
            <w:tcW w:w="7611" w:type="dxa"/>
            <w:hideMark/>
          </w:tcPr>
          <w:p w14:paraId="07C4A633" w14:textId="77777777" w:rsidR="00EA1EBB" w:rsidRDefault="00EA1EBB">
            <w:pPr>
              <w:rPr>
                <w:lang w:eastAsia="en-US"/>
              </w:rPr>
            </w:pPr>
            <w:r>
              <w:rPr>
                <w:lang w:eastAsia="en-US"/>
              </w:rPr>
              <w:t>Ve 4. čtvrtletí dál výrazně zpomaloval meziroční růst cen potravin a nealkoholických nápojů (v prosinci už došlo k poklesu) a za celý kvartál přírůstek dosáhl 1,6 %. Mírnější byl meziroční nárůst cen pekárenských výrobků a obilovin (3,0 %), zeleniny (16,6 %), ovoce (8,2 %), cukru a souvisejících výrobků (4,4 %) i ostatních potravinářských výrobků (7,0 %). Z růstu do poklesu se ve 4. čtvrtletí dostal vývoj cen masa (−1,5 %) a mléka, sýrů a vajec (−7,0 %). V hlubokém poklesu setrvaly ceny olejů a tuků (−10,0 %). Mezičtvrtletně se ceny potravin a nealkoholických nápojů snížily o 1,4 %. Za celý rok 2023 vzrostly ceny potravin a nealkoholických nápojů o 11,5 % a přírůstek se tak oproti roku 2022 zmírnil o 5,2 p. b. Za poslední dva roky tak ceny v tomto oddílu vzrostly o 30,1 %. Loňské navýšení cen potravin a nealkoholických nápojů nejvíce ovlivnily ceny pekárenských výrobků a obilovin (13,6 %), masa (7,7 %), mléka, sýrů a vajec (10,6 %) a zeleniny (21,5 %).</w:t>
            </w:r>
          </w:p>
        </w:tc>
      </w:tr>
      <w:tr w:rsidR="00EA1EBB" w14:paraId="79FFDF48" w14:textId="77777777" w:rsidTr="00EA1EBB">
        <w:trPr>
          <w:trHeight w:val="145"/>
        </w:trPr>
        <w:tc>
          <w:tcPr>
            <w:tcW w:w="1804" w:type="dxa"/>
            <w:hideMark/>
          </w:tcPr>
          <w:p w14:paraId="191EDE68" w14:textId="77777777" w:rsidR="00EA1EBB" w:rsidRDefault="00EA1EBB">
            <w:pPr>
              <w:pStyle w:val="Marginlie"/>
              <w:rPr>
                <w:spacing w:val="0"/>
                <w:lang w:eastAsia="en-US"/>
              </w:rPr>
            </w:pPr>
            <w:r>
              <w:rPr>
                <w:spacing w:val="0"/>
                <w:lang w:eastAsia="en-US"/>
              </w:rPr>
              <w:t>Solidní zůstal přírůstek cen u různých služeb.</w:t>
            </w:r>
          </w:p>
        </w:tc>
        <w:tc>
          <w:tcPr>
            <w:tcW w:w="224" w:type="dxa"/>
          </w:tcPr>
          <w:p w14:paraId="50470835" w14:textId="77777777" w:rsidR="00EA1EBB" w:rsidRDefault="00EA1EBB">
            <w:pPr>
              <w:pStyle w:val="Textpoznpodarou1"/>
              <w:jc w:val="both"/>
              <w:rPr>
                <w:lang w:eastAsia="en-US"/>
              </w:rPr>
            </w:pPr>
          </w:p>
        </w:tc>
        <w:tc>
          <w:tcPr>
            <w:tcW w:w="7611" w:type="dxa"/>
            <w:hideMark/>
          </w:tcPr>
          <w:p w14:paraId="5012BD95" w14:textId="77777777" w:rsidR="00EA1EBB" w:rsidRDefault="00EA1EBB">
            <w:pPr>
              <w:rPr>
                <w:lang w:eastAsia="en-US"/>
              </w:rPr>
            </w:pPr>
            <w:r>
              <w:rPr>
                <w:lang w:eastAsia="en-US"/>
              </w:rPr>
              <w:t>Mezi oddíly spotřebitelského koše, které ve 4. čtvrtletí nejvíce přispívaly k celkovému růstu spotřebitelských cen, patřily i rekreace a kultura, jejichž ceny meziročně vzrostly o 6,9 %. Největší podíl na tomto nárůstu měly ceny dovolených s komplexními službami (9,7 %) a rekreační a kulturní služby (8,6 %). Mezičtvrtletně se ceny rekreací a kultury snížily o výrazných 3,6 %. Tento oddíl patřil k výrazným hybatelům cenového růstu i z pohledu celého roku 2023. Ceny zde se loni celkově zvýšily o 10,5 %, především pod vlivem dovolených s komplexními službami (15,3 %). Také ceny stravování a ubytování ve 4. čtvrtletí stejně jako po celý rok 2023 významně promlouvaly do meziroční spotřebitelské inflace. Jejich meziroční přírůstek ve 4. čtvrtletí zpomalil na 8,8 %, ale mezičtvrtletně dál poměrně výrazně rostly (1,1 %). Za celý rok 2023 se ceny stravování a ubytování zvýšily o 14,2 %. Stabilně silný vliv na meziroční růst spotřebitelských cen si držely ceny alkoholických nápojů a tabáku. Ty ve 4. čtvrtletí meziročně vzrostly o 5,9 %, mezičtvrtletně klesly o 0,3 % a za celý rok byly vyšší o 6,6 %.</w:t>
            </w:r>
          </w:p>
        </w:tc>
      </w:tr>
      <w:tr w:rsidR="00EA1EBB" w14:paraId="12B46305" w14:textId="77777777" w:rsidTr="00EA1EBB">
        <w:trPr>
          <w:trHeight w:val="145"/>
        </w:trPr>
        <w:tc>
          <w:tcPr>
            <w:tcW w:w="1804" w:type="dxa"/>
            <w:hideMark/>
          </w:tcPr>
          <w:p w14:paraId="6825CB69" w14:textId="77777777" w:rsidR="00EA1EBB" w:rsidRDefault="00EA1EBB">
            <w:pPr>
              <w:pStyle w:val="Marginlie"/>
              <w:rPr>
                <w:spacing w:val="0"/>
                <w:lang w:eastAsia="en-US"/>
              </w:rPr>
            </w:pPr>
            <w:r>
              <w:rPr>
                <w:spacing w:val="0"/>
                <w:lang w:eastAsia="en-US"/>
              </w:rPr>
              <w:t>Meziroční dynamika cen odívání a obuvi zpomalovala.</w:t>
            </w:r>
          </w:p>
        </w:tc>
        <w:tc>
          <w:tcPr>
            <w:tcW w:w="224" w:type="dxa"/>
          </w:tcPr>
          <w:p w14:paraId="0CF95789" w14:textId="77777777" w:rsidR="00EA1EBB" w:rsidRDefault="00EA1EBB">
            <w:pPr>
              <w:pStyle w:val="Textpoznpodarou1"/>
              <w:jc w:val="both"/>
              <w:rPr>
                <w:lang w:eastAsia="en-US"/>
              </w:rPr>
            </w:pPr>
          </w:p>
        </w:tc>
        <w:tc>
          <w:tcPr>
            <w:tcW w:w="7611" w:type="dxa"/>
            <w:hideMark/>
          </w:tcPr>
          <w:p w14:paraId="549FD4D2" w14:textId="77777777" w:rsidR="00EA1EBB" w:rsidRDefault="00EA1EBB">
            <w:pPr>
              <w:rPr>
                <w:lang w:eastAsia="en-US"/>
              </w:rPr>
            </w:pPr>
            <w:r>
              <w:rPr>
                <w:lang w:eastAsia="en-US"/>
              </w:rPr>
              <w:t>U cen odívání a obuvi stejně jako u bytového vybavení a zařízení domácnosti v roce 2022 došlo k prudkému růstu cen poháněného obnovenou poptávkou spotřebitelů. V průběhu loňského roku zde ale docházelo k postupnému útlumu meziroční dynamiky cen. Odívání a obuv ve 4. čtvrtletí meziročně zdražily o 7,1 % a mezičtvrtletně o 3,9 % a ceny bytového vybavení a zařízení byly meziročně vyšší o 2,7 % a mezičtvrtletně stagnovaly. Za celý rok 2023 vzrostly ceny odívání a obuvi o 11,1 % (zmírnění oproti roku 2022 o 7,5 p. b.) a bytového vybavení, zařízení domácnosti a oprav o 7,6 % (−4,4 p. b.). Také ceny ostatního zboží a služeb</w:t>
            </w:r>
            <w:r>
              <w:rPr>
                <w:rStyle w:val="Znakapoznpodarou"/>
                <w:lang w:eastAsia="en-US"/>
              </w:rPr>
              <w:footnoteReference w:id="61"/>
            </w:r>
            <w:r>
              <w:rPr>
                <w:lang w:eastAsia="en-US"/>
              </w:rPr>
              <w:t xml:space="preserve"> v posledních dvou letech výrazně rostly v souvislosti s </w:t>
            </w:r>
            <w:proofErr w:type="spellStart"/>
            <w:r>
              <w:rPr>
                <w:lang w:eastAsia="en-US"/>
              </w:rPr>
              <w:t>postpandemickým</w:t>
            </w:r>
            <w:proofErr w:type="spellEnd"/>
            <w:r>
              <w:rPr>
                <w:lang w:eastAsia="en-US"/>
              </w:rPr>
              <w:t xml:space="preserve"> oživením poptávky a jejich meziroční dynamika ve 4. čtvrtletí 2023 oslabila na 5,5 %. Mezičtvrtletně byly vyšší o 0,3 % a za celý rok 2023 vzrostly o 9,4 %. Výrazný cenový růst si po celý rok 2023 udržovaly méně váhově </w:t>
            </w:r>
            <w:r>
              <w:rPr>
                <w:lang w:eastAsia="en-US"/>
              </w:rPr>
              <w:lastRenderedPageBreak/>
              <w:t>významné položky – pošty a telekomunikace (3,6 % za celý rok), zdraví (8,8 %) a vzdělávání (7,0 %).</w:t>
            </w:r>
          </w:p>
        </w:tc>
      </w:tr>
      <w:tr w:rsidR="00EA1EBB" w14:paraId="54E69A1B" w14:textId="77777777" w:rsidTr="00EA1EBB">
        <w:trPr>
          <w:trHeight w:val="145"/>
        </w:trPr>
        <w:tc>
          <w:tcPr>
            <w:tcW w:w="1804" w:type="dxa"/>
            <w:hideMark/>
          </w:tcPr>
          <w:p w14:paraId="2D476B6B" w14:textId="77777777" w:rsidR="00EA1EBB" w:rsidRDefault="00EA1EBB">
            <w:pPr>
              <w:pStyle w:val="Marginlie"/>
              <w:rPr>
                <w:spacing w:val="0"/>
                <w:lang w:eastAsia="en-US"/>
              </w:rPr>
            </w:pPr>
            <w:r>
              <w:rPr>
                <w:spacing w:val="0"/>
                <w:lang w:eastAsia="en-US"/>
              </w:rPr>
              <w:lastRenderedPageBreak/>
              <w:t>Ceny dopravy celkově loni klesly.</w:t>
            </w:r>
          </w:p>
        </w:tc>
        <w:tc>
          <w:tcPr>
            <w:tcW w:w="224" w:type="dxa"/>
          </w:tcPr>
          <w:p w14:paraId="27F0AEFB" w14:textId="77777777" w:rsidR="00EA1EBB" w:rsidRDefault="00EA1EBB">
            <w:pPr>
              <w:pStyle w:val="Textpoznpodarou1"/>
              <w:jc w:val="both"/>
              <w:rPr>
                <w:lang w:eastAsia="en-US"/>
              </w:rPr>
            </w:pPr>
          </w:p>
        </w:tc>
        <w:tc>
          <w:tcPr>
            <w:tcW w:w="7611" w:type="dxa"/>
            <w:hideMark/>
          </w:tcPr>
          <w:p w14:paraId="5775951F" w14:textId="77777777" w:rsidR="00EA1EBB" w:rsidRDefault="00EA1EBB">
            <w:pPr>
              <w:rPr>
                <w:lang w:eastAsia="en-US"/>
              </w:rPr>
            </w:pPr>
            <w:r>
              <w:rPr>
                <w:lang w:eastAsia="en-US"/>
              </w:rPr>
              <w:t>Ceny dopravy s výjimkou první čtvrtiny roku meziročně klesaly. Ve 4. čtvrtletí jejich pokles zmírnil na 1,6 %. Jedinou položkou v oddíle, kde ceny meziročně rostly, byly dopravní služby (7,9 %). Prohloubil se meziroční pokles cen osobních dopravních prostředků (−3,8 %). Zmírnil se ale pokles v případě nákladů na jejich provoz (−1,5 %), z toho snížení cen pohonných hmot dosáhlo 6,5 %. Mezičtvrtletně se ceny dopravy snížily o 0,3 %. Za celý rok 2023 ceny dopravy klesly o 1,0 %. Z toho ceny provozu osobních dopravních prostředků klesly o 4,1 % (pohonné hmoty −12,0 %), ceny samotných osobních dopravních prostředků prakticky stagnovaly (0,1 %) a ceny dopravních služeb byly vyšší o 12,0 %.</w:t>
            </w:r>
          </w:p>
        </w:tc>
      </w:tr>
      <w:tr w:rsidR="00EA1EBB" w14:paraId="29042C68" w14:textId="77777777" w:rsidTr="00EA1EBB">
        <w:trPr>
          <w:trHeight w:val="145"/>
        </w:trPr>
        <w:tc>
          <w:tcPr>
            <w:tcW w:w="1804" w:type="dxa"/>
            <w:hideMark/>
          </w:tcPr>
          <w:p w14:paraId="2DB2E177" w14:textId="77777777" w:rsidR="00EA1EBB" w:rsidRDefault="00EA1EBB">
            <w:pPr>
              <w:pStyle w:val="Marginlie"/>
              <w:rPr>
                <w:spacing w:val="0"/>
                <w:lang w:eastAsia="en-US"/>
              </w:rPr>
            </w:pPr>
            <w:r>
              <w:rPr>
                <w:spacing w:val="0"/>
                <w:lang w:eastAsia="en-US"/>
              </w:rPr>
              <w:t>Meziroční růst spotřebitelských cen v EU loni postupně zpomaloval.</w:t>
            </w:r>
          </w:p>
        </w:tc>
        <w:tc>
          <w:tcPr>
            <w:tcW w:w="224" w:type="dxa"/>
          </w:tcPr>
          <w:p w14:paraId="42805C09" w14:textId="77777777" w:rsidR="00EA1EBB" w:rsidRDefault="00EA1EBB">
            <w:pPr>
              <w:pStyle w:val="Textpoznpodarou1"/>
              <w:jc w:val="both"/>
              <w:rPr>
                <w:lang w:eastAsia="en-US"/>
              </w:rPr>
            </w:pPr>
          </w:p>
        </w:tc>
        <w:tc>
          <w:tcPr>
            <w:tcW w:w="7611" w:type="dxa"/>
            <w:hideMark/>
          </w:tcPr>
          <w:p w14:paraId="51579BE3" w14:textId="77777777" w:rsidR="00EA1EBB" w:rsidRDefault="00EA1EBB">
            <w:pPr>
              <w:rPr>
                <w:lang w:eastAsia="en-US"/>
              </w:rPr>
            </w:pPr>
            <w:r>
              <w:rPr>
                <w:lang w:eastAsia="en-US"/>
              </w:rPr>
              <w:t>Harmonizovaný index spotřebitelských cen (HICP) v EU</w:t>
            </w:r>
            <w:r>
              <w:rPr>
                <w:rStyle w:val="Znakapoznpodarou"/>
                <w:lang w:eastAsia="en-US"/>
              </w:rPr>
              <w:footnoteReference w:id="62"/>
            </w:r>
            <w:r>
              <w:rPr>
                <w:lang w:eastAsia="en-US"/>
              </w:rPr>
              <w:t xml:space="preserve"> v roce 2023 vzrostl o 6,4 %. Přírůstek oproti roku 2022 zpomalil (z 9,2 %), především pod vlivem oslabení růstu cen energií a paliv, což se promítlo do mírnějšího růstu cen bydlení a energií (z 18,0 % na 3,4 %) a dopravy (z 12,1 % na 2,5 %). Mírně loni posílil růst cen potravin a nealkoholických nápojů (12,6 %), ubytování a stravování (8,4 %) a výrazněji rostly také ceny alkoholických nápojů a tabáku (7,8 %) a rekreací a kultury (6,1 %). Podle HICP nejvíce loni rostly spotřebitelské ceny v Maďarsku (17,0 %), Česku (12,0 %) a na Slovensku (11,0 %) a 10% hranici překročila dynamika cen i v Polsku (10,9 %). Nejmírněji narostly loni spotřebitelské ceny v Belgii (2,3 %), Lucembursku (2,9 %) a shodně o 3,4 % v Dánsku a ve Španělsku. Během roku meziroční růst cen v EU postupně zpomaloval až na 3,4 % ve 4. čtvrtletí. Nejvíce rostly ceny v Česku (8,4 %), Maďarsku (7,6 %) a v Rumunsku (7,4 %). Jedinou zemí, kde ve 4. čtvrtletí HICP meziročně klesl, byla Belgie (−0,6 %). Nejmírněji meziročně rostly spotřebitelské ceny v Dánsku (0,1 %) a v Nizozemsku (0,4 %). Mezičtvrtletně se HICP v EU ve 4. čtvrtletí zvýšil o 0,2 %.   </w:t>
            </w:r>
          </w:p>
        </w:tc>
      </w:tr>
      <w:tr w:rsidR="00EA1EBB" w14:paraId="1C2D94F4" w14:textId="77777777" w:rsidTr="00EA1EBB">
        <w:trPr>
          <w:trHeight w:val="170"/>
        </w:trPr>
        <w:tc>
          <w:tcPr>
            <w:tcW w:w="1804" w:type="dxa"/>
            <w:vMerge w:val="restart"/>
          </w:tcPr>
          <w:p w14:paraId="20285C90" w14:textId="77777777" w:rsidR="00EA1EBB" w:rsidRDefault="00EA1EBB">
            <w:pPr>
              <w:pStyle w:val="Marginlie"/>
              <w:rPr>
                <w:spacing w:val="0"/>
                <w:lang w:eastAsia="en-US"/>
              </w:rPr>
            </w:pPr>
          </w:p>
        </w:tc>
        <w:tc>
          <w:tcPr>
            <w:tcW w:w="224" w:type="dxa"/>
            <w:vMerge w:val="restart"/>
          </w:tcPr>
          <w:p w14:paraId="4773BE6E" w14:textId="77777777" w:rsidR="00EA1EBB" w:rsidRDefault="00EA1EBB">
            <w:pPr>
              <w:pStyle w:val="Textpoznpodarou1"/>
              <w:jc w:val="both"/>
              <w:rPr>
                <w:lang w:eastAsia="en-US"/>
              </w:rPr>
            </w:pPr>
          </w:p>
        </w:tc>
        <w:tc>
          <w:tcPr>
            <w:tcW w:w="7611" w:type="dxa"/>
            <w:hideMark/>
          </w:tcPr>
          <w:p w14:paraId="3E5D4BB1" w14:textId="13BD6951" w:rsidR="00EA1EBB" w:rsidRDefault="00EA1EBB" w:rsidP="00174ED1">
            <w:pPr>
              <w:spacing w:after="0"/>
              <w:rPr>
                <w:lang w:eastAsia="en-US"/>
              </w:rPr>
            </w:pPr>
            <w:r>
              <w:rPr>
                <w:b/>
                <w:sz w:val="18"/>
                <w:szCs w:val="18"/>
                <w:lang w:eastAsia="en-US"/>
              </w:rPr>
              <w:t>Graf č. 1</w:t>
            </w:r>
            <w:r w:rsidR="00174ED1">
              <w:rPr>
                <w:b/>
                <w:sz w:val="18"/>
                <w:szCs w:val="18"/>
                <w:lang w:eastAsia="en-US"/>
              </w:rPr>
              <w:t>2</w:t>
            </w:r>
            <w:r>
              <w:rPr>
                <w:b/>
                <w:sz w:val="18"/>
                <w:szCs w:val="18"/>
                <w:lang w:eastAsia="en-US"/>
              </w:rPr>
              <w:t xml:space="preserve"> Ceny nemovitostí </w:t>
            </w:r>
            <w:r>
              <w:rPr>
                <w:sz w:val="18"/>
                <w:szCs w:val="18"/>
                <w:lang w:eastAsia="en-US"/>
              </w:rPr>
              <w:t>(meziroční změna, v %)</w:t>
            </w:r>
          </w:p>
        </w:tc>
      </w:tr>
      <w:tr w:rsidR="00EA1EBB" w14:paraId="4DA84CE8" w14:textId="77777777" w:rsidTr="00EA1EBB">
        <w:trPr>
          <w:trHeight w:val="170"/>
        </w:trPr>
        <w:tc>
          <w:tcPr>
            <w:tcW w:w="0" w:type="auto"/>
            <w:vMerge/>
            <w:vAlign w:val="center"/>
            <w:hideMark/>
          </w:tcPr>
          <w:p w14:paraId="1BB80B57" w14:textId="77777777" w:rsidR="00EA1EBB" w:rsidRDefault="00EA1EBB">
            <w:pPr>
              <w:spacing w:after="0" w:line="240" w:lineRule="auto"/>
              <w:jc w:val="left"/>
              <w:rPr>
                <w:sz w:val="16"/>
                <w:szCs w:val="16"/>
                <w:lang w:eastAsia="en-US"/>
              </w:rPr>
            </w:pPr>
          </w:p>
        </w:tc>
        <w:tc>
          <w:tcPr>
            <w:tcW w:w="0" w:type="auto"/>
            <w:vMerge/>
            <w:vAlign w:val="center"/>
            <w:hideMark/>
          </w:tcPr>
          <w:p w14:paraId="7E97D301" w14:textId="77777777" w:rsidR="00EA1EBB" w:rsidRDefault="00EA1EBB">
            <w:pPr>
              <w:spacing w:after="0" w:line="240" w:lineRule="auto"/>
              <w:jc w:val="left"/>
              <w:rPr>
                <w:rFonts w:eastAsia="Calibri"/>
                <w:szCs w:val="20"/>
                <w:lang w:eastAsia="en-US"/>
              </w:rPr>
            </w:pPr>
          </w:p>
        </w:tc>
        <w:tc>
          <w:tcPr>
            <w:tcW w:w="7611" w:type="dxa"/>
            <w:tcMar>
              <w:top w:w="0" w:type="dxa"/>
              <w:left w:w="70" w:type="dxa"/>
              <w:bottom w:w="0" w:type="dxa"/>
              <w:right w:w="70" w:type="dxa"/>
            </w:tcMar>
            <w:hideMark/>
          </w:tcPr>
          <w:p w14:paraId="2186DBBB" w14:textId="58FD5155" w:rsidR="00EA1EBB" w:rsidRDefault="00EA1EBB">
            <w:pPr>
              <w:spacing w:after="0"/>
              <w:rPr>
                <w:lang w:eastAsia="en-US"/>
              </w:rPr>
            </w:pPr>
            <w:r>
              <w:rPr>
                <w:noProof/>
              </w:rPr>
              <w:drawing>
                <wp:inline distT="0" distB="0" distL="0" distR="0" wp14:anchorId="30C88454" wp14:editId="74CF8A66">
                  <wp:extent cx="4736465" cy="3237230"/>
                  <wp:effectExtent l="0" t="0" r="6985" b="1270"/>
                  <wp:docPr id="36" name="Graf 3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EA1EBB" w14:paraId="632C258F" w14:textId="77777777" w:rsidTr="00EA1EBB">
        <w:trPr>
          <w:trHeight w:val="170"/>
        </w:trPr>
        <w:tc>
          <w:tcPr>
            <w:tcW w:w="0" w:type="auto"/>
            <w:vMerge/>
            <w:vAlign w:val="center"/>
            <w:hideMark/>
          </w:tcPr>
          <w:p w14:paraId="4C9B2E0E" w14:textId="77777777" w:rsidR="00EA1EBB" w:rsidRDefault="00EA1EBB">
            <w:pPr>
              <w:spacing w:after="0" w:line="240" w:lineRule="auto"/>
              <w:jc w:val="left"/>
              <w:rPr>
                <w:sz w:val="16"/>
                <w:szCs w:val="16"/>
                <w:lang w:eastAsia="en-US"/>
              </w:rPr>
            </w:pPr>
          </w:p>
        </w:tc>
        <w:tc>
          <w:tcPr>
            <w:tcW w:w="0" w:type="auto"/>
            <w:vMerge/>
            <w:vAlign w:val="center"/>
            <w:hideMark/>
          </w:tcPr>
          <w:p w14:paraId="7842BDC0" w14:textId="77777777" w:rsidR="00EA1EBB" w:rsidRDefault="00EA1EBB">
            <w:pPr>
              <w:spacing w:after="0" w:line="240" w:lineRule="auto"/>
              <w:jc w:val="left"/>
              <w:rPr>
                <w:rFonts w:eastAsia="Calibri"/>
                <w:szCs w:val="20"/>
                <w:lang w:eastAsia="en-US"/>
              </w:rPr>
            </w:pPr>
          </w:p>
        </w:tc>
        <w:tc>
          <w:tcPr>
            <w:tcW w:w="7611" w:type="dxa"/>
            <w:hideMark/>
          </w:tcPr>
          <w:p w14:paraId="337679D1" w14:textId="77777777" w:rsidR="00EA1EBB" w:rsidRDefault="00EA1EBB">
            <w:pPr>
              <w:rPr>
                <w:lang w:eastAsia="en-US"/>
              </w:rPr>
            </w:pPr>
            <w:r>
              <w:rPr>
                <w:sz w:val="14"/>
                <w:szCs w:val="14"/>
                <w:lang w:eastAsia="en-US"/>
              </w:rPr>
              <w:t>Zdroj: ČSÚ</w:t>
            </w:r>
          </w:p>
        </w:tc>
      </w:tr>
      <w:tr w:rsidR="00EA1EBB" w14:paraId="5B3FC254" w14:textId="77777777" w:rsidTr="00EA1EBB">
        <w:trPr>
          <w:trHeight w:val="145"/>
        </w:trPr>
        <w:tc>
          <w:tcPr>
            <w:tcW w:w="1804" w:type="dxa"/>
            <w:hideMark/>
          </w:tcPr>
          <w:p w14:paraId="2FA9C899" w14:textId="77777777" w:rsidR="00EA1EBB" w:rsidRDefault="00EA1EBB">
            <w:pPr>
              <w:pStyle w:val="Marginlie"/>
              <w:rPr>
                <w:spacing w:val="0"/>
                <w:lang w:eastAsia="en-US"/>
              </w:rPr>
            </w:pPr>
            <w:r>
              <w:rPr>
                <w:spacing w:val="0"/>
                <w:lang w:eastAsia="en-US"/>
              </w:rPr>
              <w:lastRenderedPageBreak/>
              <w:t>Ceny bytů meziročně klesaly.</w:t>
            </w:r>
          </w:p>
        </w:tc>
        <w:tc>
          <w:tcPr>
            <w:tcW w:w="224" w:type="dxa"/>
          </w:tcPr>
          <w:p w14:paraId="1F8173C5" w14:textId="77777777" w:rsidR="00EA1EBB" w:rsidRDefault="00EA1EBB">
            <w:pPr>
              <w:pStyle w:val="Textpoznpodarou1"/>
              <w:jc w:val="both"/>
              <w:rPr>
                <w:lang w:eastAsia="en-US"/>
              </w:rPr>
            </w:pPr>
          </w:p>
        </w:tc>
        <w:tc>
          <w:tcPr>
            <w:tcW w:w="7611" w:type="dxa"/>
            <w:hideMark/>
          </w:tcPr>
          <w:p w14:paraId="44430C68" w14:textId="77777777" w:rsidR="00EA1EBB" w:rsidRDefault="00EA1EBB">
            <w:pPr>
              <w:rPr>
                <w:lang w:eastAsia="en-US"/>
              </w:rPr>
            </w:pPr>
            <w:r>
              <w:rPr>
                <w:lang w:eastAsia="en-US"/>
              </w:rPr>
              <w:t xml:space="preserve">Nabídkové ceny bytů v Česku ve 4. čtvrtletí pokračovaly v meziročním poklesu, který trval již třetí čtvrtletí a prohloubil se na −4,2 %. Mezičtvrtletně se nabídkové ceny bytů v ČR snížily o 0,4 %, počtvrté v řadě. Výrazněji se ve 4. čtvrtletí meziročně propadaly ceny bytů mimo Prahu (−4,9 %), které také popáté v řadě klesly mezičtvrtletně, a to o 0,9 %. Nabídkové ceny bytů v Praze meziročně klesly o 3,6 % a mezičtvrtletně se nezměnily. Realizované ceny starších bytů v Česku ve 4. čtvrtletí meziročně klesly o 5,6 % a pokles se tak zmírnil oproti předchozímu kvartálu. Zároveň se realizované ceny po čtyřech čtvrtletích poklesů v závěru roku 2023 opět mezičtvrtletně zvýšily (0,4 %). Mimo Prahu realizované ceny bytů meziročně klesly o 6,4 % a trval také jejich mezičtvrtletní pokles (−0,3 %). Situace v Praze se ve 4. čtvrtletí 2023 od zbytku země lišila. Realizované ceny starších bytů zde mezičtvrtletně vzrostly o 3,2 % a jejich meziroční pokles se tak zmírnil na −2,6 %. Realizované ceny nových bytů, které jsou zjišťovány pouze za Prahu, se ve 4. čtvrtletí meziročně snížily o 3,3 % a mezičtvrtletně klesly o 1,9 %.       </w:t>
            </w:r>
          </w:p>
        </w:tc>
      </w:tr>
      <w:tr w:rsidR="00EA1EBB" w14:paraId="3FCE32C0" w14:textId="77777777" w:rsidTr="00EA1EBB">
        <w:trPr>
          <w:trHeight w:val="145"/>
        </w:trPr>
        <w:tc>
          <w:tcPr>
            <w:tcW w:w="1804" w:type="dxa"/>
            <w:hideMark/>
          </w:tcPr>
          <w:p w14:paraId="380EF479" w14:textId="77777777" w:rsidR="00EA1EBB" w:rsidRDefault="00EA1EBB">
            <w:pPr>
              <w:pStyle w:val="Marginlie"/>
              <w:rPr>
                <w:spacing w:val="0"/>
                <w:lang w:eastAsia="en-US"/>
              </w:rPr>
            </w:pPr>
            <w:r>
              <w:rPr>
                <w:spacing w:val="0"/>
                <w:lang w:eastAsia="en-US"/>
              </w:rPr>
              <w:t>Ceny průmyslových výrobců celý rok meziročně rostly, přírůstek ale v průběhu roku zpomaloval.</w:t>
            </w:r>
          </w:p>
        </w:tc>
        <w:tc>
          <w:tcPr>
            <w:tcW w:w="224" w:type="dxa"/>
          </w:tcPr>
          <w:p w14:paraId="30C58546" w14:textId="77777777" w:rsidR="00EA1EBB" w:rsidRDefault="00EA1EBB">
            <w:pPr>
              <w:pStyle w:val="Textpoznpodarou1"/>
              <w:jc w:val="both"/>
              <w:rPr>
                <w:lang w:eastAsia="en-US"/>
              </w:rPr>
            </w:pPr>
          </w:p>
        </w:tc>
        <w:tc>
          <w:tcPr>
            <w:tcW w:w="7611" w:type="dxa"/>
            <w:hideMark/>
          </w:tcPr>
          <w:p w14:paraId="24969491" w14:textId="77777777" w:rsidR="00EA1EBB" w:rsidRDefault="00EA1EBB">
            <w:pPr>
              <w:rPr>
                <w:lang w:eastAsia="en-US"/>
              </w:rPr>
            </w:pPr>
            <w:r>
              <w:rPr>
                <w:lang w:eastAsia="en-US"/>
              </w:rPr>
              <w:t>Ceny průmyslových výrobců ve 4. čtvrtletí meziročně vzrostly o 0,8 %. Jejich růst v průběhu loňska výrazně zpomaloval (15,0 %, 3,9 % a 1,3 % v 1., 2. a 3. čtvrtletí). Mezičtvrtletně se ceny průmyslových výrobců ve 4. kvartálu snížily o 0,3 %. Za celý rok 2023 ceny průmyslových výrobců vzrostly o 5,0 %. V samotném 4. čtvrtletí se na velmi vysoké úrovni udržel meziroční růst cen těžby a dobývání (40,2 %). Posílil meziroční růst cen ropy a zemního plynu (40,6 %), na 61,9 % oslabil přírůstek u černého a hnědého uhlí a lignitu a výrazná byla nadále dynamika u ostatní těžby a dobývání nerostných surovin (18,6 %), zahrnující zejména stavební hmoty. Silný meziroční růst cen těžby a dobývání po celý rok 2023 (celkem o 46,4 %) byl výsledkem zejména prudkého mezičtvrtletního navýšení v první čtvrtině roku. Ve 4. čtvrtletí ceny v této sekci mezičtvrtletně vzrostly o 0,8 %. Také u cen elektřiny, plynu, páry a klimatizovaného vzduchu v průběhu roku došlo ke zmírnění meziročního růstu až na 7,1 % ve 4. kvartálu. Mezičtvrtletně zde ceny klesly o 0,5 %. Za celý rok 2023 jejich přírůstek činil 15,8 %. Ceny zásobování vodou a služeb souvisejících s odpadními vodami ve 4. čtvrtletí stejně jako za celý loňský rok vzrostly o 16,3 %.</w:t>
            </w:r>
          </w:p>
        </w:tc>
      </w:tr>
      <w:tr w:rsidR="00EA1EBB" w14:paraId="633FAC7D" w14:textId="77777777" w:rsidTr="00EA1EBB">
        <w:trPr>
          <w:trHeight w:val="170"/>
        </w:trPr>
        <w:tc>
          <w:tcPr>
            <w:tcW w:w="1804" w:type="dxa"/>
            <w:vMerge w:val="restart"/>
          </w:tcPr>
          <w:p w14:paraId="647DD2CE" w14:textId="77777777" w:rsidR="00EA1EBB" w:rsidRDefault="00EA1EBB">
            <w:pPr>
              <w:pStyle w:val="Marginlie"/>
              <w:rPr>
                <w:spacing w:val="0"/>
                <w:lang w:eastAsia="en-US"/>
              </w:rPr>
            </w:pPr>
          </w:p>
        </w:tc>
        <w:tc>
          <w:tcPr>
            <w:tcW w:w="224" w:type="dxa"/>
            <w:vMerge w:val="restart"/>
          </w:tcPr>
          <w:p w14:paraId="4A0D079F" w14:textId="77777777" w:rsidR="00EA1EBB" w:rsidRDefault="00EA1EBB">
            <w:pPr>
              <w:pStyle w:val="Textpoznpodarou1"/>
              <w:jc w:val="both"/>
              <w:rPr>
                <w:highlight w:val="yellow"/>
                <w:lang w:eastAsia="en-US"/>
              </w:rPr>
            </w:pPr>
          </w:p>
        </w:tc>
        <w:tc>
          <w:tcPr>
            <w:tcW w:w="7611" w:type="dxa"/>
            <w:hideMark/>
          </w:tcPr>
          <w:p w14:paraId="70EA2FFB" w14:textId="0B25EB5B" w:rsidR="00EA1EBB" w:rsidRDefault="00EA1EBB" w:rsidP="00174ED1">
            <w:pPr>
              <w:spacing w:after="0"/>
              <w:rPr>
                <w:b/>
                <w:szCs w:val="20"/>
                <w:lang w:eastAsia="en-US"/>
              </w:rPr>
            </w:pPr>
            <w:r>
              <w:rPr>
                <w:b/>
                <w:sz w:val="18"/>
                <w:szCs w:val="18"/>
                <w:lang w:eastAsia="en-US"/>
              </w:rPr>
              <w:t>Graf č. 1</w:t>
            </w:r>
            <w:r w:rsidR="00174ED1">
              <w:rPr>
                <w:b/>
                <w:sz w:val="18"/>
                <w:szCs w:val="18"/>
                <w:lang w:eastAsia="en-US"/>
              </w:rPr>
              <w:t>3</w:t>
            </w:r>
            <w:r>
              <w:rPr>
                <w:b/>
                <w:sz w:val="18"/>
                <w:szCs w:val="18"/>
                <w:lang w:eastAsia="en-US"/>
              </w:rPr>
              <w:t xml:space="preserve"> Ceny hlavních skupin průmyslových výrobců </w:t>
            </w:r>
            <w:r>
              <w:rPr>
                <w:sz w:val="18"/>
                <w:szCs w:val="18"/>
                <w:lang w:eastAsia="en-US"/>
              </w:rPr>
              <w:t>(meziroční změna, v %, podle klasifikace CPA)</w:t>
            </w:r>
          </w:p>
        </w:tc>
      </w:tr>
      <w:tr w:rsidR="00EA1EBB" w14:paraId="77CBB589" w14:textId="77777777" w:rsidTr="00EA1EBB">
        <w:trPr>
          <w:trHeight w:val="170"/>
        </w:trPr>
        <w:tc>
          <w:tcPr>
            <w:tcW w:w="0" w:type="auto"/>
            <w:vMerge/>
            <w:vAlign w:val="center"/>
            <w:hideMark/>
          </w:tcPr>
          <w:p w14:paraId="1CC91E70" w14:textId="77777777" w:rsidR="00EA1EBB" w:rsidRDefault="00EA1EBB">
            <w:pPr>
              <w:spacing w:after="0" w:line="240" w:lineRule="auto"/>
              <w:jc w:val="left"/>
              <w:rPr>
                <w:sz w:val="16"/>
                <w:szCs w:val="16"/>
                <w:lang w:eastAsia="en-US"/>
              </w:rPr>
            </w:pPr>
          </w:p>
        </w:tc>
        <w:tc>
          <w:tcPr>
            <w:tcW w:w="0" w:type="auto"/>
            <w:vMerge/>
            <w:vAlign w:val="center"/>
            <w:hideMark/>
          </w:tcPr>
          <w:p w14:paraId="6AA17F29" w14:textId="77777777" w:rsidR="00EA1EBB" w:rsidRDefault="00EA1EBB">
            <w:pPr>
              <w:spacing w:after="0" w:line="240" w:lineRule="auto"/>
              <w:jc w:val="left"/>
              <w:rPr>
                <w:rFonts w:eastAsia="Calibri"/>
                <w:szCs w:val="20"/>
                <w:highlight w:val="yellow"/>
                <w:lang w:eastAsia="en-US"/>
              </w:rPr>
            </w:pPr>
          </w:p>
        </w:tc>
        <w:tc>
          <w:tcPr>
            <w:tcW w:w="7611" w:type="dxa"/>
            <w:tcMar>
              <w:top w:w="0" w:type="dxa"/>
              <w:left w:w="70" w:type="dxa"/>
              <w:bottom w:w="0" w:type="dxa"/>
              <w:right w:w="70" w:type="dxa"/>
            </w:tcMar>
            <w:hideMark/>
          </w:tcPr>
          <w:p w14:paraId="509824E1" w14:textId="4F3366EB" w:rsidR="00EA1EBB" w:rsidRDefault="00EA1EBB">
            <w:pPr>
              <w:spacing w:after="0"/>
              <w:rPr>
                <w:lang w:eastAsia="en-US"/>
              </w:rPr>
            </w:pPr>
            <w:r>
              <w:rPr>
                <w:noProof/>
              </w:rPr>
              <w:drawing>
                <wp:inline distT="0" distB="0" distL="0" distR="0" wp14:anchorId="178967F4" wp14:editId="41AE1A4A">
                  <wp:extent cx="4736465" cy="3237230"/>
                  <wp:effectExtent l="0" t="0" r="6985" b="1270"/>
                  <wp:docPr id="34" name="Graf 34">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EA1EBB" w14:paraId="2BCEA42A" w14:textId="77777777" w:rsidTr="00EA1EBB">
        <w:trPr>
          <w:trHeight w:val="170"/>
        </w:trPr>
        <w:tc>
          <w:tcPr>
            <w:tcW w:w="0" w:type="auto"/>
            <w:vMerge/>
            <w:vAlign w:val="center"/>
            <w:hideMark/>
          </w:tcPr>
          <w:p w14:paraId="5D0034E4" w14:textId="77777777" w:rsidR="00EA1EBB" w:rsidRDefault="00EA1EBB">
            <w:pPr>
              <w:spacing w:after="0" w:line="240" w:lineRule="auto"/>
              <w:jc w:val="left"/>
              <w:rPr>
                <w:sz w:val="16"/>
                <w:szCs w:val="16"/>
                <w:lang w:eastAsia="en-US"/>
              </w:rPr>
            </w:pPr>
          </w:p>
        </w:tc>
        <w:tc>
          <w:tcPr>
            <w:tcW w:w="0" w:type="auto"/>
            <w:vMerge/>
            <w:vAlign w:val="center"/>
            <w:hideMark/>
          </w:tcPr>
          <w:p w14:paraId="6BF9ECDC" w14:textId="77777777" w:rsidR="00EA1EBB" w:rsidRDefault="00EA1EBB">
            <w:pPr>
              <w:spacing w:after="0" w:line="240" w:lineRule="auto"/>
              <w:jc w:val="left"/>
              <w:rPr>
                <w:rFonts w:eastAsia="Calibri"/>
                <w:szCs w:val="20"/>
                <w:highlight w:val="yellow"/>
                <w:lang w:eastAsia="en-US"/>
              </w:rPr>
            </w:pPr>
          </w:p>
        </w:tc>
        <w:tc>
          <w:tcPr>
            <w:tcW w:w="7611" w:type="dxa"/>
            <w:hideMark/>
          </w:tcPr>
          <w:p w14:paraId="6E00B28C" w14:textId="77777777" w:rsidR="00EA1EBB" w:rsidRDefault="00EA1EBB">
            <w:pPr>
              <w:rPr>
                <w:lang w:eastAsia="en-US"/>
              </w:rPr>
            </w:pPr>
            <w:r>
              <w:rPr>
                <w:sz w:val="14"/>
                <w:szCs w:val="14"/>
                <w:lang w:eastAsia="en-US"/>
              </w:rPr>
              <w:t>Zdroj: ČSÚ</w:t>
            </w:r>
          </w:p>
        </w:tc>
      </w:tr>
      <w:tr w:rsidR="00EA1EBB" w14:paraId="6634B888" w14:textId="77777777" w:rsidTr="00EA1EBB">
        <w:trPr>
          <w:trHeight w:val="145"/>
        </w:trPr>
        <w:tc>
          <w:tcPr>
            <w:tcW w:w="1804" w:type="dxa"/>
            <w:hideMark/>
          </w:tcPr>
          <w:p w14:paraId="317CAA1D" w14:textId="77777777" w:rsidR="00EA1EBB" w:rsidRDefault="00EA1EBB">
            <w:pPr>
              <w:pStyle w:val="Marginlie"/>
              <w:rPr>
                <w:spacing w:val="0"/>
                <w:lang w:eastAsia="en-US"/>
              </w:rPr>
            </w:pPr>
            <w:r>
              <w:rPr>
                <w:spacing w:val="0"/>
                <w:lang w:eastAsia="en-US"/>
              </w:rPr>
              <w:lastRenderedPageBreak/>
              <w:t>Ve zpracovatelském průmyslu klesaly zejména ceny surovin.</w:t>
            </w:r>
          </w:p>
        </w:tc>
        <w:tc>
          <w:tcPr>
            <w:tcW w:w="224" w:type="dxa"/>
          </w:tcPr>
          <w:p w14:paraId="1696DF9F" w14:textId="77777777" w:rsidR="00EA1EBB" w:rsidRDefault="00EA1EBB">
            <w:pPr>
              <w:pStyle w:val="Textpoznpodarou1"/>
              <w:jc w:val="both"/>
              <w:rPr>
                <w:lang w:eastAsia="en-US"/>
              </w:rPr>
            </w:pPr>
          </w:p>
        </w:tc>
        <w:tc>
          <w:tcPr>
            <w:tcW w:w="7611" w:type="dxa"/>
            <w:hideMark/>
          </w:tcPr>
          <w:p w14:paraId="350D9C5F" w14:textId="77777777" w:rsidR="00EA1EBB" w:rsidRDefault="00EA1EBB">
            <w:pPr>
              <w:rPr>
                <w:lang w:eastAsia="en-US"/>
              </w:rPr>
            </w:pPr>
            <w:r>
              <w:rPr>
                <w:lang w:eastAsia="en-US"/>
              </w:rPr>
              <w:t>Ceny ve 4. čtvrtletí meziročně klesly u výrobků a služeb zpracovatelského průmyslu (−2,3 %). Mezičtvrtletně se ceny ve 4. kvartálu snížily o 0,3 %. V hlubokém meziročním poklesu ve 4. čtvrtletí byly ceny výrobků souvisejících se základními surovinami, jako jsou dřevo a výrobky z něj (kromě nábytku, −22,9 %), papír a výrobky z něj (−14,5 %), základní kovy (−14,5 %) nebo chemické látky a přípravky (−9,2 %). Nižší byly i ceny koksu a rafinovaných ropných výrobků</w:t>
            </w:r>
            <w:r>
              <w:rPr>
                <w:rStyle w:val="Znakapoznpodarou"/>
                <w:lang w:eastAsia="en-US"/>
              </w:rPr>
              <w:footnoteReference w:id="63"/>
            </w:r>
            <w:r>
              <w:rPr>
                <w:lang w:eastAsia="en-US"/>
              </w:rPr>
              <w:t xml:space="preserve">. Meziroční pokles byl zaznamenán také u potravinářských výrobků (−3,1 %), pryžových a plastových výrobků (−3,0 %) nebo kovodělných výrobků (−0,5 %). Silný meziroční přírůstek se udržel u cen oprav, údržby a instalace strojů a zařízení (9,6 %) a ceny meziročně rostly také u váhově významných druhů zboží, jako jsou stroje a zařízení (6,1 %), počítače, elektronické a optické přístroje (4,8 %), motorová vozidla (3,3 %) nebo elektrická zařízení (0,8 %). </w:t>
            </w:r>
          </w:p>
        </w:tc>
      </w:tr>
      <w:tr w:rsidR="00EA1EBB" w14:paraId="4F8AFAD6" w14:textId="77777777" w:rsidTr="00EA1EBB">
        <w:trPr>
          <w:trHeight w:val="145"/>
        </w:trPr>
        <w:tc>
          <w:tcPr>
            <w:tcW w:w="1804" w:type="dxa"/>
            <w:hideMark/>
          </w:tcPr>
          <w:p w14:paraId="0F983950" w14:textId="77777777" w:rsidR="00EA1EBB" w:rsidRDefault="00EA1EBB">
            <w:pPr>
              <w:pStyle w:val="Marginlie"/>
              <w:rPr>
                <w:spacing w:val="0"/>
                <w:lang w:eastAsia="en-US"/>
              </w:rPr>
            </w:pPr>
            <w:r>
              <w:rPr>
                <w:spacing w:val="0"/>
                <w:lang w:eastAsia="en-US"/>
              </w:rPr>
              <w:t xml:space="preserve">Celkově loni vzrostly ceny výrobků a služeb zpracovatelského průmyslu. </w:t>
            </w:r>
          </w:p>
        </w:tc>
        <w:tc>
          <w:tcPr>
            <w:tcW w:w="224" w:type="dxa"/>
          </w:tcPr>
          <w:p w14:paraId="5DDB67DC" w14:textId="77777777" w:rsidR="00EA1EBB" w:rsidRDefault="00EA1EBB">
            <w:pPr>
              <w:pStyle w:val="Textpoznpodarou1"/>
              <w:jc w:val="both"/>
              <w:rPr>
                <w:lang w:eastAsia="en-US"/>
              </w:rPr>
            </w:pPr>
          </w:p>
        </w:tc>
        <w:tc>
          <w:tcPr>
            <w:tcW w:w="7611" w:type="dxa"/>
            <w:hideMark/>
          </w:tcPr>
          <w:p w14:paraId="452C4CCC" w14:textId="77777777" w:rsidR="00EA1EBB" w:rsidRDefault="00EA1EBB">
            <w:pPr>
              <w:rPr>
                <w:lang w:eastAsia="en-US"/>
              </w:rPr>
            </w:pPr>
            <w:r>
              <w:rPr>
                <w:lang w:eastAsia="en-US"/>
              </w:rPr>
              <w:t xml:space="preserve">Po silném navýšení na začátku roku (10,3 % v 1. čtvrtletí) meziroční dynamika cen ve zpracovatelském průmyslu spadla do poklesu (−0,9 % a −2,4 % ve 2. a 3. kvartálu) a celkově za celý rok v této sekci ceny vzrostly o 0,9 %. Celoroční výsledek ve směru poklesu ovlivňoval zejména vývoj cen surovin a souvisejících výrobků, u kterých působila vysoká srovnávací základna roku 2022 – dřevo a výrobky z něj (kromě nábytku, −12,7 %), základní kovy (−9,4 %), chemické látky a přípravky (−9,0 %), papír a výrobky z něj (−4,2 %) nebo ceny koksu a rafinovaných ropných výrobků. Naopak výrazně rostly ceny nápojů (12,2 %) i potravinářských výrobků (8,6 %), oprav, údržby a instalace strojů a zařízení (9,5 %) strojů a zařízení (8,0 %), počítačů, elektronických a optických přístrojů (4,0 %) nebo motorových vozidel (3,7 %). </w:t>
            </w:r>
          </w:p>
        </w:tc>
      </w:tr>
      <w:tr w:rsidR="00EA1EBB" w14:paraId="38F55783" w14:textId="77777777" w:rsidTr="00EA1EBB">
        <w:trPr>
          <w:trHeight w:val="145"/>
        </w:trPr>
        <w:tc>
          <w:tcPr>
            <w:tcW w:w="1804" w:type="dxa"/>
            <w:hideMark/>
          </w:tcPr>
          <w:p w14:paraId="21C5BD95" w14:textId="77777777" w:rsidR="00EA1EBB" w:rsidRDefault="00EA1EBB">
            <w:pPr>
              <w:pStyle w:val="Marginlie"/>
              <w:rPr>
                <w:spacing w:val="0"/>
                <w:lang w:eastAsia="en-US"/>
              </w:rPr>
            </w:pPr>
            <w:r>
              <w:rPr>
                <w:spacing w:val="0"/>
                <w:lang w:eastAsia="en-US"/>
              </w:rPr>
              <w:t>Ceny průmyslových výrobců v EU loni klesly.</w:t>
            </w:r>
          </w:p>
        </w:tc>
        <w:tc>
          <w:tcPr>
            <w:tcW w:w="224" w:type="dxa"/>
          </w:tcPr>
          <w:p w14:paraId="3A06CECD" w14:textId="77777777" w:rsidR="00EA1EBB" w:rsidRDefault="00EA1EBB">
            <w:pPr>
              <w:pStyle w:val="Textpoznpodarou1"/>
              <w:jc w:val="both"/>
              <w:rPr>
                <w:lang w:eastAsia="en-US"/>
              </w:rPr>
            </w:pPr>
          </w:p>
        </w:tc>
        <w:tc>
          <w:tcPr>
            <w:tcW w:w="7611" w:type="dxa"/>
            <w:hideMark/>
          </w:tcPr>
          <w:p w14:paraId="323867DD" w14:textId="77777777" w:rsidR="00EA1EBB" w:rsidRDefault="00EA1EBB">
            <w:pPr>
              <w:rPr>
                <w:lang w:eastAsia="en-US"/>
              </w:rPr>
            </w:pPr>
            <w:r>
              <w:rPr>
                <w:lang w:eastAsia="en-US"/>
              </w:rPr>
              <w:t>Vývoj cen průmyslových výrobců v EU</w:t>
            </w:r>
            <w:r>
              <w:rPr>
                <w:rStyle w:val="Znakapoznpodarou"/>
                <w:lang w:eastAsia="en-US"/>
              </w:rPr>
              <w:footnoteReference w:id="64"/>
            </w:r>
            <w:r>
              <w:rPr>
                <w:lang w:eastAsia="en-US"/>
              </w:rPr>
              <w:t xml:space="preserve"> byl loni značně rozmanitý. Po prudkém navýšení z roku 2022 (34,4 %) ceny průmyslových výrobců v EU loni celkově klesly o 2,1 %. Zatímco u některých zemí navzdory oslabení tempa ceny stále silně rostly – o 21,5 % v Maďarsku, o 17,2 % v Lucembursku a o 16,9 % na Slovensku, ve 14 zemích došlo k poklesu, nejvíce v Irsku (−25,6 %), Bulharsku (−12,5 %) a v Belgii (−9,3 %). Celkově se v EU loni propadly ceny těžby a dobývání (−6,9 %) a elektřiny, plynu, páry a klimatizovaného vzduchu (−12,7 %). Naopak ceny výrobků a služeb zpracovatelského průmyslu loni v EU mírně vzrostly (1,9 %). V samotném 4. čtvrtletí ceny průmyslových výrobců v EU meziročně klesly o 8,9 %, zatímco mezičtvrtletně mírně vzrostly (0,2 %). Meziroční pokles cen průmyslových výrobců ovlivňovaly všechny sekce – ceny těžby a dobývání byly nižší o 10,0 %, ceny výrobků a služeb zpracovatelského průmyslu o 1,6 % a ceny elektřiny, plynu, páry a klimatizovaného vzduchu o 26,0 %. Ceny průmyslových výrobců ve 4. kvartálu meziročně klesaly ve většině zemí EU s výjimkou Lucemburska (19,1 %), Slovenska (8,1 %), Slovinska (2,4 %), Česka (0,8 %) a Malty (0,8 %). Oproti tomu nejvíce se meziročně propadly ceny průmyslových výrobců v Irsku (−22,0 %), Bulharsku (−20,3 %) a Belgii (−19,2 %).    </w:t>
            </w:r>
          </w:p>
        </w:tc>
      </w:tr>
      <w:tr w:rsidR="00EA1EBB" w14:paraId="4C29B5A1" w14:textId="77777777" w:rsidTr="00EA1EBB">
        <w:trPr>
          <w:trHeight w:val="145"/>
        </w:trPr>
        <w:tc>
          <w:tcPr>
            <w:tcW w:w="1804" w:type="dxa"/>
            <w:hideMark/>
          </w:tcPr>
          <w:p w14:paraId="372B0858" w14:textId="77777777" w:rsidR="00EA1EBB" w:rsidRDefault="00EA1EBB">
            <w:pPr>
              <w:pStyle w:val="Marginlie"/>
              <w:rPr>
                <w:spacing w:val="0"/>
                <w:lang w:eastAsia="en-US"/>
              </w:rPr>
            </w:pPr>
            <w:r>
              <w:rPr>
                <w:spacing w:val="0"/>
                <w:lang w:eastAsia="en-US"/>
              </w:rPr>
              <w:t xml:space="preserve">Ceny materiálů </w:t>
            </w:r>
            <w:r>
              <w:rPr>
                <w:spacing w:val="0"/>
                <w:lang w:eastAsia="en-US"/>
              </w:rPr>
              <w:br/>
              <w:t>a výrobků spotřebovávaných ve stavebnictví loni rostly výrazně pomaleji než v roce 2022.</w:t>
            </w:r>
          </w:p>
        </w:tc>
        <w:tc>
          <w:tcPr>
            <w:tcW w:w="224" w:type="dxa"/>
          </w:tcPr>
          <w:p w14:paraId="08EBE3F3" w14:textId="77777777" w:rsidR="00EA1EBB" w:rsidRDefault="00EA1EBB">
            <w:pPr>
              <w:pStyle w:val="Textpoznpodarou1"/>
              <w:jc w:val="both"/>
              <w:rPr>
                <w:lang w:eastAsia="en-US"/>
              </w:rPr>
            </w:pPr>
          </w:p>
        </w:tc>
        <w:tc>
          <w:tcPr>
            <w:tcW w:w="7611" w:type="dxa"/>
            <w:hideMark/>
          </w:tcPr>
          <w:p w14:paraId="5C949BCC" w14:textId="77777777" w:rsidR="00EA1EBB" w:rsidRDefault="00EA1EBB">
            <w:pPr>
              <w:rPr>
                <w:lang w:eastAsia="en-US"/>
              </w:rPr>
            </w:pPr>
            <w:r>
              <w:rPr>
                <w:lang w:eastAsia="en-US"/>
              </w:rPr>
              <w:t>Meziroční růst cen stavebních prací v průběhu roku 2023 postupně zpomaloval a dle odhadů ve 4. čtvrtletí dosáhl 3,2 %. Mezičtvrtletně se ceny stavebních prací zvýšily o 0,6 %. Za celý rok 2023 pak ceny stavebních prací vzrostly o 6,0 % (v roce 2022 po zpřesnění o 12,4 %). Ceny materiálů a výrobků spotřebovávaných ve stavebnictví naopak ve 4. čtvrtletí meziročně klesly o 0,3 % a mezičtvrtletně byly nižší o 0,7 %. Za celý rok 2023 ceny materiálů a výrobků spotřebovávaných ve stavebnictví vzrostly v průměru o 3,8 %. To představuje prudké zpomalení ve srovnání s rokem 2022, kdy materiály a výrobky spotřebovávané ve stavebnictví zdražily o 20,7 % a materiální náklady tak byly výraznou brzdou rozvoje stavební produkce.</w:t>
            </w:r>
          </w:p>
        </w:tc>
      </w:tr>
      <w:tr w:rsidR="00EA1EBB" w14:paraId="61E7B8A0" w14:textId="77777777" w:rsidTr="00EA1EBB">
        <w:trPr>
          <w:trHeight w:val="145"/>
        </w:trPr>
        <w:tc>
          <w:tcPr>
            <w:tcW w:w="1804" w:type="dxa"/>
            <w:hideMark/>
          </w:tcPr>
          <w:p w14:paraId="7729B721" w14:textId="77777777" w:rsidR="00EA1EBB" w:rsidRDefault="00EA1EBB">
            <w:pPr>
              <w:pStyle w:val="Marginlie"/>
              <w:rPr>
                <w:spacing w:val="0"/>
                <w:lang w:eastAsia="en-US"/>
              </w:rPr>
            </w:pPr>
            <w:r>
              <w:rPr>
                <w:spacing w:val="0"/>
                <w:lang w:eastAsia="en-US"/>
              </w:rPr>
              <w:lastRenderedPageBreak/>
              <w:t>Růst cen tržních služeb se po celý rok držel na výrazné úrovni.</w:t>
            </w:r>
          </w:p>
        </w:tc>
        <w:tc>
          <w:tcPr>
            <w:tcW w:w="224" w:type="dxa"/>
          </w:tcPr>
          <w:p w14:paraId="16635E6F" w14:textId="77777777" w:rsidR="00EA1EBB" w:rsidRDefault="00EA1EBB">
            <w:pPr>
              <w:pStyle w:val="Textpoznpodarou1"/>
              <w:jc w:val="both"/>
              <w:rPr>
                <w:lang w:eastAsia="en-US"/>
              </w:rPr>
            </w:pPr>
          </w:p>
        </w:tc>
        <w:tc>
          <w:tcPr>
            <w:tcW w:w="7611" w:type="dxa"/>
            <w:hideMark/>
          </w:tcPr>
          <w:p w14:paraId="7D2A7C19" w14:textId="77777777" w:rsidR="00EA1EBB" w:rsidRDefault="00EA1EBB">
            <w:pPr>
              <w:rPr>
                <w:lang w:eastAsia="en-US"/>
              </w:rPr>
            </w:pPr>
            <w:r>
              <w:rPr>
                <w:lang w:eastAsia="en-US"/>
              </w:rPr>
              <w:t>Ceny tržních služeb ve 4. čtvrtletí meziročně vzrostly o 4,9 % a přírůstek tak byl nejmírnější za celý rok 2023. Mezičtvrtletně se ceny ve 4. čtvrtletí zvýšily o 1,2 %. Ve směru meziročního růstu cen nejvíce působily služby v oblasti nemovitostí (meziroční přírůstek 6,7 %), služby v oblasti programování a souvisejícího poradenství (6,5 %), pozemní a potrubní doprava (3,1 %) a služby v oblasti zaměstnání (15,6 %). Významný příspěvek měl i vývoj cen úklidových služeb (12,9 %), poštovních a kurýrních služeb (11,7 %), informačních služeb (10,0 %), právních a účetnických služeb (6,8 %), reklamních služeb a průzkumu trhu (4,3 %), skladování a podpůrných služeb v dopravě (3,6 %) nebo architektonických a inženýrských služeb a technických zkoušek a analýz (2,6 %). Meziroční dynamika cen tržních služeb se držela vysoko a na rozdíl od zbytku ekonomiky v průběhu roku výrazně nezpomalovala. Šlo o projev přetrvávajícího silného nominálního růstu mezd, které u služeb tvoří klíčovou součást nákladů. Za celý rok 2023 se ceny tržních služeb zvýšily o 5,6 %. Nejvíce k tomu přispěly služby v oblasti programování a souvisejícího poradenství (růst o 8,2 %), služby v oblasti nemovitostí (6,5 %), pozemní a potrubní doprava (4,2 %) a služby v oblasti zaměstnání (22,1 %).</w:t>
            </w:r>
          </w:p>
        </w:tc>
      </w:tr>
      <w:tr w:rsidR="00EA1EBB" w14:paraId="4B22C9D2" w14:textId="77777777" w:rsidTr="00EA1EBB">
        <w:trPr>
          <w:trHeight w:val="145"/>
        </w:trPr>
        <w:tc>
          <w:tcPr>
            <w:tcW w:w="1804" w:type="dxa"/>
            <w:hideMark/>
          </w:tcPr>
          <w:p w14:paraId="11A2C18C" w14:textId="77777777" w:rsidR="00EA1EBB" w:rsidRDefault="00EA1EBB">
            <w:pPr>
              <w:pStyle w:val="Marginlie"/>
              <w:rPr>
                <w:spacing w:val="0"/>
                <w:lang w:eastAsia="en-US"/>
              </w:rPr>
            </w:pPr>
            <w:r>
              <w:rPr>
                <w:spacing w:val="0"/>
                <w:lang w:eastAsia="en-US"/>
              </w:rPr>
              <w:t>Ve 4. čtvrtletí se ceny zemědělských výrobců výrazně meziročně propadly.</w:t>
            </w:r>
          </w:p>
        </w:tc>
        <w:tc>
          <w:tcPr>
            <w:tcW w:w="224" w:type="dxa"/>
          </w:tcPr>
          <w:p w14:paraId="2BE7CF28" w14:textId="77777777" w:rsidR="00EA1EBB" w:rsidRDefault="00EA1EBB">
            <w:pPr>
              <w:pStyle w:val="Textpoznpodarou1"/>
              <w:jc w:val="both"/>
              <w:rPr>
                <w:lang w:eastAsia="en-US"/>
              </w:rPr>
            </w:pPr>
          </w:p>
        </w:tc>
        <w:tc>
          <w:tcPr>
            <w:tcW w:w="7611" w:type="dxa"/>
            <w:hideMark/>
          </w:tcPr>
          <w:p w14:paraId="77030D51" w14:textId="77777777" w:rsidR="00EA1EBB" w:rsidRDefault="00EA1EBB">
            <w:pPr>
              <w:rPr>
                <w:lang w:eastAsia="en-US"/>
              </w:rPr>
            </w:pPr>
            <w:r>
              <w:rPr>
                <w:lang w:eastAsia="en-US"/>
              </w:rPr>
              <w:t xml:space="preserve">Ceny zemědělských výrobců (včetně ryb) ve 4. čtvrtletí 2023 meziročně klesly </w:t>
            </w:r>
            <w:r>
              <w:rPr>
                <w:lang w:eastAsia="en-US"/>
              </w:rPr>
              <w:br/>
              <w:t xml:space="preserve">o 14,5 % a hloubka propadu se tak téměř nezměnila oproti 3. čtvrtletí. Meziročně nižší byly ceny rostlinné (−16,5 %) i živočišné (−10,9 %) výroby. Za úrovní stejného období roku 2022 hluboce zaostávaly ceny obilovin (−36,0 %). O desítky procent se meziročně propadly ceny pšenice, žita, ječmene, ovsa i kukuřice. Ceny průmyslových plodin byly nižší o 16,7 %, z toho olejnin o více než třetinu. Naopak ceny cukrové řepy vzrostly o 14,8 %. Krmné plodiny byly meziročně dražší o 17,9 %, zelenina a zahradnické produkty o 12,5 %, brambory o 34,7 % a ovoce o 32,8 % (vliv měla zejména o více než třetinu dražší jablka). V rámci živočišné výroby ve 4. čtvrtletí meziročně stagnovaly ceny hospodářských zvířat (0,1 %), z toho ale klesaly ceny drůbeže (−6,9 %) a skotu (−3,1 %) a naopak rostly ceny prasat a selat (8,7 %). V hlubokém propadu byly naopak živočišné výrobky (−17,8 %). Mléko bylo meziročně levnější o 18,7 % a vejce o 10,8 %.     </w:t>
            </w:r>
          </w:p>
        </w:tc>
      </w:tr>
      <w:tr w:rsidR="00EA1EBB" w14:paraId="7B7C0B85" w14:textId="77777777" w:rsidTr="00EA1EBB">
        <w:trPr>
          <w:trHeight w:val="145"/>
        </w:trPr>
        <w:tc>
          <w:tcPr>
            <w:tcW w:w="1804" w:type="dxa"/>
            <w:hideMark/>
          </w:tcPr>
          <w:p w14:paraId="10A55EA0" w14:textId="77777777" w:rsidR="00EA1EBB" w:rsidRDefault="00EA1EBB">
            <w:pPr>
              <w:pStyle w:val="Marginlie"/>
              <w:rPr>
                <w:spacing w:val="0"/>
                <w:lang w:eastAsia="en-US"/>
              </w:rPr>
            </w:pPr>
            <w:r>
              <w:rPr>
                <w:spacing w:val="0"/>
                <w:lang w:eastAsia="en-US"/>
              </w:rPr>
              <w:t xml:space="preserve">Loni klesly ceny rostlinné výroby, zatímco </w:t>
            </w:r>
            <w:r>
              <w:rPr>
                <w:spacing w:val="0"/>
                <w:lang w:eastAsia="en-US"/>
              </w:rPr>
              <w:br/>
              <w:t>u živočišné výroby došlo k celkovému navýšení.</w:t>
            </w:r>
          </w:p>
        </w:tc>
        <w:tc>
          <w:tcPr>
            <w:tcW w:w="224" w:type="dxa"/>
          </w:tcPr>
          <w:p w14:paraId="332BD1BB" w14:textId="77777777" w:rsidR="00EA1EBB" w:rsidRDefault="00EA1EBB">
            <w:pPr>
              <w:pStyle w:val="Textpoznpodarou1"/>
              <w:jc w:val="both"/>
              <w:rPr>
                <w:lang w:eastAsia="en-US"/>
              </w:rPr>
            </w:pPr>
          </w:p>
        </w:tc>
        <w:tc>
          <w:tcPr>
            <w:tcW w:w="7611" w:type="dxa"/>
            <w:hideMark/>
          </w:tcPr>
          <w:p w14:paraId="3319AFDA" w14:textId="77777777" w:rsidR="00EA1EBB" w:rsidRDefault="00EA1EBB">
            <w:pPr>
              <w:rPr>
                <w:lang w:eastAsia="en-US"/>
              </w:rPr>
            </w:pPr>
            <w:r>
              <w:rPr>
                <w:lang w:eastAsia="en-US"/>
              </w:rPr>
              <w:t xml:space="preserve">Ještě v 1. čtvrtletí ceny zemědělské výroby včetně ryb meziročně rostly (19,4 %) a následně spadly do poklesu (−8,1 % a −14,7 % ve 2. a 3. čtvrtletí). Za celý rok byly ceny zemědělské výroby nižší o 6,0 %. Pokles byl podpořen zejména vývojem cen rostlinné výroby, které klesly o 13,7 %. Velký podíl na tom mělo srovnání s rokem 2022, kdy geopolitické události vedly k prudkému zdražení klíčových plodin. I proto loni prudce klesly ceny obilovin (−20,4 %, z toho pšenice o 24,0 %) i průmyslových plodin (−21,8 %, z toho olejniny o 28,8 %). Naopak ceny zeleniny a zahradnických produktů byly loni vyšší o 15,4 %, brambor o 39,4 % a ovoce o 10,4 %. Ceny živočišné výroby v roce 2023 naopak celkově vzrostly o 7,0 %. Ceny hospodářských zvířat byly vyšší o 12,6 %, z toho prasat o 25,0 %. Ceny živočišných výrobků vzrostly o 3,3 %. Zatímco ceny mléka loni celkově spíše stagnovaly (0,5 %), u vajec došlo k navýšení o 28,6 %. </w:t>
            </w:r>
          </w:p>
        </w:tc>
      </w:tr>
      <w:tr w:rsidR="00EA1EBB" w14:paraId="57497850" w14:textId="77777777" w:rsidTr="00EA1EBB">
        <w:trPr>
          <w:trHeight w:val="145"/>
        </w:trPr>
        <w:tc>
          <w:tcPr>
            <w:tcW w:w="1804" w:type="dxa"/>
            <w:hideMark/>
          </w:tcPr>
          <w:p w14:paraId="60D2D88A" w14:textId="77777777" w:rsidR="00EA1EBB" w:rsidRDefault="00EA1EBB">
            <w:pPr>
              <w:pStyle w:val="Marginlie"/>
              <w:rPr>
                <w:spacing w:val="0"/>
                <w:lang w:eastAsia="en-US"/>
              </w:rPr>
            </w:pPr>
            <w:r>
              <w:rPr>
                <w:spacing w:val="0"/>
                <w:lang w:eastAsia="en-US"/>
              </w:rPr>
              <w:t>Ceny vývozu loni meziročně klesly.</w:t>
            </w:r>
          </w:p>
        </w:tc>
        <w:tc>
          <w:tcPr>
            <w:tcW w:w="224" w:type="dxa"/>
          </w:tcPr>
          <w:p w14:paraId="13C9FD47" w14:textId="77777777" w:rsidR="00EA1EBB" w:rsidRDefault="00EA1EBB">
            <w:pPr>
              <w:pStyle w:val="Textpoznpodarou1"/>
              <w:jc w:val="both"/>
              <w:rPr>
                <w:lang w:eastAsia="en-US"/>
              </w:rPr>
            </w:pPr>
          </w:p>
        </w:tc>
        <w:tc>
          <w:tcPr>
            <w:tcW w:w="7611" w:type="dxa"/>
            <w:hideMark/>
          </w:tcPr>
          <w:p w14:paraId="470649C9" w14:textId="77777777" w:rsidR="00EA1EBB" w:rsidRDefault="00EA1EBB">
            <w:pPr>
              <w:rPr>
                <w:lang w:eastAsia="en-US"/>
              </w:rPr>
            </w:pPr>
            <w:r>
              <w:rPr>
                <w:lang w:eastAsia="en-US"/>
              </w:rPr>
              <w:t>Ceny vývozu zboží v roce 2023 celkově klesly o 0,7 %. Nejvíce se propadly ceny exportu ostatních surovin</w:t>
            </w:r>
            <w:r>
              <w:rPr>
                <w:rStyle w:val="Znakapoznpodarou"/>
                <w:lang w:eastAsia="en-US"/>
              </w:rPr>
              <w:footnoteReference w:id="65"/>
            </w:r>
            <w:r>
              <w:rPr>
                <w:lang w:eastAsia="en-US"/>
              </w:rPr>
              <w:t xml:space="preserve"> (−18,6 %) a chemikálií (−7,2 %). Naopak prudce vzrostly ceny nápojů (16,0 %). Po meziročním navýšení v 1. čtvrtletí se ceny exportu ve zbytku roku 2023 </w:t>
            </w:r>
            <w:proofErr w:type="spellStart"/>
            <w:r>
              <w:rPr>
                <w:lang w:eastAsia="en-US"/>
              </w:rPr>
              <w:t>kleslay</w:t>
            </w:r>
            <w:proofErr w:type="spellEnd"/>
            <w:r>
              <w:rPr>
                <w:lang w:eastAsia="en-US"/>
              </w:rPr>
              <w:t>. Ve 4. čtvrtletí 2023 byly ceny vývozu nižší o 2,2 %. Vliv kurzu koruny na meziroční vývoj cen zahraničního obchodu v závěru roku oslabil</w:t>
            </w:r>
            <w:r>
              <w:rPr>
                <w:rStyle w:val="Znakapoznpodarou"/>
                <w:lang w:eastAsia="en-US"/>
              </w:rPr>
              <w:footnoteReference w:id="66"/>
            </w:r>
            <w:r>
              <w:rPr>
                <w:lang w:eastAsia="en-US"/>
              </w:rPr>
              <w:t>. Mezičtvrtletně se ceny vývozu ve 4. čtvrtletí zvýšily o 0,6 %. Ve 4. kvartálu nejvíce meziročně klesly ceny ostatních surovin (−14,7 %) a minerálních paliv (−13,7 %). Nižší byly také ceny vývozu chemikálií (−7,7 %), potravin a živých zvířat (−7,3 %) a polotovarů</w:t>
            </w:r>
            <w:r>
              <w:rPr>
                <w:rStyle w:val="Znakapoznpodarou"/>
                <w:lang w:eastAsia="en-US"/>
              </w:rPr>
              <w:footnoteReference w:id="67"/>
            </w:r>
            <w:r>
              <w:rPr>
                <w:lang w:eastAsia="en-US"/>
              </w:rPr>
              <w:t xml:space="preserve"> (−6,8 %). Stejně jako v předcházejících kvartálech také ve 4. čtvrtletí prudce rostly ceny nápojů </w:t>
            </w:r>
            <w:r>
              <w:rPr>
                <w:lang w:eastAsia="en-US"/>
              </w:rPr>
              <w:lastRenderedPageBreak/>
              <w:t>(11,1 %). Posílil meziroční přírůstek u cen exportu průmyslového spotřebního zboží (4,1 %) a strojů a dopravních prostředků (2,8 %).</w:t>
            </w:r>
          </w:p>
        </w:tc>
      </w:tr>
      <w:tr w:rsidR="00EA1EBB" w14:paraId="53F95227" w14:textId="77777777" w:rsidTr="00EA1EBB">
        <w:trPr>
          <w:trHeight w:val="145"/>
        </w:trPr>
        <w:tc>
          <w:tcPr>
            <w:tcW w:w="1804" w:type="dxa"/>
            <w:hideMark/>
          </w:tcPr>
          <w:p w14:paraId="38997C2A" w14:textId="77777777" w:rsidR="00EA1EBB" w:rsidRDefault="00EA1EBB">
            <w:pPr>
              <w:pStyle w:val="Marginlie"/>
              <w:rPr>
                <w:spacing w:val="0"/>
                <w:lang w:eastAsia="en-US"/>
              </w:rPr>
            </w:pPr>
            <w:r>
              <w:rPr>
                <w:spacing w:val="0"/>
                <w:lang w:eastAsia="en-US"/>
              </w:rPr>
              <w:lastRenderedPageBreak/>
              <w:t>Směnné relace byly loni výrazně kladné.</w:t>
            </w:r>
          </w:p>
        </w:tc>
        <w:tc>
          <w:tcPr>
            <w:tcW w:w="224" w:type="dxa"/>
          </w:tcPr>
          <w:p w14:paraId="733D2EB2" w14:textId="77777777" w:rsidR="00EA1EBB" w:rsidRDefault="00EA1EBB">
            <w:pPr>
              <w:pStyle w:val="Textpoznpodarou1"/>
              <w:jc w:val="both"/>
              <w:rPr>
                <w:lang w:eastAsia="en-US"/>
              </w:rPr>
            </w:pPr>
          </w:p>
        </w:tc>
        <w:tc>
          <w:tcPr>
            <w:tcW w:w="7611" w:type="dxa"/>
            <w:hideMark/>
          </w:tcPr>
          <w:p w14:paraId="0D3561E5" w14:textId="77777777" w:rsidR="00EA1EBB" w:rsidRDefault="00EA1EBB">
            <w:pPr>
              <w:rPr>
                <w:lang w:eastAsia="en-US"/>
              </w:rPr>
            </w:pPr>
            <w:r>
              <w:rPr>
                <w:lang w:eastAsia="en-US"/>
              </w:rPr>
              <w:t xml:space="preserve">Ceny dovozu zboží se v loňském roce celkově propadly o 5,7 %. Na poklesu se projevil zejména vývoj u cen minerálních paliv (−27,7 %) a ostatních surovin (−10,7 %). V hlubokém poklesu byly také ceny dovozu chemikálií (−7,9 %). Naopak o více než pětinu (22,7 %) vzrostly ceny nápojů a tabáku. V samotném 4. čtvrtletí 2023 ceny importu meziročně klesly o 6,1 %, zatímco mezičtvrtletně vzrostly o 1,5 %. Ve 4. čtvrtletí se nejvíce meziročně snižovaly ceny dovozu minerálních paliv (−28,7 %), ostatních surovin (−9,6 %), chemikálií (−8,0 %) a polotovarů (−5,9 %). Naopak meziročně vyšší byly ceny importu nápojů a tabáku (23,9 %), průmyslového spotřebního zboží (2,3 %), potravin a živých zvířat (1,7 %), strojů a dopravních prostředků (0,3 %). Po celý rok setrvávaly meziroční směnné relace zahraničního obchodu se zbožím ve výrazně kladném pásmu. Celkově za rok 2023 směnné relace dosáhly 105,3 %. V samotném 4. čtvrtletí meziroční směnné relace činily 104,2 %. Kladné směnné relace měl obchod s minerálními palivy (121,0 %), stroji a dopravními prostředky (102,4 %), průmyslovým spotřebním zbožím (101,8 %) a chemikáliemi (100,3 %). Naproti tomu záporné směnné relace měl obchod s nápoji a tabákem (89,7 %), potravinami a živými zvířaty (91,2 %), ostatními surovinami (94,4 %) a polotovary (99,0 %). </w:t>
            </w:r>
          </w:p>
        </w:tc>
      </w:tr>
    </w:tbl>
    <w:p w14:paraId="1ED17258" w14:textId="77777777" w:rsidR="00EA1EBB" w:rsidRDefault="00EA1EBB" w:rsidP="00EA1EBB">
      <w:pPr>
        <w:pStyle w:val="Nadpis11"/>
        <w:spacing w:after="120"/>
      </w:pPr>
    </w:p>
    <w:p w14:paraId="641C5B14" w14:textId="77777777" w:rsidR="00EA1EBB" w:rsidRDefault="00EA1EBB" w:rsidP="00EA1EBB">
      <w:pPr>
        <w:spacing w:after="0" w:line="240" w:lineRule="auto"/>
        <w:jc w:val="left"/>
        <w:rPr>
          <w:rFonts w:eastAsia="MS Gothic"/>
          <w:b/>
          <w:bCs/>
          <w:color w:val="71818C"/>
          <w:sz w:val="32"/>
          <w:szCs w:val="28"/>
        </w:rPr>
      </w:pPr>
    </w:p>
    <w:p w14:paraId="2EDF088D" w14:textId="77777777" w:rsidR="00EA1EBB" w:rsidRDefault="00EA1EBB" w:rsidP="00EA1EBB">
      <w:pPr>
        <w:pStyle w:val="Nadpis11"/>
        <w:rPr>
          <w:sz w:val="2"/>
          <w:szCs w:val="2"/>
        </w:rPr>
      </w:pPr>
    </w:p>
    <w:p w14:paraId="3D57CD7C" w14:textId="77777777" w:rsidR="00EA1EBB" w:rsidRDefault="00EA1EBB" w:rsidP="00EA1EBB">
      <w:pPr>
        <w:pStyle w:val="Nadpis11"/>
        <w:rPr>
          <w:sz w:val="2"/>
          <w:szCs w:val="2"/>
        </w:rPr>
      </w:pPr>
    </w:p>
    <w:p w14:paraId="0B044C66" w14:textId="77777777" w:rsidR="00C6020C" w:rsidRPr="00BB286B" w:rsidRDefault="00C6020C">
      <w:pPr>
        <w:spacing w:after="0" w:line="240" w:lineRule="auto"/>
        <w:jc w:val="left"/>
        <w:rPr>
          <w:rFonts w:eastAsia="MS Gothic"/>
          <w:b/>
          <w:bCs/>
          <w:color w:val="71818C"/>
          <w:sz w:val="32"/>
          <w:szCs w:val="28"/>
          <w:highlight w:val="yellow"/>
        </w:rPr>
      </w:pPr>
      <w:r w:rsidRPr="00BB286B">
        <w:rPr>
          <w:highlight w:val="yellow"/>
        </w:rPr>
        <w:br w:type="page"/>
      </w:r>
    </w:p>
    <w:p w14:paraId="08732EFC" w14:textId="77777777" w:rsidR="00582A12" w:rsidRDefault="00582A12" w:rsidP="00582A12">
      <w:pPr>
        <w:pStyle w:val="Nadpis11"/>
        <w:spacing w:after="120"/>
      </w:pPr>
      <w:bookmarkStart w:id="41" w:name="_Toc153531179"/>
      <w:bookmarkStart w:id="42" w:name="_Toc137233031"/>
      <w:bookmarkStart w:id="43" w:name="_Toc161914426"/>
      <w:bookmarkEnd w:id="28"/>
      <w:r w:rsidRPr="00B43216">
        <w:lastRenderedPageBreak/>
        <w:t>6. Trh práce</w:t>
      </w:r>
      <w:bookmarkEnd w:id="43"/>
    </w:p>
    <w:tbl>
      <w:tblPr>
        <w:tblW w:w="9674" w:type="dxa"/>
        <w:tblInd w:w="-35" w:type="dxa"/>
        <w:tblCellMar>
          <w:left w:w="0" w:type="dxa"/>
          <w:right w:w="0" w:type="dxa"/>
        </w:tblCellMar>
        <w:tblLook w:val="00A0" w:firstRow="1" w:lastRow="0" w:firstColumn="1" w:lastColumn="0" w:noHBand="0" w:noVBand="0"/>
      </w:tblPr>
      <w:tblGrid>
        <w:gridCol w:w="1754"/>
        <w:gridCol w:w="220"/>
        <w:gridCol w:w="7700"/>
      </w:tblGrid>
      <w:tr w:rsidR="00582A12" w:rsidRPr="009F0D7F" w14:paraId="2A0294F6" w14:textId="77777777" w:rsidTr="00BA5125">
        <w:trPr>
          <w:trHeight w:val="155"/>
        </w:trPr>
        <w:tc>
          <w:tcPr>
            <w:tcW w:w="1754" w:type="dxa"/>
            <w:shd w:val="clear" w:color="auto" w:fill="auto"/>
            <w:tcMar>
              <w:left w:w="0" w:type="dxa"/>
            </w:tcMar>
          </w:tcPr>
          <w:p w14:paraId="45DE2A1A" w14:textId="77777777" w:rsidR="00582A12" w:rsidRPr="00C14554" w:rsidRDefault="00582A12" w:rsidP="00BA5125">
            <w:pPr>
              <w:pStyle w:val="Marginlie"/>
              <w:spacing w:after="120"/>
              <w:rPr>
                <w:color w:val="0D0D0D" w:themeColor="text1" w:themeTint="F2"/>
                <w:spacing w:val="-4"/>
              </w:rPr>
            </w:pPr>
            <w:r w:rsidRPr="00C14554">
              <w:rPr>
                <w:color w:val="0D0D0D" w:themeColor="text1" w:themeTint="F2"/>
                <w:spacing w:val="-4"/>
              </w:rPr>
              <w:t xml:space="preserve">Na trhu práce </w:t>
            </w:r>
            <w:r>
              <w:rPr>
                <w:color w:val="0D0D0D" w:themeColor="text1" w:themeTint="F2"/>
                <w:spacing w:val="-4"/>
              </w:rPr>
              <w:t xml:space="preserve">postupně </w:t>
            </w:r>
            <w:r w:rsidRPr="00C14554">
              <w:rPr>
                <w:color w:val="0D0D0D" w:themeColor="text1" w:themeTint="F2"/>
                <w:spacing w:val="-4"/>
              </w:rPr>
              <w:t xml:space="preserve">docházelo k částečnému ochlazení, nerovnováha mezi nabídkou </w:t>
            </w:r>
            <w:r>
              <w:rPr>
                <w:color w:val="0D0D0D" w:themeColor="text1" w:themeTint="F2"/>
                <w:spacing w:val="-4"/>
              </w:rPr>
              <w:br/>
            </w:r>
            <w:r w:rsidRPr="00C14554">
              <w:rPr>
                <w:color w:val="0D0D0D" w:themeColor="text1" w:themeTint="F2"/>
                <w:spacing w:val="-4"/>
              </w:rPr>
              <w:t>a poptávkou se zmírnila. Situace na úrovni jednotlivých odvětví či podniků se ale lišila.</w:t>
            </w:r>
          </w:p>
        </w:tc>
        <w:tc>
          <w:tcPr>
            <w:tcW w:w="220" w:type="dxa"/>
            <w:shd w:val="clear" w:color="auto" w:fill="auto"/>
            <w:tcMar>
              <w:left w:w="0" w:type="dxa"/>
            </w:tcMar>
          </w:tcPr>
          <w:p w14:paraId="7701F5E4" w14:textId="77777777" w:rsidR="00582A12" w:rsidRPr="00D16BA7"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214332DA" w14:textId="77777777" w:rsidR="00582A12" w:rsidRPr="00D16BA7" w:rsidRDefault="00582A12" w:rsidP="00BA5125">
            <w:pPr>
              <w:spacing w:after="200"/>
              <w:rPr>
                <w:color w:val="0D0D0D" w:themeColor="text1" w:themeTint="F2"/>
                <w:spacing w:val="-4"/>
                <w:szCs w:val="20"/>
              </w:rPr>
            </w:pPr>
            <w:r>
              <w:rPr>
                <w:color w:val="0D0D0D" w:themeColor="text1" w:themeTint="F2"/>
                <w:spacing w:val="-4"/>
                <w:szCs w:val="20"/>
              </w:rPr>
              <w:t xml:space="preserve">Přetrvávající stagnace tuzemské ekonomiky se s určitým zpožděním během loňského roku postupně projevovala i na trhu práce. Ve 2. pololetí se zaměstnanost </w:t>
            </w:r>
            <w:proofErr w:type="spellStart"/>
            <w:r>
              <w:rPr>
                <w:color w:val="0D0D0D" w:themeColor="text1" w:themeTint="F2"/>
                <w:spacing w:val="-4"/>
                <w:szCs w:val="20"/>
              </w:rPr>
              <w:t>mezikvartálně</w:t>
            </w:r>
            <w:proofErr w:type="spellEnd"/>
            <w:r>
              <w:rPr>
                <w:color w:val="0D0D0D" w:themeColor="text1" w:themeTint="F2"/>
                <w:spacing w:val="-4"/>
                <w:szCs w:val="20"/>
              </w:rPr>
              <w:t xml:space="preserve"> začala snižovat, s problémy se potýkal zejména průmysl. Nezaměstnanost včetně té dlouhodobé mírně rostla a současně lehce klesala nabídka volných míst, zejména méně kvalifikovaných. Narůstala</w:t>
            </w:r>
            <w:r w:rsidRPr="00D16BA7">
              <w:rPr>
                <w:color w:val="0D0D0D" w:themeColor="text1" w:themeTint="F2"/>
                <w:spacing w:val="-4"/>
                <w:szCs w:val="20"/>
              </w:rPr>
              <w:t xml:space="preserve"> velikost potenciální pracovní rezervy (z řad neaktivních osob), ta ovšem stále zůstávala omezená. Pozitivní impuls pro pracovní trh představovala postupná i</w:t>
            </w:r>
            <w:r>
              <w:rPr>
                <w:color w:val="0D0D0D" w:themeColor="text1" w:themeTint="F2"/>
                <w:spacing w:val="-4"/>
                <w:szCs w:val="20"/>
              </w:rPr>
              <w:t>ntegrace ukrajinských uprchlíků, byť nemálo z nich pracuje na místech, na nichž plně nevyužívají svou kvalifikaci.</w:t>
            </w:r>
            <w:r w:rsidRPr="00D16BA7">
              <w:rPr>
                <w:color w:val="0D0D0D" w:themeColor="text1" w:themeTint="F2"/>
                <w:spacing w:val="-4"/>
                <w:szCs w:val="20"/>
              </w:rPr>
              <w:t xml:space="preserve"> Podniky ve snaze optimalizovat výrobní náklady stále intenzivně poptávaly zahraniční pracovníky i z dalších mimoevropských zemí. Řada odvětví zejména ve službách se stále rozvíjela a vytvářela nová pracovní místa také pro pracovníky s vyšší kvalifikací. </w:t>
            </w:r>
            <w:r>
              <w:rPr>
                <w:color w:val="0D0D0D" w:themeColor="text1" w:themeTint="F2"/>
                <w:spacing w:val="-4"/>
                <w:szCs w:val="20"/>
              </w:rPr>
              <w:t xml:space="preserve">Odlišná situace v jednotlivých odvětvích se projevuje v různorodém růstu mezd. Jeho tempo však celkově během roku mírně sláblo. </w:t>
            </w:r>
            <w:r w:rsidRPr="00D16BA7">
              <w:rPr>
                <w:color w:val="0D0D0D" w:themeColor="text1" w:themeTint="F2"/>
                <w:spacing w:val="-4"/>
                <w:szCs w:val="20"/>
              </w:rPr>
              <w:t xml:space="preserve">Díky znatelné dezinflační tendenci </w:t>
            </w:r>
            <w:r>
              <w:rPr>
                <w:color w:val="0D0D0D" w:themeColor="text1" w:themeTint="F2"/>
                <w:spacing w:val="-4"/>
                <w:szCs w:val="20"/>
              </w:rPr>
              <w:t>v ekonomice se však</w:t>
            </w:r>
            <w:r w:rsidRPr="00D16BA7">
              <w:rPr>
                <w:color w:val="0D0D0D" w:themeColor="text1" w:themeTint="F2"/>
                <w:spacing w:val="-4"/>
                <w:szCs w:val="20"/>
              </w:rPr>
              <w:t xml:space="preserve"> meziroční pokles kupní síly mezd výrazně zmírnil a v několika významných odvětvích byl </w:t>
            </w:r>
            <w:r>
              <w:rPr>
                <w:color w:val="0D0D0D" w:themeColor="text1" w:themeTint="F2"/>
                <w:spacing w:val="-4"/>
                <w:szCs w:val="20"/>
              </w:rPr>
              <w:t xml:space="preserve">ve 4. čtvrtletí </w:t>
            </w:r>
            <w:r w:rsidRPr="00D16BA7">
              <w:rPr>
                <w:color w:val="0D0D0D" w:themeColor="text1" w:themeTint="F2"/>
                <w:spacing w:val="-4"/>
                <w:szCs w:val="20"/>
              </w:rPr>
              <w:t xml:space="preserve">již registrován </w:t>
            </w:r>
            <w:r>
              <w:rPr>
                <w:color w:val="0D0D0D" w:themeColor="text1" w:themeTint="F2"/>
                <w:spacing w:val="-4"/>
                <w:szCs w:val="20"/>
              </w:rPr>
              <w:t xml:space="preserve">meziroční </w:t>
            </w:r>
            <w:r w:rsidRPr="00D16BA7">
              <w:rPr>
                <w:color w:val="0D0D0D" w:themeColor="text1" w:themeTint="F2"/>
                <w:spacing w:val="-4"/>
                <w:szCs w:val="20"/>
              </w:rPr>
              <w:t>růst reálných výdělků.</w:t>
            </w:r>
          </w:p>
        </w:tc>
      </w:tr>
      <w:tr w:rsidR="00582A12" w:rsidRPr="009F0D7F" w14:paraId="107DA8F9" w14:textId="77777777" w:rsidTr="00BA5125">
        <w:trPr>
          <w:trHeight w:val="155"/>
        </w:trPr>
        <w:tc>
          <w:tcPr>
            <w:tcW w:w="1754" w:type="dxa"/>
            <w:shd w:val="clear" w:color="auto" w:fill="auto"/>
            <w:tcMar>
              <w:left w:w="0" w:type="dxa"/>
            </w:tcMar>
          </w:tcPr>
          <w:p w14:paraId="40196AF2" w14:textId="77777777" w:rsidR="00582A12" w:rsidRDefault="00582A12" w:rsidP="00BA5125">
            <w:pPr>
              <w:pStyle w:val="Marginlie"/>
              <w:spacing w:after="120"/>
              <w:rPr>
                <w:color w:val="0D0D0D" w:themeColor="text1" w:themeTint="F2"/>
                <w:spacing w:val="-4"/>
              </w:rPr>
            </w:pPr>
            <w:proofErr w:type="spellStart"/>
            <w:r>
              <w:rPr>
                <w:color w:val="0D0D0D" w:themeColor="text1" w:themeTint="F2"/>
                <w:spacing w:val="-4"/>
              </w:rPr>
              <w:t>Mezikvartální</w:t>
            </w:r>
            <w:proofErr w:type="spellEnd"/>
            <w:r>
              <w:rPr>
                <w:color w:val="0D0D0D" w:themeColor="text1" w:themeTint="F2"/>
                <w:spacing w:val="-4"/>
              </w:rPr>
              <w:t xml:space="preserve"> růst zaměstnanosti se ve druhé polovině loňského roku zastavil. </w:t>
            </w:r>
          </w:p>
          <w:p w14:paraId="2A28ADFE" w14:textId="77777777" w:rsidR="00582A12" w:rsidRDefault="00582A12" w:rsidP="00BA5125">
            <w:pPr>
              <w:pStyle w:val="Marginlie"/>
              <w:spacing w:after="120"/>
              <w:rPr>
                <w:color w:val="0D0D0D" w:themeColor="text1" w:themeTint="F2"/>
                <w:spacing w:val="-4"/>
              </w:rPr>
            </w:pPr>
          </w:p>
        </w:tc>
        <w:tc>
          <w:tcPr>
            <w:tcW w:w="220" w:type="dxa"/>
            <w:shd w:val="clear" w:color="auto" w:fill="auto"/>
            <w:tcMar>
              <w:left w:w="0" w:type="dxa"/>
            </w:tcMar>
          </w:tcPr>
          <w:p w14:paraId="75A7A836" w14:textId="77777777" w:rsidR="00582A12" w:rsidRPr="009F0D7F"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3BED0FA3" w14:textId="531F5BDF" w:rsidR="00582A12" w:rsidRDefault="00582A12" w:rsidP="00582A12">
            <w:r>
              <w:t>V 1. pololetí 2023 se celková zaměstnanost</w:t>
            </w:r>
            <w:r w:rsidRPr="00FE39EE">
              <w:rPr>
                <w:color w:val="0D0D0D" w:themeColor="text1" w:themeTint="F2"/>
                <w:spacing w:val="-4"/>
                <w:vertAlign w:val="superscript"/>
              </w:rPr>
              <w:footnoteReference w:id="68"/>
            </w:r>
            <w:r>
              <w:t xml:space="preserve"> v tuzemské ekonomice </w:t>
            </w:r>
            <w:proofErr w:type="spellStart"/>
            <w:r>
              <w:t>mezikvartálně</w:t>
            </w:r>
            <w:proofErr w:type="spellEnd"/>
            <w:r>
              <w:t xml:space="preserve"> ještě mírně zvyšovala a fyzický počet pracovníků vystoupal na rekordní úroveň (5,51 mil.). Ve zbývající části roku došlo k mírnému útlumu – zaměstnanost postupně klesla v obou </w:t>
            </w:r>
            <w:r w:rsidRPr="00BF7F4C">
              <w:rPr>
                <w:spacing w:val="-4"/>
              </w:rPr>
              <w:t>navazujících kvartálech (o 0,7 %, resp. o 0,1 %)</w:t>
            </w:r>
            <w:r w:rsidRPr="00BF7F4C">
              <w:rPr>
                <w:rStyle w:val="Znakapoznpodarou"/>
                <w:spacing w:val="-4"/>
              </w:rPr>
              <w:footnoteReference w:id="69"/>
            </w:r>
            <w:r w:rsidRPr="00BF7F4C">
              <w:rPr>
                <w:spacing w:val="-4"/>
              </w:rPr>
              <w:t>, ubylo zaměstnanců i</w:t>
            </w:r>
            <w:r>
              <w:rPr>
                <w:spacing w:val="-4"/>
              </w:rPr>
              <w:t> </w:t>
            </w:r>
            <w:proofErr w:type="spellStart"/>
            <w:r w:rsidRPr="00BF7F4C">
              <w:rPr>
                <w:spacing w:val="-4"/>
              </w:rPr>
              <w:t>sebe</w:t>
            </w:r>
            <w:r>
              <w:rPr>
                <w:spacing w:val="-4"/>
              </w:rPr>
              <w:t>z</w:t>
            </w:r>
            <w:r w:rsidRPr="00BF7F4C">
              <w:rPr>
                <w:spacing w:val="-4"/>
              </w:rPr>
              <w:t>aměstnaných</w:t>
            </w:r>
            <w:proofErr w:type="spellEnd"/>
            <w:r>
              <w:t xml:space="preserve">. Na ochlazení pracovního trhu se podílely zejména průmysl a váhově významná odvětví služeb – obchod a doprava, vedle toho se zastavil růst poptávky po pracovnících ve stavebnictví. Navzdory tomu zůstal celkový počet zaměstnaných zřetelně nad úrovní z konce konjunkturního roku 2019 (+61 tis.), z velké části díky rozvoji veřejných služeb. </w:t>
            </w:r>
          </w:p>
        </w:tc>
      </w:tr>
      <w:tr w:rsidR="00582A12" w:rsidRPr="009F0D7F" w14:paraId="5763827D" w14:textId="77777777" w:rsidTr="00BA5125">
        <w:trPr>
          <w:trHeight w:val="155"/>
        </w:trPr>
        <w:tc>
          <w:tcPr>
            <w:tcW w:w="1754" w:type="dxa"/>
            <w:shd w:val="clear" w:color="auto" w:fill="auto"/>
            <w:tcMar>
              <w:left w:w="0" w:type="dxa"/>
            </w:tcMar>
          </w:tcPr>
          <w:p w14:paraId="3FC81A3F" w14:textId="77777777" w:rsidR="00582A12" w:rsidRDefault="00582A12" w:rsidP="00BA5125">
            <w:pPr>
              <w:pStyle w:val="Marginlie"/>
              <w:spacing w:after="120"/>
              <w:rPr>
                <w:color w:val="0D0D0D" w:themeColor="text1" w:themeTint="F2"/>
                <w:spacing w:val="-4"/>
              </w:rPr>
            </w:pPr>
            <w:r>
              <w:rPr>
                <w:color w:val="0D0D0D" w:themeColor="text1" w:themeTint="F2"/>
                <w:spacing w:val="-4"/>
              </w:rPr>
              <w:t>Za celý rok zaměstnanost mírně vzrostla. Přibylo zaměstnanců i </w:t>
            </w:r>
            <w:proofErr w:type="spellStart"/>
            <w:r>
              <w:rPr>
                <w:color w:val="0D0D0D" w:themeColor="text1" w:themeTint="F2"/>
                <w:spacing w:val="-4"/>
              </w:rPr>
              <w:t>sebezaměstnaných</w:t>
            </w:r>
            <w:proofErr w:type="spellEnd"/>
            <w:r>
              <w:rPr>
                <w:color w:val="0D0D0D" w:themeColor="text1" w:themeTint="F2"/>
                <w:spacing w:val="-4"/>
              </w:rPr>
              <w:t>.</w:t>
            </w:r>
          </w:p>
          <w:p w14:paraId="7AA3A8CB" w14:textId="77777777" w:rsidR="00582A12" w:rsidRDefault="00582A12" w:rsidP="00BA5125">
            <w:pPr>
              <w:pStyle w:val="Marginlie"/>
              <w:spacing w:after="120"/>
              <w:rPr>
                <w:color w:val="0D0D0D" w:themeColor="text1" w:themeTint="F2"/>
                <w:spacing w:val="-4"/>
              </w:rPr>
            </w:pPr>
          </w:p>
          <w:p w14:paraId="738F5FA4" w14:textId="77777777" w:rsidR="00582A12" w:rsidRDefault="00582A12" w:rsidP="00BA5125">
            <w:pPr>
              <w:pStyle w:val="Marginlie"/>
              <w:spacing w:after="120"/>
              <w:rPr>
                <w:color w:val="0D0D0D" w:themeColor="text1" w:themeTint="F2"/>
                <w:spacing w:val="-4"/>
              </w:rPr>
            </w:pPr>
          </w:p>
          <w:p w14:paraId="5E5505FF" w14:textId="77777777" w:rsidR="00582A12" w:rsidRDefault="00582A12" w:rsidP="00BA5125">
            <w:pPr>
              <w:pStyle w:val="Marginlie"/>
              <w:spacing w:after="120"/>
              <w:rPr>
                <w:color w:val="0D0D0D" w:themeColor="text1" w:themeTint="F2"/>
                <w:spacing w:val="-4"/>
              </w:rPr>
            </w:pPr>
          </w:p>
          <w:p w14:paraId="7ED3E55E" w14:textId="77777777" w:rsidR="00582A12" w:rsidRDefault="00582A12" w:rsidP="00BA5125">
            <w:pPr>
              <w:pStyle w:val="Marginlie"/>
              <w:spacing w:after="120"/>
              <w:rPr>
                <w:color w:val="0D0D0D" w:themeColor="text1" w:themeTint="F2"/>
                <w:spacing w:val="-4"/>
              </w:rPr>
            </w:pPr>
          </w:p>
          <w:p w14:paraId="22135045" w14:textId="77777777" w:rsidR="00582A12" w:rsidRDefault="00582A12" w:rsidP="00BA5125">
            <w:pPr>
              <w:pStyle w:val="Marginlie"/>
              <w:spacing w:after="120"/>
              <w:rPr>
                <w:color w:val="0D0D0D" w:themeColor="text1" w:themeTint="F2"/>
                <w:spacing w:val="-4"/>
              </w:rPr>
            </w:pPr>
            <w:r>
              <w:rPr>
                <w:color w:val="0D0D0D" w:themeColor="text1" w:themeTint="F2"/>
                <w:spacing w:val="-4"/>
              </w:rPr>
              <w:t>Zaměstnanců přibylo nejvíce ve vzdělávání, zdravotní a sociální péči, dařilo se i většině dalších služeb. Naopak ve všech významnějších oborech zpracovatelského průmyslu došlo k poklesu.</w:t>
            </w:r>
          </w:p>
          <w:p w14:paraId="59FB2A20" w14:textId="77777777" w:rsidR="00582A12" w:rsidRDefault="00582A12" w:rsidP="00BA5125">
            <w:pPr>
              <w:pStyle w:val="Marginlie"/>
              <w:spacing w:after="120"/>
              <w:rPr>
                <w:color w:val="0D0D0D" w:themeColor="text1" w:themeTint="F2"/>
                <w:spacing w:val="-4"/>
              </w:rPr>
            </w:pPr>
          </w:p>
        </w:tc>
        <w:tc>
          <w:tcPr>
            <w:tcW w:w="220" w:type="dxa"/>
            <w:shd w:val="clear" w:color="auto" w:fill="auto"/>
            <w:tcMar>
              <w:left w:w="0" w:type="dxa"/>
            </w:tcMar>
          </w:tcPr>
          <w:p w14:paraId="138BFD45" w14:textId="77777777" w:rsidR="00582A12" w:rsidRPr="009F0D7F"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7C800C44" w14:textId="77777777" w:rsidR="00582A12" w:rsidRPr="001171AB" w:rsidRDefault="00582A12" w:rsidP="00582A12">
            <w:pPr>
              <w:rPr>
                <w:color w:val="0D0D0D" w:themeColor="text1" w:themeTint="F2"/>
                <w:spacing w:val="-4"/>
              </w:rPr>
            </w:pPr>
            <w:r>
              <w:t>Za celý loňský rok se zaměstnanost zvýšila o 0,8 %</w:t>
            </w:r>
            <w:r w:rsidRPr="0010316B">
              <w:rPr>
                <w:rStyle w:val="Znakapoznpodarou"/>
                <w:color w:val="0D0D0D" w:themeColor="text1" w:themeTint="F2"/>
              </w:rPr>
              <w:footnoteReference w:id="70"/>
            </w:r>
            <w:r>
              <w:t xml:space="preserve"> (z toho ve 4. čtvrtletí o 0,4 %). Nová pracovní místa vznikala tradičně hlavně v zaměstnaneckých pozicích, zejména v oblastech s vyššími nároky na kvalifikaci pracovníků. Nejvíce jich přibylo ve veřejných službách (+20 tis.)</w:t>
            </w:r>
            <w:r>
              <w:rPr>
                <w:rStyle w:val="Znakapoznpodarou"/>
              </w:rPr>
              <w:footnoteReference w:id="71"/>
            </w:r>
            <w:r>
              <w:t>, které postupně reagovaly na růst poptávky související zejména s dlouhodobějšími změnami ve věkové skladbě populace. Relativně nejvyššího růstu ovšem docílily p</w:t>
            </w:r>
            <w:r w:rsidRPr="00EC32E1">
              <w:t>rofesní</w:t>
            </w:r>
            <w:r>
              <w:t>, vědecké, technické</w:t>
            </w:r>
            <w:r w:rsidRPr="00EC32E1">
              <w:t xml:space="preserve"> a administrativní</w:t>
            </w:r>
            <w:r>
              <w:t xml:space="preserve"> činnosti (2,2 %), proti roku 2022 v nich absolutně přibylo 8 tis. zaměstnanců. V informačních a komunikačních činnostech, které v poslední dekádě patřily mezi nejrychleji rostoucí oblasti služeb, se loni růst počtu zaměstnanců zmírnil na 1,7 % (na konci roku fakticky jen stagnoval). Jen k minimálnímu růstu došlo v uskupení o</w:t>
            </w:r>
            <w:r w:rsidRPr="001F7E30">
              <w:t>bchod, doprava, ubytování a pohostinství</w:t>
            </w:r>
            <w:r>
              <w:t xml:space="preserve"> (+0,3 %), přesto zde stavy zaměstnanců mírně převyšovaly úroveň z roku 2019. Rozvoj digitalizace se odráží v postupném snižování pracovních míst v peněžnictví a pojišťovnictví, stavy zaměstnanců zde tak klesaly čtvrtý rok v řadě. Mimo služby se po většinu loňského roku udržovala relativně vysoká poptávka po pracovnících ve stavebnictví. Zaměstnanců zde loni přibylo o 2,1 %, jejich počet rostl třetí rok v řadě rychleji než v celé ekonomice. Naopak </w:t>
            </w:r>
            <w:r>
              <w:rPr>
                <w:color w:val="0D0D0D" w:themeColor="text1" w:themeTint="F2"/>
                <w:spacing w:val="-4"/>
              </w:rPr>
              <w:t>v</w:t>
            </w:r>
            <w:r w:rsidRPr="00045F54">
              <w:rPr>
                <w:color w:val="0D0D0D" w:themeColor="text1" w:themeTint="F2"/>
                <w:spacing w:val="-4"/>
              </w:rPr>
              <w:t xml:space="preserve">e zpracovatelském průmyslu se vlivem </w:t>
            </w:r>
            <w:r>
              <w:rPr>
                <w:color w:val="0D0D0D" w:themeColor="text1" w:themeTint="F2"/>
                <w:spacing w:val="-4"/>
              </w:rPr>
              <w:t>silných nákladových tlaků i</w:t>
            </w:r>
            <w:r w:rsidRPr="00045F54">
              <w:rPr>
                <w:color w:val="0D0D0D" w:themeColor="text1" w:themeTint="F2"/>
                <w:spacing w:val="-4"/>
              </w:rPr>
              <w:t xml:space="preserve"> váznoucí zahraniční poptávky projevilo postupné zhoršování situace </w:t>
            </w:r>
            <w:r w:rsidRPr="00045F54">
              <w:rPr>
                <w:color w:val="0D0D0D" w:themeColor="text1" w:themeTint="F2"/>
                <w:spacing w:val="-4"/>
              </w:rPr>
              <w:lastRenderedPageBreak/>
              <w:t>zaměstnanců a zejména energeticky náročné obory stále častěji přistupovaly k rušení pracovních míst</w:t>
            </w:r>
            <w:r w:rsidRPr="00045F54">
              <w:rPr>
                <w:rStyle w:val="Znakapoznpodarou"/>
                <w:color w:val="0D0D0D" w:themeColor="text1" w:themeTint="F2"/>
                <w:spacing w:val="-4"/>
              </w:rPr>
              <w:footnoteReference w:id="72"/>
            </w:r>
            <w:r>
              <w:rPr>
                <w:color w:val="0D0D0D" w:themeColor="text1" w:themeTint="F2"/>
                <w:spacing w:val="-4"/>
              </w:rPr>
              <w:t xml:space="preserve"> (v</w:t>
            </w:r>
            <w:r w:rsidRPr="00045F54">
              <w:rPr>
                <w:color w:val="0D0D0D" w:themeColor="text1" w:themeTint="F2"/>
                <w:spacing w:val="-4"/>
              </w:rPr>
              <w:t> </w:t>
            </w:r>
            <w:r>
              <w:rPr>
                <w:color w:val="0D0D0D" w:themeColor="text1" w:themeTint="F2"/>
                <w:spacing w:val="-4"/>
              </w:rPr>
              <w:t>celém odvětví jich tak loni ubylo o 1,1</w:t>
            </w:r>
            <w:r w:rsidRPr="00045F54">
              <w:rPr>
                <w:color w:val="0D0D0D" w:themeColor="text1" w:themeTint="F2"/>
                <w:spacing w:val="-4"/>
              </w:rPr>
              <w:t xml:space="preserve"> %)</w:t>
            </w:r>
            <w:r>
              <w:rPr>
                <w:color w:val="0D0D0D" w:themeColor="text1" w:themeTint="F2"/>
                <w:spacing w:val="-4"/>
              </w:rPr>
              <w:t>.</w:t>
            </w:r>
          </w:p>
        </w:tc>
      </w:tr>
      <w:tr w:rsidR="00582A12" w:rsidRPr="009F0D7F" w14:paraId="3DF6BFD0" w14:textId="77777777" w:rsidTr="00BA5125">
        <w:trPr>
          <w:trHeight w:val="155"/>
        </w:trPr>
        <w:tc>
          <w:tcPr>
            <w:tcW w:w="1754" w:type="dxa"/>
            <w:shd w:val="clear" w:color="auto" w:fill="auto"/>
            <w:tcMar>
              <w:left w:w="0" w:type="dxa"/>
            </w:tcMar>
          </w:tcPr>
          <w:p w14:paraId="1F91E3EF" w14:textId="77777777" w:rsidR="00582A12" w:rsidRDefault="00582A12" w:rsidP="00BA5125">
            <w:pPr>
              <w:pStyle w:val="Marginlie"/>
              <w:spacing w:after="120"/>
              <w:rPr>
                <w:color w:val="0D0D0D" w:themeColor="text1" w:themeTint="F2"/>
                <w:spacing w:val="-4"/>
              </w:rPr>
            </w:pPr>
            <w:r>
              <w:rPr>
                <w:color w:val="0D0D0D" w:themeColor="text1" w:themeTint="F2"/>
                <w:spacing w:val="-4"/>
              </w:rPr>
              <w:lastRenderedPageBreak/>
              <w:t>K oživení drobného podnikání došlo napříč všemi hlavními odvětvími.</w:t>
            </w:r>
          </w:p>
        </w:tc>
        <w:tc>
          <w:tcPr>
            <w:tcW w:w="220" w:type="dxa"/>
            <w:shd w:val="clear" w:color="auto" w:fill="auto"/>
            <w:tcMar>
              <w:left w:w="0" w:type="dxa"/>
            </w:tcMar>
          </w:tcPr>
          <w:p w14:paraId="3AE1F83B" w14:textId="77777777" w:rsidR="00582A12" w:rsidRPr="009F0D7F"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09FCAFF3" w14:textId="77777777" w:rsidR="00582A12" w:rsidRPr="00DE14C8" w:rsidRDefault="00582A12" w:rsidP="00BA5125">
            <w:pPr>
              <w:rPr>
                <w:color w:val="0D0D0D" w:themeColor="text1" w:themeTint="F2"/>
                <w:spacing w:val="-4"/>
              </w:rPr>
            </w:pPr>
            <w:r>
              <w:t xml:space="preserve">Po delší době se ve vývoji zaměstnanosti příznivě promítlo oživení podnikatelské činnosti. Stavy </w:t>
            </w:r>
            <w:proofErr w:type="spellStart"/>
            <w:r>
              <w:t>s</w:t>
            </w:r>
            <w:r>
              <w:rPr>
                <w:color w:val="0D0D0D" w:themeColor="text1" w:themeTint="F2"/>
                <w:spacing w:val="-4"/>
              </w:rPr>
              <w:t>ebezaměstnaných</w:t>
            </w:r>
            <w:proofErr w:type="spellEnd"/>
            <w:r>
              <w:rPr>
                <w:rStyle w:val="Znakapoznpodarou"/>
                <w:spacing w:val="-5"/>
              </w:rPr>
              <w:footnoteReference w:id="73"/>
            </w:r>
            <w:r>
              <w:rPr>
                <w:color w:val="0D0D0D" w:themeColor="text1" w:themeTint="F2"/>
                <w:spacing w:val="-4"/>
              </w:rPr>
              <w:t xml:space="preserve"> loni vzrostly o</w:t>
            </w:r>
            <w:r>
              <w:t> </w:t>
            </w:r>
            <w:r>
              <w:rPr>
                <w:color w:val="0D0D0D" w:themeColor="text1" w:themeTint="F2"/>
                <w:spacing w:val="-4"/>
              </w:rPr>
              <w:t>2,4 % (nejvíce po roce 2010), zejména díky profesním, vědeckým</w:t>
            </w:r>
            <w:r w:rsidRPr="00715226">
              <w:rPr>
                <w:color w:val="0D0D0D" w:themeColor="text1" w:themeTint="F2"/>
                <w:spacing w:val="-4"/>
              </w:rPr>
              <w:t>, tech</w:t>
            </w:r>
            <w:r>
              <w:rPr>
                <w:color w:val="0D0D0D" w:themeColor="text1" w:themeTint="F2"/>
                <w:spacing w:val="-4"/>
              </w:rPr>
              <w:t>nickým a administrativním činnostem (+2 tis.). Relativně nejvíce jich pak přibylo i v informačních a komunikačních činnostech (+8</w:t>
            </w:r>
            <w:r>
              <w:t> </w:t>
            </w:r>
            <w:r>
              <w:rPr>
                <w:color w:val="0D0D0D" w:themeColor="text1" w:themeTint="F2"/>
                <w:spacing w:val="-4"/>
              </w:rPr>
              <w:t xml:space="preserve">%) a finančnictví (+5 %), a to vlivem nižší loňské základny či možným „přechodem“ ze zaměstnaneckého postavení. Aspoň mírný růst počtu drobných podnikatelů však nastal ve všech hlavních odvětvích. I tak </w:t>
            </w:r>
            <w:r>
              <w:rPr>
                <w:color w:val="0D0D0D" w:themeColor="text1" w:themeTint="F2"/>
                <w:spacing w:val="-6"/>
              </w:rPr>
              <w:t>zůstal</w:t>
            </w:r>
            <w:r w:rsidRPr="00856E0C">
              <w:rPr>
                <w:color w:val="0D0D0D" w:themeColor="text1" w:themeTint="F2"/>
                <w:spacing w:val="-6"/>
              </w:rPr>
              <w:t xml:space="preserve"> ve 4. čtvrtletí 2023 jejich počet stále citelně pod úrovní z roku 2019 </w:t>
            </w:r>
            <w:r>
              <w:rPr>
                <w:color w:val="0D0D0D" w:themeColor="text1" w:themeTint="F2"/>
                <w:spacing w:val="-6"/>
              </w:rPr>
              <w:br/>
            </w:r>
            <w:r w:rsidRPr="00856E0C">
              <w:rPr>
                <w:color w:val="0D0D0D" w:themeColor="text1" w:themeTint="F2"/>
                <w:spacing w:val="-6"/>
              </w:rPr>
              <w:t>(</w:t>
            </w:r>
            <w:r>
              <w:rPr>
                <w:color w:val="0D0D0D" w:themeColor="text1" w:themeTint="F2"/>
                <w:spacing w:val="-6"/>
              </w:rPr>
              <w:t>−</w:t>
            </w:r>
            <w:r w:rsidRPr="00856E0C">
              <w:rPr>
                <w:color w:val="0D0D0D" w:themeColor="text1" w:themeTint="F2"/>
                <w:spacing w:val="-6"/>
              </w:rPr>
              <w:t xml:space="preserve">5 %, </w:t>
            </w:r>
            <w:r>
              <w:rPr>
                <w:color w:val="0D0D0D" w:themeColor="text1" w:themeTint="F2"/>
                <w:spacing w:val="-6"/>
              </w:rPr>
              <w:t>−</w:t>
            </w:r>
            <w:r w:rsidRPr="00856E0C">
              <w:rPr>
                <w:color w:val="0D0D0D" w:themeColor="text1" w:themeTint="F2"/>
                <w:spacing w:val="-6"/>
              </w:rPr>
              <w:t>36 tis. osob)</w:t>
            </w:r>
            <w:r w:rsidRPr="00856E0C">
              <w:rPr>
                <w:rStyle w:val="Znakapoznpodarou"/>
                <w:color w:val="0D0D0D" w:themeColor="text1" w:themeTint="F2"/>
                <w:spacing w:val="-6"/>
              </w:rPr>
              <w:footnoteReference w:id="74"/>
            </w:r>
            <w:r w:rsidRPr="00856E0C">
              <w:rPr>
                <w:color w:val="0D0D0D" w:themeColor="text1" w:themeTint="F2"/>
                <w:spacing w:val="-6"/>
              </w:rPr>
              <w:t>.</w:t>
            </w:r>
            <w:r w:rsidRPr="00E2089B">
              <w:rPr>
                <w:color w:val="0D0D0D" w:themeColor="text1" w:themeTint="F2"/>
                <w:spacing w:val="-4"/>
              </w:rPr>
              <w:t xml:space="preserve"> </w:t>
            </w:r>
          </w:p>
        </w:tc>
      </w:tr>
      <w:tr w:rsidR="00582A12" w:rsidRPr="009F0D7F" w14:paraId="3CC15C6F" w14:textId="77777777" w:rsidTr="00BA5125">
        <w:trPr>
          <w:trHeight w:val="155"/>
        </w:trPr>
        <w:tc>
          <w:tcPr>
            <w:tcW w:w="1754" w:type="dxa"/>
            <w:shd w:val="clear" w:color="auto" w:fill="auto"/>
            <w:tcMar>
              <w:left w:w="0" w:type="dxa"/>
            </w:tcMar>
          </w:tcPr>
          <w:p w14:paraId="3E2973CB" w14:textId="77777777" w:rsidR="00582A12" w:rsidRDefault="00582A12" w:rsidP="00BA5125">
            <w:pPr>
              <w:pStyle w:val="Marginlie"/>
              <w:spacing w:after="120"/>
              <w:rPr>
                <w:color w:val="0D0D0D" w:themeColor="text1" w:themeTint="F2"/>
                <w:spacing w:val="-4"/>
              </w:rPr>
            </w:pPr>
            <w:r>
              <w:rPr>
                <w:color w:val="0D0D0D" w:themeColor="text1" w:themeTint="F2"/>
                <w:spacing w:val="-4"/>
              </w:rPr>
              <w:t>Rostl počet specialistů, přibývalo zaměstnaných žen.</w:t>
            </w:r>
          </w:p>
        </w:tc>
        <w:tc>
          <w:tcPr>
            <w:tcW w:w="220" w:type="dxa"/>
            <w:shd w:val="clear" w:color="auto" w:fill="auto"/>
            <w:tcMar>
              <w:left w:w="0" w:type="dxa"/>
            </w:tcMar>
          </w:tcPr>
          <w:p w14:paraId="574BF56E" w14:textId="77777777" w:rsidR="00582A12" w:rsidRPr="009F0D7F"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18137021" w14:textId="77777777" w:rsidR="00582A12" w:rsidRDefault="00582A12" w:rsidP="00BA5125">
            <w:r>
              <w:rPr>
                <w:color w:val="0D0D0D" w:themeColor="text1" w:themeTint="F2"/>
                <w:spacing w:val="-4"/>
              </w:rPr>
              <w:t>V</w:t>
            </w:r>
            <w:r w:rsidRPr="00E2089B">
              <w:rPr>
                <w:color w:val="0D0D0D" w:themeColor="text1" w:themeTint="F2"/>
                <w:spacing w:val="-4"/>
              </w:rPr>
              <w:t>ýše uvedené odvětvové posuny se promítly do změny profesní skladby</w:t>
            </w:r>
            <w:r>
              <w:rPr>
                <w:color w:val="0D0D0D" w:themeColor="text1" w:themeTint="F2"/>
                <w:spacing w:val="-4"/>
              </w:rPr>
              <w:t xml:space="preserve"> všech </w:t>
            </w:r>
            <w:r w:rsidRPr="00E2089B">
              <w:rPr>
                <w:color w:val="0D0D0D" w:themeColor="text1" w:themeTint="F2"/>
                <w:spacing w:val="-4"/>
              </w:rPr>
              <w:t>pracujících.</w:t>
            </w:r>
            <w:r>
              <w:rPr>
                <w:color w:val="0D0D0D" w:themeColor="text1" w:themeTint="F2"/>
                <w:spacing w:val="-4"/>
              </w:rPr>
              <w:t xml:space="preserve"> Dle údajů z VŠPS se </w:t>
            </w:r>
            <w:r w:rsidRPr="00424DE4">
              <w:rPr>
                <w:color w:val="0D0D0D" w:themeColor="text1" w:themeTint="F2"/>
                <w:spacing w:val="-4"/>
              </w:rPr>
              <w:t>loni ve 4. čtvrtletí významněji meziročn</w:t>
            </w:r>
            <w:r>
              <w:rPr>
                <w:color w:val="0D0D0D" w:themeColor="text1" w:themeTint="F2"/>
                <w:spacing w:val="-4"/>
              </w:rPr>
              <w:t>ě zvýšil počet specialistů (+69 </w:t>
            </w:r>
            <w:r w:rsidRPr="00424DE4">
              <w:rPr>
                <w:color w:val="0D0D0D" w:themeColor="text1" w:themeTint="F2"/>
                <w:spacing w:val="-4"/>
              </w:rPr>
              <w:t>tis.), ale i řemeslníků a opravářů (+33 tis.). Ubylo hlavně úřednických pozic (</w:t>
            </w:r>
            <w:r>
              <w:rPr>
                <w:color w:val="0D0D0D" w:themeColor="text1" w:themeTint="F2"/>
                <w:spacing w:val="-4"/>
              </w:rPr>
              <w:t>−</w:t>
            </w:r>
            <w:r w:rsidRPr="00424DE4">
              <w:rPr>
                <w:color w:val="0D0D0D" w:themeColor="text1" w:themeTint="F2"/>
                <w:spacing w:val="-4"/>
              </w:rPr>
              <w:t xml:space="preserve">62 tis.), což může souviset s postupující digitalizací ve finančnictví, obchodu i ve veřejné správě. </w:t>
            </w:r>
            <w:r>
              <w:rPr>
                <w:color w:val="0D0D0D" w:themeColor="text1" w:themeTint="F2"/>
                <w:spacing w:val="-4"/>
              </w:rPr>
              <w:t xml:space="preserve">Měnily se i další strukturální charakteristiky – z rozvoje služeb profitovaly ve větší míře ženy. Jejich míra zaměstnanosti (ve věku 15 až 64 let) meziročně vzrostla o 0,7 p. b. (na 68,8 %), u mužů se naopak snížila o 0,8 p. b. (na 81,5 %). I tak stále patřila zaměstnanost mužů v ČR spolu s Nizozemskem (85,9 %) a Maltou (85,5 %) v rámci zemí EU k nejvyšším. </w:t>
            </w:r>
          </w:p>
        </w:tc>
      </w:tr>
      <w:tr w:rsidR="00582A12" w:rsidRPr="009F0D7F" w14:paraId="7E5C333D" w14:textId="77777777" w:rsidTr="00BA5125">
        <w:trPr>
          <w:trHeight w:val="155"/>
        </w:trPr>
        <w:tc>
          <w:tcPr>
            <w:tcW w:w="1754" w:type="dxa"/>
            <w:shd w:val="clear" w:color="auto" w:fill="auto"/>
            <w:tcMar>
              <w:left w:w="0" w:type="dxa"/>
            </w:tcMar>
          </w:tcPr>
          <w:p w14:paraId="6103DBE0" w14:textId="77777777" w:rsidR="00582A12" w:rsidRDefault="00582A12" w:rsidP="00BA5125">
            <w:pPr>
              <w:pStyle w:val="Marginlie"/>
              <w:spacing w:after="120"/>
              <w:rPr>
                <w:color w:val="0D0D0D" w:themeColor="text1" w:themeTint="F2"/>
                <w:spacing w:val="-4"/>
              </w:rPr>
            </w:pPr>
            <w:r>
              <w:rPr>
                <w:color w:val="0D0D0D" w:themeColor="text1" w:themeTint="F2"/>
                <w:spacing w:val="-4"/>
              </w:rPr>
              <w:t>Počet cizinců v zaměstnaneckém postavení vystoupal na konci roku na 824 tis. Na jeho meziročním přírůstku se z poloviny podíleli Ukrajinci. Zrychlil příliv pracovníků z některých asijských států.</w:t>
            </w:r>
          </w:p>
        </w:tc>
        <w:tc>
          <w:tcPr>
            <w:tcW w:w="220" w:type="dxa"/>
            <w:shd w:val="clear" w:color="auto" w:fill="auto"/>
            <w:tcMar>
              <w:left w:w="0" w:type="dxa"/>
            </w:tcMar>
          </w:tcPr>
          <w:p w14:paraId="6C16FA23" w14:textId="77777777" w:rsidR="00582A12" w:rsidRPr="009F0D7F"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488701C8" w14:textId="77777777" w:rsidR="00582A12" w:rsidRPr="00045F54" w:rsidRDefault="00582A12" w:rsidP="00BA5125">
            <w:pPr>
              <w:rPr>
                <w:color w:val="0D0D0D" w:themeColor="text1" w:themeTint="F2"/>
                <w:spacing w:val="-4"/>
              </w:rPr>
            </w:pPr>
            <w:r>
              <w:rPr>
                <w:color w:val="0D0D0D" w:themeColor="text1" w:themeTint="F2"/>
                <w:spacing w:val="-6"/>
              </w:rPr>
              <w:t>Dlouhodobě omezený rezervoár</w:t>
            </w:r>
            <w:r w:rsidRPr="00031007">
              <w:rPr>
                <w:color w:val="0D0D0D" w:themeColor="text1" w:themeTint="F2"/>
                <w:spacing w:val="-6"/>
              </w:rPr>
              <w:t xml:space="preserve"> volných </w:t>
            </w:r>
            <w:r>
              <w:rPr>
                <w:color w:val="0D0D0D" w:themeColor="text1" w:themeTint="F2"/>
                <w:spacing w:val="-6"/>
              </w:rPr>
              <w:t>pracovních sil v Česku i sílící tlak firem</w:t>
            </w:r>
            <w:r w:rsidRPr="00031007">
              <w:rPr>
                <w:color w:val="0D0D0D" w:themeColor="text1" w:themeTint="F2"/>
                <w:spacing w:val="-6"/>
              </w:rPr>
              <w:t xml:space="preserve"> na </w:t>
            </w:r>
            <w:r w:rsidRPr="00EC70E1">
              <w:rPr>
                <w:color w:val="0D0D0D" w:themeColor="text1" w:themeTint="F2"/>
                <w:spacing w:val="-6"/>
              </w:rPr>
              <w:t>optimalizac</w:t>
            </w:r>
            <w:r w:rsidRPr="0041310F">
              <w:rPr>
                <w:color w:val="0D0D0D" w:themeColor="text1" w:themeTint="F2"/>
                <w:spacing w:val="-6"/>
              </w:rPr>
              <w:t xml:space="preserve">i výrobních nákladů sytily rostoucí poptávku tuzemských zaměstnavatelů po pracovnících ze zahraničí. </w:t>
            </w:r>
            <w:r>
              <w:rPr>
                <w:color w:val="0D0D0D" w:themeColor="text1" w:themeTint="F2"/>
                <w:spacing w:val="-6"/>
              </w:rPr>
              <w:t>Snadnějšímu zaměstnávání cizinců pomáhají legislativní změny snižující administrativní náročnost v této oblasti. Dlouhodobý růst přílivu zahraničních pracovníků do Česka tak pokračoval i v roce 2023. Na jeho konci bylo na MPSV registrováno 824 tis. cizinců v zaměstnaneckém postavení (meziročně o 31 tis. více), cizích státních příslušníků s živnostenským oprávněním v Česku</w:t>
            </w:r>
            <w:r>
              <w:rPr>
                <w:rStyle w:val="Znakapoznpodarou"/>
                <w:color w:val="0D0D0D" w:themeColor="text1" w:themeTint="F2"/>
                <w:spacing w:val="-6"/>
              </w:rPr>
              <w:footnoteReference w:id="75"/>
            </w:r>
            <w:r>
              <w:rPr>
                <w:color w:val="0D0D0D" w:themeColor="text1" w:themeTint="F2"/>
                <w:spacing w:val="-6"/>
              </w:rPr>
              <w:t xml:space="preserve"> evidovalo MPO 118 tis. (+6 tis.). V obou případech sice došlo loni ve srovnání s rokem 2022 k citelnému zpomalení růstu, to však lze z velké části přičíst bezprecedentní uprchlické vlně z Ukrajiny, jež vrcholila právě předloni</w:t>
            </w:r>
            <w:r>
              <w:rPr>
                <w:rStyle w:val="Znakapoznpodarou"/>
                <w:color w:val="0D0D0D" w:themeColor="text1" w:themeTint="F2"/>
                <w:spacing w:val="-6"/>
              </w:rPr>
              <w:footnoteReference w:id="76"/>
            </w:r>
            <w:r>
              <w:rPr>
                <w:color w:val="0D0D0D" w:themeColor="text1" w:themeTint="F2"/>
                <w:spacing w:val="-6"/>
              </w:rPr>
              <w:t>. Přesto i za loňský rok přispěli k vyššímu počtu cizinců v roli zaměstnanců celou polovinou Ukrajinci (+15,7 tis., z toho ženy +9,2 tis.), z dalších „třetích zemí“ pak Filipínci (+2,4</w:t>
            </w:r>
            <w:r>
              <w:t> </w:t>
            </w:r>
            <w:r>
              <w:rPr>
                <w:color w:val="0D0D0D" w:themeColor="text1" w:themeTint="F2"/>
                <w:spacing w:val="-6"/>
              </w:rPr>
              <w:t>tis., jejichž počet vzrostl meziročně o polovinu), Indové (+1,2 tis.) a Turci (+1,1 tis.). Ze států EU přibylo významně pouze Slováků (+2,8 tis, relativně ale jen o 1,3 %), naopak občanů Rumunska a Bulharska mírně ubylo druhý rok v řadě.</w:t>
            </w:r>
          </w:p>
        </w:tc>
      </w:tr>
      <w:tr w:rsidR="00582A12" w:rsidRPr="009F0D7F" w14:paraId="437D3ED5" w14:textId="77777777" w:rsidTr="00BA5125">
        <w:trPr>
          <w:trHeight w:val="155"/>
        </w:trPr>
        <w:tc>
          <w:tcPr>
            <w:tcW w:w="1754" w:type="dxa"/>
            <w:shd w:val="clear" w:color="auto" w:fill="auto"/>
            <w:tcMar>
              <w:left w:w="0" w:type="dxa"/>
            </w:tcMar>
          </w:tcPr>
          <w:p w14:paraId="3226A658" w14:textId="77777777" w:rsidR="00582A12" w:rsidRDefault="00582A12" w:rsidP="00BA5125">
            <w:pPr>
              <w:pStyle w:val="Marginlie"/>
              <w:spacing w:after="120"/>
              <w:rPr>
                <w:color w:val="0D0D0D" w:themeColor="text1" w:themeTint="F2"/>
                <w:spacing w:val="-4"/>
              </w:rPr>
            </w:pPr>
            <w:r>
              <w:rPr>
                <w:color w:val="0D0D0D" w:themeColor="text1" w:themeTint="F2"/>
                <w:spacing w:val="-4"/>
              </w:rPr>
              <w:t>Proti rychlejšímu růstu odpracovaných hodin působilo častější využívání zkrácených pracovních úvazků, zejména ve službách.</w:t>
            </w:r>
          </w:p>
        </w:tc>
        <w:tc>
          <w:tcPr>
            <w:tcW w:w="220" w:type="dxa"/>
            <w:shd w:val="clear" w:color="auto" w:fill="auto"/>
            <w:tcMar>
              <w:left w:w="0" w:type="dxa"/>
            </w:tcMar>
          </w:tcPr>
          <w:p w14:paraId="0FC84920" w14:textId="77777777" w:rsidR="00582A12" w:rsidRPr="009F0D7F"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11AA0B39" w14:textId="77777777" w:rsidR="00582A12" w:rsidRPr="00045F54" w:rsidRDefault="00582A12" w:rsidP="00BA5125">
            <w:pPr>
              <w:rPr>
                <w:color w:val="0D0D0D" w:themeColor="text1" w:themeTint="F2"/>
                <w:spacing w:val="-4"/>
              </w:rPr>
            </w:pPr>
            <w:r w:rsidRPr="00045F54">
              <w:rPr>
                <w:color w:val="0D0D0D" w:themeColor="text1" w:themeTint="F2"/>
                <w:spacing w:val="-4"/>
              </w:rPr>
              <w:t xml:space="preserve">Celkový </w:t>
            </w:r>
            <w:r w:rsidRPr="00593B91">
              <w:rPr>
                <w:color w:val="0D0D0D" w:themeColor="text1" w:themeTint="F2"/>
                <w:spacing w:val="-4"/>
              </w:rPr>
              <w:t xml:space="preserve">počet odpracovaných hodin v ekonomice </w:t>
            </w:r>
            <w:r>
              <w:rPr>
                <w:color w:val="0D0D0D" w:themeColor="text1" w:themeTint="F2"/>
                <w:spacing w:val="-4"/>
              </w:rPr>
              <w:t xml:space="preserve">se loni </w:t>
            </w:r>
            <w:r w:rsidRPr="00045F54">
              <w:rPr>
                <w:color w:val="0D0D0D" w:themeColor="text1" w:themeTint="F2"/>
                <w:spacing w:val="-4"/>
              </w:rPr>
              <w:t>téměř vrátil na úroveň z roku 2019.</w:t>
            </w:r>
            <w:r>
              <w:rPr>
                <w:color w:val="0D0D0D" w:themeColor="text1" w:themeTint="F2"/>
                <w:spacing w:val="-4"/>
              </w:rPr>
              <w:t xml:space="preserve"> Meziročně se zvýšil o 0,6 % (</w:t>
            </w:r>
            <w:r w:rsidRPr="00045F54">
              <w:rPr>
                <w:color w:val="0D0D0D" w:themeColor="text1" w:themeTint="F2"/>
                <w:spacing w:val="-4"/>
              </w:rPr>
              <w:t>srovnatelně jako celko</w:t>
            </w:r>
            <w:r>
              <w:rPr>
                <w:color w:val="0D0D0D" w:themeColor="text1" w:themeTint="F2"/>
                <w:spacing w:val="-4"/>
              </w:rPr>
              <w:t xml:space="preserve">vá zaměstnanost, po celý </w:t>
            </w:r>
            <w:r w:rsidRPr="00045F54">
              <w:rPr>
                <w:color w:val="0D0D0D" w:themeColor="text1" w:themeTint="F2"/>
                <w:spacing w:val="-4"/>
              </w:rPr>
              <w:t xml:space="preserve">rok </w:t>
            </w:r>
            <w:r>
              <w:rPr>
                <w:color w:val="0D0D0D" w:themeColor="text1" w:themeTint="F2"/>
                <w:spacing w:val="-4"/>
              </w:rPr>
              <w:t xml:space="preserve">2022 </w:t>
            </w:r>
            <w:r w:rsidRPr="00045F54">
              <w:rPr>
                <w:color w:val="0D0D0D" w:themeColor="text1" w:themeTint="F2"/>
                <w:spacing w:val="-4"/>
              </w:rPr>
              <w:t xml:space="preserve">přitom odpracovaná </w:t>
            </w:r>
            <w:r>
              <w:rPr>
                <w:color w:val="0D0D0D" w:themeColor="text1" w:themeTint="F2"/>
                <w:spacing w:val="-4"/>
              </w:rPr>
              <w:t>doba výrazně předbíhala tempo růstu</w:t>
            </w:r>
            <w:r w:rsidRPr="00045F54">
              <w:rPr>
                <w:color w:val="0D0D0D" w:themeColor="text1" w:themeTint="F2"/>
                <w:spacing w:val="-4"/>
              </w:rPr>
              <w:t xml:space="preserve"> z</w:t>
            </w:r>
            <w:r>
              <w:rPr>
                <w:color w:val="0D0D0D" w:themeColor="text1" w:themeTint="F2"/>
                <w:spacing w:val="-4"/>
              </w:rPr>
              <w:t>aměstnanosti)</w:t>
            </w:r>
            <w:r w:rsidRPr="00045F54">
              <w:rPr>
                <w:color w:val="0D0D0D" w:themeColor="text1" w:themeTint="F2"/>
                <w:spacing w:val="-4"/>
              </w:rPr>
              <w:t>. Proti svižnějš</w:t>
            </w:r>
            <w:r>
              <w:rPr>
                <w:color w:val="0D0D0D" w:themeColor="text1" w:themeTint="F2"/>
                <w:spacing w:val="-4"/>
              </w:rPr>
              <w:t>ímu růstu odpracované doby loni</w:t>
            </w:r>
            <w:r w:rsidRPr="00045F54">
              <w:rPr>
                <w:color w:val="0D0D0D" w:themeColor="text1" w:themeTint="F2"/>
                <w:spacing w:val="-4"/>
              </w:rPr>
              <w:t xml:space="preserve"> působilo rozšiřování zkrácených pracovních úvazků (související s rostoucí zaměstnaností žen podpořenou uprchlickou vlnou i nově zavedeným daňovým </w:t>
            </w:r>
            <w:r w:rsidRPr="00097D45">
              <w:rPr>
                <w:color w:val="0D0D0D" w:themeColor="text1" w:themeTint="F2"/>
                <w:spacing w:val="-6"/>
              </w:rPr>
              <w:t>zvýhodněním zkrácených úvazků)</w:t>
            </w:r>
            <w:r w:rsidRPr="00097D45">
              <w:rPr>
                <w:rStyle w:val="Znakapoznpodarou"/>
                <w:color w:val="0D0D0D" w:themeColor="text1" w:themeTint="F2"/>
                <w:spacing w:val="-6"/>
              </w:rPr>
              <w:footnoteReference w:id="77"/>
            </w:r>
            <w:r w:rsidRPr="00097D45">
              <w:rPr>
                <w:color w:val="0D0D0D" w:themeColor="text1" w:themeTint="F2"/>
                <w:spacing w:val="-6"/>
              </w:rPr>
              <w:t xml:space="preserve">. Růst odpracované doby </w:t>
            </w:r>
            <w:r w:rsidRPr="00097D45">
              <w:rPr>
                <w:color w:val="0D0D0D" w:themeColor="text1" w:themeTint="F2"/>
                <w:spacing w:val="-6"/>
              </w:rPr>
              <w:lastRenderedPageBreak/>
              <w:t>významněji předbíhal dynamiku</w:t>
            </w:r>
            <w:r>
              <w:rPr>
                <w:color w:val="0D0D0D" w:themeColor="text1" w:themeTint="F2"/>
                <w:spacing w:val="-4"/>
              </w:rPr>
              <w:t xml:space="preserve"> </w:t>
            </w:r>
            <w:r w:rsidRPr="006B022E">
              <w:rPr>
                <w:color w:val="0D0D0D" w:themeColor="text1" w:themeTint="F2"/>
                <w:spacing w:val="-6"/>
              </w:rPr>
              <w:t>zaměstnanosti jen ve zpracovatelském průmyslu, ve většině odvětví služeb tomu bylo naopak.</w:t>
            </w:r>
          </w:p>
        </w:tc>
      </w:tr>
      <w:tr w:rsidR="00582A12" w:rsidRPr="009F0D7F" w14:paraId="5463AD30" w14:textId="77777777" w:rsidTr="00BA5125">
        <w:trPr>
          <w:trHeight w:val="155"/>
        </w:trPr>
        <w:tc>
          <w:tcPr>
            <w:tcW w:w="1754" w:type="dxa"/>
            <w:shd w:val="clear" w:color="auto" w:fill="auto"/>
            <w:tcMar>
              <w:left w:w="0" w:type="dxa"/>
            </w:tcMar>
          </w:tcPr>
          <w:p w14:paraId="36E042E7" w14:textId="77777777" w:rsidR="00582A12" w:rsidRDefault="00582A12" w:rsidP="00BA5125">
            <w:pPr>
              <w:pStyle w:val="Marginlie"/>
              <w:spacing w:after="120"/>
              <w:rPr>
                <w:color w:val="0D0D0D" w:themeColor="text1" w:themeTint="F2"/>
                <w:spacing w:val="-4"/>
              </w:rPr>
            </w:pPr>
            <w:r>
              <w:rPr>
                <w:color w:val="0D0D0D" w:themeColor="text1" w:themeTint="F2"/>
                <w:spacing w:val="-4"/>
              </w:rPr>
              <w:lastRenderedPageBreak/>
              <w:t>Hodinová produktivita práce se meziročně mírně snížila podruhé v řadě. Ve srovnání s úrovní z roku 2019 ale nezaostávala.</w:t>
            </w:r>
          </w:p>
        </w:tc>
        <w:tc>
          <w:tcPr>
            <w:tcW w:w="220" w:type="dxa"/>
            <w:shd w:val="clear" w:color="auto" w:fill="auto"/>
            <w:tcMar>
              <w:left w:w="0" w:type="dxa"/>
            </w:tcMar>
          </w:tcPr>
          <w:p w14:paraId="5473635F" w14:textId="77777777" w:rsidR="00582A12" w:rsidRPr="009F0D7F"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69B809FA" w14:textId="77777777" w:rsidR="00582A12" w:rsidRPr="00045F54" w:rsidRDefault="00582A12" w:rsidP="00BA5125">
            <w:pPr>
              <w:rPr>
                <w:color w:val="0D0D0D" w:themeColor="text1" w:themeTint="F2"/>
                <w:spacing w:val="-4"/>
              </w:rPr>
            </w:pPr>
            <w:r>
              <w:rPr>
                <w:color w:val="0D0D0D" w:themeColor="text1" w:themeTint="F2"/>
                <w:spacing w:val="-5"/>
              </w:rPr>
              <w:t>Hodinová p</w:t>
            </w:r>
            <w:r w:rsidRPr="00303551">
              <w:rPr>
                <w:color w:val="0D0D0D" w:themeColor="text1" w:themeTint="F2"/>
                <w:spacing w:val="-5"/>
              </w:rPr>
              <w:t>roduktivita práce</w:t>
            </w:r>
            <w:r>
              <w:rPr>
                <w:rStyle w:val="Znakapoznpodarou"/>
                <w:color w:val="0D0D0D" w:themeColor="text1" w:themeTint="F2"/>
                <w:spacing w:val="-5"/>
              </w:rPr>
              <w:footnoteReference w:id="78"/>
            </w:r>
            <w:r>
              <w:rPr>
                <w:color w:val="0D0D0D" w:themeColor="text1" w:themeTint="F2"/>
                <w:spacing w:val="-5"/>
              </w:rPr>
              <w:t xml:space="preserve"> v celé ekonomice loni meziročně mírně poklesla (o 1,0</w:t>
            </w:r>
            <w:r w:rsidRPr="00303551">
              <w:rPr>
                <w:color w:val="0D0D0D" w:themeColor="text1" w:themeTint="F2"/>
                <w:spacing w:val="-5"/>
              </w:rPr>
              <w:t xml:space="preserve"> %)</w:t>
            </w:r>
            <w:r>
              <w:rPr>
                <w:color w:val="0D0D0D" w:themeColor="text1" w:themeTint="F2"/>
                <w:spacing w:val="-5"/>
              </w:rPr>
              <w:t xml:space="preserve"> a</w:t>
            </w:r>
            <w:r>
              <w:t> </w:t>
            </w:r>
            <w:r>
              <w:rPr>
                <w:color w:val="0D0D0D" w:themeColor="text1" w:themeTint="F2"/>
                <w:spacing w:val="-5"/>
              </w:rPr>
              <w:t xml:space="preserve">snižovala se druhý rok v řadě. V obou případech stála za nepříznivým vývojem produktivita v těžebním průmyslu a energetice, která jen za loňský rok klesla skoro o pětinu. Mírněji se loni snížila produktivita ve váhově významném uskupení </w:t>
            </w:r>
            <w:r>
              <w:t>o</w:t>
            </w:r>
            <w:r w:rsidRPr="001F7E30">
              <w:t xml:space="preserve">bchod, doprava, ubytování </w:t>
            </w:r>
            <w:r>
              <w:t>a </w:t>
            </w:r>
            <w:r w:rsidRPr="001F7E30">
              <w:t>pohostinství</w:t>
            </w:r>
            <w:r>
              <w:t xml:space="preserve"> (−1,6 %), lehký pokles ale nastal ve většině odvětví služeb. Naopak ve zpracovatelském průmyslu se produktivita zvyšovala třetí rok v řadě (loni o 2,2 %), ještě déle pak trval pozitivní vývoj v informačních a komunikačních činnostech – loňský růst činil 3,8 % a byl nejvyšší ze všech hlavních odvětví. Navzdory nepříznivému vývoji v posledních dvou letech loňská produktivita práce v tuzemské ekonomice prakticky nezaostala za úrovní z konjunkturního roku 2019 (−0,1 %). Růst produktivity ve zpracovatelském průmyslu (+7 %), informačních a komunikačních činnostech (+17 %) a finančnictví (+21 %) v tomto období tak kompenzoval poklesy v celém primárním sektoru ekonomiky, stavebnictví či v oblasti nemovitostí.</w:t>
            </w:r>
          </w:p>
        </w:tc>
      </w:tr>
      <w:tr w:rsidR="00582A12" w:rsidRPr="009F2A8A" w14:paraId="19C0A68A" w14:textId="77777777" w:rsidTr="00BA5125">
        <w:trPr>
          <w:trHeight w:val="155"/>
        </w:trPr>
        <w:tc>
          <w:tcPr>
            <w:tcW w:w="1754" w:type="dxa"/>
            <w:vMerge w:val="restart"/>
            <w:shd w:val="clear" w:color="auto" w:fill="auto"/>
            <w:tcMar>
              <w:left w:w="0" w:type="dxa"/>
            </w:tcMar>
          </w:tcPr>
          <w:p w14:paraId="0EF7DD76" w14:textId="77777777" w:rsidR="00582A12" w:rsidRPr="00B43216" w:rsidRDefault="00582A12" w:rsidP="00BA5125">
            <w:pPr>
              <w:pStyle w:val="Marginlie"/>
              <w:spacing w:after="120"/>
              <w:rPr>
                <w:spacing w:val="-4"/>
              </w:rPr>
            </w:pPr>
          </w:p>
        </w:tc>
        <w:tc>
          <w:tcPr>
            <w:tcW w:w="220" w:type="dxa"/>
            <w:vMerge w:val="restart"/>
            <w:shd w:val="clear" w:color="auto" w:fill="auto"/>
            <w:tcMar>
              <w:left w:w="0" w:type="dxa"/>
            </w:tcMar>
          </w:tcPr>
          <w:p w14:paraId="55F7B53C" w14:textId="77777777" w:rsidR="00582A12" w:rsidRPr="00B43216" w:rsidRDefault="00582A12" w:rsidP="00BA5125">
            <w:pPr>
              <w:pStyle w:val="Textpoznpodarou"/>
              <w:spacing w:after="120"/>
              <w:jc w:val="both"/>
              <w:rPr>
                <w:spacing w:val="-4"/>
              </w:rPr>
            </w:pPr>
          </w:p>
        </w:tc>
        <w:tc>
          <w:tcPr>
            <w:tcW w:w="7700" w:type="dxa"/>
            <w:shd w:val="clear" w:color="auto" w:fill="auto"/>
            <w:tcMar>
              <w:left w:w="0" w:type="dxa"/>
            </w:tcMar>
          </w:tcPr>
          <w:p w14:paraId="1AF08F92" w14:textId="77777777" w:rsidR="00582A12" w:rsidRPr="00CA5850" w:rsidRDefault="00582A12" w:rsidP="00BA5125">
            <w:pPr>
              <w:spacing w:after="0"/>
              <w:rPr>
                <w:spacing w:val="-2"/>
              </w:rPr>
            </w:pPr>
            <w:r>
              <w:rPr>
                <w:rFonts w:cs="Arial"/>
                <w:b/>
                <w:bCs/>
                <w:color w:val="000000"/>
                <w:szCs w:val="20"/>
              </w:rPr>
              <w:t>Graf č. 14</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tc>
      </w:tr>
      <w:tr w:rsidR="00582A12" w:rsidRPr="00B43216" w14:paraId="67A5583A" w14:textId="77777777" w:rsidTr="00BA5125">
        <w:tblPrEx>
          <w:tblCellMar>
            <w:left w:w="70" w:type="dxa"/>
            <w:right w:w="70" w:type="dxa"/>
          </w:tblCellMar>
        </w:tblPrEx>
        <w:trPr>
          <w:trHeight w:val="155"/>
        </w:trPr>
        <w:tc>
          <w:tcPr>
            <w:tcW w:w="1754" w:type="dxa"/>
            <w:vMerge/>
            <w:shd w:val="clear" w:color="auto" w:fill="auto"/>
          </w:tcPr>
          <w:p w14:paraId="0EC1AF16" w14:textId="77777777" w:rsidR="00582A12" w:rsidRPr="00B43216" w:rsidRDefault="00582A12" w:rsidP="00BA5125">
            <w:pPr>
              <w:pStyle w:val="Marginlie"/>
              <w:spacing w:after="120"/>
              <w:rPr>
                <w:spacing w:val="-4"/>
              </w:rPr>
            </w:pPr>
          </w:p>
        </w:tc>
        <w:tc>
          <w:tcPr>
            <w:tcW w:w="220" w:type="dxa"/>
            <w:vMerge/>
            <w:shd w:val="clear" w:color="auto" w:fill="auto"/>
          </w:tcPr>
          <w:p w14:paraId="3766A640" w14:textId="77777777" w:rsidR="00582A12" w:rsidRPr="00B43216" w:rsidRDefault="00582A12" w:rsidP="00BA5125">
            <w:pPr>
              <w:pStyle w:val="Textpoznpodarou"/>
              <w:spacing w:after="120"/>
              <w:jc w:val="both"/>
              <w:rPr>
                <w:spacing w:val="-4"/>
              </w:rPr>
            </w:pPr>
          </w:p>
        </w:tc>
        <w:tc>
          <w:tcPr>
            <w:tcW w:w="7700" w:type="dxa"/>
            <w:shd w:val="clear" w:color="auto" w:fill="auto"/>
          </w:tcPr>
          <w:p w14:paraId="7804B51F" w14:textId="77777777" w:rsidR="00582A12" w:rsidRPr="00B43216" w:rsidRDefault="00582A12" w:rsidP="00BA5125">
            <w:pPr>
              <w:spacing w:after="0"/>
              <w:rPr>
                <w:spacing w:val="-4"/>
              </w:rPr>
            </w:pPr>
            <w:r>
              <w:rPr>
                <w:noProof/>
              </w:rPr>
              <w:drawing>
                <wp:inline distT="0" distB="0" distL="0" distR="0" wp14:anchorId="20C368E5" wp14:editId="039BE2DA">
                  <wp:extent cx="4800764" cy="3659648"/>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2A12" w:rsidRPr="00485ED5" w14:paraId="2D0D5F6D" w14:textId="77777777" w:rsidTr="00BA5125">
        <w:trPr>
          <w:trHeight w:val="671"/>
        </w:trPr>
        <w:tc>
          <w:tcPr>
            <w:tcW w:w="1754" w:type="dxa"/>
            <w:vMerge/>
            <w:shd w:val="clear" w:color="auto" w:fill="auto"/>
            <w:tcMar>
              <w:left w:w="0" w:type="dxa"/>
            </w:tcMar>
          </w:tcPr>
          <w:p w14:paraId="4D368D8C" w14:textId="77777777" w:rsidR="00582A12" w:rsidRPr="00B43216" w:rsidRDefault="00582A12" w:rsidP="00BA5125">
            <w:pPr>
              <w:pStyle w:val="Marginlie"/>
              <w:spacing w:after="120"/>
              <w:rPr>
                <w:spacing w:val="-4"/>
              </w:rPr>
            </w:pPr>
          </w:p>
        </w:tc>
        <w:tc>
          <w:tcPr>
            <w:tcW w:w="220" w:type="dxa"/>
            <w:vMerge/>
            <w:shd w:val="clear" w:color="auto" w:fill="auto"/>
            <w:tcMar>
              <w:left w:w="0" w:type="dxa"/>
            </w:tcMar>
          </w:tcPr>
          <w:p w14:paraId="40E123F4" w14:textId="77777777" w:rsidR="00582A12" w:rsidRPr="00B43216" w:rsidRDefault="00582A12" w:rsidP="00BA5125">
            <w:pPr>
              <w:pStyle w:val="Textpoznpodarou"/>
              <w:spacing w:after="120"/>
              <w:jc w:val="both"/>
              <w:rPr>
                <w:spacing w:val="-4"/>
              </w:rPr>
            </w:pPr>
          </w:p>
        </w:tc>
        <w:tc>
          <w:tcPr>
            <w:tcW w:w="7700" w:type="dxa"/>
            <w:shd w:val="clear" w:color="auto" w:fill="auto"/>
            <w:tcMar>
              <w:left w:w="0" w:type="dxa"/>
            </w:tcMar>
          </w:tcPr>
          <w:p w14:paraId="182D174B" w14:textId="77777777" w:rsidR="00582A12" w:rsidRDefault="00582A12" w:rsidP="00BA5125">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14E34EF2" w14:textId="77777777" w:rsidR="00582A12" w:rsidRDefault="00582A12" w:rsidP="00BA5125">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 xml:space="preserve">očekávání vyjadřuje rozdíl v p. b. </w:t>
            </w:r>
            <w:proofErr w:type="gramStart"/>
            <w:r>
              <w:rPr>
                <w:rFonts w:cs="Arial"/>
                <w:color w:val="0D0D0D" w:themeColor="text1" w:themeTint="F2"/>
                <w:sz w:val="14"/>
                <w:szCs w:val="14"/>
              </w:rPr>
              <w:t>mezi</w:t>
            </w:r>
            <w:proofErr w:type="gramEnd"/>
            <w:r>
              <w:rPr>
                <w:rFonts w:cs="Arial"/>
                <w:color w:val="0D0D0D" w:themeColor="text1" w:themeTint="F2"/>
                <w:sz w:val="14"/>
                <w:szCs w:val="14"/>
              </w:rPr>
              <w:t xml:space="preserve"> kategoriemi růst versus pokles zaměstnanosti v nejbližších třech měsících. Údaje jsou sezónně očištěny a vztahují se k druhému měsíci daného čtvrtletí.</w:t>
            </w:r>
          </w:p>
          <w:p w14:paraId="6F586451" w14:textId="77777777" w:rsidR="00582A12" w:rsidRPr="00485ED5" w:rsidRDefault="00582A12" w:rsidP="00BA5125">
            <w:pPr>
              <w:spacing w:after="200" w:line="240" w:lineRule="auto"/>
              <w:rPr>
                <w:rFonts w:cs="Arial"/>
                <w:color w:val="0D0D0D" w:themeColor="text1" w:themeTint="F2"/>
                <w:spacing w:val="-2"/>
                <w:sz w:val="14"/>
                <w:szCs w:val="14"/>
              </w:rPr>
            </w:pPr>
            <w:r>
              <w:rPr>
                <w:rFonts w:cs="Arial"/>
                <w:sz w:val="14"/>
                <w:szCs w:val="14"/>
              </w:rPr>
              <w:t xml:space="preserve">Zdroj: ČSÚ (národní účty), </w:t>
            </w:r>
            <w:proofErr w:type="spellStart"/>
            <w:r>
              <w:rPr>
                <w:rFonts w:cs="Arial"/>
                <w:sz w:val="14"/>
                <w:szCs w:val="14"/>
              </w:rPr>
              <w:t>Eurostat</w:t>
            </w:r>
            <w:proofErr w:type="spellEnd"/>
            <w:r>
              <w:rPr>
                <w:rFonts w:cs="Arial"/>
                <w:sz w:val="14"/>
                <w:szCs w:val="14"/>
              </w:rPr>
              <w:t xml:space="preserve"> (konjunkturální průzkumy).</w:t>
            </w:r>
          </w:p>
        </w:tc>
      </w:tr>
      <w:tr w:rsidR="00582A12" w:rsidRPr="00D82DBD" w14:paraId="2AA25A0F" w14:textId="77777777" w:rsidTr="00BA5125">
        <w:trPr>
          <w:trHeight w:val="145"/>
        </w:trPr>
        <w:tc>
          <w:tcPr>
            <w:tcW w:w="1754" w:type="dxa"/>
            <w:shd w:val="clear" w:color="auto" w:fill="auto"/>
            <w:tcMar>
              <w:left w:w="0" w:type="dxa"/>
            </w:tcMar>
          </w:tcPr>
          <w:p w14:paraId="7512B6EE" w14:textId="77777777" w:rsidR="00582A12" w:rsidRDefault="00582A12" w:rsidP="00BA5125">
            <w:pPr>
              <w:pStyle w:val="Marginlie"/>
              <w:rPr>
                <w:color w:val="0D0D0D" w:themeColor="text1" w:themeTint="F2"/>
                <w:spacing w:val="-4"/>
              </w:rPr>
            </w:pPr>
            <w:r>
              <w:rPr>
                <w:color w:val="0D0D0D" w:themeColor="text1" w:themeTint="F2"/>
                <w:spacing w:val="-4"/>
              </w:rPr>
              <w:t>Očekávání podniků v oblasti zaměstnanosti se na přelomu let 2023 a 2024 zhoršila. Mírný optimismus si udržovaly obchod a stavebnictví.</w:t>
            </w:r>
          </w:p>
          <w:p w14:paraId="6A00BC99" w14:textId="77777777" w:rsidR="00582A12" w:rsidRPr="008659E6" w:rsidRDefault="00582A12" w:rsidP="00BA5125">
            <w:pPr>
              <w:pStyle w:val="Marginlie"/>
              <w:rPr>
                <w:color w:val="0D0D0D" w:themeColor="text1" w:themeTint="F2"/>
                <w:spacing w:val="-5"/>
              </w:rPr>
            </w:pPr>
          </w:p>
        </w:tc>
        <w:tc>
          <w:tcPr>
            <w:tcW w:w="220" w:type="dxa"/>
            <w:shd w:val="clear" w:color="auto" w:fill="auto"/>
            <w:tcMar>
              <w:left w:w="0" w:type="dxa"/>
            </w:tcMar>
          </w:tcPr>
          <w:p w14:paraId="39502867" w14:textId="77777777" w:rsidR="00582A12" w:rsidRPr="008659E6" w:rsidRDefault="00582A12" w:rsidP="00BA5125">
            <w:pPr>
              <w:pStyle w:val="Textpoznpodarou"/>
              <w:spacing w:after="120"/>
              <w:jc w:val="both"/>
              <w:rPr>
                <w:color w:val="0D0D0D" w:themeColor="text1" w:themeTint="F2"/>
                <w:spacing w:val="-4"/>
              </w:rPr>
            </w:pPr>
          </w:p>
        </w:tc>
        <w:tc>
          <w:tcPr>
            <w:tcW w:w="7700" w:type="dxa"/>
            <w:shd w:val="clear" w:color="auto" w:fill="auto"/>
            <w:tcMar>
              <w:left w:w="0" w:type="dxa"/>
            </w:tcMar>
          </w:tcPr>
          <w:p w14:paraId="532AC3B2" w14:textId="77777777" w:rsidR="00582A12" w:rsidRPr="008659E6" w:rsidRDefault="00582A12" w:rsidP="00BA5125">
            <w:pPr>
              <w:spacing w:after="200"/>
              <w:rPr>
                <w:color w:val="0D0D0D" w:themeColor="text1" w:themeTint="F2"/>
                <w:spacing w:val="-6"/>
              </w:rPr>
            </w:pPr>
            <w:r w:rsidRPr="007F42CF">
              <w:rPr>
                <w:color w:val="0D0D0D" w:themeColor="text1" w:themeTint="F2"/>
                <w:spacing w:val="-4"/>
              </w:rPr>
              <w:t>Krátkodobá očekávání podniků v </w:t>
            </w:r>
            <w:r w:rsidRPr="00A60C4D">
              <w:rPr>
                <w:color w:val="0D0D0D" w:themeColor="text1" w:themeTint="F2"/>
                <w:spacing w:val="-4"/>
              </w:rPr>
              <w:t>celé ekonomice v oblasti zaměstnanosti</w:t>
            </w:r>
            <w:r>
              <w:rPr>
                <w:color w:val="0D0D0D" w:themeColor="text1" w:themeTint="F2"/>
                <w:spacing w:val="-4"/>
              </w:rPr>
              <w:t xml:space="preserve"> se od loňského února (kdy klesla na dvouleté minimum) dočasně stabilizovala. S blížícím se koncem roku se bohužel opět začala zhoršovat, zejména ve službách i obchodu. V únoru 2024 byla očekávání nejslabší od vrcholu pandemie (březen 2021). Pesimismus převládal zejména ve službách, kde v tříměsíčním horizontu </w:t>
            </w:r>
            <w:r>
              <w:rPr>
                <w:rStyle w:val="eop"/>
                <w:rFonts w:eastAsia="MS Gothic" w:cs="Arial"/>
                <w:szCs w:val="20"/>
              </w:rPr>
              <w:t xml:space="preserve">uvažovalo o propuštění pracovníků 35 % podniků, v obchodě a průmyslu shodně 13 %. </w:t>
            </w:r>
            <w:r>
              <w:rPr>
                <w:color w:val="0D0D0D" w:themeColor="text1" w:themeTint="F2"/>
                <w:spacing w:val="-4"/>
              </w:rPr>
              <w:t xml:space="preserve">Situace na úrovni dílčích odvětví v rámci průmyslu </w:t>
            </w:r>
            <w:r>
              <w:rPr>
                <w:color w:val="0D0D0D" w:themeColor="text1" w:themeTint="F2"/>
                <w:spacing w:val="-4"/>
              </w:rPr>
              <w:lastRenderedPageBreak/>
              <w:t xml:space="preserve">i služeb se </w:t>
            </w:r>
            <w:r w:rsidRPr="007B5F31">
              <w:rPr>
                <w:color w:val="0D0D0D" w:themeColor="text1" w:themeTint="F2"/>
                <w:spacing w:val="-4"/>
              </w:rPr>
              <w:t>odlišovala</w:t>
            </w:r>
            <w:r w:rsidRPr="007B5F31">
              <w:rPr>
                <w:rStyle w:val="Znakapoznpodarou"/>
                <w:color w:val="0D0D0D" w:themeColor="text1" w:themeTint="F2"/>
                <w:spacing w:val="-4"/>
              </w:rPr>
              <w:footnoteReference w:id="79"/>
            </w:r>
            <w:r w:rsidRPr="007B5F31">
              <w:rPr>
                <w:color w:val="0D0D0D" w:themeColor="text1" w:themeTint="F2"/>
                <w:spacing w:val="-4"/>
              </w:rPr>
              <w:t xml:space="preserve">. </w:t>
            </w:r>
            <w:r>
              <w:rPr>
                <w:rStyle w:val="eop"/>
                <w:rFonts w:eastAsia="MS Gothic" w:cs="Arial"/>
                <w:szCs w:val="20"/>
              </w:rPr>
              <w:t xml:space="preserve">Jediné z hlavních odvětví, kde se očekávání meziročně zlepšila, bylo stavebnictví – o propuštění uvažovalo jen 8 % firem (nejméně za poslední 1,5 roku), 12 % podniků oproti tomu plánovalo navyšovat zaměstnanost. </w:t>
            </w:r>
            <w:r w:rsidRPr="007B5F31">
              <w:rPr>
                <w:color w:val="0D0D0D" w:themeColor="text1" w:themeTint="F2"/>
                <w:spacing w:val="-4"/>
              </w:rPr>
              <w:t xml:space="preserve">Vlivem </w:t>
            </w:r>
            <w:r>
              <w:rPr>
                <w:color w:val="0D0D0D" w:themeColor="text1" w:themeTint="F2"/>
                <w:spacing w:val="-4"/>
              </w:rPr>
              <w:t>zhoršování</w:t>
            </w:r>
            <w:r w:rsidRPr="00A60C4D">
              <w:rPr>
                <w:color w:val="0D0D0D" w:themeColor="text1" w:themeTint="F2"/>
                <w:spacing w:val="-4"/>
              </w:rPr>
              <w:t xml:space="preserve"> celkových ekonomických výhledů</w:t>
            </w:r>
            <w:r>
              <w:rPr>
                <w:color w:val="0D0D0D" w:themeColor="text1" w:themeTint="F2"/>
                <w:spacing w:val="-4"/>
              </w:rPr>
              <w:t xml:space="preserve"> i silného přílivu osob z Ukrajiny na tuzemský pracovní trh klesal v některých klíčových odvětvích</w:t>
            </w:r>
            <w:r w:rsidRPr="00A60C4D">
              <w:rPr>
                <w:color w:val="0D0D0D" w:themeColor="text1" w:themeTint="F2"/>
                <w:spacing w:val="-4"/>
              </w:rPr>
              <w:t xml:space="preserve"> </w:t>
            </w:r>
            <w:r>
              <w:rPr>
                <w:color w:val="0D0D0D" w:themeColor="text1" w:themeTint="F2"/>
                <w:spacing w:val="-4"/>
              </w:rPr>
              <w:t>podíl</w:t>
            </w:r>
            <w:r w:rsidRPr="00A60C4D">
              <w:rPr>
                <w:color w:val="0D0D0D" w:themeColor="text1" w:themeTint="F2"/>
                <w:spacing w:val="-4"/>
              </w:rPr>
              <w:t xml:space="preserve"> podniků, pro něž představuje nedostatek pracovní síly jednu z </w:t>
            </w:r>
            <w:r>
              <w:rPr>
                <w:color w:val="0D0D0D" w:themeColor="text1" w:themeTint="F2"/>
                <w:spacing w:val="-4"/>
              </w:rPr>
              <w:t>významných růstových bariér – nejvíce v průmyslu. Na druhou stranu ve stavebnictví šlo stále o nejvýznamnější bariéru limitující zde zhruba polovinu firem.</w:t>
            </w:r>
          </w:p>
        </w:tc>
      </w:tr>
      <w:tr w:rsidR="00582A12" w:rsidRPr="00B43216" w14:paraId="1A3AD90B" w14:textId="77777777" w:rsidTr="00BA5125">
        <w:trPr>
          <w:trHeight w:val="155"/>
        </w:trPr>
        <w:tc>
          <w:tcPr>
            <w:tcW w:w="1754" w:type="dxa"/>
            <w:vMerge w:val="restart"/>
            <w:shd w:val="clear" w:color="auto" w:fill="auto"/>
            <w:tcMar>
              <w:left w:w="0" w:type="dxa"/>
            </w:tcMar>
          </w:tcPr>
          <w:p w14:paraId="3165B57C" w14:textId="77777777" w:rsidR="00582A12" w:rsidRPr="00B43216" w:rsidRDefault="00582A12" w:rsidP="00BA5125">
            <w:pPr>
              <w:pStyle w:val="Marginlie"/>
              <w:spacing w:after="120"/>
              <w:rPr>
                <w:spacing w:val="-4"/>
              </w:rPr>
            </w:pPr>
          </w:p>
        </w:tc>
        <w:tc>
          <w:tcPr>
            <w:tcW w:w="220" w:type="dxa"/>
            <w:vMerge w:val="restart"/>
            <w:shd w:val="clear" w:color="auto" w:fill="auto"/>
            <w:tcMar>
              <w:left w:w="0" w:type="dxa"/>
            </w:tcMar>
          </w:tcPr>
          <w:p w14:paraId="25F02D31" w14:textId="77777777" w:rsidR="00582A12" w:rsidRPr="00B43216" w:rsidRDefault="00582A12" w:rsidP="00BA5125">
            <w:pPr>
              <w:pStyle w:val="Textpoznpodarou"/>
              <w:spacing w:after="120"/>
              <w:jc w:val="both"/>
              <w:rPr>
                <w:spacing w:val="-4"/>
              </w:rPr>
            </w:pPr>
          </w:p>
        </w:tc>
        <w:tc>
          <w:tcPr>
            <w:tcW w:w="7700" w:type="dxa"/>
            <w:shd w:val="clear" w:color="auto" w:fill="auto"/>
            <w:tcMar>
              <w:left w:w="0" w:type="dxa"/>
            </w:tcMar>
          </w:tcPr>
          <w:p w14:paraId="0A026DCC" w14:textId="77777777" w:rsidR="00582A12" w:rsidRPr="00926D74" w:rsidRDefault="00582A12" w:rsidP="00BA5125">
            <w:pPr>
              <w:spacing w:after="0"/>
              <w:rPr>
                <w:b/>
                <w:spacing w:val="-2"/>
              </w:rPr>
            </w:pPr>
            <w:r w:rsidRPr="00926D74">
              <w:rPr>
                <w:b/>
                <w:spacing w:val="-2"/>
              </w:rPr>
              <w:t>Graf č. 1</w:t>
            </w:r>
            <w:r>
              <w:rPr>
                <w:b/>
                <w:spacing w:val="-2"/>
              </w:rPr>
              <w:t>5</w:t>
            </w:r>
            <w:r w:rsidRPr="00926D74">
              <w:rPr>
                <w:b/>
                <w:spacing w:val="-2"/>
              </w:rPr>
              <w:t xml:space="preserve"> </w:t>
            </w:r>
            <w:r w:rsidRPr="00926D74">
              <w:rPr>
                <w:rFonts w:cs="Arial"/>
                <w:b/>
                <w:spacing w:val="-2"/>
              </w:rPr>
              <w:t xml:space="preserve">Obecná míra nezaměstnanosti </w:t>
            </w:r>
            <w:r w:rsidRPr="00926D74">
              <w:rPr>
                <w:rFonts w:cs="Arial"/>
                <w:bCs/>
                <w:spacing w:val="-2"/>
              </w:rPr>
              <w:t>(v %, věk 15 až 64 let)</w:t>
            </w:r>
            <w:r w:rsidRPr="00926D74">
              <w:rPr>
                <w:rFonts w:cs="Arial"/>
                <w:b/>
                <w:spacing w:val="-2"/>
              </w:rPr>
              <w:t xml:space="preserve">, ekonomicky neaktivní </w:t>
            </w:r>
            <w:r>
              <w:rPr>
                <w:rFonts w:cs="Arial"/>
                <w:b/>
                <w:spacing w:val="-2"/>
              </w:rPr>
              <w:t xml:space="preserve">osoby </w:t>
            </w:r>
            <w:r w:rsidRPr="00926D74">
              <w:rPr>
                <w:rFonts w:cs="Arial"/>
                <w:b/>
                <w:spacing w:val="-2"/>
              </w:rPr>
              <w:t>chtějící pracovat</w:t>
            </w:r>
            <w:r>
              <w:rPr>
                <w:rFonts w:cs="Arial"/>
                <w:b/>
                <w:spacing w:val="-2"/>
              </w:rPr>
              <w:t>*</w:t>
            </w:r>
            <w:r w:rsidRPr="00926D74">
              <w:rPr>
                <w:rFonts w:cs="Arial"/>
                <w:b/>
                <w:spacing w:val="-2"/>
              </w:rPr>
              <w:t xml:space="preserve"> </w:t>
            </w:r>
            <w:r>
              <w:rPr>
                <w:rFonts w:cs="Arial"/>
                <w:bCs/>
                <w:spacing w:val="-2"/>
              </w:rPr>
              <w:t>(v tis.)</w:t>
            </w:r>
            <w:r w:rsidRPr="00926D74">
              <w:rPr>
                <w:rFonts w:cs="Arial"/>
                <w:b/>
                <w:bCs/>
                <w:spacing w:val="-2"/>
              </w:rPr>
              <w:t xml:space="preserve">, volná pracovní místa </w:t>
            </w:r>
            <w:r>
              <w:rPr>
                <w:rFonts w:cs="Arial"/>
                <w:bCs/>
                <w:spacing w:val="-2"/>
              </w:rPr>
              <w:t>(v</w:t>
            </w:r>
            <w:r w:rsidRPr="00926D74">
              <w:rPr>
                <w:rFonts w:cs="Arial"/>
                <w:bCs/>
                <w:spacing w:val="-2"/>
              </w:rPr>
              <w:t xml:space="preserve"> tis.) </w:t>
            </w:r>
            <w:r w:rsidRPr="00926D74">
              <w:rPr>
                <w:rFonts w:cs="Arial"/>
                <w:b/>
                <w:bCs/>
                <w:spacing w:val="-2"/>
              </w:rPr>
              <w:t>a</w:t>
            </w:r>
            <w:r w:rsidRPr="00926D74">
              <w:rPr>
                <w:rFonts w:cs="Arial"/>
                <w:bCs/>
                <w:spacing w:val="-2"/>
              </w:rPr>
              <w:t xml:space="preserve"> </w:t>
            </w:r>
            <w:r w:rsidRPr="00926D74">
              <w:rPr>
                <w:rFonts w:cs="Arial"/>
                <w:b/>
                <w:bCs/>
                <w:spacing w:val="-2"/>
              </w:rPr>
              <w:t xml:space="preserve">očekávání </w:t>
            </w:r>
            <w:r>
              <w:rPr>
                <w:rFonts w:cs="Arial"/>
                <w:b/>
                <w:bCs/>
                <w:spacing w:val="-2"/>
              </w:rPr>
              <w:t xml:space="preserve">vývoje </w:t>
            </w:r>
            <w:r w:rsidRPr="00926D74">
              <w:rPr>
                <w:rFonts w:cs="Arial"/>
                <w:b/>
                <w:bCs/>
                <w:spacing w:val="-2"/>
              </w:rPr>
              <w:t>nezaměst</w:t>
            </w:r>
            <w:r>
              <w:rPr>
                <w:rFonts w:cs="Arial"/>
                <w:b/>
                <w:bCs/>
                <w:spacing w:val="-2"/>
              </w:rPr>
              <w:t>nanosti ze strany</w:t>
            </w:r>
            <w:r w:rsidRPr="00926D74">
              <w:rPr>
                <w:rFonts w:cs="Arial"/>
                <w:b/>
                <w:bCs/>
                <w:spacing w:val="-2"/>
              </w:rPr>
              <w:t> domácností</w:t>
            </w:r>
            <w:r w:rsidRPr="00926D74">
              <w:rPr>
                <w:rFonts w:cs="Arial"/>
                <w:bCs/>
                <w:spacing w:val="-2"/>
              </w:rPr>
              <w:t xml:space="preserve"> (v p. b.)**</w:t>
            </w:r>
          </w:p>
        </w:tc>
      </w:tr>
      <w:tr w:rsidR="00582A12" w:rsidRPr="00B43216" w14:paraId="7D341FDA" w14:textId="77777777" w:rsidTr="00BA5125">
        <w:tblPrEx>
          <w:tblCellMar>
            <w:left w:w="70" w:type="dxa"/>
            <w:right w:w="70" w:type="dxa"/>
          </w:tblCellMar>
        </w:tblPrEx>
        <w:trPr>
          <w:trHeight w:val="155"/>
        </w:trPr>
        <w:tc>
          <w:tcPr>
            <w:tcW w:w="1754" w:type="dxa"/>
            <w:vMerge/>
            <w:shd w:val="clear" w:color="auto" w:fill="auto"/>
          </w:tcPr>
          <w:p w14:paraId="5EA53BBC" w14:textId="77777777" w:rsidR="00582A12" w:rsidRPr="00B43216" w:rsidRDefault="00582A12" w:rsidP="00BA5125">
            <w:pPr>
              <w:pStyle w:val="Marginlie"/>
              <w:spacing w:after="120"/>
              <w:rPr>
                <w:spacing w:val="-4"/>
              </w:rPr>
            </w:pPr>
          </w:p>
        </w:tc>
        <w:tc>
          <w:tcPr>
            <w:tcW w:w="220" w:type="dxa"/>
            <w:vMerge/>
            <w:shd w:val="clear" w:color="auto" w:fill="auto"/>
          </w:tcPr>
          <w:p w14:paraId="03F172BE" w14:textId="77777777" w:rsidR="00582A12" w:rsidRPr="00B43216" w:rsidRDefault="00582A12" w:rsidP="00BA5125">
            <w:pPr>
              <w:pStyle w:val="Textpoznpodarou"/>
              <w:spacing w:after="120"/>
              <w:jc w:val="both"/>
              <w:rPr>
                <w:spacing w:val="-4"/>
              </w:rPr>
            </w:pPr>
          </w:p>
        </w:tc>
        <w:tc>
          <w:tcPr>
            <w:tcW w:w="7700" w:type="dxa"/>
            <w:shd w:val="clear" w:color="auto" w:fill="auto"/>
          </w:tcPr>
          <w:p w14:paraId="60CB9586" w14:textId="77777777" w:rsidR="00582A12" w:rsidRPr="00B43216" w:rsidRDefault="00582A12" w:rsidP="00BA5125">
            <w:pPr>
              <w:spacing w:after="0"/>
              <w:rPr>
                <w:spacing w:val="-4"/>
              </w:rPr>
            </w:pPr>
            <w:r>
              <w:rPr>
                <w:noProof/>
              </w:rPr>
              <w:drawing>
                <wp:inline distT="0" distB="0" distL="0" distR="0" wp14:anchorId="0E5A6784" wp14:editId="3D41EDC6">
                  <wp:extent cx="4726940" cy="3603172"/>
                  <wp:effectExtent l="0" t="0" r="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582A12" w:rsidRPr="00B43216" w14:paraId="2AD8BFA1" w14:textId="77777777" w:rsidTr="00BA5125">
        <w:trPr>
          <w:trHeight w:val="132"/>
        </w:trPr>
        <w:tc>
          <w:tcPr>
            <w:tcW w:w="1754" w:type="dxa"/>
            <w:vMerge/>
            <w:shd w:val="clear" w:color="auto" w:fill="auto"/>
            <w:tcMar>
              <w:left w:w="0" w:type="dxa"/>
            </w:tcMar>
          </w:tcPr>
          <w:p w14:paraId="53B6D6CB" w14:textId="77777777" w:rsidR="00582A12" w:rsidRPr="00B43216" w:rsidRDefault="00582A12" w:rsidP="00BA5125">
            <w:pPr>
              <w:pStyle w:val="Marginlie"/>
              <w:rPr>
                <w:spacing w:val="-4"/>
              </w:rPr>
            </w:pPr>
          </w:p>
        </w:tc>
        <w:tc>
          <w:tcPr>
            <w:tcW w:w="220" w:type="dxa"/>
            <w:vMerge/>
            <w:shd w:val="clear" w:color="auto" w:fill="auto"/>
            <w:tcMar>
              <w:left w:w="0" w:type="dxa"/>
            </w:tcMar>
          </w:tcPr>
          <w:p w14:paraId="285B1977" w14:textId="77777777" w:rsidR="00582A12" w:rsidRPr="00B43216" w:rsidRDefault="00582A12" w:rsidP="00BA5125">
            <w:pPr>
              <w:pStyle w:val="Textpoznpodarou"/>
              <w:jc w:val="both"/>
              <w:rPr>
                <w:spacing w:val="-4"/>
              </w:rPr>
            </w:pPr>
          </w:p>
        </w:tc>
        <w:tc>
          <w:tcPr>
            <w:tcW w:w="7700" w:type="dxa"/>
            <w:shd w:val="clear" w:color="auto" w:fill="auto"/>
            <w:tcMar>
              <w:left w:w="0" w:type="dxa"/>
            </w:tcMar>
          </w:tcPr>
          <w:p w14:paraId="49ECBD67" w14:textId="77777777" w:rsidR="00582A12" w:rsidRPr="00D94F3D" w:rsidRDefault="00582A12" w:rsidP="00BA5125">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Pozn.: Míry nezaměstnanosti jsou sezónně očištěny</w:t>
            </w:r>
            <w:r w:rsidRPr="00D94F3D">
              <w:rPr>
                <w:rFonts w:cs="Arial"/>
                <w:color w:val="0D0D0D" w:themeColor="text1" w:themeTint="F2"/>
                <w:spacing w:val="-4"/>
                <w:sz w:val="14"/>
                <w:szCs w:val="14"/>
              </w:rPr>
              <w:t>. VPM = volná pracovní místa (stav na konci čtvrtletí)</w:t>
            </w:r>
          </w:p>
          <w:p w14:paraId="1A2AE3B9" w14:textId="77777777" w:rsidR="00582A12" w:rsidRDefault="00582A12" w:rsidP="00BA5125">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7A6EF8BC" w14:textId="77777777" w:rsidR="00582A12" w:rsidRDefault="00582A12" w:rsidP="00BA5125">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Vztahuje se k prostřednímu měsíci daného čtvrtletí.</w:t>
            </w:r>
          </w:p>
          <w:p w14:paraId="0E493DE9" w14:textId="77777777" w:rsidR="00582A12" w:rsidRPr="00485ED5" w:rsidRDefault="00582A12" w:rsidP="00BA5125">
            <w:pPr>
              <w:spacing w:after="200"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 MPSV (volná pracovní místa registrovaná na úřadech práce v ČR)</w:t>
            </w:r>
          </w:p>
        </w:tc>
      </w:tr>
      <w:tr w:rsidR="00582A12" w:rsidRPr="00016778" w14:paraId="2866EE10" w14:textId="77777777" w:rsidTr="00BA5125">
        <w:trPr>
          <w:trHeight w:val="132"/>
        </w:trPr>
        <w:tc>
          <w:tcPr>
            <w:tcW w:w="1754" w:type="dxa"/>
            <w:shd w:val="clear" w:color="auto" w:fill="auto"/>
            <w:tcMar>
              <w:left w:w="0" w:type="dxa"/>
            </w:tcMar>
          </w:tcPr>
          <w:p w14:paraId="583C4EDD" w14:textId="77777777" w:rsidR="00582A12" w:rsidRDefault="00582A12" w:rsidP="00BA5125">
            <w:pPr>
              <w:pStyle w:val="Marginlie"/>
              <w:rPr>
                <w:color w:val="0D0D0D" w:themeColor="text1" w:themeTint="F2"/>
                <w:spacing w:val="-5"/>
              </w:rPr>
            </w:pPr>
            <w:r>
              <w:rPr>
                <w:color w:val="0D0D0D" w:themeColor="text1" w:themeTint="F2"/>
                <w:spacing w:val="-5"/>
              </w:rPr>
              <w:t>Obecná míra nezaměstnanosti se mírně zvyšovala. V lednu 2024 dosáhla nejvýše za poslední dva a půl roku.</w:t>
            </w:r>
          </w:p>
          <w:p w14:paraId="1CAA6A26" w14:textId="77777777" w:rsidR="00582A12" w:rsidRDefault="00582A12" w:rsidP="00BA5125">
            <w:pPr>
              <w:pStyle w:val="Marginlie"/>
              <w:rPr>
                <w:color w:val="0D0D0D" w:themeColor="text1" w:themeTint="F2"/>
                <w:spacing w:val="-4"/>
              </w:rPr>
            </w:pPr>
          </w:p>
        </w:tc>
        <w:tc>
          <w:tcPr>
            <w:tcW w:w="220" w:type="dxa"/>
            <w:shd w:val="clear" w:color="auto" w:fill="auto"/>
            <w:tcMar>
              <w:left w:w="0" w:type="dxa"/>
            </w:tcMar>
          </w:tcPr>
          <w:p w14:paraId="50B702EE" w14:textId="77777777" w:rsidR="00582A12" w:rsidRPr="00016778" w:rsidRDefault="00582A12" w:rsidP="00BA5125">
            <w:pPr>
              <w:pStyle w:val="Textpoznpodarou"/>
              <w:jc w:val="both"/>
              <w:rPr>
                <w:color w:val="0D0D0D" w:themeColor="text1" w:themeTint="F2"/>
                <w:spacing w:val="-4"/>
              </w:rPr>
            </w:pPr>
          </w:p>
        </w:tc>
        <w:tc>
          <w:tcPr>
            <w:tcW w:w="7700" w:type="dxa"/>
            <w:shd w:val="clear" w:color="auto" w:fill="auto"/>
            <w:tcMar>
              <w:left w:w="0" w:type="dxa"/>
            </w:tcMar>
          </w:tcPr>
          <w:p w14:paraId="17F8371C" w14:textId="77777777" w:rsidR="00582A12" w:rsidRPr="005D046D" w:rsidRDefault="00582A12" w:rsidP="00BA5125">
            <w:pPr>
              <w:spacing w:after="200"/>
              <w:rPr>
                <w:color w:val="0D0D0D" w:themeColor="text1" w:themeTint="F2"/>
                <w:spacing w:val="-4"/>
              </w:rPr>
            </w:pPr>
            <w:r w:rsidRPr="00733696">
              <w:rPr>
                <w:color w:val="0D0D0D" w:themeColor="text1" w:themeTint="F2"/>
                <w:spacing w:val="-6"/>
              </w:rPr>
              <w:t>Obecná míra nezaměstnanosti</w:t>
            </w:r>
            <w:r w:rsidRPr="00733696">
              <w:rPr>
                <w:rStyle w:val="Znakapoznpodarou"/>
                <w:color w:val="0D0D0D" w:themeColor="text1" w:themeTint="F2"/>
                <w:spacing w:val="-6"/>
              </w:rPr>
              <w:footnoteReference w:id="80"/>
            </w:r>
            <w:r w:rsidRPr="00733696">
              <w:rPr>
                <w:color w:val="0D0D0D" w:themeColor="text1" w:themeTint="F2"/>
                <w:spacing w:val="-6"/>
              </w:rPr>
              <w:t xml:space="preserve">, která </w:t>
            </w:r>
            <w:r>
              <w:rPr>
                <w:color w:val="0D0D0D" w:themeColor="text1" w:themeTint="F2"/>
                <w:spacing w:val="-6"/>
              </w:rPr>
              <w:t xml:space="preserve">po většinu </w:t>
            </w:r>
            <w:r w:rsidRPr="00CA570D">
              <w:rPr>
                <w:color w:val="0D0D0D" w:themeColor="text1" w:themeTint="F2"/>
                <w:spacing w:val="-6"/>
              </w:rPr>
              <w:t xml:space="preserve">roku </w:t>
            </w:r>
            <w:r>
              <w:rPr>
                <w:color w:val="0D0D0D" w:themeColor="text1" w:themeTint="F2"/>
                <w:spacing w:val="-6"/>
              </w:rPr>
              <w:t xml:space="preserve">2022 </w:t>
            </w:r>
            <w:r w:rsidRPr="00CA570D">
              <w:rPr>
                <w:color w:val="0D0D0D" w:themeColor="text1" w:themeTint="F2"/>
                <w:spacing w:val="-6"/>
              </w:rPr>
              <w:t>stagnovala blíz</w:t>
            </w:r>
            <w:r>
              <w:rPr>
                <w:color w:val="0D0D0D" w:themeColor="text1" w:themeTint="F2"/>
                <w:spacing w:val="-6"/>
              </w:rPr>
              <w:t>ko historického minima, se vloni začala mírně</w:t>
            </w:r>
            <w:r w:rsidRPr="00CA570D">
              <w:rPr>
                <w:color w:val="0D0D0D" w:themeColor="text1" w:themeTint="F2"/>
                <w:spacing w:val="-6"/>
              </w:rPr>
              <w:t xml:space="preserve"> zvyšovat. </w:t>
            </w:r>
            <w:r>
              <w:rPr>
                <w:color w:val="0D0D0D" w:themeColor="text1" w:themeTint="F2"/>
                <w:spacing w:val="-6"/>
              </w:rPr>
              <w:t>Tento trend pokračoval i na počátku letošního roku. V únoru</w:t>
            </w:r>
            <w:r>
              <w:rPr>
                <w:rStyle w:val="normaltextrun"/>
                <w:rFonts w:eastAsia="MS Gothic" w:cs="Arial"/>
                <w:spacing w:val="-6"/>
                <w:szCs w:val="20"/>
              </w:rPr>
              <w:t xml:space="preserve"> činila nezaměstnanost </w:t>
            </w:r>
            <w:r w:rsidRPr="00CA570D">
              <w:rPr>
                <w:rStyle w:val="normaltextrun"/>
                <w:rFonts w:eastAsia="MS Gothic" w:cs="Arial"/>
                <w:spacing w:val="-6"/>
                <w:szCs w:val="20"/>
              </w:rPr>
              <w:t>rovná 3 %</w:t>
            </w:r>
            <w:r w:rsidRPr="00CA570D">
              <w:rPr>
                <w:rStyle w:val="Znakapoznpodarou"/>
                <w:color w:val="0D0D0D" w:themeColor="text1" w:themeTint="F2"/>
                <w:spacing w:val="-6"/>
              </w:rPr>
              <w:footnoteReference w:id="81"/>
            </w:r>
            <w:r>
              <w:rPr>
                <w:rStyle w:val="normaltextrun"/>
                <w:rFonts w:eastAsia="MS Gothic" w:cs="Arial"/>
                <w:spacing w:val="-6"/>
                <w:szCs w:val="20"/>
              </w:rPr>
              <w:t xml:space="preserve"> (nejvíce za poslední dva a půl roku), u </w:t>
            </w:r>
            <w:r>
              <w:rPr>
                <w:rStyle w:val="normaltextrun"/>
                <w:rFonts w:eastAsia="MS Gothic" w:cs="Arial"/>
                <w:szCs w:val="20"/>
              </w:rPr>
              <w:t xml:space="preserve">mužů </w:t>
            </w:r>
            <w:r w:rsidRPr="00E16EF6">
              <w:rPr>
                <w:rStyle w:val="normaltextrun"/>
                <w:rFonts w:eastAsia="MS Gothic" w:cs="Arial"/>
                <w:spacing w:val="-4"/>
                <w:szCs w:val="20"/>
              </w:rPr>
              <w:t>2,5</w:t>
            </w:r>
            <w:r>
              <w:rPr>
                <w:rStyle w:val="normaltextrun"/>
                <w:rFonts w:eastAsia="MS Gothic" w:cs="Arial"/>
                <w:spacing w:val="-4"/>
                <w:szCs w:val="20"/>
              </w:rPr>
              <w:t> </w:t>
            </w:r>
            <w:r w:rsidRPr="00E16EF6">
              <w:rPr>
                <w:rStyle w:val="normaltextrun"/>
                <w:rFonts w:eastAsia="MS Gothic" w:cs="Arial"/>
                <w:spacing w:val="-4"/>
                <w:szCs w:val="20"/>
              </w:rPr>
              <w:t>% a žen 3,6 %. Nezaměstnanost mírně vzrostla meziměsíčně (+0,2 p. b.) i</w:t>
            </w:r>
            <w:r w:rsidRPr="00E16EF6">
              <w:rPr>
                <w:color w:val="0D0D0D" w:themeColor="text1" w:themeTint="F2"/>
                <w:spacing w:val="-4"/>
              </w:rPr>
              <w:t> </w:t>
            </w:r>
            <w:r w:rsidRPr="00E16EF6">
              <w:rPr>
                <w:rStyle w:val="normaltextrun"/>
                <w:rFonts w:eastAsia="MS Gothic" w:cs="Arial"/>
                <w:spacing w:val="-4"/>
                <w:szCs w:val="20"/>
              </w:rPr>
              <w:t>meziročně</w:t>
            </w:r>
            <w:r>
              <w:rPr>
                <w:rStyle w:val="normaltextrun"/>
                <w:rFonts w:eastAsia="MS Gothic" w:cs="Arial"/>
                <w:szCs w:val="20"/>
              </w:rPr>
              <w:t xml:space="preserve"> </w:t>
            </w:r>
            <w:r>
              <w:rPr>
                <w:rStyle w:val="normaltextrun"/>
                <w:rFonts w:eastAsia="MS Gothic" w:cs="Arial"/>
                <w:szCs w:val="20"/>
              </w:rPr>
              <w:lastRenderedPageBreak/>
              <w:t xml:space="preserve">(+0,4 p. b.), srovnatelně u mužů i žen. Rychleji se zvyšoval počet dlouhodobě </w:t>
            </w:r>
            <w:r w:rsidRPr="00E16EF6">
              <w:rPr>
                <w:rStyle w:val="normaltextrun"/>
                <w:rFonts w:eastAsia="MS Gothic" w:cs="Arial"/>
                <w:spacing w:val="-4"/>
                <w:szCs w:val="20"/>
              </w:rPr>
              <w:t>nezaměstnaných (na meziročním přírůstku všech nezaměstnaných osob se ve 4.</w:t>
            </w:r>
            <w:r w:rsidRPr="00E16EF6">
              <w:rPr>
                <w:color w:val="0D0D0D" w:themeColor="text1" w:themeTint="F2"/>
                <w:spacing w:val="-4"/>
              </w:rPr>
              <w:t> </w:t>
            </w:r>
            <w:r w:rsidRPr="00E16EF6">
              <w:rPr>
                <w:rStyle w:val="normaltextrun"/>
                <w:rFonts w:eastAsia="MS Gothic" w:cs="Arial"/>
                <w:spacing w:val="-4"/>
                <w:szCs w:val="20"/>
              </w:rPr>
              <w:t>čtvrtletí</w:t>
            </w:r>
            <w:r>
              <w:rPr>
                <w:rStyle w:val="normaltextrun"/>
                <w:rFonts w:eastAsia="MS Gothic" w:cs="Arial"/>
                <w:szCs w:val="20"/>
              </w:rPr>
              <w:t xml:space="preserve"> 2023 podílel více než polovinou), a to zejména mužů, což může souviset s obtížnou situací v průmyslu. Z celkového počtu nezaměstnaných (133 tis.) však tvořili lidé, kteří byli bez práce déle než rok, stále méně než třetinu (srovnatelně jako v roce 2019).</w:t>
            </w:r>
            <w:r>
              <w:rPr>
                <w:rStyle w:val="normaltextrun"/>
                <w:rFonts w:eastAsia="MS Gothic" w:cs="Arial"/>
                <w:spacing w:val="-6"/>
                <w:szCs w:val="20"/>
              </w:rPr>
              <w:t xml:space="preserve"> </w:t>
            </w:r>
            <w:r>
              <w:rPr>
                <w:rStyle w:val="normaltextrun"/>
                <w:rFonts w:eastAsia="MS Gothic" w:cs="Arial"/>
                <w:spacing w:val="-4"/>
                <w:szCs w:val="20"/>
              </w:rPr>
              <w:t>Také údaje o</w:t>
            </w:r>
            <w:r>
              <w:rPr>
                <w:color w:val="0D0D0D" w:themeColor="text1" w:themeTint="F2"/>
                <w:spacing w:val="-4"/>
              </w:rPr>
              <w:t> </w:t>
            </w:r>
            <w:r w:rsidRPr="0080765E">
              <w:rPr>
                <w:color w:val="0D0D0D" w:themeColor="text1" w:themeTint="F2"/>
                <w:spacing w:val="-4"/>
              </w:rPr>
              <w:t>uchazečích</w:t>
            </w:r>
            <w:r>
              <w:rPr>
                <w:color w:val="0D0D0D" w:themeColor="text1" w:themeTint="F2"/>
                <w:spacing w:val="-4"/>
              </w:rPr>
              <w:t xml:space="preserve"> o zaměstnání registrovaných na úřadech práce (ÚP) naznačují mírné ochlazení na pracovním trhu</w:t>
            </w:r>
            <w:r>
              <w:rPr>
                <w:rStyle w:val="Znakapoznpodarou"/>
                <w:color w:val="0D0D0D" w:themeColor="text1" w:themeTint="F2"/>
                <w:spacing w:val="-4"/>
              </w:rPr>
              <w:footnoteReference w:id="82"/>
            </w:r>
            <w:r>
              <w:rPr>
                <w:color w:val="0D0D0D" w:themeColor="text1" w:themeTint="F2"/>
                <w:spacing w:val="-4"/>
              </w:rPr>
              <w:t>. To podtrhuje i fakt, že po celý loňský rok meziročně narůstala velikost potenciální pracovní</w:t>
            </w:r>
            <w:r w:rsidRPr="004B20D0">
              <w:rPr>
                <w:color w:val="0D0D0D" w:themeColor="text1" w:themeTint="F2"/>
                <w:spacing w:val="-4"/>
              </w:rPr>
              <w:t xml:space="preserve"> rezerv</w:t>
            </w:r>
            <w:r>
              <w:rPr>
                <w:color w:val="0D0D0D" w:themeColor="text1" w:themeTint="F2"/>
                <w:spacing w:val="-4"/>
              </w:rPr>
              <w:t>y</w:t>
            </w:r>
            <w:r w:rsidRPr="004B20D0">
              <w:rPr>
                <w:color w:val="0D0D0D" w:themeColor="text1" w:themeTint="F2"/>
                <w:spacing w:val="-4"/>
              </w:rPr>
              <w:t xml:space="preserve"> – počet ekonomicky neaktivních práci nehledaj</w:t>
            </w:r>
            <w:r>
              <w:rPr>
                <w:color w:val="0D0D0D" w:themeColor="text1" w:themeTint="F2"/>
                <w:spacing w:val="-4"/>
              </w:rPr>
              <w:t>ících, ale chtějících pracovat přesáhl ve 4. čtvrtletí 80 tisíc</w:t>
            </w:r>
            <w:r>
              <w:rPr>
                <w:rStyle w:val="Znakapoznpodarou"/>
                <w:color w:val="0D0D0D" w:themeColor="text1" w:themeTint="F2"/>
                <w:spacing w:val="-4"/>
              </w:rPr>
              <w:footnoteReference w:id="83"/>
            </w:r>
            <w:r>
              <w:rPr>
                <w:color w:val="0D0D0D" w:themeColor="text1" w:themeTint="F2"/>
                <w:spacing w:val="-4"/>
              </w:rPr>
              <w:t xml:space="preserve">. </w:t>
            </w:r>
          </w:p>
        </w:tc>
      </w:tr>
      <w:tr w:rsidR="00582A12" w:rsidRPr="00016778" w14:paraId="069EFD2E" w14:textId="77777777" w:rsidTr="00BA5125">
        <w:trPr>
          <w:trHeight w:val="132"/>
        </w:trPr>
        <w:tc>
          <w:tcPr>
            <w:tcW w:w="1754" w:type="dxa"/>
            <w:shd w:val="clear" w:color="auto" w:fill="auto"/>
            <w:tcMar>
              <w:left w:w="0" w:type="dxa"/>
            </w:tcMar>
          </w:tcPr>
          <w:p w14:paraId="0FC79AD5" w14:textId="77777777" w:rsidR="00582A12" w:rsidRDefault="00582A12" w:rsidP="00BA5125">
            <w:pPr>
              <w:pStyle w:val="Marginlie"/>
              <w:rPr>
                <w:color w:val="0D0D0D" w:themeColor="text1" w:themeTint="F2"/>
                <w:spacing w:val="-5"/>
              </w:rPr>
            </w:pPr>
            <w:r>
              <w:rPr>
                <w:color w:val="0D0D0D" w:themeColor="text1" w:themeTint="F2"/>
                <w:spacing w:val="-5"/>
              </w:rPr>
              <w:lastRenderedPageBreak/>
              <w:t xml:space="preserve">Počet volných pracovních míst v ekonomice se mírně snižoval. </w:t>
            </w:r>
          </w:p>
          <w:p w14:paraId="778B87A3" w14:textId="77777777" w:rsidR="00582A12" w:rsidRDefault="00582A12" w:rsidP="00BA5125">
            <w:pPr>
              <w:pStyle w:val="Marginlie"/>
              <w:rPr>
                <w:color w:val="0D0D0D" w:themeColor="text1" w:themeTint="F2"/>
                <w:spacing w:val="-5"/>
              </w:rPr>
            </w:pPr>
          </w:p>
          <w:p w14:paraId="3EDF6323" w14:textId="77777777" w:rsidR="00582A12" w:rsidRDefault="00582A12" w:rsidP="00BA5125">
            <w:pPr>
              <w:pStyle w:val="Marginlie"/>
              <w:rPr>
                <w:color w:val="0D0D0D" w:themeColor="text1" w:themeTint="F2"/>
                <w:spacing w:val="-5"/>
              </w:rPr>
            </w:pPr>
          </w:p>
          <w:p w14:paraId="1AEB1759" w14:textId="77777777" w:rsidR="00582A12" w:rsidRDefault="00582A12" w:rsidP="00BA5125">
            <w:pPr>
              <w:pStyle w:val="Marginlie"/>
              <w:rPr>
                <w:color w:val="0D0D0D" w:themeColor="text1" w:themeTint="F2"/>
                <w:spacing w:val="-5"/>
              </w:rPr>
            </w:pPr>
          </w:p>
          <w:p w14:paraId="47EB7ECF" w14:textId="77777777" w:rsidR="00582A12" w:rsidRDefault="00582A12" w:rsidP="00BA5125">
            <w:pPr>
              <w:pStyle w:val="Marginlie"/>
              <w:rPr>
                <w:color w:val="0D0D0D" w:themeColor="text1" w:themeTint="F2"/>
                <w:spacing w:val="-5"/>
              </w:rPr>
            </w:pPr>
          </w:p>
          <w:p w14:paraId="306C9DFF" w14:textId="77777777" w:rsidR="00582A12" w:rsidRDefault="00582A12" w:rsidP="00BA5125">
            <w:pPr>
              <w:pStyle w:val="Marginlie"/>
              <w:rPr>
                <w:color w:val="0D0D0D" w:themeColor="text1" w:themeTint="F2"/>
                <w:spacing w:val="-5"/>
              </w:rPr>
            </w:pPr>
          </w:p>
          <w:p w14:paraId="51F60E76" w14:textId="77777777" w:rsidR="00582A12" w:rsidRDefault="00582A12" w:rsidP="00BA5125">
            <w:pPr>
              <w:pStyle w:val="Marginlie"/>
              <w:rPr>
                <w:color w:val="0D0D0D" w:themeColor="text1" w:themeTint="F2"/>
                <w:spacing w:val="-4"/>
              </w:rPr>
            </w:pPr>
            <w:r>
              <w:rPr>
                <w:color w:val="0D0D0D" w:themeColor="text1" w:themeTint="F2"/>
                <w:spacing w:val="-5"/>
              </w:rPr>
              <w:t>Obavy lidí z vývoje nezaměstnanosti po většinu loňského roku slábly.</w:t>
            </w:r>
          </w:p>
        </w:tc>
        <w:tc>
          <w:tcPr>
            <w:tcW w:w="220" w:type="dxa"/>
            <w:shd w:val="clear" w:color="auto" w:fill="auto"/>
            <w:tcMar>
              <w:left w:w="0" w:type="dxa"/>
            </w:tcMar>
          </w:tcPr>
          <w:p w14:paraId="6795A200" w14:textId="77777777" w:rsidR="00582A12" w:rsidRPr="00016778" w:rsidRDefault="00582A12" w:rsidP="00BA5125">
            <w:pPr>
              <w:pStyle w:val="Textpoznpodarou"/>
              <w:jc w:val="both"/>
              <w:rPr>
                <w:color w:val="0D0D0D" w:themeColor="text1" w:themeTint="F2"/>
                <w:spacing w:val="-4"/>
              </w:rPr>
            </w:pPr>
          </w:p>
        </w:tc>
        <w:tc>
          <w:tcPr>
            <w:tcW w:w="7700" w:type="dxa"/>
            <w:shd w:val="clear" w:color="auto" w:fill="auto"/>
            <w:tcMar>
              <w:left w:w="0" w:type="dxa"/>
            </w:tcMar>
          </w:tcPr>
          <w:p w14:paraId="7274D1BC" w14:textId="77777777" w:rsidR="00582A12" w:rsidRPr="005D046D" w:rsidRDefault="00582A12" w:rsidP="00BA5125">
            <w:pPr>
              <w:spacing w:after="200"/>
              <w:rPr>
                <w:color w:val="0D0D0D" w:themeColor="text1" w:themeTint="F2"/>
                <w:spacing w:val="-4"/>
              </w:rPr>
            </w:pPr>
            <w:r w:rsidRPr="004B20D0">
              <w:rPr>
                <w:color w:val="0D0D0D" w:themeColor="text1" w:themeTint="F2"/>
                <w:spacing w:val="-4"/>
              </w:rPr>
              <w:t xml:space="preserve">Počet volných pracovních míst v nabídce ÚP </w:t>
            </w:r>
            <w:r>
              <w:rPr>
                <w:color w:val="0D0D0D" w:themeColor="text1" w:themeTint="F2"/>
                <w:spacing w:val="-4"/>
              </w:rPr>
              <w:t>meziročně klesá již více než 1,5 roku. Na konci ledna</w:t>
            </w:r>
            <w:r w:rsidRPr="004B20D0">
              <w:rPr>
                <w:color w:val="0D0D0D" w:themeColor="text1" w:themeTint="F2"/>
                <w:spacing w:val="-4"/>
              </w:rPr>
              <w:t xml:space="preserve"> </w:t>
            </w:r>
            <w:r>
              <w:rPr>
                <w:color w:val="0D0D0D" w:themeColor="text1" w:themeTint="F2"/>
                <w:spacing w:val="-4"/>
              </w:rPr>
              <w:t>bylo evidováno 267 tis. míst</w:t>
            </w:r>
            <w:r>
              <w:rPr>
                <w:rStyle w:val="Znakapoznpodarou"/>
                <w:color w:val="0D0D0D" w:themeColor="text1" w:themeTint="F2"/>
                <w:spacing w:val="-4"/>
              </w:rPr>
              <w:footnoteReference w:id="84"/>
            </w:r>
            <w:r>
              <w:rPr>
                <w:color w:val="0D0D0D" w:themeColor="text1" w:themeTint="F2"/>
                <w:spacing w:val="-4"/>
              </w:rPr>
              <w:t xml:space="preserve">, meziročně o 5 % méně (nabídka míst druhý měsíc v řadě převýšila počet </w:t>
            </w:r>
            <w:r w:rsidRPr="004B20D0">
              <w:rPr>
                <w:color w:val="0D0D0D" w:themeColor="text1" w:themeTint="F2"/>
                <w:spacing w:val="-4"/>
              </w:rPr>
              <w:t>registrovaných uchazečů</w:t>
            </w:r>
            <w:r>
              <w:rPr>
                <w:color w:val="0D0D0D" w:themeColor="text1" w:themeTint="F2"/>
                <w:spacing w:val="-4"/>
              </w:rPr>
              <w:t xml:space="preserve"> o práci). Za poklesem stály hlavně </w:t>
            </w:r>
            <w:proofErr w:type="spellStart"/>
            <w:r>
              <w:rPr>
                <w:color w:val="0D0D0D" w:themeColor="text1" w:themeTint="F2"/>
                <w:spacing w:val="-4"/>
              </w:rPr>
              <w:t>nízkokvalifikované</w:t>
            </w:r>
            <w:proofErr w:type="spellEnd"/>
            <w:r>
              <w:rPr>
                <w:color w:val="0D0D0D" w:themeColor="text1" w:themeTint="F2"/>
                <w:spacing w:val="-4"/>
              </w:rPr>
              <w:t xml:space="preserve"> pozice, relativně nejvíce ovšem ubylo míst pro středoškoláky – bez maturity (o 13,4 %) i s maturitou (o 11,7 %). Naopak počet míst pro uchazeče s terciárním vzděláním meziročně stagnoval (na 14,9 tis.). Z pohledu kvalifikačních tříd zaměstnání měl pokles volných míst spíše</w:t>
            </w:r>
            <w:r w:rsidRPr="001359C0">
              <w:rPr>
                <w:color w:val="0D0D0D" w:themeColor="text1" w:themeTint="F2"/>
                <w:spacing w:val="-4"/>
              </w:rPr>
              <w:t xml:space="preserve"> plošný charakter.</w:t>
            </w:r>
            <w:r>
              <w:rPr>
                <w:b/>
                <w:color w:val="0D0D0D" w:themeColor="text1" w:themeTint="F2"/>
                <w:spacing w:val="-4"/>
              </w:rPr>
              <w:t xml:space="preserve"> </w:t>
            </w:r>
            <w:r w:rsidRPr="001359C0">
              <w:rPr>
                <w:color w:val="0D0D0D" w:themeColor="text1" w:themeTint="F2"/>
                <w:spacing w:val="-4"/>
              </w:rPr>
              <w:t xml:space="preserve">Obavy lidí z růstu nezaměstnanosti (vyjádřené v rámci konjunkturálních šetření) se navzdory slabému výkonu ekonomiky od počátku loňského roku snižovaly. Teprve na přelomu let 2023 a 2024 se mírně zvýšily, zůstaly však zhruba na úrovni dlouhodobého průměru. </w:t>
            </w:r>
          </w:p>
        </w:tc>
      </w:tr>
      <w:tr w:rsidR="00582A12" w:rsidRPr="00016778" w14:paraId="3548EEEC" w14:textId="77777777" w:rsidTr="00BA5125">
        <w:trPr>
          <w:trHeight w:val="132"/>
        </w:trPr>
        <w:tc>
          <w:tcPr>
            <w:tcW w:w="1754" w:type="dxa"/>
            <w:shd w:val="clear" w:color="auto" w:fill="auto"/>
            <w:tcMar>
              <w:left w:w="0" w:type="dxa"/>
            </w:tcMar>
          </w:tcPr>
          <w:p w14:paraId="1C638622" w14:textId="77777777" w:rsidR="00582A12" w:rsidRPr="00735561" w:rsidRDefault="00582A12" w:rsidP="00BA5125">
            <w:pPr>
              <w:pStyle w:val="Marginlie"/>
              <w:rPr>
                <w:color w:val="0D0D0D" w:themeColor="text1" w:themeTint="F2"/>
                <w:spacing w:val="-4"/>
              </w:rPr>
            </w:pPr>
            <w:r>
              <w:rPr>
                <w:color w:val="0D0D0D" w:themeColor="text1" w:themeTint="F2"/>
                <w:spacing w:val="-4"/>
              </w:rPr>
              <w:t xml:space="preserve">Růst průměrných mezd během roku zvolňoval, což souviselo s přetrvávajícím slabým výkonem ekonomiky. </w:t>
            </w:r>
          </w:p>
        </w:tc>
        <w:tc>
          <w:tcPr>
            <w:tcW w:w="220" w:type="dxa"/>
            <w:shd w:val="clear" w:color="auto" w:fill="auto"/>
            <w:tcMar>
              <w:left w:w="0" w:type="dxa"/>
            </w:tcMar>
          </w:tcPr>
          <w:p w14:paraId="311D9793" w14:textId="77777777" w:rsidR="00582A12" w:rsidRPr="00016778" w:rsidRDefault="00582A12" w:rsidP="00BA5125">
            <w:pPr>
              <w:pStyle w:val="Textpoznpodarou"/>
              <w:jc w:val="both"/>
              <w:rPr>
                <w:color w:val="0D0D0D" w:themeColor="text1" w:themeTint="F2"/>
                <w:spacing w:val="-4"/>
              </w:rPr>
            </w:pPr>
          </w:p>
        </w:tc>
        <w:tc>
          <w:tcPr>
            <w:tcW w:w="7700" w:type="dxa"/>
            <w:shd w:val="clear" w:color="auto" w:fill="auto"/>
            <w:tcMar>
              <w:left w:w="0" w:type="dxa"/>
            </w:tcMar>
          </w:tcPr>
          <w:p w14:paraId="574CB858" w14:textId="77777777" w:rsidR="00582A12" w:rsidRPr="00735561" w:rsidRDefault="00582A12" w:rsidP="00BA5125">
            <w:pPr>
              <w:spacing w:after="200"/>
              <w:rPr>
                <w:rFonts w:cs="Arial"/>
                <w:color w:val="0D0D0D" w:themeColor="text1" w:themeTint="F2"/>
                <w:spacing w:val="-4"/>
                <w:szCs w:val="20"/>
              </w:rPr>
            </w:pPr>
            <w:r w:rsidRPr="005D046D">
              <w:rPr>
                <w:color w:val="0D0D0D" w:themeColor="text1" w:themeTint="F2"/>
                <w:spacing w:val="-4"/>
              </w:rPr>
              <w:t xml:space="preserve">Průměrná hrubá </w:t>
            </w:r>
            <w:r>
              <w:rPr>
                <w:color w:val="0D0D0D" w:themeColor="text1" w:themeTint="F2"/>
                <w:spacing w:val="-4"/>
              </w:rPr>
              <w:t xml:space="preserve">nominální </w:t>
            </w:r>
            <w:r w:rsidRPr="005D046D">
              <w:rPr>
                <w:color w:val="0D0D0D" w:themeColor="text1" w:themeTint="F2"/>
                <w:spacing w:val="-4"/>
              </w:rPr>
              <w:t>mzda (na zaměstnance, při zohlednění délky úvazku) vystoupala loni ve 4. čtvrtletí na 46,0 tis. korun</w:t>
            </w:r>
            <w:r w:rsidRPr="005D046D">
              <w:rPr>
                <w:rFonts w:cs="Arial"/>
                <w:color w:val="0D0D0D" w:themeColor="text1" w:themeTint="F2"/>
                <w:spacing w:val="-4"/>
                <w:szCs w:val="20"/>
              </w:rPr>
              <w:t>. Meziročně vzrostla o 6,3 %</w:t>
            </w:r>
            <w:r>
              <w:rPr>
                <w:rFonts w:cs="Arial"/>
                <w:color w:val="0D0D0D" w:themeColor="text1" w:themeTint="F2"/>
                <w:spacing w:val="-4"/>
                <w:szCs w:val="20"/>
              </w:rPr>
              <w:t>,</w:t>
            </w:r>
            <w:r w:rsidRPr="005D046D">
              <w:rPr>
                <w:rFonts w:cs="Arial"/>
                <w:color w:val="0D0D0D" w:themeColor="text1" w:themeTint="F2"/>
                <w:spacing w:val="-4"/>
                <w:szCs w:val="20"/>
              </w:rPr>
              <w:t xml:space="preserve"> mzdové tempo během loňského roku </w:t>
            </w:r>
            <w:r>
              <w:rPr>
                <w:rFonts w:cs="Arial"/>
                <w:color w:val="0D0D0D" w:themeColor="text1" w:themeTint="F2"/>
                <w:spacing w:val="-4"/>
                <w:szCs w:val="20"/>
              </w:rPr>
              <w:t xml:space="preserve">plynule </w:t>
            </w:r>
            <w:r w:rsidRPr="005D046D">
              <w:rPr>
                <w:rFonts w:cs="Arial"/>
                <w:color w:val="0D0D0D" w:themeColor="text1" w:themeTint="F2"/>
                <w:spacing w:val="-4"/>
                <w:szCs w:val="20"/>
              </w:rPr>
              <w:t>mírně ochabovalo</w:t>
            </w:r>
            <w:r>
              <w:rPr>
                <w:rFonts w:cs="Arial"/>
                <w:color w:val="0D0D0D" w:themeColor="text1" w:themeTint="F2"/>
                <w:spacing w:val="-4"/>
                <w:szCs w:val="20"/>
              </w:rPr>
              <w:t xml:space="preserve"> (v 1. čtvrtletí činilo 8,8 %)</w:t>
            </w:r>
            <w:r w:rsidRPr="005D046D">
              <w:rPr>
                <w:rFonts w:cs="Arial"/>
                <w:color w:val="0D0D0D" w:themeColor="text1" w:themeTint="F2"/>
                <w:spacing w:val="-4"/>
                <w:szCs w:val="20"/>
              </w:rPr>
              <w:t xml:space="preserve">. </w:t>
            </w:r>
            <w:r>
              <w:rPr>
                <w:rFonts w:cs="Arial"/>
                <w:color w:val="0D0D0D" w:themeColor="text1" w:themeTint="F2"/>
                <w:spacing w:val="-4"/>
                <w:szCs w:val="20"/>
              </w:rPr>
              <w:t>Sezónně o</w:t>
            </w:r>
            <w:r w:rsidRPr="005D046D">
              <w:rPr>
                <w:rFonts w:cs="Arial"/>
                <w:color w:val="0D0D0D" w:themeColor="text1" w:themeTint="F2"/>
                <w:spacing w:val="-4"/>
                <w:szCs w:val="20"/>
              </w:rPr>
              <w:t xml:space="preserve">čištěná mzda </w:t>
            </w:r>
            <w:r w:rsidRPr="00E16EF6">
              <w:rPr>
                <w:rFonts w:cs="Arial"/>
                <w:color w:val="0D0D0D" w:themeColor="text1" w:themeTint="F2"/>
                <w:spacing w:val="-5"/>
                <w:szCs w:val="20"/>
              </w:rPr>
              <w:t xml:space="preserve">byla </w:t>
            </w:r>
            <w:proofErr w:type="spellStart"/>
            <w:r w:rsidRPr="00E16EF6">
              <w:rPr>
                <w:rFonts w:cs="Arial"/>
                <w:color w:val="0D0D0D" w:themeColor="text1" w:themeTint="F2"/>
                <w:spacing w:val="-5"/>
                <w:szCs w:val="20"/>
              </w:rPr>
              <w:t>mezikvartálně</w:t>
            </w:r>
            <w:proofErr w:type="spellEnd"/>
            <w:r w:rsidRPr="00E16EF6">
              <w:rPr>
                <w:rFonts w:cs="Arial"/>
                <w:color w:val="0D0D0D" w:themeColor="text1" w:themeTint="F2"/>
                <w:spacing w:val="-5"/>
                <w:szCs w:val="20"/>
              </w:rPr>
              <w:t xml:space="preserve"> vyšší o 1,5 %, i zde je během loňska patrné lehké zpomalování související s přetrvávajícím slabým výkonem ekonomiky doprovázeným nárůstem nezaměstnanosti. </w:t>
            </w:r>
            <w:r>
              <w:t xml:space="preserve">Mzdový růst v </w:t>
            </w:r>
            <w:r w:rsidRPr="00E2395C">
              <w:rPr>
                <w:color w:val="0D0D0D" w:themeColor="text1" w:themeTint="F2"/>
              </w:rPr>
              <w:t xml:space="preserve">ekonomice tlumila i sílící </w:t>
            </w:r>
            <w:r>
              <w:t>potřeba úspor v rozpočtové sféře</w:t>
            </w:r>
            <w:r>
              <w:rPr>
                <w:rStyle w:val="Znakapoznpodarou"/>
                <w:spacing w:val="-5"/>
              </w:rPr>
              <w:footnoteReference w:id="85"/>
            </w:r>
            <w:r>
              <w:t>, střídmější navyšování minimálních mezd</w:t>
            </w:r>
            <w:r>
              <w:rPr>
                <w:rStyle w:val="Znakapoznpodarou"/>
                <w:spacing w:val="-5"/>
              </w:rPr>
              <w:footnoteReference w:id="86"/>
            </w:r>
            <w:r>
              <w:t xml:space="preserve"> i rostoucí počet zahraničních pracovníků ze „třetích zemí“. Ti nezřídka pracují na </w:t>
            </w:r>
            <w:proofErr w:type="spellStart"/>
            <w:r>
              <w:t>nízkokvalifikovaných</w:t>
            </w:r>
            <w:proofErr w:type="spellEnd"/>
            <w:r>
              <w:t xml:space="preserve"> pozicích a jejich výdělky tudíž </w:t>
            </w:r>
            <w:r w:rsidRPr="00DA5C07">
              <w:rPr>
                <w:spacing w:val="-2"/>
              </w:rPr>
              <w:t xml:space="preserve">zpravidla nedosahují úrovně občanů ČR. Naopak ve směru růstu nominální mzdy stále působila dosud relativně vysoká poptávka podniků po pracovní síle v některých odvětvích </w:t>
            </w:r>
            <w:r>
              <w:rPr>
                <w:spacing w:val="-2"/>
              </w:rPr>
              <w:t>č</w:t>
            </w:r>
            <w:r w:rsidRPr="00DA5C07">
              <w:rPr>
                <w:spacing w:val="-2"/>
              </w:rPr>
              <w:t xml:space="preserve">i zvýšený tlak zaměstnanců (pramenící </w:t>
            </w:r>
            <w:r>
              <w:rPr>
                <w:spacing w:val="-2"/>
              </w:rPr>
              <w:t>také</w:t>
            </w:r>
            <w:r w:rsidRPr="00DA5C07">
              <w:rPr>
                <w:spacing w:val="-2"/>
              </w:rPr>
              <w:t xml:space="preserve"> z napjatých rodinných rozpočtů vlivem doznívajícího vysokého růstu cen některých základních položek spotřebního koše).</w:t>
            </w:r>
          </w:p>
        </w:tc>
      </w:tr>
      <w:tr w:rsidR="00582A12" w:rsidRPr="001E4B77" w14:paraId="3F42C245" w14:textId="77777777" w:rsidTr="00BA5125">
        <w:trPr>
          <w:trHeight w:val="132"/>
        </w:trPr>
        <w:tc>
          <w:tcPr>
            <w:tcW w:w="1754" w:type="dxa"/>
            <w:shd w:val="clear" w:color="auto" w:fill="auto"/>
            <w:tcMar>
              <w:left w:w="0" w:type="dxa"/>
            </w:tcMar>
          </w:tcPr>
          <w:p w14:paraId="4A029D3D" w14:textId="77777777" w:rsidR="00582A12" w:rsidRDefault="00582A12" w:rsidP="00BA5125">
            <w:pPr>
              <w:pStyle w:val="Marginlie"/>
              <w:rPr>
                <w:color w:val="0D0D0D" w:themeColor="text1" w:themeTint="F2"/>
                <w:spacing w:val="-4"/>
              </w:rPr>
            </w:pPr>
            <w:r>
              <w:rPr>
                <w:color w:val="0D0D0D" w:themeColor="text1" w:themeTint="F2"/>
                <w:spacing w:val="-4"/>
              </w:rPr>
              <w:t>Pokles reálné mzdy byl svou hloubkou i délkou unikátní. Aktuální výše mzdy odpovídala reálně úrovni z 1. čtvrtletí 2018.</w:t>
            </w:r>
          </w:p>
          <w:p w14:paraId="61570E44" w14:textId="77777777" w:rsidR="00582A12" w:rsidRDefault="00582A12" w:rsidP="00BA5125">
            <w:pPr>
              <w:pStyle w:val="Marginlie"/>
              <w:rPr>
                <w:color w:val="0D0D0D" w:themeColor="text1" w:themeTint="F2"/>
                <w:spacing w:val="-4"/>
              </w:rPr>
            </w:pPr>
          </w:p>
        </w:tc>
        <w:tc>
          <w:tcPr>
            <w:tcW w:w="220" w:type="dxa"/>
            <w:shd w:val="clear" w:color="auto" w:fill="auto"/>
            <w:tcMar>
              <w:left w:w="0" w:type="dxa"/>
            </w:tcMar>
          </w:tcPr>
          <w:p w14:paraId="63CB3020" w14:textId="77777777" w:rsidR="00582A12" w:rsidRPr="001E4B77" w:rsidRDefault="00582A12" w:rsidP="00BA5125">
            <w:pPr>
              <w:pStyle w:val="Textpoznpodarou"/>
              <w:jc w:val="both"/>
              <w:rPr>
                <w:color w:val="0D0D0D" w:themeColor="text1" w:themeTint="F2"/>
                <w:spacing w:val="-4"/>
              </w:rPr>
            </w:pPr>
          </w:p>
        </w:tc>
        <w:tc>
          <w:tcPr>
            <w:tcW w:w="7700" w:type="dxa"/>
            <w:shd w:val="clear" w:color="auto" w:fill="auto"/>
            <w:tcMar>
              <w:left w:w="0" w:type="dxa"/>
            </w:tcMar>
          </w:tcPr>
          <w:p w14:paraId="05022B46" w14:textId="77777777" w:rsidR="00582A12" w:rsidRPr="00173DE0" w:rsidRDefault="00582A12" w:rsidP="00BA5125">
            <w:pPr>
              <w:pStyle w:val="paragraph"/>
              <w:spacing w:before="0" w:beforeAutospacing="0" w:after="200" w:afterAutospacing="0" w:line="276" w:lineRule="auto"/>
              <w:jc w:val="both"/>
              <w:textAlignment w:val="baseline"/>
              <w:rPr>
                <w:rStyle w:val="normaltextrun"/>
                <w:rFonts w:ascii="Arial" w:eastAsia="MS Gothic" w:hAnsi="Arial" w:cs="Arial"/>
                <w:spacing w:val="-4"/>
                <w:sz w:val="20"/>
                <w:szCs w:val="20"/>
              </w:rPr>
            </w:pPr>
            <w:r w:rsidRPr="00E2395C">
              <w:rPr>
                <w:rFonts w:ascii="Arial" w:hAnsi="Arial" w:cs="Arial"/>
                <w:color w:val="0D0D0D" w:themeColor="text1" w:themeTint="F2"/>
                <w:spacing w:val="-4"/>
                <w:sz w:val="20"/>
                <w:szCs w:val="20"/>
              </w:rPr>
              <w:t>S ohledem na dezinflační tendence v ekonomice se meziroční pokles kupní síly průměrné mzdy během loňského roku mírnil, když ve 4. čtvrtletí činil pouze 1,2 %. Kupní síla výdělků ovšem meziročně klesla již devátý kvartál v řadě. Bezprecedentní je kromě délky i celková hloubka poklesu za toto období (blížila se 10 %). V mezičtvrtletním pohledu však po většinu loňského roku již docházelo k růstu kupní síly mezd, neboť cenová hladina se v tomto pohledu již stabilizovala. I tak výše reálné mzdy (po sezónním oči</w:t>
            </w:r>
            <w:r>
              <w:rPr>
                <w:rFonts w:ascii="Arial" w:hAnsi="Arial" w:cs="Arial"/>
                <w:color w:val="0D0D0D" w:themeColor="text1" w:themeTint="F2"/>
                <w:spacing w:val="-4"/>
                <w:sz w:val="20"/>
                <w:szCs w:val="20"/>
              </w:rPr>
              <w:t xml:space="preserve">štění) ve 4. čtvrtletí 2023 </w:t>
            </w:r>
            <w:r w:rsidRPr="00E2395C">
              <w:rPr>
                <w:rFonts w:ascii="Arial" w:hAnsi="Arial" w:cs="Arial"/>
                <w:color w:val="0D0D0D" w:themeColor="text1" w:themeTint="F2"/>
                <w:spacing w:val="-4"/>
                <w:sz w:val="20"/>
                <w:szCs w:val="20"/>
              </w:rPr>
              <w:t>odpovídala pouze úrovni z 1. čtvrtletí 2018, podobné lze ovšem říct také u analogického srovnání reálné produktivity práce (při vyjádření na zaměstnanou osobu)</w:t>
            </w:r>
            <w:r w:rsidRPr="00E2395C">
              <w:rPr>
                <w:rStyle w:val="Znakapoznpodarou"/>
                <w:rFonts w:ascii="Arial" w:hAnsi="Arial" w:cs="Arial"/>
                <w:color w:val="0D0D0D" w:themeColor="text1" w:themeTint="F2"/>
                <w:spacing w:val="-4"/>
                <w:sz w:val="20"/>
                <w:szCs w:val="20"/>
              </w:rPr>
              <w:footnoteReference w:id="87"/>
            </w:r>
            <w:r w:rsidRPr="00E2395C">
              <w:rPr>
                <w:rFonts w:ascii="Arial" w:hAnsi="Arial" w:cs="Arial"/>
                <w:color w:val="0D0D0D" w:themeColor="text1" w:themeTint="F2"/>
                <w:spacing w:val="-4"/>
                <w:sz w:val="20"/>
                <w:szCs w:val="20"/>
              </w:rPr>
              <w:t>.</w:t>
            </w:r>
            <w:r w:rsidRPr="00E2395C">
              <w:rPr>
                <w:rFonts w:ascii="Arial" w:hAnsi="Arial" w:cs="Arial"/>
                <w:spacing w:val="-4"/>
                <w:sz w:val="20"/>
                <w:szCs w:val="20"/>
              </w:rPr>
              <w:t xml:space="preserve"> Mzdový vývoj </w:t>
            </w:r>
            <w:r w:rsidRPr="00F46437">
              <w:rPr>
                <w:rFonts w:ascii="Arial" w:hAnsi="Arial" w:cs="Arial"/>
                <w:spacing w:val="-6"/>
                <w:sz w:val="20"/>
                <w:szCs w:val="20"/>
              </w:rPr>
              <w:t xml:space="preserve">po </w:t>
            </w:r>
            <w:r w:rsidRPr="00F46437">
              <w:rPr>
                <w:rFonts w:ascii="Arial" w:hAnsi="Arial" w:cs="Arial"/>
                <w:spacing w:val="-5"/>
                <w:sz w:val="20"/>
                <w:szCs w:val="20"/>
              </w:rPr>
              <w:lastRenderedPageBreak/>
              <w:t>většinu roku 2023</w:t>
            </w:r>
            <w:r>
              <w:rPr>
                <w:rFonts w:ascii="Arial" w:hAnsi="Arial" w:cs="Arial"/>
                <w:spacing w:val="-5"/>
                <w:sz w:val="20"/>
                <w:szCs w:val="20"/>
              </w:rPr>
              <w:t xml:space="preserve"> představoval rozhodující</w:t>
            </w:r>
            <w:r w:rsidRPr="00F46437">
              <w:rPr>
                <w:rFonts w:ascii="Arial" w:hAnsi="Arial" w:cs="Arial"/>
                <w:spacing w:val="-5"/>
                <w:sz w:val="20"/>
                <w:szCs w:val="20"/>
              </w:rPr>
              <w:t xml:space="preserve"> faktor snížení celkové kupní síly</w:t>
            </w:r>
            <w:r>
              <w:rPr>
                <w:rFonts w:ascii="Arial" w:hAnsi="Arial" w:cs="Arial"/>
                <w:spacing w:val="-5"/>
                <w:sz w:val="20"/>
                <w:szCs w:val="20"/>
              </w:rPr>
              <w:t xml:space="preserve"> tuzemských domácností</w:t>
            </w:r>
            <w:r w:rsidRPr="00F46437">
              <w:rPr>
                <w:rStyle w:val="Znakapoznpodarou"/>
                <w:rFonts w:ascii="Arial" w:hAnsi="Arial" w:cs="Arial"/>
                <w:spacing w:val="-5"/>
                <w:sz w:val="20"/>
                <w:szCs w:val="20"/>
              </w:rPr>
              <w:footnoteReference w:id="88"/>
            </w:r>
            <w:r w:rsidRPr="00F46437">
              <w:rPr>
                <w:rFonts w:ascii="Arial" w:hAnsi="Arial" w:cs="Arial"/>
                <w:spacing w:val="-5"/>
                <w:sz w:val="20"/>
                <w:szCs w:val="20"/>
              </w:rPr>
              <w:t>.</w:t>
            </w:r>
          </w:p>
        </w:tc>
      </w:tr>
      <w:tr w:rsidR="00582A12" w:rsidRPr="001E4B77" w14:paraId="50EC88DB" w14:textId="77777777" w:rsidTr="00BA5125">
        <w:trPr>
          <w:trHeight w:val="132"/>
        </w:trPr>
        <w:tc>
          <w:tcPr>
            <w:tcW w:w="1754" w:type="dxa"/>
            <w:shd w:val="clear" w:color="auto" w:fill="auto"/>
            <w:tcMar>
              <w:left w:w="0" w:type="dxa"/>
            </w:tcMar>
          </w:tcPr>
          <w:p w14:paraId="7F23A07D" w14:textId="77777777" w:rsidR="00582A12" w:rsidRDefault="00582A12" w:rsidP="00BA5125">
            <w:pPr>
              <w:pStyle w:val="Marginlie"/>
              <w:rPr>
                <w:color w:val="0D0D0D" w:themeColor="text1" w:themeTint="F2"/>
                <w:spacing w:val="-4"/>
              </w:rPr>
            </w:pPr>
            <w:r>
              <w:rPr>
                <w:color w:val="0D0D0D" w:themeColor="text1" w:themeTint="F2"/>
                <w:spacing w:val="-4"/>
              </w:rPr>
              <w:lastRenderedPageBreak/>
              <w:t xml:space="preserve">Ve 4. čtvrtletí rostly mzdy relativně nejvíce v ubytování, stravování a pohostinství, absolutně nejvíce pak v oblasti IT. </w:t>
            </w:r>
          </w:p>
          <w:p w14:paraId="14D0C9EF" w14:textId="77777777" w:rsidR="00582A12" w:rsidRDefault="00582A12" w:rsidP="00BA5125">
            <w:pPr>
              <w:pStyle w:val="Marginlie"/>
              <w:rPr>
                <w:color w:val="0D0D0D" w:themeColor="text1" w:themeTint="F2"/>
                <w:spacing w:val="-4"/>
              </w:rPr>
            </w:pPr>
          </w:p>
          <w:p w14:paraId="28DF864E" w14:textId="77777777" w:rsidR="00582A12" w:rsidRDefault="00582A12" w:rsidP="00BA5125">
            <w:pPr>
              <w:pStyle w:val="Marginlie"/>
              <w:rPr>
                <w:color w:val="0D0D0D" w:themeColor="text1" w:themeTint="F2"/>
                <w:spacing w:val="-4"/>
              </w:rPr>
            </w:pPr>
          </w:p>
          <w:p w14:paraId="223025D2" w14:textId="77777777" w:rsidR="00582A12" w:rsidRDefault="00582A12" w:rsidP="00BA5125">
            <w:pPr>
              <w:pStyle w:val="Marginlie"/>
              <w:rPr>
                <w:color w:val="0D0D0D" w:themeColor="text1" w:themeTint="F2"/>
                <w:spacing w:val="-4"/>
              </w:rPr>
            </w:pPr>
          </w:p>
          <w:p w14:paraId="2C27A7B5" w14:textId="77777777" w:rsidR="00582A12" w:rsidRDefault="00582A12" w:rsidP="00BA5125">
            <w:pPr>
              <w:pStyle w:val="Marginlie"/>
              <w:rPr>
                <w:color w:val="0D0D0D" w:themeColor="text1" w:themeTint="F2"/>
                <w:spacing w:val="-4"/>
              </w:rPr>
            </w:pPr>
          </w:p>
          <w:p w14:paraId="085989FF" w14:textId="77777777" w:rsidR="00582A12" w:rsidRDefault="00582A12" w:rsidP="00BA5125">
            <w:pPr>
              <w:pStyle w:val="Marginlie"/>
              <w:rPr>
                <w:color w:val="0D0D0D" w:themeColor="text1" w:themeTint="F2"/>
                <w:spacing w:val="-4"/>
              </w:rPr>
            </w:pPr>
          </w:p>
          <w:p w14:paraId="6E0FBACC" w14:textId="77777777" w:rsidR="00582A12" w:rsidRDefault="00582A12" w:rsidP="00BA5125">
            <w:pPr>
              <w:pStyle w:val="Marginlie"/>
              <w:rPr>
                <w:color w:val="0D0D0D" w:themeColor="text1" w:themeTint="F2"/>
                <w:spacing w:val="-4"/>
              </w:rPr>
            </w:pPr>
          </w:p>
          <w:p w14:paraId="6C7E2908" w14:textId="77777777" w:rsidR="00582A12" w:rsidRDefault="00582A12" w:rsidP="00BA5125">
            <w:pPr>
              <w:pStyle w:val="Marginlie"/>
              <w:rPr>
                <w:color w:val="0D0D0D" w:themeColor="text1" w:themeTint="F2"/>
                <w:spacing w:val="-4"/>
              </w:rPr>
            </w:pPr>
          </w:p>
          <w:p w14:paraId="3EF8FABD" w14:textId="77777777" w:rsidR="00582A12" w:rsidRDefault="00582A12" w:rsidP="00BA5125">
            <w:pPr>
              <w:pStyle w:val="Marginlie"/>
              <w:rPr>
                <w:color w:val="0D0D0D" w:themeColor="text1" w:themeTint="F2"/>
                <w:spacing w:val="-4"/>
              </w:rPr>
            </w:pPr>
          </w:p>
          <w:p w14:paraId="70B7EE9D" w14:textId="77777777" w:rsidR="00582A12" w:rsidRDefault="00582A12" w:rsidP="00BA5125">
            <w:pPr>
              <w:pStyle w:val="Marginlie"/>
              <w:rPr>
                <w:color w:val="0D0D0D" w:themeColor="text1" w:themeTint="F2"/>
                <w:spacing w:val="-4"/>
              </w:rPr>
            </w:pPr>
            <w:r>
              <w:rPr>
                <w:color w:val="0D0D0D" w:themeColor="text1" w:themeTint="F2"/>
                <w:spacing w:val="-4"/>
              </w:rPr>
              <w:t>Mzdová distribuce se po celý loňský rok mírně rozšiřovala.</w:t>
            </w:r>
          </w:p>
        </w:tc>
        <w:tc>
          <w:tcPr>
            <w:tcW w:w="220" w:type="dxa"/>
            <w:shd w:val="clear" w:color="auto" w:fill="auto"/>
            <w:tcMar>
              <w:left w:w="0" w:type="dxa"/>
            </w:tcMar>
          </w:tcPr>
          <w:p w14:paraId="5B49E196" w14:textId="77777777" w:rsidR="00582A12" w:rsidRPr="001E4B77" w:rsidRDefault="00582A12" w:rsidP="00BA5125">
            <w:pPr>
              <w:pStyle w:val="Textpoznpodarou"/>
              <w:jc w:val="both"/>
              <w:rPr>
                <w:color w:val="0D0D0D" w:themeColor="text1" w:themeTint="F2"/>
                <w:spacing w:val="-4"/>
              </w:rPr>
            </w:pPr>
          </w:p>
        </w:tc>
        <w:tc>
          <w:tcPr>
            <w:tcW w:w="7700" w:type="dxa"/>
            <w:shd w:val="clear" w:color="auto" w:fill="auto"/>
            <w:tcMar>
              <w:left w:w="0" w:type="dxa"/>
            </w:tcMar>
          </w:tcPr>
          <w:p w14:paraId="3C602EB4" w14:textId="77777777" w:rsidR="00582A12" w:rsidRPr="0032675C" w:rsidRDefault="00582A12" w:rsidP="00BA5125">
            <w:pPr>
              <w:pStyle w:val="paragraph"/>
              <w:spacing w:before="0" w:beforeAutospacing="0" w:after="200" w:afterAutospacing="0" w:line="276" w:lineRule="auto"/>
              <w:jc w:val="both"/>
              <w:textAlignment w:val="baseline"/>
              <w:rPr>
                <w:rFonts w:ascii="Arial" w:eastAsia="MS Gothic" w:hAnsi="Arial"/>
                <w:spacing w:val="-5"/>
                <w:sz w:val="20"/>
                <w:szCs w:val="20"/>
              </w:rPr>
            </w:pPr>
            <w:r w:rsidRPr="00173DE0">
              <w:rPr>
                <w:rStyle w:val="normaltextrun"/>
                <w:rFonts w:ascii="Arial" w:eastAsia="MS Gothic" w:hAnsi="Arial" w:cs="Arial"/>
                <w:spacing w:val="-4"/>
                <w:sz w:val="20"/>
                <w:szCs w:val="20"/>
              </w:rPr>
              <w:t>Relativně nejvíce si v průměru loni ve 4. čtvrtletí polepšili zaměstnanci v odvětví ubytování, stravování a pohostinství (+10,1 % meziročně), v absolutním vyjádření se ale jejich mzdy nominálně zvýšily pomaleji než v celé ekonomice. Svižně, nad úrovní inflace, vzrostly výdělky ještě v informačních a komunikačních činnostech</w:t>
            </w:r>
            <w:r>
              <w:rPr>
                <w:rStyle w:val="normaltextrun"/>
                <w:rFonts w:ascii="Arial" w:eastAsia="MS Gothic" w:hAnsi="Arial" w:cs="Arial"/>
                <w:spacing w:val="-4"/>
                <w:sz w:val="20"/>
                <w:szCs w:val="20"/>
              </w:rPr>
              <w:t xml:space="preserve"> (+8,7 %), dopravě a skladování </w:t>
            </w:r>
            <w:r w:rsidRPr="00173DE0">
              <w:rPr>
                <w:rStyle w:val="normaltextrun"/>
                <w:rFonts w:ascii="Arial" w:eastAsia="MS Gothic" w:hAnsi="Arial" w:cs="Arial"/>
                <w:spacing w:val="-4"/>
                <w:sz w:val="20"/>
                <w:szCs w:val="20"/>
              </w:rPr>
              <w:t xml:space="preserve">(+8,1 %), </w:t>
            </w:r>
            <w:r>
              <w:rPr>
                <w:rStyle w:val="normaltextrun"/>
                <w:rFonts w:ascii="Arial" w:eastAsia="MS Gothic" w:hAnsi="Arial" w:cs="Arial"/>
                <w:spacing w:val="-4"/>
                <w:sz w:val="20"/>
                <w:szCs w:val="20"/>
              </w:rPr>
              <w:t xml:space="preserve">v </w:t>
            </w:r>
            <w:r w:rsidRPr="00173DE0">
              <w:rPr>
                <w:rStyle w:val="normaltextrun"/>
                <w:rFonts w:ascii="Arial" w:eastAsia="MS Gothic" w:hAnsi="Arial" w:cs="Arial"/>
                <w:spacing w:val="-4"/>
                <w:sz w:val="20"/>
                <w:szCs w:val="20"/>
              </w:rPr>
              <w:t xml:space="preserve">některých nezpracovatelských průmyslových </w:t>
            </w:r>
            <w:r>
              <w:rPr>
                <w:rStyle w:val="normaltextrun"/>
                <w:rFonts w:ascii="Arial" w:eastAsia="MS Gothic" w:hAnsi="Arial" w:cs="Arial"/>
                <w:spacing w:val="-4"/>
                <w:sz w:val="20"/>
                <w:szCs w:val="20"/>
              </w:rPr>
              <w:t>odvětvích – především v těžbě a</w:t>
            </w:r>
            <w:r w:rsidRPr="00E16EF6">
              <w:rPr>
                <w:rFonts w:ascii="Arial" w:hAnsi="Arial" w:cs="Arial"/>
                <w:color w:val="0D0D0D" w:themeColor="text1" w:themeTint="F2"/>
                <w:spacing w:val="-4"/>
                <w:sz w:val="20"/>
                <w:szCs w:val="20"/>
              </w:rPr>
              <w:t> </w:t>
            </w:r>
            <w:r w:rsidRPr="00173DE0">
              <w:rPr>
                <w:rStyle w:val="normaltextrun"/>
                <w:rFonts w:ascii="Arial" w:eastAsia="MS Gothic" w:hAnsi="Arial" w:cs="Arial"/>
                <w:spacing w:val="-4"/>
                <w:sz w:val="20"/>
                <w:szCs w:val="20"/>
              </w:rPr>
              <w:t xml:space="preserve">dobývání (+10,3 %) a v rámci větších zpracovatelských oborů jen ve výrobě elektrických zařízení (+10,7 %). </w:t>
            </w:r>
            <w:r w:rsidRPr="00173DE0">
              <w:rPr>
                <w:rFonts w:ascii="Arial" w:hAnsi="Arial" w:cs="Arial"/>
                <w:color w:val="0D0D0D" w:themeColor="text1" w:themeTint="F2"/>
                <w:spacing w:val="-4"/>
                <w:sz w:val="20"/>
                <w:szCs w:val="20"/>
              </w:rPr>
              <w:t>Podprůměrně (od 3,9 do 6,1 %) rostly mzdy v odvětvích veřejných služeb, v administrativních a podpůrných činnostech, v oblas</w:t>
            </w:r>
            <w:r>
              <w:rPr>
                <w:rFonts w:ascii="Arial" w:hAnsi="Arial" w:cs="Arial"/>
                <w:color w:val="0D0D0D" w:themeColor="text1" w:themeTint="F2"/>
                <w:spacing w:val="-4"/>
                <w:sz w:val="20"/>
                <w:szCs w:val="20"/>
              </w:rPr>
              <w:t xml:space="preserve">ti nemovitostí, ve stavebnictví </w:t>
            </w:r>
            <w:r w:rsidRPr="00173DE0">
              <w:rPr>
                <w:rFonts w:ascii="Arial" w:hAnsi="Arial" w:cs="Arial"/>
                <w:color w:val="0D0D0D" w:themeColor="text1" w:themeTint="F2"/>
                <w:spacing w:val="-4"/>
                <w:sz w:val="20"/>
                <w:szCs w:val="20"/>
              </w:rPr>
              <w:t xml:space="preserve">a v primárním sektoru zemědělství a lesnictví. Nejméně (o 0,3 %) </w:t>
            </w:r>
            <w:r>
              <w:rPr>
                <w:rFonts w:ascii="Arial" w:hAnsi="Arial" w:cs="Arial"/>
                <w:color w:val="0D0D0D" w:themeColor="text1" w:themeTint="F2"/>
                <w:spacing w:val="-4"/>
                <w:sz w:val="20"/>
                <w:szCs w:val="20"/>
              </w:rPr>
              <w:t>se pak zvýšily průměrné výdělky</w:t>
            </w:r>
            <w:r w:rsidRPr="00173DE0">
              <w:rPr>
                <w:rFonts w:ascii="Arial" w:hAnsi="Arial" w:cs="Arial"/>
                <w:color w:val="0D0D0D" w:themeColor="text1" w:themeTint="F2"/>
                <w:spacing w:val="-4"/>
                <w:sz w:val="20"/>
                <w:szCs w:val="20"/>
              </w:rPr>
              <w:t xml:space="preserve"> v malém různorodém odvětví ostatních služeb (zahrnující zejmén</w:t>
            </w:r>
            <w:r>
              <w:rPr>
                <w:rFonts w:ascii="Arial" w:hAnsi="Arial" w:cs="Arial"/>
                <w:color w:val="0D0D0D" w:themeColor="text1" w:themeTint="F2"/>
                <w:spacing w:val="-4"/>
                <w:sz w:val="20"/>
                <w:szCs w:val="20"/>
              </w:rPr>
              <w:t>a profesní svazy a odbory, ale také</w:t>
            </w:r>
            <w:r w:rsidRPr="00173DE0">
              <w:rPr>
                <w:rFonts w:ascii="Arial" w:hAnsi="Arial" w:cs="Arial"/>
                <w:color w:val="0D0D0D" w:themeColor="text1" w:themeTint="F2"/>
                <w:spacing w:val="-4"/>
                <w:sz w:val="20"/>
                <w:szCs w:val="20"/>
              </w:rPr>
              <w:t xml:space="preserve"> osobní služby pro domácnosti), relativně svižně zde ale rostla zaměstnanost.</w:t>
            </w:r>
            <w:r>
              <w:rPr>
                <w:rFonts w:ascii="Arial" w:hAnsi="Arial" w:cs="Arial"/>
                <w:color w:val="0D0D0D" w:themeColor="text1" w:themeTint="F2"/>
                <w:spacing w:val="-4"/>
                <w:sz w:val="20"/>
                <w:szCs w:val="20"/>
              </w:rPr>
              <w:t xml:space="preserve"> </w:t>
            </w:r>
            <w:r w:rsidRPr="0069602A">
              <w:rPr>
                <w:rFonts w:ascii="Arial" w:eastAsia="MS Gothic" w:hAnsi="Arial"/>
                <w:spacing w:val="-5"/>
                <w:sz w:val="20"/>
                <w:szCs w:val="20"/>
              </w:rPr>
              <w:t>Medián mezd se ve 4. čtvrtletí zvýšil</w:t>
            </w:r>
            <w:r>
              <w:rPr>
                <w:rFonts w:ascii="Arial" w:hAnsi="Arial"/>
                <w:spacing w:val="-5"/>
                <w:sz w:val="20"/>
                <w:szCs w:val="20"/>
              </w:rPr>
              <w:t xml:space="preserve"> o rovných 6 % (na 39,7 tis.</w:t>
            </w:r>
            <w:r w:rsidRPr="0069602A">
              <w:rPr>
                <w:rFonts w:ascii="Arial" w:eastAsia="MS Gothic" w:hAnsi="Arial"/>
                <w:spacing w:val="-5"/>
                <w:sz w:val="20"/>
                <w:szCs w:val="20"/>
              </w:rPr>
              <w:t xml:space="preserve"> korun měsíčně).</w:t>
            </w:r>
            <w:r>
              <w:rPr>
                <w:rFonts w:ascii="Arial" w:eastAsia="MS Gothic" w:hAnsi="Arial"/>
                <w:spacing w:val="-5"/>
                <w:sz w:val="20"/>
                <w:szCs w:val="20"/>
              </w:rPr>
              <w:t xml:space="preserve"> D</w:t>
            </w:r>
            <w:r w:rsidRPr="0069602A">
              <w:rPr>
                <w:rFonts w:ascii="Arial" w:eastAsia="MS Gothic" w:hAnsi="Arial"/>
                <w:spacing w:val="-5"/>
                <w:sz w:val="20"/>
                <w:szCs w:val="20"/>
              </w:rPr>
              <w:t>olní mzdový decil meziročně narostl o 5,5 %, horní decil o 6,6 %</w:t>
            </w:r>
            <w:r>
              <w:rPr>
                <w:rFonts w:ascii="Arial" w:hAnsi="Arial"/>
                <w:spacing w:val="-5"/>
                <w:sz w:val="20"/>
                <w:szCs w:val="20"/>
              </w:rPr>
              <w:t xml:space="preserve">. </w:t>
            </w:r>
            <w:r w:rsidRPr="0069602A">
              <w:rPr>
                <w:rFonts w:ascii="Arial" w:eastAsia="MS Gothic" w:hAnsi="Arial"/>
                <w:spacing w:val="-5"/>
                <w:sz w:val="20"/>
                <w:szCs w:val="20"/>
              </w:rPr>
              <w:t xml:space="preserve">Mzdová distribuce se </w:t>
            </w:r>
            <w:r>
              <w:rPr>
                <w:rFonts w:ascii="Arial" w:eastAsia="MS Gothic" w:hAnsi="Arial"/>
                <w:spacing w:val="-5"/>
                <w:sz w:val="20"/>
                <w:szCs w:val="20"/>
              </w:rPr>
              <w:t xml:space="preserve">tak </w:t>
            </w:r>
            <w:r w:rsidRPr="0069602A">
              <w:rPr>
                <w:rFonts w:ascii="Arial" w:eastAsia="MS Gothic" w:hAnsi="Arial"/>
                <w:spacing w:val="-5"/>
                <w:sz w:val="20"/>
                <w:szCs w:val="20"/>
              </w:rPr>
              <w:t xml:space="preserve">mírně </w:t>
            </w:r>
            <w:r>
              <w:rPr>
                <w:rFonts w:ascii="Arial" w:eastAsia="MS Gothic" w:hAnsi="Arial"/>
                <w:spacing w:val="-5"/>
                <w:sz w:val="20"/>
                <w:szCs w:val="20"/>
              </w:rPr>
              <w:t>rozšířila, což platilo rovněž v předchozí části loňského roku.</w:t>
            </w:r>
          </w:p>
        </w:tc>
      </w:tr>
      <w:tr w:rsidR="00582A12" w:rsidRPr="001E4B77" w14:paraId="13F8834B" w14:textId="77777777" w:rsidTr="00BA5125">
        <w:trPr>
          <w:trHeight w:val="132"/>
        </w:trPr>
        <w:tc>
          <w:tcPr>
            <w:tcW w:w="1754" w:type="dxa"/>
            <w:shd w:val="clear" w:color="auto" w:fill="auto"/>
            <w:tcMar>
              <w:left w:w="0" w:type="dxa"/>
            </w:tcMar>
          </w:tcPr>
          <w:p w14:paraId="1D4B0EC1" w14:textId="77777777" w:rsidR="00582A12" w:rsidRDefault="00582A12" w:rsidP="00BA5125">
            <w:pPr>
              <w:pStyle w:val="Marginlie"/>
              <w:rPr>
                <w:color w:val="0D0D0D" w:themeColor="text1" w:themeTint="F2"/>
                <w:spacing w:val="-4"/>
              </w:rPr>
            </w:pPr>
            <w:r>
              <w:rPr>
                <w:color w:val="0D0D0D" w:themeColor="text1" w:themeTint="F2"/>
                <w:spacing w:val="-4"/>
              </w:rPr>
              <w:t>Absolutně i relativně vzrostla za loňský rok mzda nejvíce v energetice, a to i díky výplatě mimořádných odměn na počátku roku.</w:t>
            </w:r>
          </w:p>
          <w:p w14:paraId="6381C9BE" w14:textId="77777777" w:rsidR="00582A12" w:rsidRDefault="00582A12" w:rsidP="00BA5125">
            <w:pPr>
              <w:pStyle w:val="Marginlie"/>
              <w:rPr>
                <w:color w:val="0D0D0D" w:themeColor="text1" w:themeTint="F2"/>
                <w:spacing w:val="-4"/>
              </w:rPr>
            </w:pPr>
          </w:p>
          <w:p w14:paraId="052570BE" w14:textId="77777777" w:rsidR="00582A12" w:rsidRDefault="00582A12" w:rsidP="00BA5125">
            <w:pPr>
              <w:pStyle w:val="Marginlie"/>
              <w:rPr>
                <w:color w:val="0D0D0D" w:themeColor="text1" w:themeTint="F2"/>
                <w:spacing w:val="-4"/>
              </w:rPr>
            </w:pPr>
          </w:p>
          <w:p w14:paraId="0862E006" w14:textId="77777777" w:rsidR="00582A12" w:rsidRDefault="00582A12" w:rsidP="00BA5125">
            <w:pPr>
              <w:pStyle w:val="Marginlie"/>
              <w:rPr>
                <w:color w:val="0D0D0D" w:themeColor="text1" w:themeTint="F2"/>
                <w:spacing w:val="-4"/>
              </w:rPr>
            </w:pPr>
          </w:p>
          <w:p w14:paraId="54390618" w14:textId="77777777" w:rsidR="00582A12" w:rsidRDefault="00582A12" w:rsidP="00BA5125">
            <w:pPr>
              <w:pStyle w:val="Marginlie"/>
              <w:rPr>
                <w:color w:val="0D0D0D" w:themeColor="text1" w:themeTint="F2"/>
                <w:spacing w:val="-4"/>
              </w:rPr>
            </w:pPr>
            <w:r>
              <w:rPr>
                <w:color w:val="0D0D0D" w:themeColor="text1" w:themeTint="F2"/>
                <w:spacing w:val="-4"/>
              </w:rPr>
              <w:t xml:space="preserve">Podprůměrný růst mezd nastal v obchodě, stavebnictví i některých </w:t>
            </w:r>
            <w:r w:rsidRPr="0032675C">
              <w:rPr>
                <w:color w:val="0D0D0D" w:themeColor="text1" w:themeTint="F2"/>
                <w:spacing w:val="-6"/>
              </w:rPr>
              <w:t>oborech zpracovatelského</w:t>
            </w:r>
            <w:r>
              <w:rPr>
                <w:color w:val="0D0D0D" w:themeColor="text1" w:themeTint="F2"/>
                <w:spacing w:val="-4"/>
              </w:rPr>
              <w:t xml:space="preserve"> průmyslu.</w:t>
            </w:r>
          </w:p>
          <w:p w14:paraId="2AAB9E3D" w14:textId="77777777" w:rsidR="00582A12" w:rsidRDefault="00582A12" w:rsidP="00BA5125">
            <w:pPr>
              <w:pStyle w:val="Marginlie"/>
              <w:rPr>
                <w:color w:val="0D0D0D" w:themeColor="text1" w:themeTint="F2"/>
                <w:spacing w:val="-4"/>
              </w:rPr>
            </w:pPr>
          </w:p>
          <w:p w14:paraId="14E243A2" w14:textId="77777777" w:rsidR="00582A12" w:rsidRDefault="00582A12" w:rsidP="00BA5125">
            <w:pPr>
              <w:pStyle w:val="Marginlie"/>
              <w:rPr>
                <w:color w:val="0D0D0D" w:themeColor="text1" w:themeTint="F2"/>
                <w:spacing w:val="-4"/>
              </w:rPr>
            </w:pPr>
          </w:p>
          <w:p w14:paraId="47495D8A" w14:textId="77777777" w:rsidR="00582A12" w:rsidRDefault="00582A12" w:rsidP="00BA5125">
            <w:pPr>
              <w:pStyle w:val="Marginlie"/>
              <w:rPr>
                <w:color w:val="0D0D0D" w:themeColor="text1" w:themeTint="F2"/>
                <w:spacing w:val="-4"/>
              </w:rPr>
            </w:pPr>
            <w:r>
              <w:rPr>
                <w:color w:val="0D0D0D" w:themeColor="text1" w:themeTint="F2"/>
                <w:spacing w:val="-4"/>
              </w:rPr>
              <w:t>Velmi nízký mzdový růst ve vzdělávání pokračoval druhý rok v řadě.</w:t>
            </w:r>
          </w:p>
        </w:tc>
        <w:tc>
          <w:tcPr>
            <w:tcW w:w="220" w:type="dxa"/>
            <w:shd w:val="clear" w:color="auto" w:fill="auto"/>
            <w:tcMar>
              <w:left w:w="0" w:type="dxa"/>
            </w:tcMar>
          </w:tcPr>
          <w:p w14:paraId="6496601B" w14:textId="77777777" w:rsidR="00582A12" w:rsidRPr="001E4B77" w:rsidRDefault="00582A12" w:rsidP="00BA5125">
            <w:pPr>
              <w:pStyle w:val="Textpoznpodarou"/>
              <w:jc w:val="both"/>
              <w:rPr>
                <w:color w:val="0D0D0D" w:themeColor="text1" w:themeTint="F2"/>
                <w:spacing w:val="-4"/>
              </w:rPr>
            </w:pPr>
          </w:p>
        </w:tc>
        <w:tc>
          <w:tcPr>
            <w:tcW w:w="7700" w:type="dxa"/>
            <w:shd w:val="clear" w:color="auto" w:fill="auto"/>
            <w:tcMar>
              <w:left w:w="0" w:type="dxa"/>
            </w:tcMar>
          </w:tcPr>
          <w:p w14:paraId="77F1D801" w14:textId="77777777" w:rsidR="00582A12" w:rsidRPr="00E228BC" w:rsidRDefault="00582A12" w:rsidP="00BA5125">
            <w:pPr>
              <w:pStyle w:val="paragraph"/>
              <w:spacing w:before="0" w:beforeAutospacing="0" w:after="200" w:afterAutospacing="0" w:line="276" w:lineRule="auto"/>
              <w:jc w:val="both"/>
              <w:textAlignment w:val="baseline"/>
              <w:rPr>
                <w:rFonts w:ascii="Arial" w:eastAsia="MS Gothic" w:hAnsi="Arial"/>
                <w:spacing w:val="-5"/>
                <w:sz w:val="20"/>
                <w:szCs w:val="20"/>
              </w:rPr>
            </w:pPr>
            <w:r w:rsidRPr="00856E0C">
              <w:rPr>
                <w:rFonts w:ascii="Arial" w:eastAsia="MS Gothic" w:hAnsi="Arial"/>
                <w:spacing w:val="-2"/>
                <w:sz w:val="20"/>
                <w:szCs w:val="20"/>
              </w:rPr>
              <w:t>Za celý rok 2023 dosáhla průměrná měsíční mzda 43,3 tis. korun. Přestože její meziroční růst byl nejvyšší za poslední čtyři roky (+7,5 %), reálně si l</w:t>
            </w:r>
            <w:r>
              <w:rPr>
                <w:rFonts w:ascii="Arial" w:eastAsia="MS Gothic" w:hAnsi="Arial"/>
                <w:spacing w:val="-2"/>
                <w:sz w:val="20"/>
                <w:szCs w:val="20"/>
              </w:rPr>
              <w:t>oni zaměstnanci pohoršili o</w:t>
            </w:r>
            <w:r w:rsidRPr="00173DE0">
              <w:rPr>
                <w:rFonts w:ascii="Arial" w:hAnsi="Arial" w:cs="Arial"/>
                <w:color w:val="0D0D0D" w:themeColor="text1" w:themeTint="F2"/>
                <w:spacing w:val="-4"/>
                <w:sz w:val="20"/>
                <w:szCs w:val="20"/>
              </w:rPr>
              <w:t> </w:t>
            </w:r>
            <w:r>
              <w:rPr>
                <w:rFonts w:ascii="Arial" w:eastAsia="MS Gothic" w:hAnsi="Arial"/>
                <w:spacing w:val="-2"/>
                <w:sz w:val="20"/>
                <w:szCs w:val="20"/>
              </w:rPr>
              <w:t>2,9</w:t>
            </w:r>
            <w:r w:rsidRPr="00173DE0">
              <w:rPr>
                <w:rFonts w:ascii="Arial" w:hAnsi="Arial" w:cs="Arial"/>
                <w:color w:val="0D0D0D" w:themeColor="text1" w:themeTint="F2"/>
                <w:spacing w:val="-4"/>
                <w:sz w:val="20"/>
                <w:szCs w:val="20"/>
              </w:rPr>
              <w:t> </w:t>
            </w:r>
            <w:r w:rsidRPr="00856E0C">
              <w:rPr>
                <w:rFonts w:ascii="Arial" w:eastAsia="MS Gothic" w:hAnsi="Arial"/>
                <w:spacing w:val="-2"/>
                <w:sz w:val="20"/>
                <w:szCs w:val="20"/>
              </w:rPr>
              <w:t>%. Mzdový růst dokázal „porazit“ inflaci jen v malém a na kvalifikační požadavky náročném odvětví energetiky</w:t>
            </w:r>
            <w:r w:rsidRPr="00856E0C">
              <w:rPr>
                <w:rStyle w:val="Znakapoznpodarou"/>
                <w:rFonts w:ascii="Arial" w:hAnsi="Arial" w:cs="Arial"/>
                <w:color w:val="0D0D0D" w:themeColor="text1" w:themeTint="F2"/>
                <w:spacing w:val="-2"/>
                <w:sz w:val="20"/>
                <w:szCs w:val="20"/>
              </w:rPr>
              <w:footnoteReference w:id="89"/>
            </w:r>
            <w:r w:rsidRPr="00856E0C">
              <w:rPr>
                <w:rFonts w:ascii="Arial" w:eastAsia="MS Gothic" w:hAnsi="Arial"/>
                <w:spacing w:val="-2"/>
                <w:sz w:val="20"/>
                <w:szCs w:val="20"/>
              </w:rPr>
              <w:t xml:space="preserve"> (nominálně činil 14,1 %</w:t>
            </w:r>
            <w:r w:rsidRPr="00856E0C">
              <w:rPr>
                <w:rStyle w:val="Znakapoznpodarou"/>
                <w:rFonts w:ascii="Arial" w:hAnsi="Arial" w:cs="Arial"/>
                <w:spacing w:val="-2"/>
                <w:sz w:val="20"/>
                <w:szCs w:val="20"/>
              </w:rPr>
              <w:footnoteReference w:id="90"/>
            </w:r>
            <w:r w:rsidRPr="00856E0C">
              <w:rPr>
                <w:rFonts w:ascii="Arial" w:eastAsia="MS Gothic" w:hAnsi="Arial" w:cs="Arial"/>
                <w:spacing w:val="-2"/>
                <w:sz w:val="20"/>
                <w:szCs w:val="20"/>
              </w:rPr>
              <w:t>).</w:t>
            </w:r>
            <w:r w:rsidRPr="00856E0C">
              <w:rPr>
                <w:rFonts w:ascii="Arial" w:eastAsia="MS Gothic" w:hAnsi="Arial"/>
                <w:spacing w:val="-2"/>
                <w:sz w:val="20"/>
                <w:szCs w:val="20"/>
              </w:rPr>
              <w:t xml:space="preserve"> Dosažená výše mezd zde zároveň převyšovala úroveň celé ekonomiky o 5</w:t>
            </w:r>
            <w:r>
              <w:rPr>
                <w:rFonts w:ascii="Arial" w:eastAsia="MS Gothic" w:hAnsi="Arial"/>
                <w:spacing w:val="-2"/>
                <w:sz w:val="20"/>
                <w:szCs w:val="20"/>
              </w:rPr>
              <w:t xml:space="preserve">7 %. Mírně nad 10 % rostly mzdy </w:t>
            </w:r>
            <w:r w:rsidRPr="00856E0C">
              <w:rPr>
                <w:rFonts w:ascii="Arial" w:eastAsia="MS Gothic" w:hAnsi="Arial"/>
                <w:spacing w:val="-2"/>
                <w:sz w:val="20"/>
                <w:szCs w:val="20"/>
              </w:rPr>
              <w:t>v automobilovém a</w:t>
            </w:r>
            <w:r w:rsidRPr="00856E0C">
              <w:rPr>
                <w:rFonts w:ascii="Arial" w:hAnsi="Arial" w:cs="Arial"/>
                <w:color w:val="0D0D0D" w:themeColor="text1" w:themeTint="F2"/>
                <w:spacing w:val="-2"/>
                <w:sz w:val="20"/>
                <w:szCs w:val="20"/>
              </w:rPr>
              <w:t> </w:t>
            </w:r>
            <w:r w:rsidRPr="00856E0C">
              <w:rPr>
                <w:rFonts w:ascii="Arial" w:eastAsia="MS Gothic" w:hAnsi="Arial"/>
                <w:spacing w:val="-2"/>
                <w:sz w:val="20"/>
                <w:szCs w:val="20"/>
              </w:rPr>
              <w:t xml:space="preserve">elektrotechnickém průmyslu, jen </w:t>
            </w:r>
            <w:r>
              <w:rPr>
                <w:rFonts w:ascii="Arial" w:eastAsia="MS Gothic" w:hAnsi="Arial"/>
                <w:spacing w:val="-2"/>
                <w:sz w:val="20"/>
                <w:szCs w:val="20"/>
              </w:rPr>
              <w:t>nepatrně méně v těžbě a dobývání a</w:t>
            </w:r>
            <w:r w:rsidRPr="00173DE0">
              <w:rPr>
                <w:rFonts w:ascii="Arial" w:hAnsi="Arial" w:cs="Arial"/>
                <w:color w:val="0D0D0D" w:themeColor="text1" w:themeTint="F2"/>
                <w:spacing w:val="-4"/>
                <w:sz w:val="20"/>
                <w:szCs w:val="20"/>
              </w:rPr>
              <w:t> </w:t>
            </w:r>
            <w:r w:rsidRPr="00856E0C">
              <w:rPr>
                <w:rFonts w:ascii="Arial" w:eastAsia="MS Gothic" w:hAnsi="Arial"/>
                <w:spacing w:val="-2"/>
                <w:sz w:val="20"/>
                <w:szCs w:val="20"/>
              </w:rPr>
              <w:t>v</w:t>
            </w:r>
            <w:r>
              <w:rPr>
                <w:rFonts w:ascii="Arial" w:eastAsia="MS Gothic" w:hAnsi="Arial"/>
                <w:spacing w:val="-2"/>
                <w:sz w:val="20"/>
                <w:szCs w:val="20"/>
              </w:rPr>
              <w:t> </w:t>
            </w:r>
            <w:r w:rsidRPr="00856E0C">
              <w:rPr>
                <w:rFonts w:ascii="Arial" w:eastAsia="MS Gothic" w:hAnsi="Arial"/>
                <w:spacing w:val="-2"/>
                <w:sz w:val="20"/>
                <w:szCs w:val="20"/>
              </w:rPr>
              <w:t>ubytování</w:t>
            </w:r>
            <w:r>
              <w:rPr>
                <w:rFonts w:ascii="Arial" w:eastAsia="MS Gothic" w:hAnsi="Arial"/>
                <w:spacing w:val="-2"/>
                <w:sz w:val="20"/>
                <w:szCs w:val="20"/>
              </w:rPr>
              <w:t>,</w:t>
            </w:r>
            <w:r w:rsidRPr="00856E0C">
              <w:rPr>
                <w:rFonts w:ascii="Arial" w:eastAsia="MS Gothic" w:hAnsi="Arial"/>
                <w:spacing w:val="-2"/>
                <w:sz w:val="20"/>
                <w:szCs w:val="20"/>
              </w:rPr>
              <w:t xml:space="preserve"> st</w:t>
            </w:r>
            <w:r>
              <w:rPr>
                <w:rFonts w:ascii="Arial" w:eastAsia="MS Gothic" w:hAnsi="Arial"/>
                <w:spacing w:val="-2"/>
                <w:sz w:val="20"/>
                <w:szCs w:val="20"/>
              </w:rPr>
              <w:t>r</w:t>
            </w:r>
            <w:r w:rsidRPr="00856E0C">
              <w:rPr>
                <w:rFonts w:ascii="Arial" w:eastAsia="MS Gothic" w:hAnsi="Arial"/>
                <w:spacing w:val="-2"/>
                <w:sz w:val="20"/>
                <w:szCs w:val="20"/>
              </w:rPr>
              <w:t>avování a pohostinství. Více než 8% rů</w:t>
            </w:r>
            <w:r>
              <w:rPr>
                <w:rFonts w:ascii="Arial" w:eastAsia="MS Gothic" w:hAnsi="Arial"/>
                <w:spacing w:val="-2"/>
                <w:sz w:val="20"/>
                <w:szCs w:val="20"/>
              </w:rPr>
              <w:t>stu dosáhly výdělky v dopravě a</w:t>
            </w:r>
            <w:r w:rsidRPr="00173DE0">
              <w:rPr>
                <w:rFonts w:ascii="Arial" w:hAnsi="Arial" w:cs="Arial"/>
                <w:color w:val="0D0D0D" w:themeColor="text1" w:themeTint="F2"/>
                <w:spacing w:val="-4"/>
                <w:sz w:val="20"/>
                <w:szCs w:val="20"/>
              </w:rPr>
              <w:t> </w:t>
            </w:r>
            <w:r w:rsidRPr="00856E0C">
              <w:rPr>
                <w:rFonts w:ascii="Arial" w:eastAsia="MS Gothic" w:hAnsi="Arial"/>
                <w:spacing w:val="-2"/>
                <w:sz w:val="20"/>
                <w:szCs w:val="20"/>
              </w:rPr>
              <w:t>skladování, v oblasti nemovitostí a také v informačních a komunikačních činnostech – ty tak potvrdily v posledních letech obvyklou pozici odvětví s nejvyšší úrovní mezd (77,9 tis. korun). Mírně podprůměrný mzdový růst zaznamenaly stavebnictví (+6,7 %), některé energeticky náročné obory zpracovatelského průmyslu – např. výroba stavebních hmot (+6,1 %), dále obchod (+7,4 %), ale i finančnictví (+6,5 %). Z odvětví s významnou rolí státu</w:t>
            </w:r>
            <w:r w:rsidRPr="00856E0C">
              <w:rPr>
                <w:rStyle w:val="Znakapoznpodarou"/>
                <w:rFonts w:ascii="Arial" w:hAnsi="Arial" w:cs="Arial"/>
                <w:color w:val="0D0D0D" w:themeColor="text1" w:themeTint="F2"/>
                <w:spacing w:val="-2"/>
                <w:sz w:val="20"/>
                <w:szCs w:val="20"/>
              </w:rPr>
              <w:footnoteReference w:id="91"/>
            </w:r>
            <w:r w:rsidRPr="00856E0C">
              <w:rPr>
                <w:rFonts w:ascii="Arial" w:eastAsia="MS Gothic" w:hAnsi="Arial"/>
                <w:spacing w:val="-2"/>
                <w:sz w:val="20"/>
                <w:szCs w:val="20"/>
              </w:rPr>
              <w:t xml:space="preserve"> rostly výdělky nejvíce ve veřejné správě a obraně (+7,5 %), nejméně ve vzdělávání (+4,3 %, v roce 2022 zde přitom fakticky stagnovaly). Výše mezd tak v tomto odvětví (43,2</w:t>
            </w:r>
            <w:r>
              <w:rPr>
                <w:rFonts w:ascii="Arial" w:eastAsia="MS Gothic" w:hAnsi="Arial"/>
                <w:spacing w:val="-2"/>
                <w:sz w:val="20"/>
                <w:szCs w:val="20"/>
              </w:rPr>
              <w:t> </w:t>
            </w:r>
            <w:r w:rsidRPr="00856E0C">
              <w:rPr>
                <w:rFonts w:ascii="Arial" w:eastAsia="MS Gothic" w:hAnsi="Arial"/>
                <w:spacing w:val="-2"/>
                <w:sz w:val="20"/>
                <w:szCs w:val="20"/>
              </w:rPr>
              <w:t>tis. korun)</w:t>
            </w:r>
            <w:r w:rsidRPr="00856E0C">
              <w:rPr>
                <w:rStyle w:val="Znakapoznpodarou"/>
                <w:rFonts w:ascii="Arial" w:eastAsia="MS Gothic" w:hAnsi="Arial"/>
                <w:spacing w:val="-2"/>
                <w:sz w:val="20"/>
                <w:szCs w:val="20"/>
              </w:rPr>
              <w:footnoteReference w:id="92"/>
            </w:r>
            <w:r>
              <w:rPr>
                <w:rFonts w:ascii="Arial" w:eastAsia="MS Gothic" w:hAnsi="Arial"/>
                <w:spacing w:val="-2"/>
                <w:sz w:val="20"/>
                <w:szCs w:val="20"/>
              </w:rPr>
              <w:t xml:space="preserve"> </w:t>
            </w:r>
            <w:r w:rsidRPr="00856E0C">
              <w:rPr>
                <w:rFonts w:ascii="Arial" w:eastAsia="MS Gothic" w:hAnsi="Arial"/>
                <w:spacing w:val="-2"/>
                <w:sz w:val="20"/>
                <w:szCs w:val="20"/>
              </w:rPr>
              <w:t xml:space="preserve">dosáhla </w:t>
            </w:r>
            <w:r>
              <w:rPr>
                <w:rFonts w:ascii="Arial" w:eastAsia="MS Gothic" w:hAnsi="Arial"/>
                <w:spacing w:val="-2"/>
                <w:sz w:val="20"/>
                <w:szCs w:val="20"/>
              </w:rPr>
              <w:t xml:space="preserve">pouze </w:t>
            </w:r>
            <w:r w:rsidRPr="00856E0C">
              <w:rPr>
                <w:rFonts w:ascii="Arial" w:eastAsia="MS Gothic" w:hAnsi="Arial"/>
                <w:spacing w:val="-2"/>
                <w:sz w:val="20"/>
                <w:szCs w:val="20"/>
              </w:rPr>
              <w:t xml:space="preserve">úrovně národního hospodářství. Nejméně si v průměru polepšili pracovníci v ostatních službách (+3  %), nízké </w:t>
            </w:r>
            <w:r>
              <w:rPr>
                <w:rFonts w:ascii="Arial" w:eastAsia="MS Gothic" w:hAnsi="Arial"/>
                <w:spacing w:val="-2"/>
                <w:sz w:val="20"/>
                <w:szCs w:val="20"/>
              </w:rPr>
              <w:t xml:space="preserve">mzdové </w:t>
            </w:r>
            <w:r w:rsidRPr="00856E0C">
              <w:rPr>
                <w:rFonts w:ascii="Arial" w:eastAsia="MS Gothic" w:hAnsi="Arial"/>
                <w:spacing w:val="-2"/>
                <w:sz w:val="20"/>
                <w:szCs w:val="20"/>
              </w:rPr>
              <w:t>tempo lze vysvětlit výrazným oživení</w:t>
            </w:r>
            <w:r>
              <w:rPr>
                <w:rFonts w:ascii="Arial" w:eastAsia="MS Gothic" w:hAnsi="Arial"/>
                <w:spacing w:val="-2"/>
                <w:sz w:val="20"/>
                <w:szCs w:val="20"/>
              </w:rPr>
              <w:t>m</w:t>
            </w:r>
            <w:r w:rsidRPr="00856E0C">
              <w:rPr>
                <w:rFonts w:ascii="Arial" w:eastAsia="MS Gothic" w:hAnsi="Arial"/>
                <w:spacing w:val="-2"/>
                <w:sz w:val="20"/>
                <w:szCs w:val="20"/>
              </w:rPr>
              <w:t xml:space="preserve"> zaměstnanosti (+6,9 %), k němuž zde loni došlo poprvé od vzplanutí pandemie. Mezi kraji vzrostla loni celková mzda nejméně v Praze (+6,6 %). I tak si udržela nejvyšší hladinu mezi regiony (53,3 tis. korun). Naopak nejvíce se v</w:t>
            </w:r>
            <w:r>
              <w:rPr>
                <w:rFonts w:ascii="Arial" w:eastAsia="MS Gothic" w:hAnsi="Arial"/>
                <w:spacing w:val="-2"/>
                <w:sz w:val="20"/>
                <w:szCs w:val="20"/>
              </w:rPr>
              <w:t>ýdělky zvýšily v Ústeckém kraji (+8,3</w:t>
            </w:r>
            <w:r w:rsidRPr="00173DE0">
              <w:rPr>
                <w:rFonts w:ascii="Arial" w:hAnsi="Arial" w:cs="Arial"/>
                <w:color w:val="0D0D0D" w:themeColor="text1" w:themeTint="F2"/>
                <w:spacing w:val="-4"/>
                <w:sz w:val="20"/>
                <w:szCs w:val="20"/>
              </w:rPr>
              <w:t> </w:t>
            </w:r>
            <w:r w:rsidRPr="00856E0C">
              <w:rPr>
                <w:rFonts w:ascii="Arial" w:eastAsia="MS Gothic" w:hAnsi="Arial"/>
                <w:spacing w:val="-2"/>
                <w:sz w:val="20"/>
                <w:szCs w:val="20"/>
              </w:rPr>
              <w:t>%). Mírně podprůměrně vzrostly v Karlovarském kraji (+7,3 %), jehož mzdová úroveň patří dlouhodobě k nejnižším (loni činila 37,5 tis. korun</w:t>
            </w:r>
            <w:r w:rsidRPr="001A303A">
              <w:rPr>
                <w:rFonts w:ascii="Arial" w:eastAsia="MS Gothic" w:hAnsi="Arial"/>
                <w:spacing w:val="-5"/>
                <w:sz w:val="20"/>
                <w:szCs w:val="20"/>
              </w:rPr>
              <w:t>).</w:t>
            </w:r>
          </w:p>
        </w:tc>
      </w:tr>
      <w:tr w:rsidR="00582A12" w:rsidRPr="00B43216" w14:paraId="3F542FF7" w14:textId="77777777" w:rsidTr="00BA5125">
        <w:trPr>
          <w:trHeight w:val="132"/>
        </w:trPr>
        <w:tc>
          <w:tcPr>
            <w:tcW w:w="1754" w:type="dxa"/>
            <w:shd w:val="clear" w:color="auto" w:fill="auto"/>
            <w:tcMar>
              <w:left w:w="0" w:type="dxa"/>
            </w:tcMar>
          </w:tcPr>
          <w:p w14:paraId="3FD1A17F" w14:textId="77777777" w:rsidR="00582A12" w:rsidRPr="00495960" w:rsidRDefault="00582A12" w:rsidP="00BA5125">
            <w:pPr>
              <w:pStyle w:val="Marginlie"/>
              <w:rPr>
                <w:color w:val="0D0D0D" w:themeColor="text1" w:themeTint="F2"/>
              </w:rPr>
            </w:pPr>
            <w:r>
              <w:rPr>
                <w:color w:val="0D0D0D" w:themeColor="text1" w:themeTint="F2"/>
              </w:rPr>
              <w:t xml:space="preserve">Relativně vyšší růst mediánové mzdy loni nastal u řídících </w:t>
            </w:r>
            <w:r>
              <w:rPr>
                <w:color w:val="0D0D0D" w:themeColor="text1" w:themeTint="F2"/>
              </w:rPr>
              <w:lastRenderedPageBreak/>
              <w:t xml:space="preserve">pracovníků, ale také </w:t>
            </w:r>
            <w:r>
              <w:rPr>
                <w:color w:val="0D0D0D" w:themeColor="text1" w:themeTint="F2"/>
              </w:rPr>
              <w:br/>
              <w:t>u řemeslníků a opravářů.</w:t>
            </w:r>
          </w:p>
        </w:tc>
        <w:tc>
          <w:tcPr>
            <w:tcW w:w="220" w:type="dxa"/>
            <w:shd w:val="clear" w:color="auto" w:fill="auto"/>
            <w:tcMar>
              <w:left w:w="0" w:type="dxa"/>
            </w:tcMar>
          </w:tcPr>
          <w:p w14:paraId="682D6963" w14:textId="77777777" w:rsidR="00582A12" w:rsidRPr="00495960" w:rsidRDefault="00582A12" w:rsidP="00BA5125">
            <w:pPr>
              <w:pStyle w:val="Textpoznpodarou"/>
              <w:jc w:val="both"/>
              <w:rPr>
                <w:color w:val="0D0D0D" w:themeColor="text1" w:themeTint="F2"/>
                <w:spacing w:val="-4"/>
              </w:rPr>
            </w:pPr>
          </w:p>
        </w:tc>
        <w:tc>
          <w:tcPr>
            <w:tcW w:w="7700" w:type="dxa"/>
            <w:shd w:val="clear" w:color="auto" w:fill="auto"/>
            <w:tcMar>
              <w:left w:w="0" w:type="dxa"/>
            </w:tcMar>
          </w:tcPr>
          <w:p w14:paraId="3130FC84" w14:textId="77777777" w:rsidR="00582A12" w:rsidRPr="008E7AE5" w:rsidRDefault="00582A12" w:rsidP="00BA5125">
            <w:pPr>
              <w:pStyle w:val="paragraph"/>
              <w:spacing w:before="0" w:beforeAutospacing="0" w:after="200" w:afterAutospacing="0" w:line="276" w:lineRule="auto"/>
              <w:jc w:val="both"/>
              <w:textAlignment w:val="baseline"/>
              <w:rPr>
                <w:rFonts w:ascii="Arial" w:eastAsia="MS Gothic" w:hAnsi="Arial"/>
                <w:spacing w:val="-5"/>
                <w:sz w:val="20"/>
                <w:szCs w:val="20"/>
              </w:rPr>
            </w:pPr>
            <w:r w:rsidRPr="001A303A">
              <w:rPr>
                <w:rFonts w:ascii="Arial" w:eastAsia="MS Gothic" w:hAnsi="Arial"/>
                <w:spacing w:val="-5"/>
                <w:sz w:val="20"/>
                <w:szCs w:val="20"/>
              </w:rPr>
              <w:t>Mzdový medián</w:t>
            </w:r>
            <w:r>
              <w:rPr>
                <w:rFonts w:ascii="Arial" w:hAnsi="Arial"/>
                <w:spacing w:val="-5"/>
                <w:sz w:val="20"/>
                <w:szCs w:val="20"/>
              </w:rPr>
              <w:t xml:space="preserve"> se dle předběžných údajů za celý loňský rok</w:t>
            </w:r>
            <w:r w:rsidRPr="001A303A">
              <w:rPr>
                <w:rFonts w:ascii="Arial" w:eastAsia="MS Gothic" w:hAnsi="Arial"/>
                <w:spacing w:val="-5"/>
                <w:sz w:val="20"/>
                <w:szCs w:val="20"/>
              </w:rPr>
              <w:t xml:space="preserve"> zvýšil o 6,4 %</w:t>
            </w:r>
            <w:r>
              <w:rPr>
                <w:rFonts w:ascii="Arial" w:hAnsi="Arial"/>
                <w:spacing w:val="-5"/>
                <w:sz w:val="20"/>
                <w:szCs w:val="20"/>
              </w:rPr>
              <w:t xml:space="preserve"> (bez významnějších rozdílů mezi muži a ženami</w:t>
            </w:r>
            <w:r>
              <w:rPr>
                <w:rStyle w:val="Znakapoznpodarou"/>
                <w:rFonts w:ascii="Arial" w:hAnsi="Arial"/>
                <w:spacing w:val="-5"/>
                <w:sz w:val="20"/>
                <w:szCs w:val="20"/>
              </w:rPr>
              <w:footnoteReference w:id="93"/>
            </w:r>
            <w:r>
              <w:rPr>
                <w:rFonts w:ascii="Arial" w:hAnsi="Arial"/>
                <w:spacing w:val="-5"/>
                <w:sz w:val="20"/>
                <w:szCs w:val="20"/>
              </w:rPr>
              <w:t>)</w:t>
            </w:r>
            <w:r w:rsidRPr="001A303A">
              <w:rPr>
                <w:rFonts w:ascii="Arial" w:eastAsia="MS Gothic" w:hAnsi="Arial"/>
                <w:spacing w:val="-5"/>
                <w:sz w:val="20"/>
                <w:szCs w:val="20"/>
              </w:rPr>
              <w:t xml:space="preserve">. Více rostl u </w:t>
            </w:r>
            <w:r>
              <w:rPr>
                <w:rFonts w:ascii="Arial" w:eastAsia="MS Gothic" w:hAnsi="Arial"/>
                <w:spacing w:val="-5"/>
                <w:sz w:val="20"/>
                <w:szCs w:val="20"/>
              </w:rPr>
              <w:t xml:space="preserve">vedoucích a řídících pracovníků </w:t>
            </w:r>
            <w:r w:rsidRPr="001A303A">
              <w:rPr>
                <w:rFonts w:ascii="Arial" w:eastAsia="MS Gothic" w:hAnsi="Arial"/>
                <w:spacing w:val="-5"/>
                <w:sz w:val="20"/>
                <w:szCs w:val="20"/>
              </w:rPr>
              <w:t>(+7,2 %), ale i v kategoriích řemeslníci a opraváři či obsluha strojů a zařízení (</w:t>
            </w:r>
            <w:r>
              <w:rPr>
                <w:rFonts w:ascii="Arial" w:eastAsia="MS Gothic" w:hAnsi="Arial"/>
                <w:spacing w:val="-5"/>
                <w:sz w:val="20"/>
                <w:szCs w:val="20"/>
              </w:rPr>
              <w:t xml:space="preserve">shodně </w:t>
            </w:r>
            <w:r>
              <w:rPr>
                <w:rFonts w:ascii="Arial" w:eastAsia="MS Gothic" w:hAnsi="Arial"/>
                <w:spacing w:val="-5"/>
                <w:sz w:val="20"/>
                <w:szCs w:val="20"/>
              </w:rPr>
              <w:lastRenderedPageBreak/>
              <w:t>o</w:t>
            </w:r>
            <w:r w:rsidRPr="00710970">
              <w:rPr>
                <w:rFonts w:ascii="Arial" w:eastAsia="MS Gothic" w:hAnsi="Arial"/>
                <w:spacing w:val="-5"/>
                <w:sz w:val="20"/>
                <w:szCs w:val="20"/>
              </w:rPr>
              <w:t> </w:t>
            </w:r>
            <w:r>
              <w:rPr>
                <w:rFonts w:ascii="Arial" w:eastAsia="MS Gothic" w:hAnsi="Arial"/>
                <w:spacing w:val="-5"/>
                <w:sz w:val="20"/>
                <w:szCs w:val="20"/>
              </w:rPr>
              <w:t>7,1</w:t>
            </w:r>
            <w:r w:rsidRPr="00710970">
              <w:rPr>
                <w:rFonts w:ascii="Arial" w:eastAsia="MS Gothic" w:hAnsi="Arial"/>
                <w:spacing w:val="-5"/>
                <w:sz w:val="20"/>
                <w:szCs w:val="20"/>
              </w:rPr>
              <w:t> </w:t>
            </w:r>
            <w:r w:rsidRPr="001A303A">
              <w:rPr>
                <w:rFonts w:ascii="Arial" w:eastAsia="MS Gothic" w:hAnsi="Arial"/>
                <w:spacing w:val="-5"/>
                <w:sz w:val="20"/>
                <w:szCs w:val="20"/>
              </w:rPr>
              <w:t>%). Specialistům se mzda zvýšila o 5,2 %, i vlivem podprůměrného růstu v odvětvích s dominancí státu. Mezi početněji zastoupenými skupinami</w:t>
            </w:r>
            <w:r>
              <w:rPr>
                <w:rFonts w:ascii="Arial" w:eastAsia="MS Gothic" w:hAnsi="Arial"/>
                <w:spacing w:val="-5"/>
                <w:sz w:val="20"/>
                <w:szCs w:val="20"/>
              </w:rPr>
              <w:t xml:space="preserve"> cizinců pracujících v Česku</w:t>
            </w:r>
            <w:r w:rsidRPr="001A303A">
              <w:rPr>
                <w:rFonts w:ascii="Arial" w:eastAsia="MS Gothic" w:hAnsi="Arial"/>
                <w:spacing w:val="-5"/>
                <w:sz w:val="20"/>
                <w:szCs w:val="20"/>
              </w:rPr>
              <w:t xml:space="preserve"> měli loni tradičně nejvyšší mediánovou mzdu Slováci (43,9 tis. korun měsíčně), Ukrajinci pobírali jen 30,3 tis. korun, ale jejich mzda vzrostla meziročně více (+8,6 %). Zaměstnanci s českým občanstvím si </w:t>
            </w:r>
            <w:r>
              <w:rPr>
                <w:rFonts w:ascii="Arial" w:eastAsia="MS Gothic" w:hAnsi="Arial"/>
                <w:spacing w:val="-5"/>
                <w:sz w:val="20"/>
                <w:szCs w:val="20"/>
              </w:rPr>
              <w:t xml:space="preserve">pak </w:t>
            </w:r>
            <w:r w:rsidRPr="001A303A">
              <w:rPr>
                <w:rFonts w:ascii="Arial" w:eastAsia="MS Gothic" w:hAnsi="Arial"/>
                <w:spacing w:val="-5"/>
                <w:sz w:val="20"/>
                <w:szCs w:val="20"/>
              </w:rPr>
              <w:t>vydělali 39,8 tis. korun.</w:t>
            </w:r>
          </w:p>
        </w:tc>
      </w:tr>
      <w:tr w:rsidR="00582A12" w:rsidRPr="00716203" w14:paraId="2E7B023A" w14:textId="77777777" w:rsidTr="00BA5125">
        <w:trPr>
          <w:trHeight w:val="132"/>
        </w:trPr>
        <w:tc>
          <w:tcPr>
            <w:tcW w:w="1754" w:type="dxa"/>
            <w:shd w:val="clear" w:color="auto" w:fill="auto"/>
            <w:tcMar>
              <w:left w:w="0" w:type="dxa"/>
            </w:tcMar>
          </w:tcPr>
          <w:p w14:paraId="1BC0F2AC" w14:textId="77777777" w:rsidR="00582A12" w:rsidRPr="00A90A79" w:rsidRDefault="00582A12" w:rsidP="00BA5125">
            <w:pPr>
              <w:pStyle w:val="Marginlie"/>
              <w:rPr>
                <w:spacing w:val="-4"/>
              </w:rPr>
            </w:pPr>
          </w:p>
        </w:tc>
        <w:tc>
          <w:tcPr>
            <w:tcW w:w="220" w:type="dxa"/>
            <w:shd w:val="clear" w:color="auto" w:fill="auto"/>
            <w:tcMar>
              <w:left w:w="0" w:type="dxa"/>
            </w:tcMar>
          </w:tcPr>
          <w:p w14:paraId="542A5F17" w14:textId="77777777" w:rsidR="00582A12" w:rsidRPr="00B43216" w:rsidRDefault="00582A12" w:rsidP="00BA5125">
            <w:pPr>
              <w:pStyle w:val="Textpoznpodarou"/>
              <w:jc w:val="both"/>
              <w:rPr>
                <w:spacing w:val="-4"/>
              </w:rPr>
            </w:pPr>
          </w:p>
        </w:tc>
        <w:tc>
          <w:tcPr>
            <w:tcW w:w="7700" w:type="dxa"/>
            <w:shd w:val="clear" w:color="auto" w:fill="auto"/>
            <w:tcMar>
              <w:left w:w="0" w:type="dxa"/>
            </w:tcMar>
          </w:tcPr>
          <w:p w14:paraId="788ECE71" w14:textId="77777777" w:rsidR="00582A12" w:rsidRDefault="00582A12" w:rsidP="00BA5125">
            <w:pPr>
              <w:spacing w:after="0"/>
              <w:rPr>
                <w:rFonts w:cs="Arial"/>
                <w:b/>
                <w:color w:val="0D0D0D" w:themeColor="text1" w:themeTint="F2"/>
                <w:spacing w:val="-4"/>
                <w:szCs w:val="20"/>
              </w:rPr>
            </w:pPr>
            <w:r w:rsidRPr="00A90A79">
              <w:rPr>
                <w:rFonts w:cs="Arial"/>
                <w:b/>
                <w:color w:val="0D0D0D" w:themeColor="text1" w:themeTint="F2"/>
                <w:spacing w:val="-4"/>
                <w:szCs w:val="20"/>
              </w:rPr>
              <w:t>Graf č. 1</w:t>
            </w:r>
            <w:r>
              <w:rPr>
                <w:rFonts w:cs="Arial"/>
                <w:b/>
                <w:color w:val="0D0D0D" w:themeColor="text1" w:themeTint="F2"/>
                <w:spacing w:val="-4"/>
                <w:szCs w:val="20"/>
              </w:rPr>
              <w:t>6</w:t>
            </w:r>
            <w:r w:rsidRPr="00A90A79">
              <w:rPr>
                <w:rFonts w:cs="Arial"/>
                <w:b/>
                <w:color w:val="0D0D0D" w:themeColor="text1" w:themeTint="F2"/>
                <w:spacing w:val="-4"/>
                <w:szCs w:val="20"/>
              </w:rPr>
              <w:t xml:space="preserve"> Průměrná nominální i reálná mzda a produktivita</w:t>
            </w:r>
            <w:r w:rsidRPr="00A90A79">
              <w:rPr>
                <w:rFonts w:cs="Arial"/>
                <w:color w:val="0D0D0D" w:themeColor="text1" w:themeTint="F2"/>
                <w:spacing w:val="-4"/>
                <w:szCs w:val="20"/>
              </w:rPr>
              <w:t xml:space="preserve"> </w:t>
            </w:r>
            <w:r w:rsidRPr="00A90A79">
              <w:rPr>
                <w:rFonts w:cs="Arial"/>
                <w:b/>
                <w:color w:val="0D0D0D" w:themeColor="text1" w:themeTint="F2"/>
                <w:spacing w:val="-4"/>
                <w:szCs w:val="20"/>
              </w:rPr>
              <w:t>práce</w:t>
            </w:r>
          </w:p>
          <w:p w14:paraId="1992C422" w14:textId="77777777" w:rsidR="00582A12" w:rsidRPr="00282974" w:rsidRDefault="00582A12" w:rsidP="00BA5125">
            <w:pPr>
              <w:spacing w:after="0"/>
              <w:rPr>
                <w:b/>
                <w:spacing w:val="-2"/>
              </w:rPr>
            </w:pPr>
            <w:r w:rsidRPr="00A90A79">
              <w:rPr>
                <w:rFonts w:cs="Arial"/>
                <w:color w:val="0D0D0D" w:themeColor="text1" w:themeTint="F2"/>
                <w:spacing w:val="-4"/>
                <w:szCs w:val="20"/>
              </w:rPr>
              <w:t>(</w:t>
            </w:r>
            <w:r>
              <w:rPr>
                <w:rFonts w:cs="Arial"/>
                <w:color w:val="0D0D0D" w:themeColor="text1" w:themeTint="F2"/>
                <w:spacing w:val="-4"/>
                <w:szCs w:val="20"/>
              </w:rPr>
              <w:t>roční úhrny</w:t>
            </w:r>
            <w:r w:rsidRPr="00A90A79">
              <w:rPr>
                <w:rFonts w:cs="Arial"/>
                <w:color w:val="0D0D0D" w:themeColor="text1" w:themeTint="F2"/>
                <w:spacing w:val="-4"/>
                <w:szCs w:val="20"/>
              </w:rPr>
              <w:t xml:space="preserve">, </w:t>
            </w:r>
            <w:r>
              <w:rPr>
                <w:rFonts w:cs="Arial"/>
                <w:color w:val="0D0D0D" w:themeColor="text1" w:themeTint="F2"/>
                <w:spacing w:val="-4"/>
                <w:szCs w:val="20"/>
              </w:rPr>
              <w:t>meziroční změna</w:t>
            </w:r>
            <w:r w:rsidRPr="00A90A79">
              <w:rPr>
                <w:rFonts w:cs="Arial"/>
                <w:color w:val="0D0D0D" w:themeColor="text1" w:themeTint="F2"/>
                <w:spacing w:val="-4"/>
                <w:szCs w:val="20"/>
              </w:rPr>
              <w:t xml:space="preserve"> v %)</w:t>
            </w:r>
          </w:p>
        </w:tc>
      </w:tr>
      <w:tr w:rsidR="00582A12" w:rsidRPr="003E01D3" w14:paraId="28486296" w14:textId="77777777" w:rsidTr="00BA5125">
        <w:tblPrEx>
          <w:tblCellMar>
            <w:left w:w="70" w:type="dxa"/>
            <w:right w:w="70" w:type="dxa"/>
          </w:tblCellMar>
        </w:tblPrEx>
        <w:trPr>
          <w:trHeight w:val="132"/>
        </w:trPr>
        <w:tc>
          <w:tcPr>
            <w:tcW w:w="1754" w:type="dxa"/>
            <w:shd w:val="clear" w:color="auto" w:fill="auto"/>
          </w:tcPr>
          <w:p w14:paraId="4011358D" w14:textId="77777777" w:rsidR="00582A12" w:rsidRPr="00A90A79" w:rsidRDefault="00582A12" w:rsidP="00BA5125">
            <w:pPr>
              <w:pStyle w:val="Marginlie"/>
              <w:rPr>
                <w:spacing w:val="-4"/>
              </w:rPr>
            </w:pPr>
          </w:p>
        </w:tc>
        <w:tc>
          <w:tcPr>
            <w:tcW w:w="220" w:type="dxa"/>
            <w:shd w:val="clear" w:color="auto" w:fill="auto"/>
          </w:tcPr>
          <w:p w14:paraId="6F402AD3" w14:textId="77777777" w:rsidR="00582A12" w:rsidRPr="00B43216" w:rsidRDefault="00582A12" w:rsidP="00BA5125">
            <w:pPr>
              <w:pStyle w:val="Textpoznpodarou"/>
              <w:jc w:val="both"/>
              <w:rPr>
                <w:spacing w:val="-4"/>
              </w:rPr>
            </w:pPr>
          </w:p>
        </w:tc>
        <w:tc>
          <w:tcPr>
            <w:tcW w:w="7700" w:type="dxa"/>
            <w:shd w:val="clear" w:color="auto" w:fill="auto"/>
          </w:tcPr>
          <w:p w14:paraId="0BB7E13C" w14:textId="77777777" w:rsidR="00582A12" w:rsidRPr="00A90A79" w:rsidRDefault="00582A12" w:rsidP="00BA5125">
            <w:pPr>
              <w:spacing w:after="0" w:line="240" w:lineRule="auto"/>
              <w:rPr>
                <w:rFonts w:cs="Arial"/>
                <w:color w:val="0D0D0D" w:themeColor="text1" w:themeTint="F2"/>
                <w:spacing w:val="-4"/>
                <w:sz w:val="14"/>
                <w:szCs w:val="14"/>
              </w:rPr>
            </w:pPr>
            <w:r>
              <w:rPr>
                <w:noProof/>
              </w:rPr>
              <w:drawing>
                <wp:inline distT="0" distB="0" distL="0" distR="0" wp14:anchorId="254B8EF6" wp14:editId="5EB83886">
                  <wp:extent cx="4794389" cy="3752850"/>
                  <wp:effectExtent l="0" t="0" r="63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582A12" w:rsidRPr="00F6560A" w14:paraId="0983E531" w14:textId="77777777" w:rsidTr="00BA5125">
        <w:trPr>
          <w:trHeight w:val="132"/>
        </w:trPr>
        <w:tc>
          <w:tcPr>
            <w:tcW w:w="1754" w:type="dxa"/>
            <w:shd w:val="clear" w:color="auto" w:fill="auto"/>
            <w:tcMar>
              <w:left w:w="0" w:type="dxa"/>
            </w:tcMar>
          </w:tcPr>
          <w:p w14:paraId="7BFAD946" w14:textId="77777777" w:rsidR="00582A12" w:rsidRPr="00A90A79" w:rsidRDefault="00582A12" w:rsidP="00BA5125">
            <w:pPr>
              <w:pStyle w:val="Marginlie"/>
              <w:rPr>
                <w:spacing w:val="-4"/>
              </w:rPr>
            </w:pPr>
          </w:p>
        </w:tc>
        <w:tc>
          <w:tcPr>
            <w:tcW w:w="220" w:type="dxa"/>
            <w:shd w:val="clear" w:color="auto" w:fill="auto"/>
            <w:tcMar>
              <w:left w:w="0" w:type="dxa"/>
            </w:tcMar>
          </w:tcPr>
          <w:p w14:paraId="616E48E4" w14:textId="77777777" w:rsidR="00582A12" w:rsidRPr="00B43216" w:rsidRDefault="00582A12" w:rsidP="00BA5125">
            <w:pPr>
              <w:pStyle w:val="Textpoznpodarou"/>
              <w:jc w:val="both"/>
              <w:rPr>
                <w:spacing w:val="-4"/>
              </w:rPr>
            </w:pPr>
          </w:p>
        </w:tc>
        <w:tc>
          <w:tcPr>
            <w:tcW w:w="7700" w:type="dxa"/>
            <w:shd w:val="clear" w:color="auto" w:fill="auto"/>
            <w:tcMar>
              <w:left w:w="0" w:type="dxa"/>
            </w:tcMar>
          </w:tcPr>
          <w:p w14:paraId="5EEF3369" w14:textId="77777777" w:rsidR="00582A12" w:rsidRDefault="00582A12" w:rsidP="00BA5125">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w:t>
            </w:r>
            <w:r w:rsidRPr="00A90A79">
              <w:rPr>
                <w:rFonts w:cs="Arial"/>
                <w:color w:val="0D0D0D" w:themeColor="text1" w:themeTint="F2"/>
                <w:spacing w:val="-4"/>
                <w:sz w:val="14"/>
                <w:szCs w:val="14"/>
              </w:rPr>
              <w:t>Zahrnuj</w:t>
            </w:r>
            <w:r>
              <w:rPr>
                <w:rFonts w:cs="Arial"/>
                <w:color w:val="0D0D0D" w:themeColor="text1" w:themeTint="F2"/>
                <w:spacing w:val="-4"/>
                <w:sz w:val="14"/>
                <w:szCs w:val="14"/>
              </w:rPr>
              <w:t>e odvětví s významnou rolí vládního sektoru</w:t>
            </w:r>
            <w:r w:rsidRPr="00A90A79">
              <w:rPr>
                <w:rFonts w:cs="Arial"/>
                <w:color w:val="0D0D0D" w:themeColor="text1" w:themeTint="F2"/>
                <w:spacing w:val="-4"/>
                <w:sz w:val="14"/>
                <w:szCs w:val="14"/>
              </w:rPr>
              <w:t>: Veřejná správa a obrana, povinné sociální zabezpečení; Vzdělávání; Zdravotní a sociální péče; Kulturn</w:t>
            </w:r>
            <w:r>
              <w:rPr>
                <w:rFonts w:cs="Arial"/>
                <w:color w:val="0D0D0D" w:themeColor="text1" w:themeTint="F2"/>
                <w:spacing w:val="-4"/>
                <w:sz w:val="14"/>
                <w:szCs w:val="14"/>
              </w:rPr>
              <w:t>í, zábavní a rekreační činnosti.</w:t>
            </w:r>
          </w:p>
          <w:p w14:paraId="19942228" w14:textId="77777777" w:rsidR="00582A12" w:rsidRDefault="00582A12" w:rsidP="00BA5125">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 xml:space="preserve">**Vyjadřuje HDP (ve stálých cenách) vztažený na 1 pracovníka (ve fyzických osobách) </w:t>
            </w:r>
          </w:p>
          <w:p w14:paraId="62EF184B" w14:textId="77777777" w:rsidR="00582A12" w:rsidRPr="00A90A79" w:rsidRDefault="00582A12" w:rsidP="00BA5125">
            <w:pPr>
              <w:spacing w:after="200" w:line="240" w:lineRule="auto"/>
              <w:rPr>
                <w:rFonts w:cs="Arial"/>
                <w:color w:val="0D0D0D" w:themeColor="text1" w:themeTint="F2"/>
                <w:spacing w:val="-4"/>
                <w:sz w:val="14"/>
                <w:szCs w:val="14"/>
              </w:rPr>
            </w:pPr>
            <w:r>
              <w:rPr>
                <w:rFonts w:cs="Arial"/>
                <w:color w:val="0D0D0D" w:themeColor="text1" w:themeTint="F2"/>
                <w:spacing w:val="-4"/>
                <w:sz w:val="14"/>
                <w:szCs w:val="14"/>
              </w:rPr>
              <w:t xml:space="preserve"> </w:t>
            </w:r>
            <w:r w:rsidRPr="00A90A79">
              <w:rPr>
                <w:rFonts w:cs="Arial"/>
                <w:color w:val="0D0D0D" w:themeColor="text1" w:themeTint="F2"/>
                <w:spacing w:val="-4"/>
                <w:sz w:val="14"/>
                <w:szCs w:val="14"/>
              </w:rPr>
              <w:t>Zdroj: ČSÚ</w:t>
            </w:r>
          </w:p>
        </w:tc>
      </w:tr>
    </w:tbl>
    <w:p w14:paraId="23FC4A84" w14:textId="77777777" w:rsidR="00582A12" w:rsidRPr="00DF0187" w:rsidRDefault="00582A12" w:rsidP="00582A12">
      <w:pPr>
        <w:pStyle w:val="Nadpis11"/>
        <w:spacing w:after="120"/>
        <w:rPr>
          <w:b w:val="0"/>
          <w:sz w:val="2"/>
          <w:szCs w:val="2"/>
        </w:rPr>
      </w:pPr>
    </w:p>
    <w:p w14:paraId="1D8862AB" w14:textId="77777777" w:rsidR="00582A12" w:rsidRDefault="00582A12">
      <w:pPr>
        <w:spacing w:after="0" w:line="240" w:lineRule="auto"/>
        <w:jc w:val="left"/>
        <w:rPr>
          <w:rFonts w:eastAsia="MS Gothic"/>
          <w:b/>
          <w:bCs/>
          <w:color w:val="71818C"/>
          <w:sz w:val="32"/>
          <w:szCs w:val="28"/>
        </w:rPr>
      </w:pPr>
      <w:r>
        <w:br w:type="page"/>
      </w:r>
    </w:p>
    <w:p w14:paraId="2FFC0D00" w14:textId="0DE4CC90" w:rsidR="00137F06" w:rsidRDefault="00137F06" w:rsidP="00137F06">
      <w:pPr>
        <w:pStyle w:val="Nadpis11"/>
        <w:spacing w:after="120"/>
      </w:pPr>
      <w:bookmarkStart w:id="44" w:name="_Toc161914427"/>
      <w:r>
        <w:lastRenderedPageBreak/>
        <w:t>7. Měnové podmínky</w:t>
      </w:r>
      <w:bookmarkEnd w:id="41"/>
      <w:bookmarkEnd w:id="44"/>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137F06" w:rsidRPr="0037004A" w14:paraId="1E7590A8" w14:textId="77777777" w:rsidTr="00C07C2F">
        <w:trPr>
          <w:trHeight w:val="145"/>
        </w:trPr>
        <w:tc>
          <w:tcPr>
            <w:tcW w:w="1802" w:type="dxa"/>
          </w:tcPr>
          <w:p w14:paraId="738B7ADC" w14:textId="77777777" w:rsidR="00137F06" w:rsidRDefault="00137F06" w:rsidP="00C07C2F">
            <w:pPr>
              <w:pStyle w:val="Marginlie"/>
              <w:rPr>
                <w:lang w:eastAsia="en-US"/>
              </w:rPr>
            </w:pPr>
            <w:r>
              <w:rPr>
                <w:lang w:eastAsia="en-US"/>
              </w:rPr>
              <w:t xml:space="preserve">V prosinci byly po roce </w:t>
            </w:r>
            <w:r>
              <w:rPr>
                <w:lang w:eastAsia="en-US"/>
              </w:rPr>
              <w:br/>
              <w:t xml:space="preserve">a půl sníženy </w:t>
            </w:r>
            <w:proofErr w:type="spellStart"/>
            <w:r>
              <w:rPr>
                <w:lang w:eastAsia="en-US"/>
              </w:rPr>
              <w:t>měnověpolitické</w:t>
            </w:r>
            <w:proofErr w:type="spellEnd"/>
            <w:r>
              <w:rPr>
                <w:lang w:eastAsia="en-US"/>
              </w:rPr>
              <w:t xml:space="preserve"> úrokové sazby.</w:t>
            </w:r>
          </w:p>
        </w:tc>
        <w:tc>
          <w:tcPr>
            <w:tcW w:w="229" w:type="dxa"/>
          </w:tcPr>
          <w:p w14:paraId="48F53D29" w14:textId="77777777" w:rsidR="00137F06" w:rsidRDefault="00137F06" w:rsidP="00C07C2F">
            <w:pPr>
              <w:pStyle w:val="Textpoznpodarou"/>
              <w:jc w:val="both"/>
              <w:rPr>
                <w:spacing w:val="-4"/>
                <w:lang w:eastAsia="en-US"/>
              </w:rPr>
            </w:pPr>
          </w:p>
        </w:tc>
        <w:tc>
          <w:tcPr>
            <w:tcW w:w="7610" w:type="dxa"/>
          </w:tcPr>
          <w:p w14:paraId="033835D3" w14:textId="77777777" w:rsidR="00137F06" w:rsidRPr="0037004A" w:rsidRDefault="00137F06" w:rsidP="00C07C2F">
            <w:pPr>
              <w:rPr>
                <w:spacing w:val="-2"/>
                <w:lang w:eastAsia="en-US"/>
              </w:rPr>
            </w:pPr>
            <w:r>
              <w:rPr>
                <w:spacing w:val="-2"/>
                <w:lang w:eastAsia="en-US"/>
              </w:rPr>
              <w:t xml:space="preserve">Na konci 4. čtvrtletí 2023 došlo poprvé od června 2022 ke změně </w:t>
            </w:r>
            <w:proofErr w:type="spellStart"/>
            <w:r>
              <w:rPr>
                <w:spacing w:val="-2"/>
                <w:lang w:eastAsia="en-US"/>
              </w:rPr>
              <w:t>měnověpolitických</w:t>
            </w:r>
            <w:proofErr w:type="spellEnd"/>
            <w:r>
              <w:rPr>
                <w:spacing w:val="-2"/>
                <w:lang w:eastAsia="en-US"/>
              </w:rPr>
              <w:t xml:space="preserve"> sazeb. Dvoutýdenní </w:t>
            </w:r>
            <w:proofErr w:type="spellStart"/>
            <w:r>
              <w:rPr>
                <w:spacing w:val="-2"/>
                <w:lang w:eastAsia="en-US"/>
              </w:rPr>
              <w:t>repo</w:t>
            </w:r>
            <w:proofErr w:type="spellEnd"/>
            <w:r>
              <w:rPr>
                <w:spacing w:val="-2"/>
                <w:lang w:eastAsia="en-US"/>
              </w:rPr>
              <w:t xml:space="preserve"> sazba byla 21. prosince snížena z úrovně 7,00 % na 6,75 %</w:t>
            </w:r>
            <w:r w:rsidRPr="0037004A">
              <w:rPr>
                <w:rStyle w:val="Znakapoznpodarou"/>
                <w:spacing w:val="-2"/>
                <w:lang w:eastAsia="en-US"/>
              </w:rPr>
              <w:footnoteReference w:id="94"/>
            </w:r>
            <w:r>
              <w:rPr>
                <w:spacing w:val="-2"/>
                <w:lang w:eastAsia="en-US"/>
              </w:rPr>
              <w:t xml:space="preserve"> a podobně klesla diskontní sazba na 5,75 % a lombardní na 7,75 %. Kurz koruny vůči euru reagoval na změnu v nastavení sazeb mírným oslabením až na 24,73 CZK/EU ke konci prosince, zatímco kurz vůči dolaru stagnoval a znatelně oslabil až v posledním prosincovém dni na 22,38 CZK/USD. Za celé 4. čtvrtletí kurz koruny vůči euru v průměru činil 24,52 CZK/EU a byl tak mezičtvrtletně slabší o 39 haléřů a meziročně oslabil o 13 haléřů. V průběhu kvartálu kurz koruny vůči euru kolísal okolo úrovně 24,50 CZK/EUR. Kurz vůči dolaru začal kvartál na 23,23 CZK/USD a posílil téměř o korunu na 22,38 CZK/USD. V průměru ale kurz koruny vůči dolaru ve 4. čtvrtletí dosáhl 22,82 CZK/USD a byl tak o 65 haléřů slabší než ve 3. kvartálu. Oproti úrovni  4. čtvrtletí roku 2022 byl kurz koruny vůči dolaru silnější o 1,10 koruny. </w:t>
            </w:r>
          </w:p>
        </w:tc>
      </w:tr>
      <w:tr w:rsidR="00137F06" w14:paraId="3CD8ECE5" w14:textId="77777777" w:rsidTr="00C07C2F">
        <w:trPr>
          <w:trHeight w:val="145"/>
        </w:trPr>
        <w:tc>
          <w:tcPr>
            <w:tcW w:w="1802" w:type="dxa"/>
          </w:tcPr>
          <w:p w14:paraId="1F3B4EEF" w14:textId="77777777" w:rsidR="00137F06" w:rsidRDefault="00137F06" w:rsidP="00C07C2F">
            <w:pPr>
              <w:pStyle w:val="Marginlie"/>
              <w:rPr>
                <w:lang w:eastAsia="en-US"/>
              </w:rPr>
            </w:pPr>
            <w:r>
              <w:rPr>
                <w:lang w:eastAsia="en-US"/>
              </w:rPr>
              <w:t xml:space="preserve">V předstihu se začaly snižovat mezibankovní úrokové sazby depozit s delší splatností. </w:t>
            </w:r>
          </w:p>
        </w:tc>
        <w:tc>
          <w:tcPr>
            <w:tcW w:w="229" w:type="dxa"/>
          </w:tcPr>
          <w:p w14:paraId="414FDF65" w14:textId="77777777" w:rsidR="00137F06" w:rsidRDefault="00137F06" w:rsidP="00C07C2F">
            <w:pPr>
              <w:pStyle w:val="Textpoznpodarou"/>
              <w:jc w:val="both"/>
              <w:rPr>
                <w:spacing w:val="-4"/>
                <w:lang w:eastAsia="en-US"/>
              </w:rPr>
            </w:pPr>
          </w:p>
        </w:tc>
        <w:tc>
          <w:tcPr>
            <w:tcW w:w="7610" w:type="dxa"/>
          </w:tcPr>
          <w:p w14:paraId="303A04DA" w14:textId="1BD439D4" w:rsidR="00137F06" w:rsidRDefault="00137F06" w:rsidP="00C07C2F">
            <w:pPr>
              <w:rPr>
                <w:spacing w:val="-1"/>
                <w:lang w:eastAsia="en-US"/>
              </w:rPr>
            </w:pPr>
            <w:r>
              <w:rPr>
                <w:spacing w:val="-1"/>
                <w:lang w:eastAsia="en-US"/>
              </w:rPr>
              <w:t xml:space="preserve">Pokles </w:t>
            </w:r>
            <w:proofErr w:type="spellStart"/>
            <w:r>
              <w:rPr>
                <w:spacing w:val="-1"/>
                <w:lang w:eastAsia="en-US"/>
              </w:rPr>
              <w:t>měnověpolitických</w:t>
            </w:r>
            <w:proofErr w:type="spellEnd"/>
            <w:r>
              <w:rPr>
                <w:spacing w:val="-1"/>
                <w:lang w:eastAsia="en-US"/>
              </w:rPr>
              <w:t xml:space="preserve"> sazeb se ve 4. čtvrtletí projevil i na úrokových sazbách mezibankovního trhu. Měsíční PRIBOR sazba klesla o 0,10 p. b.</w:t>
            </w:r>
            <w:r>
              <w:rPr>
                <w:rStyle w:val="Znakapoznpodarou"/>
                <w:spacing w:val="-1"/>
                <w:lang w:eastAsia="en-US"/>
              </w:rPr>
              <w:t xml:space="preserve"> </w:t>
            </w:r>
            <w:r>
              <w:rPr>
                <w:rStyle w:val="Znakapoznpodarou"/>
                <w:spacing w:val="-1"/>
                <w:lang w:eastAsia="en-US"/>
              </w:rPr>
              <w:footnoteReference w:id="95"/>
            </w:r>
            <w:r>
              <w:rPr>
                <w:spacing w:val="-1"/>
                <w:lang w:eastAsia="en-US"/>
              </w:rPr>
              <w:t xml:space="preserve"> na 6,98 % a tříměsíční o 0,12 p. b. </w:t>
            </w:r>
            <w:proofErr w:type="gramStart"/>
            <w:r>
              <w:rPr>
                <w:spacing w:val="-1"/>
                <w:lang w:eastAsia="en-US"/>
              </w:rPr>
              <w:t>na</w:t>
            </w:r>
            <w:proofErr w:type="gramEnd"/>
            <w:r>
              <w:rPr>
                <w:spacing w:val="-1"/>
                <w:lang w:eastAsia="en-US"/>
              </w:rPr>
              <w:t xml:space="preserve"> 6,97 %. Zatímco u sazeb depozit s krátkou splatností ale změna přišla až v prosinci v reakci na uvolnění měnových podmínek, sazby depozit s delší splatností během celého kvartálu postupně klesaly v očekávání změny nastavení </w:t>
            </w:r>
            <w:proofErr w:type="spellStart"/>
            <w:r>
              <w:rPr>
                <w:spacing w:val="-1"/>
                <w:lang w:eastAsia="en-US"/>
              </w:rPr>
              <w:t>měnověpolitických</w:t>
            </w:r>
            <w:proofErr w:type="spellEnd"/>
            <w:r>
              <w:rPr>
                <w:spacing w:val="-1"/>
                <w:lang w:eastAsia="en-US"/>
              </w:rPr>
              <w:t xml:space="preserve"> sazeb. Šestiměsíční PRIBOR (−0,35 p. b. </w:t>
            </w:r>
            <w:proofErr w:type="gramStart"/>
            <w:r>
              <w:rPr>
                <w:spacing w:val="-1"/>
                <w:lang w:eastAsia="en-US"/>
              </w:rPr>
              <w:t>na</w:t>
            </w:r>
            <w:proofErr w:type="gramEnd"/>
            <w:r>
              <w:rPr>
                <w:spacing w:val="-1"/>
                <w:lang w:eastAsia="en-US"/>
              </w:rPr>
              <w:t xml:space="preserve"> 6,71 %) se začala výrazněji snižovat v říjnu. U roční PRIBOR (−0,66 p. b. </w:t>
            </w:r>
            <w:proofErr w:type="gramStart"/>
            <w:r>
              <w:rPr>
                <w:spacing w:val="-1"/>
                <w:lang w:eastAsia="en-US"/>
              </w:rPr>
              <w:t>na</w:t>
            </w:r>
            <w:proofErr w:type="gramEnd"/>
            <w:r>
              <w:rPr>
                <w:spacing w:val="-1"/>
                <w:lang w:eastAsia="en-US"/>
              </w:rPr>
              <w:t xml:space="preserve"> 6,19 %) byl pohyb dolů patrný už v letních měsících. Ve 4. čtvrtletí klesly výnosy vládních dluhopisů u všech typů splatnosti. Úroková sazba krátkodobých dluhopisů tak zakončila rok 2023 na 4,61 % (−0,44 p. b.), u střednědobých dluhopisů to bylo 3,96 % (−0,61 p. b.) a u dlouhodobých 3,97 % (−0,52 p. b.)   </w:t>
            </w:r>
          </w:p>
        </w:tc>
      </w:tr>
      <w:tr w:rsidR="00137F06" w14:paraId="6581F46B" w14:textId="77777777" w:rsidTr="00C07C2F">
        <w:trPr>
          <w:trHeight w:val="145"/>
        </w:trPr>
        <w:tc>
          <w:tcPr>
            <w:tcW w:w="1802" w:type="dxa"/>
          </w:tcPr>
          <w:p w14:paraId="6904F4E4" w14:textId="77777777" w:rsidR="00137F06" w:rsidRDefault="00137F06" w:rsidP="00C07C2F">
            <w:pPr>
              <w:pStyle w:val="Marginlie"/>
              <w:rPr>
                <w:lang w:eastAsia="en-US"/>
              </w:rPr>
            </w:pPr>
            <w:r>
              <w:rPr>
                <w:lang w:eastAsia="en-US"/>
              </w:rPr>
              <w:t>Snížily se úrokové sazby termínovaných vkladů.</w:t>
            </w:r>
          </w:p>
        </w:tc>
        <w:tc>
          <w:tcPr>
            <w:tcW w:w="229" w:type="dxa"/>
          </w:tcPr>
          <w:p w14:paraId="7E33B7A6" w14:textId="77777777" w:rsidR="00137F06" w:rsidRDefault="00137F06" w:rsidP="00C07C2F">
            <w:pPr>
              <w:pStyle w:val="Textpoznpodarou"/>
              <w:jc w:val="both"/>
              <w:rPr>
                <w:spacing w:val="-4"/>
                <w:lang w:eastAsia="en-US"/>
              </w:rPr>
            </w:pPr>
          </w:p>
        </w:tc>
        <w:tc>
          <w:tcPr>
            <w:tcW w:w="7610" w:type="dxa"/>
          </w:tcPr>
          <w:p w14:paraId="21195FEE" w14:textId="03C80280" w:rsidR="00137F06" w:rsidRDefault="00137F06" w:rsidP="00C07C2F">
            <w:pPr>
              <w:rPr>
                <w:spacing w:val="-3"/>
                <w:lang w:eastAsia="en-US"/>
              </w:rPr>
            </w:pPr>
            <w:r>
              <w:rPr>
                <w:spacing w:val="-3"/>
                <w:lang w:eastAsia="en-US"/>
              </w:rPr>
              <w:t xml:space="preserve">Dopad změn nastavení měnových podmínek na sazby klientských účtů byl ve 4. čtvrtletí smíšený. Zatímco u jednodenních vkladů a </w:t>
            </w:r>
            <w:r w:rsidR="00582A12">
              <w:rPr>
                <w:spacing w:val="-3"/>
                <w:lang w:eastAsia="en-US"/>
              </w:rPr>
              <w:t xml:space="preserve">běžných účtů domácností nedošlo </w:t>
            </w:r>
            <w:r>
              <w:rPr>
                <w:spacing w:val="-3"/>
                <w:lang w:eastAsia="en-US"/>
              </w:rPr>
              <w:t xml:space="preserve">k výraznějším posunům, u termínovaných vkladů se průměrné úročení výrazně snížilo. Celkově byly vklady s dohodnutou splatností průměrně úročeny 5,72 % (−0,29 p. b.) a silněji klesalo úročení u vkladů se splatností nad jeden rok. U nefinančních podniků poměrně výrazně kleslo průměrné úročení jednodenních vkladů (−0,49 p. b. </w:t>
            </w:r>
            <w:proofErr w:type="gramStart"/>
            <w:r>
              <w:rPr>
                <w:spacing w:val="-3"/>
                <w:lang w:eastAsia="en-US"/>
              </w:rPr>
              <w:t>na</w:t>
            </w:r>
            <w:proofErr w:type="gramEnd"/>
            <w:r>
              <w:rPr>
                <w:spacing w:val="-3"/>
                <w:lang w:eastAsia="en-US"/>
              </w:rPr>
              <w:t xml:space="preserve"> 1,57 %) a nižší byla také průměrná úroková sazba vkladů s dohodnutou splatností (−0,19 p. b. na 1,03 %). Na konci roku 2023 dosáhl celkový objem vkladů 6 701,2 mld. korun a meziročně byl vyšší o 842,3 mld. (14,4 %). Po oslabení tempa, ke kterému došlo ve 2. a 3. čtvrtletí, opět zrychlil meziroční nárůst objemu termínovaných vkladů (42,7 %), pravděpodobně i v souvislosti se snahou uzavřít smlouvy před očekávaným snížením úrokových sazeb. Na konci roku se mírně zvyšoval také objem netermínovaných vkladů (3,3 %). Zastavil se tak jejich propad patrný od začátku roku 2022, kdy v souvislosti se silnou inflací docházelo k přelivu prostředků na termínované vklady. Z hlediska sektorů přispěly k nárůstu objemu vkladů nejvíce vládní instituce (+325,2 mld. korun) následované domácnostmi</w:t>
            </w:r>
            <w:r>
              <w:rPr>
                <w:rStyle w:val="Znakapoznpodarou"/>
                <w:spacing w:val="-3"/>
                <w:lang w:eastAsia="en-US"/>
              </w:rPr>
              <w:footnoteReference w:id="96"/>
            </w:r>
            <w:r>
              <w:rPr>
                <w:spacing w:val="-3"/>
                <w:lang w:eastAsia="en-US"/>
              </w:rPr>
              <w:t xml:space="preserve"> (+254,7 mld.) a finančními institucemi (+151,0 mld.). Rostly i vklady nefinančních podniků (+103,2 mld. korun).   </w:t>
            </w:r>
          </w:p>
        </w:tc>
      </w:tr>
      <w:tr w:rsidR="00137F06" w14:paraId="12383E94" w14:textId="77777777" w:rsidTr="00C07C2F">
        <w:trPr>
          <w:trHeight w:val="145"/>
        </w:trPr>
        <w:tc>
          <w:tcPr>
            <w:tcW w:w="1802" w:type="dxa"/>
          </w:tcPr>
          <w:p w14:paraId="458A873C" w14:textId="77777777" w:rsidR="00137F06" w:rsidRDefault="00137F06" w:rsidP="00C07C2F">
            <w:pPr>
              <w:pStyle w:val="Marginlie"/>
              <w:rPr>
                <w:lang w:eastAsia="en-US"/>
              </w:rPr>
            </w:pPr>
            <w:r>
              <w:rPr>
                <w:lang w:eastAsia="en-US"/>
              </w:rPr>
              <w:t xml:space="preserve">Začaly klesat úrokové sazby úvěrů na spotřebu </w:t>
            </w:r>
            <w:r>
              <w:rPr>
                <w:lang w:eastAsia="en-US"/>
              </w:rPr>
              <w:br/>
              <w:t>i bydlení.</w:t>
            </w:r>
          </w:p>
        </w:tc>
        <w:tc>
          <w:tcPr>
            <w:tcW w:w="229" w:type="dxa"/>
          </w:tcPr>
          <w:p w14:paraId="6E72E4E2" w14:textId="77777777" w:rsidR="00137F06" w:rsidRDefault="00137F06" w:rsidP="00C07C2F">
            <w:pPr>
              <w:pStyle w:val="Textpoznpodarou"/>
              <w:jc w:val="both"/>
              <w:rPr>
                <w:spacing w:val="-4"/>
                <w:lang w:eastAsia="en-US"/>
              </w:rPr>
            </w:pPr>
          </w:p>
        </w:tc>
        <w:tc>
          <w:tcPr>
            <w:tcW w:w="7610" w:type="dxa"/>
          </w:tcPr>
          <w:p w14:paraId="48C39502" w14:textId="77777777" w:rsidR="00137F06" w:rsidRDefault="00137F06" w:rsidP="00C07C2F">
            <w:pPr>
              <w:rPr>
                <w:lang w:eastAsia="en-US"/>
              </w:rPr>
            </w:pPr>
            <w:r>
              <w:rPr>
                <w:lang w:eastAsia="en-US"/>
              </w:rPr>
              <w:t xml:space="preserve">Očekávaná změna nastavení měnových podmínek se částečně projevovala také v úrokových sazbách úvěrů pro domácnosti. Ve 4. čtvrtletí mírně pokleslo průměrné úročení úvěrů na spotřebu (o 0,23 p. b. </w:t>
            </w:r>
            <w:proofErr w:type="gramStart"/>
            <w:r>
              <w:rPr>
                <w:lang w:eastAsia="en-US"/>
              </w:rPr>
              <w:t>na</w:t>
            </w:r>
            <w:proofErr w:type="gramEnd"/>
            <w:r>
              <w:rPr>
                <w:lang w:eastAsia="en-US"/>
              </w:rPr>
              <w:t xml:space="preserve"> 9,29 % k 31.12.). Z vrcholu dosaženého ve 3. čtvrtletí 2023 sestoupily níže také úrokové sazby úvěrů na bydlení (celkový průměr dosáhl 5,41 % a klesl o 0,09 p. b.). Klesly úrokové sazby u všech fixací, nejvýrazněji </w:t>
            </w:r>
            <w:r>
              <w:rPr>
                <w:lang w:eastAsia="en-US"/>
              </w:rPr>
              <w:lastRenderedPageBreak/>
              <w:t xml:space="preserve">u fixace mezi 5 a 10 lety, u které bylo zároveň úročení nejnižší (−0,29 p. b. </w:t>
            </w:r>
            <w:proofErr w:type="gramStart"/>
            <w:r>
              <w:rPr>
                <w:lang w:eastAsia="en-US"/>
              </w:rPr>
              <w:t>na</w:t>
            </w:r>
            <w:proofErr w:type="gramEnd"/>
            <w:r>
              <w:rPr>
                <w:lang w:eastAsia="en-US"/>
              </w:rPr>
              <w:t xml:space="preserve"> 4,14 %). Celkové zadlužení domácností ke konci roku 2023 dosahovalo 2 315,9 mld. korun a meziročně tak bylo vyšší o 4,7 %. Objem poskytnutých úvěrů na spotřebu byl vyšší o 8,5 % a tempo tak po dvou kvartálech opět kleslo pod 10 %. Objem úvěrů poskytnutých na bydlení rostl nadále jen mírně (4,1 %). Zatímco hypoteční úvěry byly vyšší o 3,9 %, růst úvěrů ze stavebního spoření posílil na výrazných 32,1 %</w:t>
            </w:r>
            <w:r>
              <w:rPr>
                <w:rStyle w:val="Znakapoznpodarou"/>
                <w:lang w:eastAsia="en-US"/>
              </w:rPr>
              <w:footnoteReference w:id="97"/>
            </w:r>
            <w:r>
              <w:rPr>
                <w:lang w:eastAsia="en-US"/>
              </w:rPr>
              <w:t>. Nových hypotečních úvěrů</w:t>
            </w:r>
            <w:r>
              <w:rPr>
                <w:rStyle w:val="Znakapoznpodarou"/>
                <w:lang w:eastAsia="en-US"/>
              </w:rPr>
              <w:footnoteReference w:id="98"/>
            </w:r>
            <w:r>
              <w:rPr>
                <w:lang w:eastAsia="en-US"/>
              </w:rPr>
              <w:t xml:space="preserve"> přibylo ve 4. čtvrtletí více než v předchozích kvartálech. Čistých nových úvěrů včetně navýšení bylo v zásadě stejně a zdrojem růstu byla ostatní nová ujednání, tedy zejména úvěry, u kterých se po skončení fixace měnily podmínky.         </w:t>
            </w:r>
          </w:p>
        </w:tc>
      </w:tr>
      <w:tr w:rsidR="00137F06" w14:paraId="5C4D1ECC" w14:textId="77777777" w:rsidTr="00C07C2F">
        <w:trPr>
          <w:trHeight w:val="145"/>
        </w:trPr>
        <w:tc>
          <w:tcPr>
            <w:tcW w:w="1802" w:type="dxa"/>
          </w:tcPr>
          <w:p w14:paraId="12C566DF" w14:textId="77777777" w:rsidR="00137F06" w:rsidRDefault="00137F06" w:rsidP="00C07C2F">
            <w:pPr>
              <w:pStyle w:val="Marginlie"/>
              <w:rPr>
                <w:lang w:eastAsia="en-US"/>
              </w:rPr>
            </w:pPr>
            <w:r>
              <w:rPr>
                <w:lang w:eastAsia="en-US"/>
              </w:rPr>
              <w:lastRenderedPageBreak/>
              <w:t>Úrokové sazby úvěrů pro podniky na konci roku rovněž klesly.</w:t>
            </w:r>
          </w:p>
        </w:tc>
        <w:tc>
          <w:tcPr>
            <w:tcW w:w="229" w:type="dxa"/>
          </w:tcPr>
          <w:p w14:paraId="3A0827D8" w14:textId="77777777" w:rsidR="00137F06" w:rsidRDefault="00137F06" w:rsidP="00C07C2F">
            <w:pPr>
              <w:pStyle w:val="Textpoznpodarou"/>
              <w:jc w:val="both"/>
              <w:rPr>
                <w:spacing w:val="-4"/>
                <w:lang w:eastAsia="en-US"/>
              </w:rPr>
            </w:pPr>
          </w:p>
        </w:tc>
        <w:tc>
          <w:tcPr>
            <w:tcW w:w="7610" w:type="dxa"/>
          </w:tcPr>
          <w:p w14:paraId="65ED5119" w14:textId="77777777" w:rsidR="00137F06" w:rsidRDefault="00137F06" w:rsidP="00C07C2F">
            <w:pPr>
              <w:rPr>
                <w:lang w:eastAsia="en-US"/>
              </w:rPr>
            </w:pPr>
            <w:r>
              <w:rPr>
                <w:lang w:eastAsia="en-US"/>
              </w:rPr>
              <w:t>Také podniky na konci roku 2023 pocítily uvolnění měnových podmínek prostřednictvím snižujících se úvěrových sazeb. Úvěry v objemu do 7,5 milionů tak byly úročeny v průměru 7,76 % (−0,54 p. b.), úvěry mezi 7,5 a 30 miliony 8,60 % (−0,37 p. b.) a nejvyšší kategorie úvěrů nad 30 milionů v průměru měla úrokovou sazbu 8,52 % (−0,30 p. b.). Celkový objem úvěrů podniků ke konci roku 2023 dosáhl 4 356,5 mld. korun a byl meziročně vyšší o 7,0 %. K nejvýraznějšímu meziročnímu nárůstu úvěrů docházelo v profesních, vědeckých, technických a administrativních činnostech (36,8 %), výrobě a rozvodu elektřiny, plynu, tepla, vzduchu, vody a odpadní vody (16,9 %) a činnostech v oblasti nemovitostí (13,2 %). Objem poskytnutých úvěrů naopak klesal subjektům v oblasti dopravy a skladování (−5,7 %), velkoobchodu, maloobchodu a oprav a údržby motorových vozidel (−0,8 %) a ve zpracovatelském průmyslu (−0,7 %). Neměnný zůstal trend růstu úvěrů v cizí měně, které ke konci roku 2023 poprvé překročily hranici poloviny celkových úvěrů a pohledávek nefinančních podniků (51,1 %</w:t>
            </w:r>
            <w:r>
              <w:rPr>
                <w:rStyle w:val="Znakapoznpodarou"/>
                <w:lang w:eastAsia="en-US"/>
              </w:rPr>
              <w:footnoteReference w:id="99"/>
            </w:r>
            <w:r>
              <w:rPr>
                <w:lang w:eastAsia="en-US"/>
              </w:rPr>
              <w:t xml:space="preserve">).     </w:t>
            </w:r>
          </w:p>
        </w:tc>
      </w:tr>
      <w:tr w:rsidR="00137F06" w14:paraId="64AF66E0" w14:textId="77777777" w:rsidTr="00C07C2F">
        <w:trPr>
          <w:trHeight w:val="304"/>
        </w:trPr>
        <w:tc>
          <w:tcPr>
            <w:tcW w:w="1802" w:type="dxa"/>
            <w:vMerge w:val="restart"/>
          </w:tcPr>
          <w:p w14:paraId="15A35579" w14:textId="77777777" w:rsidR="00137F06" w:rsidRDefault="00137F06" w:rsidP="00C07C2F">
            <w:pPr>
              <w:pStyle w:val="Marginlie"/>
              <w:rPr>
                <w:lang w:eastAsia="en-US"/>
              </w:rPr>
            </w:pPr>
          </w:p>
        </w:tc>
        <w:tc>
          <w:tcPr>
            <w:tcW w:w="229" w:type="dxa"/>
            <w:vMerge w:val="restart"/>
          </w:tcPr>
          <w:p w14:paraId="3612C2DF" w14:textId="77777777" w:rsidR="00137F06" w:rsidRDefault="00137F06" w:rsidP="00C07C2F">
            <w:pPr>
              <w:pStyle w:val="Textpoznpodarou"/>
              <w:jc w:val="both"/>
              <w:rPr>
                <w:spacing w:val="-4"/>
                <w:lang w:eastAsia="en-US"/>
              </w:rPr>
            </w:pPr>
          </w:p>
        </w:tc>
        <w:tc>
          <w:tcPr>
            <w:tcW w:w="7610" w:type="dxa"/>
            <w:hideMark/>
          </w:tcPr>
          <w:p w14:paraId="08CABC88" w14:textId="12C17035" w:rsidR="00137F06" w:rsidRPr="00D721B4" w:rsidRDefault="00137F06" w:rsidP="00174ED1">
            <w:pPr>
              <w:spacing w:after="0"/>
              <w:rPr>
                <w:szCs w:val="20"/>
                <w:lang w:eastAsia="en-US"/>
              </w:rPr>
            </w:pPr>
            <w:r>
              <w:rPr>
                <w:rFonts w:cs="Arial"/>
                <w:b/>
                <w:bCs/>
                <w:color w:val="000000"/>
                <w:szCs w:val="20"/>
                <w:lang w:eastAsia="en-US"/>
              </w:rPr>
              <w:t>Graf č. 1</w:t>
            </w:r>
            <w:r w:rsidR="00174ED1">
              <w:rPr>
                <w:rFonts w:cs="Arial"/>
                <w:b/>
                <w:bCs/>
                <w:color w:val="000000"/>
                <w:szCs w:val="20"/>
                <w:lang w:eastAsia="en-US"/>
              </w:rPr>
              <w:t>7</w:t>
            </w:r>
            <w:r w:rsidRPr="00D721B4">
              <w:rPr>
                <w:rFonts w:cs="Arial"/>
                <w:b/>
                <w:bCs/>
                <w:color w:val="000000"/>
                <w:szCs w:val="20"/>
                <w:lang w:eastAsia="en-US"/>
              </w:rPr>
              <w:t xml:space="preserve"> </w:t>
            </w:r>
            <w:r w:rsidRPr="00D721B4">
              <w:rPr>
                <w:b/>
                <w:spacing w:val="-4"/>
                <w:szCs w:val="20"/>
                <w:lang w:eastAsia="en-US"/>
              </w:rPr>
              <w:t xml:space="preserve">Tržní úrokové sazby </w:t>
            </w:r>
            <w:r w:rsidRPr="00D721B4">
              <w:rPr>
                <w:bCs/>
                <w:spacing w:val="-4"/>
                <w:szCs w:val="20"/>
                <w:lang w:eastAsia="en-US"/>
              </w:rPr>
              <w:t>(v</w:t>
            </w:r>
            <w:r>
              <w:rPr>
                <w:bCs/>
                <w:spacing w:val="-4"/>
                <w:szCs w:val="20"/>
                <w:lang w:eastAsia="en-US"/>
              </w:rPr>
              <w:t> %</w:t>
            </w:r>
            <w:r w:rsidRPr="00D721B4">
              <w:rPr>
                <w:bCs/>
                <w:spacing w:val="-4"/>
                <w:szCs w:val="20"/>
                <w:lang w:eastAsia="en-US"/>
              </w:rPr>
              <w:t>)</w:t>
            </w:r>
          </w:p>
        </w:tc>
      </w:tr>
      <w:tr w:rsidR="00137F06" w14:paraId="3300A2BA" w14:textId="77777777" w:rsidTr="00C07C2F">
        <w:tblPrEx>
          <w:tblCellMar>
            <w:left w:w="70" w:type="dxa"/>
            <w:right w:w="70" w:type="dxa"/>
          </w:tblCellMar>
        </w:tblPrEx>
        <w:trPr>
          <w:trHeight w:val="170"/>
        </w:trPr>
        <w:tc>
          <w:tcPr>
            <w:tcW w:w="1802" w:type="dxa"/>
            <w:vMerge/>
            <w:vAlign w:val="center"/>
            <w:hideMark/>
          </w:tcPr>
          <w:p w14:paraId="380A856E" w14:textId="77777777" w:rsidR="00137F06" w:rsidRDefault="00137F06" w:rsidP="00C07C2F">
            <w:pPr>
              <w:spacing w:after="0" w:line="240" w:lineRule="auto"/>
              <w:jc w:val="left"/>
              <w:rPr>
                <w:spacing w:val="-2"/>
                <w:sz w:val="16"/>
                <w:szCs w:val="16"/>
                <w:lang w:eastAsia="en-US"/>
              </w:rPr>
            </w:pPr>
          </w:p>
        </w:tc>
        <w:tc>
          <w:tcPr>
            <w:tcW w:w="229" w:type="dxa"/>
            <w:vMerge/>
            <w:vAlign w:val="center"/>
            <w:hideMark/>
          </w:tcPr>
          <w:p w14:paraId="06AD8F93" w14:textId="77777777" w:rsidR="00137F06" w:rsidRDefault="00137F06" w:rsidP="00C07C2F">
            <w:pPr>
              <w:spacing w:after="0" w:line="240" w:lineRule="auto"/>
              <w:jc w:val="left"/>
              <w:rPr>
                <w:rFonts w:eastAsia="Calibri"/>
                <w:spacing w:val="-4"/>
                <w:szCs w:val="20"/>
                <w:lang w:eastAsia="en-US"/>
              </w:rPr>
            </w:pPr>
          </w:p>
        </w:tc>
        <w:tc>
          <w:tcPr>
            <w:tcW w:w="7610" w:type="dxa"/>
            <w:hideMark/>
          </w:tcPr>
          <w:p w14:paraId="4B69C03C" w14:textId="77777777" w:rsidR="00137F06" w:rsidRDefault="00137F06" w:rsidP="00C07C2F">
            <w:pPr>
              <w:spacing w:after="0"/>
              <w:rPr>
                <w:sz w:val="14"/>
                <w:szCs w:val="14"/>
                <w:lang w:eastAsia="en-US"/>
              </w:rPr>
            </w:pPr>
            <w:r>
              <w:rPr>
                <w:noProof/>
              </w:rPr>
              <w:drawing>
                <wp:inline distT="0" distB="0" distL="0" distR="0" wp14:anchorId="75C45E05" wp14:editId="0957E366">
                  <wp:extent cx="4737600" cy="3553200"/>
                  <wp:effectExtent l="0" t="0" r="6350" b="0"/>
                  <wp:docPr id="33" name="Graf 3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137F06" w14:paraId="63AF3262" w14:textId="77777777" w:rsidTr="00C07C2F">
        <w:trPr>
          <w:trHeight w:val="170"/>
        </w:trPr>
        <w:tc>
          <w:tcPr>
            <w:tcW w:w="0" w:type="auto"/>
            <w:vMerge/>
            <w:vAlign w:val="center"/>
            <w:hideMark/>
          </w:tcPr>
          <w:p w14:paraId="3A6F86BF" w14:textId="77777777" w:rsidR="00137F06" w:rsidRDefault="00137F06" w:rsidP="00C07C2F">
            <w:pPr>
              <w:spacing w:after="0" w:line="240" w:lineRule="auto"/>
              <w:jc w:val="left"/>
              <w:rPr>
                <w:spacing w:val="-2"/>
                <w:sz w:val="16"/>
                <w:szCs w:val="16"/>
                <w:lang w:eastAsia="en-US"/>
              </w:rPr>
            </w:pPr>
          </w:p>
        </w:tc>
        <w:tc>
          <w:tcPr>
            <w:tcW w:w="0" w:type="auto"/>
            <w:vMerge/>
            <w:vAlign w:val="center"/>
            <w:hideMark/>
          </w:tcPr>
          <w:p w14:paraId="63912AAC" w14:textId="77777777" w:rsidR="00137F06" w:rsidRDefault="00137F06" w:rsidP="00C07C2F">
            <w:pPr>
              <w:spacing w:after="0" w:line="240" w:lineRule="auto"/>
              <w:jc w:val="left"/>
              <w:rPr>
                <w:rFonts w:eastAsia="Calibri"/>
                <w:spacing w:val="-4"/>
                <w:szCs w:val="20"/>
                <w:lang w:eastAsia="en-US"/>
              </w:rPr>
            </w:pPr>
          </w:p>
        </w:tc>
        <w:tc>
          <w:tcPr>
            <w:tcW w:w="7610" w:type="dxa"/>
            <w:hideMark/>
          </w:tcPr>
          <w:p w14:paraId="531EE7CB" w14:textId="77777777" w:rsidR="00137F06" w:rsidRDefault="00137F06" w:rsidP="00C07C2F">
            <w:pPr>
              <w:spacing w:after="0"/>
              <w:rPr>
                <w:sz w:val="14"/>
                <w:szCs w:val="14"/>
                <w:lang w:eastAsia="en-US"/>
              </w:rPr>
            </w:pPr>
            <w:r>
              <w:rPr>
                <w:sz w:val="14"/>
                <w:szCs w:val="14"/>
                <w:lang w:eastAsia="en-US"/>
              </w:rPr>
              <w:t>Zdroj: ARAD, ČNB</w:t>
            </w:r>
          </w:p>
        </w:tc>
      </w:tr>
    </w:tbl>
    <w:p w14:paraId="5BF07E72" w14:textId="77777777" w:rsidR="001E1AF1" w:rsidRPr="00BB286B" w:rsidRDefault="001E1AF1" w:rsidP="001E1AF1">
      <w:pPr>
        <w:spacing w:after="0" w:line="240" w:lineRule="auto"/>
        <w:jc w:val="left"/>
        <w:rPr>
          <w:rFonts w:eastAsia="MS Gothic"/>
          <w:b/>
          <w:bCs/>
          <w:color w:val="71818C"/>
          <w:sz w:val="32"/>
          <w:szCs w:val="32"/>
          <w:highlight w:val="yellow"/>
        </w:rPr>
      </w:pPr>
    </w:p>
    <w:p w14:paraId="75D3DAB4" w14:textId="77777777" w:rsidR="0011055D" w:rsidRDefault="0011055D" w:rsidP="0011055D">
      <w:pPr>
        <w:pStyle w:val="Nadpis11"/>
      </w:pPr>
      <w:bookmarkStart w:id="45" w:name="_Toc161914428"/>
      <w:bookmarkEnd w:id="42"/>
      <w:r w:rsidRPr="00787441">
        <w:rPr>
          <w:szCs w:val="32"/>
        </w:rPr>
        <w:lastRenderedPageBreak/>
        <w:t>8</w:t>
      </w:r>
      <w:r>
        <w:t>. </w:t>
      </w:r>
      <w:r w:rsidRPr="009110F7">
        <w:t>Státní rozpočet</w:t>
      </w:r>
      <w:bookmarkEnd w:id="45"/>
    </w:p>
    <w:tbl>
      <w:tblPr>
        <w:tblW w:w="9669" w:type="dxa"/>
        <w:tblInd w:w="-20" w:type="dxa"/>
        <w:tblLayout w:type="fixed"/>
        <w:tblCellMar>
          <w:left w:w="0" w:type="dxa"/>
          <w:right w:w="0" w:type="dxa"/>
        </w:tblCellMar>
        <w:tblLook w:val="00A0" w:firstRow="1" w:lastRow="0" w:firstColumn="1" w:lastColumn="0" w:noHBand="0" w:noVBand="0"/>
      </w:tblPr>
      <w:tblGrid>
        <w:gridCol w:w="1792"/>
        <w:gridCol w:w="203"/>
        <w:gridCol w:w="7674"/>
      </w:tblGrid>
      <w:tr w:rsidR="0011055D" w:rsidRPr="003C07E6" w14:paraId="5EEBA577" w14:textId="77777777" w:rsidTr="00C07C2F">
        <w:trPr>
          <w:trHeight w:val="60"/>
        </w:trPr>
        <w:tc>
          <w:tcPr>
            <w:tcW w:w="1792" w:type="dxa"/>
            <w:shd w:val="clear" w:color="auto" w:fill="auto"/>
            <w:tcMar>
              <w:left w:w="0" w:type="dxa"/>
            </w:tcMar>
          </w:tcPr>
          <w:p w14:paraId="5B7A1629" w14:textId="77777777" w:rsidR="0011055D" w:rsidRDefault="0011055D" w:rsidP="00C07C2F">
            <w:pPr>
              <w:pStyle w:val="Marginlie"/>
            </w:pPr>
            <w:r>
              <w:t>Hluboký rozpočtový schodek přetrvával, druhým rokem v řadě se ale zmírnil.</w:t>
            </w:r>
          </w:p>
        </w:tc>
        <w:tc>
          <w:tcPr>
            <w:tcW w:w="203" w:type="dxa"/>
            <w:shd w:val="clear" w:color="auto" w:fill="auto"/>
            <w:tcMar>
              <w:left w:w="0" w:type="dxa"/>
            </w:tcMar>
          </w:tcPr>
          <w:p w14:paraId="75B11CF3" w14:textId="77777777" w:rsidR="0011055D" w:rsidRDefault="0011055D" w:rsidP="00C07C2F">
            <w:pPr>
              <w:pStyle w:val="Textpoznpodarou"/>
              <w:jc w:val="both"/>
              <w:rPr>
                <w:spacing w:val="-4"/>
              </w:rPr>
            </w:pPr>
          </w:p>
        </w:tc>
        <w:tc>
          <w:tcPr>
            <w:tcW w:w="7674" w:type="dxa"/>
            <w:shd w:val="clear" w:color="auto" w:fill="auto"/>
            <w:tcMar>
              <w:left w:w="0" w:type="dxa"/>
            </w:tcMar>
          </w:tcPr>
          <w:p w14:paraId="26B0925C" w14:textId="77777777" w:rsidR="0011055D" w:rsidRPr="00B57210" w:rsidRDefault="0011055D" w:rsidP="00C07C2F">
            <w:pPr>
              <w:spacing w:after="200"/>
              <w:rPr>
                <w:spacing w:val="-4"/>
              </w:rPr>
            </w:pPr>
            <w:r w:rsidRPr="00B57210">
              <w:rPr>
                <w:spacing w:val="-4"/>
              </w:rPr>
              <w:t>Hospodaření státního rozpočtu</w:t>
            </w:r>
            <w:r w:rsidRPr="00B57210">
              <w:rPr>
                <w:rStyle w:val="Znakapoznpodarou"/>
                <w:spacing w:val="-4"/>
              </w:rPr>
              <w:footnoteReference w:id="100"/>
            </w:r>
            <w:r w:rsidRPr="00B57210">
              <w:rPr>
                <w:spacing w:val="-4"/>
              </w:rPr>
              <w:t xml:space="preserve"> ČR pokračovalo hlubokými schodky čtvrtým rokem v řadě, a proto s</w:t>
            </w:r>
            <w:r>
              <w:rPr>
                <w:spacing w:val="-4"/>
              </w:rPr>
              <w:t>tále</w:t>
            </w:r>
            <w:r w:rsidRPr="00B57210">
              <w:rPr>
                <w:spacing w:val="-4"/>
              </w:rPr>
              <w:t xml:space="preserve"> představovalo jednu z nejvýznamnějších makroekonomických nerovnováh. V roce 2023 se dosažený deficit rovnal 288,5 mld. korun a fakticky naplnil rozpočtové očekávání</w:t>
            </w:r>
            <w:r w:rsidRPr="00B57210">
              <w:rPr>
                <w:rStyle w:val="Znakapoznpodarou"/>
                <w:spacing w:val="-4"/>
              </w:rPr>
              <w:footnoteReference w:id="101"/>
            </w:r>
            <w:r w:rsidRPr="00B57210">
              <w:rPr>
                <w:spacing w:val="-4"/>
              </w:rPr>
              <w:t>. Schodek se meziročně snížil podruhé v řadě, proti roku 2022 klesl o pětinu (71,9 mld. korun). Tento pozitivní trend byl patrný i po očištění o vliv prostředků z rozpočtu EU (včetně finančních mechanismů)</w:t>
            </w:r>
            <w:r w:rsidRPr="00B57210">
              <w:rPr>
                <w:rStyle w:val="Znakapoznpodarou"/>
                <w:spacing w:val="-4"/>
              </w:rPr>
              <w:footnoteReference w:id="102"/>
            </w:r>
            <w:r w:rsidRPr="00B57210">
              <w:rPr>
                <w:spacing w:val="-4"/>
              </w:rPr>
              <w:t>. Rozpočtový schodek se během loňska vyvíjel velmi nerovnoměrně</w:t>
            </w:r>
            <w:r w:rsidRPr="00B57210">
              <w:rPr>
                <w:rStyle w:val="Znakapoznpodarou"/>
                <w:spacing w:val="-4"/>
              </w:rPr>
              <w:footnoteReference w:id="103"/>
            </w:r>
            <w:r w:rsidRPr="00B57210">
              <w:rPr>
                <w:spacing w:val="-4"/>
              </w:rPr>
              <w:t xml:space="preserve">, za čímž stál postupný příliv mimořádných, avšak </w:t>
            </w:r>
            <w:r>
              <w:rPr>
                <w:spacing w:val="-4"/>
              </w:rPr>
              <w:t xml:space="preserve">vesměs </w:t>
            </w:r>
            <w:r w:rsidRPr="00B57210">
              <w:rPr>
                <w:spacing w:val="-4"/>
              </w:rPr>
              <w:t>plánovaných příjmů (dividendy, výnosy z mimořádných firemních daní, zejména v oblasti energetiky), svižný růst inkasa „běžných“ firemních daní, jakož i započtení prostředků z </w:t>
            </w:r>
            <w:r>
              <w:rPr>
                <w:spacing w:val="-4"/>
              </w:rPr>
              <w:t>Národního plánu obnovy (ty loni</w:t>
            </w:r>
            <w:r w:rsidRPr="00B57210">
              <w:rPr>
                <w:spacing w:val="-4"/>
              </w:rPr>
              <w:t xml:space="preserve"> od června významně navýšily celkové příjmy </w:t>
            </w:r>
            <w:r>
              <w:rPr>
                <w:spacing w:val="-4"/>
              </w:rPr>
              <w:t xml:space="preserve">ČR </w:t>
            </w:r>
            <w:r w:rsidRPr="00B57210">
              <w:rPr>
                <w:spacing w:val="-4"/>
              </w:rPr>
              <w:t>z EU)</w:t>
            </w:r>
            <w:r>
              <w:rPr>
                <w:spacing w:val="-4"/>
              </w:rPr>
              <w:t>.</w:t>
            </w:r>
          </w:p>
        </w:tc>
      </w:tr>
      <w:tr w:rsidR="0011055D" w:rsidRPr="003C07E6" w14:paraId="51FB3905" w14:textId="77777777" w:rsidTr="00C07C2F">
        <w:trPr>
          <w:trHeight w:val="60"/>
        </w:trPr>
        <w:tc>
          <w:tcPr>
            <w:tcW w:w="1792" w:type="dxa"/>
            <w:shd w:val="clear" w:color="auto" w:fill="auto"/>
            <w:tcMar>
              <w:left w:w="0" w:type="dxa"/>
            </w:tcMar>
          </w:tcPr>
          <w:p w14:paraId="1137C277" w14:textId="77777777" w:rsidR="0011055D" w:rsidRDefault="0011055D" w:rsidP="00C07C2F">
            <w:pPr>
              <w:pStyle w:val="Marginlie"/>
            </w:pPr>
            <w:r>
              <w:t>Růst příjmů SR loni ve srovnání s rokem 2022 výrazně zrychlil, rozpočtové očekávání ani tak zcela nenaplnil.</w:t>
            </w:r>
          </w:p>
        </w:tc>
        <w:tc>
          <w:tcPr>
            <w:tcW w:w="203" w:type="dxa"/>
            <w:shd w:val="clear" w:color="auto" w:fill="auto"/>
            <w:tcMar>
              <w:left w:w="0" w:type="dxa"/>
            </w:tcMar>
          </w:tcPr>
          <w:p w14:paraId="232C08DA" w14:textId="77777777" w:rsidR="0011055D" w:rsidRDefault="0011055D" w:rsidP="00C07C2F">
            <w:pPr>
              <w:pStyle w:val="Textpoznpodarou"/>
              <w:jc w:val="both"/>
              <w:rPr>
                <w:spacing w:val="-4"/>
              </w:rPr>
            </w:pPr>
          </w:p>
        </w:tc>
        <w:tc>
          <w:tcPr>
            <w:tcW w:w="7674" w:type="dxa"/>
            <w:shd w:val="clear" w:color="auto" w:fill="auto"/>
            <w:tcMar>
              <w:left w:w="0" w:type="dxa"/>
            </w:tcMar>
          </w:tcPr>
          <w:p w14:paraId="6B5C60D2" w14:textId="77777777" w:rsidR="0011055D" w:rsidRPr="00B57210" w:rsidRDefault="0011055D" w:rsidP="00C07C2F">
            <w:pPr>
              <w:spacing w:after="200"/>
              <w:rPr>
                <w:spacing w:val="-4"/>
              </w:rPr>
            </w:pPr>
            <w:r w:rsidRPr="00B57210">
              <w:rPr>
                <w:color w:val="0D0D0D" w:themeColor="text1" w:themeTint="F2"/>
                <w:spacing w:val="-4"/>
              </w:rPr>
              <w:t>Ačkoli růst celkových příjmů SR činil za loňský rok rekordních 289,7 mld. korun, resp. 17,8</w:t>
            </w:r>
            <w:r w:rsidRPr="00B57210">
              <w:rPr>
                <w:spacing w:val="-4"/>
              </w:rPr>
              <w:t> </w:t>
            </w:r>
            <w:r w:rsidRPr="00B57210">
              <w:rPr>
                <w:color w:val="0D0D0D" w:themeColor="text1" w:themeTint="F2"/>
                <w:spacing w:val="-4"/>
              </w:rPr>
              <w:t>% (téměř dvojnásobné tempo než v roce 2022), rozpočtová očekávání zcela nenapl</w:t>
            </w:r>
            <w:r>
              <w:rPr>
                <w:color w:val="0D0D0D" w:themeColor="text1" w:themeTint="F2"/>
                <w:spacing w:val="-4"/>
              </w:rPr>
              <w:t>n</w:t>
            </w:r>
            <w:r w:rsidRPr="00B57210">
              <w:rPr>
                <w:color w:val="0D0D0D" w:themeColor="text1" w:themeTint="F2"/>
                <w:spacing w:val="-4"/>
              </w:rPr>
              <w:t>il</w:t>
            </w:r>
            <w:r>
              <w:rPr>
                <w:color w:val="0D0D0D" w:themeColor="text1" w:themeTint="F2"/>
                <w:spacing w:val="-4"/>
              </w:rPr>
              <w:t xml:space="preserve"> (−2,1 %)</w:t>
            </w:r>
            <w:r w:rsidRPr="00B57210">
              <w:rPr>
                <w:color w:val="0D0D0D" w:themeColor="text1" w:themeTint="F2"/>
                <w:spacing w:val="-4"/>
              </w:rPr>
              <w:t>.</w:t>
            </w:r>
            <w:r>
              <w:rPr>
                <w:color w:val="0D0D0D" w:themeColor="text1" w:themeTint="F2"/>
                <w:spacing w:val="-4"/>
              </w:rPr>
              <w:t xml:space="preserve"> </w:t>
            </w:r>
            <w:r w:rsidRPr="00B57210">
              <w:rPr>
                <w:color w:val="0D0D0D" w:themeColor="text1" w:themeTint="F2"/>
                <w:spacing w:val="-4"/>
              </w:rPr>
              <w:t xml:space="preserve">Na vývoji příjmů se vedle výše uvedených položek významně podílel </w:t>
            </w:r>
            <w:r w:rsidRPr="00B57210">
              <w:rPr>
                <w:spacing w:val="-4"/>
              </w:rPr>
              <w:t>silný růst cen v ekonomice, jenž tlačil i na vyšší dynamiku mezd v soukromé sféře a současně tlumil negativní dopady přetrvávající slabé spotřeby domácností na inkaso nepřímých daní. Více než polovina z loňského nárůstu souhrnných příjmů SR plynula z vyššího daňového inkasa, bezmála třetina z nedaňových a kapitálových příjmů a zbytek z povinného pojistného</w:t>
            </w:r>
            <w:r w:rsidRPr="00B57210">
              <w:rPr>
                <w:rStyle w:val="Znakapoznpodarou"/>
                <w:spacing w:val="-4"/>
              </w:rPr>
              <w:footnoteReference w:id="104"/>
            </w:r>
            <w:r w:rsidRPr="00B57210">
              <w:rPr>
                <w:spacing w:val="-4"/>
              </w:rPr>
              <w:t>. Tempo výběru pojistného ovšem vlivem ochlazování na trhu práce</w:t>
            </w:r>
            <w:r w:rsidRPr="00B57210">
              <w:rPr>
                <w:rStyle w:val="Znakapoznpodarou"/>
                <w:spacing w:val="-4"/>
              </w:rPr>
              <w:footnoteReference w:id="105"/>
            </w:r>
            <w:r w:rsidRPr="00B57210">
              <w:rPr>
                <w:spacing w:val="-4"/>
              </w:rPr>
              <w:t xml:space="preserve"> </w:t>
            </w:r>
            <w:r>
              <w:rPr>
                <w:spacing w:val="-4"/>
              </w:rPr>
              <w:t>během roku sláblo (1.</w:t>
            </w:r>
            <w:r w:rsidRPr="00B57210">
              <w:rPr>
                <w:spacing w:val="-4"/>
              </w:rPr>
              <w:t> čtvrtletí: 10,5 %, 4. čtvrtletí: +6,4 %). V kontrastu s tím růst celostátního da</w:t>
            </w:r>
            <w:r>
              <w:rPr>
                <w:spacing w:val="-4"/>
              </w:rPr>
              <w:t xml:space="preserve">ňového inkasa nezpomaloval </w:t>
            </w:r>
            <w:r w:rsidRPr="00B57210">
              <w:rPr>
                <w:spacing w:val="-4"/>
              </w:rPr>
              <w:t xml:space="preserve">– za celý </w:t>
            </w:r>
            <w:r>
              <w:rPr>
                <w:spacing w:val="-4"/>
              </w:rPr>
              <w:t xml:space="preserve">loňský </w:t>
            </w:r>
            <w:r w:rsidRPr="00B57210">
              <w:rPr>
                <w:spacing w:val="-4"/>
              </w:rPr>
              <w:t xml:space="preserve">rok činil 15,4 % (resp. 12,2 % po odečtení mimořádných firemních daní (z nadměrných příjmů či z neočekávaných zisků). </w:t>
            </w:r>
          </w:p>
        </w:tc>
      </w:tr>
      <w:tr w:rsidR="0011055D" w:rsidRPr="003C07E6" w14:paraId="714D38C9" w14:textId="77777777" w:rsidTr="00C07C2F">
        <w:trPr>
          <w:trHeight w:val="60"/>
        </w:trPr>
        <w:tc>
          <w:tcPr>
            <w:tcW w:w="1792" w:type="dxa"/>
            <w:shd w:val="clear" w:color="auto" w:fill="auto"/>
            <w:tcMar>
              <w:left w:w="0" w:type="dxa"/>
            </w:tcMar>
          </w:tcPr>
          <w:p w14:paraId="2DC761D7" w14:textId="77777777" w:rsidR="0011055D" w:rsidRDefault="0011055D" w:rsidP="00C07C2F">
            <w:pPr>
              <w:pStyle w:val="Marginlie"/>
            </w:pPr>
            <w:r>
              <w:t>K růstu daňového inkasa přispěly nejvíce nově zavedené mimořádné firemní daně.</w:t>
            </w:r>
          </w:p>
        </w:tc>
        <w:tc>
          <w:tcPr>
            <w:tcW w:w="203" w:type="dxa"/>
            <w:shd w:val="clear" w:color="auto" w:fill="auto"/>
            <w:tcMar>
              <w:left w:w="0" w:type="dxa"/>
            </w:tcMar>
          </w:tcPr>
          <w:p w14:paraId="55013398" w14:textId="77777777" w:rsidR="0011055D" w:rsidRDefault="0011055D" w:rsidP="00C07C2F">
            <w:pPr>
              <w:pStyle w:val="Textpoznpodarou"/>
              <w:jc w:val="both"/>
              <w:rPr>
                <w:spacing w:val="-4"/>
              </w:rPr>
            </w:pPr>
          </w:p>
        </w:tc>
        <w:tc>
          <w:tcPr>
            <w:tcW w:w="7674" w:type="dxa"/>
            <w:shd w:val="clear" w:color="auto" w:fill="auto"/>
            <w:tcMar>
              <w:left w:w="0" w:type="dxa"/>
            </w:tcMar>
          </w:tcPr>
          <w:p w14:paraId="2A253ACB" w14:textId="77777777" w:rsidR="0011055D" w:rsidRPr="00B57210" w:rsidRDefault="0011055D" w:rsidP="00C07C2F">
            <w:pPr>
              <w:spacing w:after="200"/>
              <w:rPr>
                <w:spacing w:val="-4"/>
              </w:rPr>
            </w:pPr>
            <w:r w:rsidRPr="00B57210">
              <w:rPr>
                <w:color w:val="0D0D0D" w:themeColor="text1" w:themeTint="F2"/>
                <w:spacing w:val="-4"/>
              </w:rPr>
              <w:t>Za loňským růstem celkových daňových příjmů SR stá</w:t>
            </w:r>
            <w:r>
              <w:rPr>
                <w:color w:val="0D0D0D" w:themeColor="text1" w:themeTint="F2"/>
                <w:spacing w:val="-4"/>
              </w:rPr>
              <w:t>ly hlavně prostředky z mimořádného</w:t>
            </w:r>
            <w:r w:rsidRPr="00B57210">
              <w:rPr>
                <w:color w:val="0D0D0D" w:themeColor="text1" w:themeTint="F2"/>
                <w:spacing w:val="-4"/>
              </w:rPr>
              <w:t xml:space="preserve"> zdanění firem (57,7 mld. korun)</w:t>
            </w:r>
            <w:r>
              <w:rPr>
                <w:color w:val="0D0D0D" w:themeColor="text1" w:themeTint="F2"/>
                <w:spacing w:val="-4"/>
              </w:rPr>
              <w:t xml:space="preserve">, a to </w:t>
            </w:r>
            <w:r w:rsidRPr="00B57210">
              <w:rPr>
                <w:color w:val="0D0D0D" w:themeColor="text1" w:themeTint="F2"/>
                <w:spacing w:val="-4"/>
              </w:rPr>
              <w:t>bez ohledu na fakt, že jejich souhrnný výběr zdaleka nenaplnil původní rozpočtová očekávání</w:t>
            </w:r>
            <w:r w:rsidRPr="00B57210">
              <w:rPr>
                <w:rStyle w:val="Znakapoznpodarou"/>
                <w:color w:val="0D0D0D" w:themeColor="text1" w:themeTint="F2"/>
                <w:spacing w:val="-4"/>
              </w:rPr>
              <w:footnoteReference w:id="106"/>
            </w:r>
            <w:r w:rsidRPr="00B57210">
              <w:rPr>
                <w:color w:val="0D0D0D" w:themeColor="text1" w:themeTint="F2"/>
                <w:spacing w:val="-4"/>
              </w:rPr>
              <w:t xml:space="preserve">. </w:t>
            </w:r>
            <w:r w:rsidRPr="00B57210">
              <w:rPr>
                <w:spacing w:val="-4"/>
              </w:rPr>
              <w:t>To platí pro jeho klíčovou položku – daň z neočekávaných zisků</w:t>
            </w:r>
            <w:r w:rsidRPr="00B57210">
              <w:rPr>
                <w:rStyle w:val="Znakapoznpodarou"/>
                <w:spacing w:val="-4"/>
              </w:rPr>
              <w:footnoteReference w:id="107"/>
            </w:r>
            <w:r w:rsidRPr="00B57210">
              <w:rPr>
                <w:spacing w:val="-4"/>
              </w:rPr>
              <w:t xml:space="preserve"> – jejíž zálohové platby přinesly SR 39,1 mld. korun. Naopak na dani z nadměrných příjmů</w:t>
            </w:r>
            <w:r w:rsidRPr="00B57210">
              <w:rPr>
                <w:rStyle w:val="Znakapoznpodarou"/>
                <w:spacing w:val="-4"/>
              </w:rPr>
              <w:footnoteReference w:id="108"/>
            </w:r>
            <w:r w:rsidRPr="00B57210">
              <w:rPr>
                <w:spacing w:val="-4"/>
              </w:rPr>
              <w:t xml:space="preserve"> zaplatily energetické firmy státu 18,5 mld. korun a plánovaný celoroční příjem byl u ní dosažen již loni v září.</w:t>
            </w:r>
          </w:p>
        </w:tc>
      </w:tr>
      <w:tr w:rsidR="0011055D" w:rsidRPr="003C07E6" w14:paraId="6CAE1AE0" w14:textId="77777777" w:rsidTr="00C07C2F">
        <w:trPr>
          <w:trHeight w:val="60"/>
        </w:trPr>
        <w:tc>
          <w:tcPr>
            <w:tcW w:w="1792" w:type="dxa"/>
            <w:shd w:val="clear" w:color="auto" w:fill="auto"/>
            <w:tcMar>
              <w:left w:w="0" w:type="dxa"/>
            </w:tcMar>
          </w:tcPr>
          <w:p w14:paraId="3A887C51" w14:textId="77777777" w:rsidR="0011055D" w:rsidRDefault="0011055D" w:rsidP="00C07C2F">
            <w:pPr>
              <w:pStyle w:val="Marginlie"/>
            </w:pPr>
            <w:r>
              <w:t>Vysoký výnos korporátní daně souvisí s růstem míry zisku podniků, zejména ve finančnictví a energetice.</w:t>
            </w:r>
          </w:p>
          <w:p w14:paraId="21160EA9" w14:textId="77777777" w:rsidR="0011055D" w:rsidRDefault="0011055D" w:rsidP="00C07C2F">
            <w:pPr>
              <w:pStyle w:val="Marginlie"/>
            </w:pPr>
          </w:p>
          <w:p w14:paraId="663D3E10" w14:textId="77777777" w:rsidR="0011055D" w:rsidRDefault="0011055D" w:rsidP="00C07C2F">
            <w:pPr>
              <w:pStyle w:val="Marginlie"/>
            </w:pPr>
          </w:p>
          <w:p w14:paraId="5682CF64" w14:textId="77777777" w:rsidR="0011055D" w:rsidRDefault="0011055D" w:rsidP="00C07C2F">
            <w:pPr>
              <w:pStyle w:val="Marginlie"/>
            </w:pPr>
          </w:p>
          <w:p w14:paraId="735B1886" w14:textId="77777777" w:rsidR="0011055D" w:rsidRDefault="0011055D" w:rsidP="00C07C2F">
            <w:pPr>
              <w:pStyle w:val="Marginlie"/>
            </w:pPr>
            <w:r>
              <w:lastRenderedPageBreak/>
              <w:t>Inkaso všech druhů daně z příjmů fyzických osob významně převýšilo rozpočtové očekávání. Meziroční růst inkasa ale během roku slábl.</w:t>
            </w:r>
          </w:p>
        </w:tc>
        <w:tc>
          <w:tcPr>
            <w:tcW w:w="203" w:type="dxa"/>
            <w:shd w:val="clear" w:color="auto" w:fill="auto"/>
            <w:tcMar>
              <w:left w:w="0" w:type="dxa"/>
            </w:tcMar>
          </w:tcPr>
          <w:p w14:paraId="08C8CDC9" w14:textId="77777777" w:rsidR="0011055D" w:rsidRDefault="0011055D" w:rsidP="00C07C2F">
            <w:pPr>
              <w:pStyle w:val="Textpoznpodarou"/>
              <w:jc w:val="both"/>
              <w:rPr>
                <w:spacing w:val="-4"/>
              </w:rPr>
            </w:pPr>
          </w:p>
        </w:tc>
        <w:tc>
          <w:tcPr>
            <w:tcW w:w="7674" w:type="dxa"/>
            <w:shd w:val="clear" w:color="auto" w:fill="auto"/>
            <w:tcMar>
              <w:left w:w="0" w:type="dxa"/>
            </w:tcMar>
          </w:tcPr>
          <w:p w14:paraId="1A8B4A4D" w14:textId="77777777" w:rsidR="0011055D" w:rsidRPr="001B78B8" w:rsidRDefault="0011055D" w:rsidP="00C07C2F">
            <w:pPr>
              <w:spacing w:after="180"/>
              <w:rPr>
                <w:color w:val="0D0D0D" w:themeColor="text1" w:themeTint="F2"/>
                <w:spacing w:val="-4"/>
              </w:rPr>
            </w:pPr>
            <w:r w:rsidRPr="00B57210">
              <w:rPr>
                <w:spacing w:val="-4"/>
              </w:rPr>
              <w:t xml:space="preserve">Z </w:t>
            </w:r>
            <w:r>
              <w:rPr>
                <w:spacing w:val="-4"/>
              </w:rPr>
              <w:t xml:space="preserve">běžných daní </w:t>
            </w:r>
            <w:r w:rsidRPr="00B57210">
              <w:rPr>
                <w:spacing w:val="-4"/>
              </w:rPr>
              <w:t xml:space="preserve">podpořila loni růst příjmů SR nejvíce daň </w:t>
            </w:r>
            <w:r>
              <w:rPr>
                <w:spacing w:val="-4"/>
              </w:rPr>
              <w:t>z příjmů právnických osob, jejíž inkaso</w:t>
            </w:r>
            <w:r w:rsidRPr="00B57210">
              <w:rPr>
                <w:spacing w:val="-4"/>
              </w:rPr>
              <w:t xml:space="preserve"> </w:t>
            </w:r>
            <w:r>
              <w:rPr>
                <w:spacing w:val="-4"/>
              </w:rPr>
              <w:t>meziročně posílilo</w:t>
            </w:r>
            <w:r w:rsidRPr="00B57210">
              <w:rPr>
                <w:spacing w:val="-4"/>
              </w:rPr>
              <w:t xml:space="preserve"> o třetinu </w:t>
            </w:r>
            <w:r>
              <w:rPr>
                <w:spacing w:val="-4"/>
              </w:rPr>
              <w:t xml:space="preserve">(+52 mld. korun) </w:t>
            </w:r>
            <w:r w:rsidRPr="00B57210">
              <w:rPr>
                <w:spacing w:val="-4"/>
              </w:rPr>
              <w:t>a jeho celoroční</w:t>
            </w:r>
            <w:r>
              <w:rPr>
                <w:spacing w:val="-2"/>
              </w:rPr>
              <w:t xml:space="preserve"> plánovaná výše byla překročena o více než čtvrtinu (i díky vyššímu výběru z oblasti </w:t>
            </w:r>
            <w:r>
              <w:rPr>
                <w:spacing w:val="-5"/>
              </w:rPr>
              <w:t>finančnictví a energetiky).</w:t>
            </w:r>
            <w:r>
              <w:rPr>
                <w:spacing w:val="-2"/>
              </w:rPr>
              <w:t xml:space="preserve"> </w:t>
            </w:r>
            <w:r>
              <w:rPr>
                <w:spacing w:val="-5"/>
              </w:rPr>
              <w:t>Výnos korporátní daně souvisí s relativně vysokou a dále rostoucí mírou zisku podniků</w:t>
            </w:r>
            <w:r>
              <w:rPr>
                <w:rStyle w:val="Znakapoznpodarou"/>
                <w:spacing w:val="-5"/>
              </w:rPr>
              <w:footnoteReference w:id="109"/>
            </w:r>
            <w:r>
              <w:rPr>
                <w:spacing w:val="-5"/>
              </w:rPr>
              <w:t>. Loni svižně vzrostl i výběr daně z příjmů fyzických osob (</w:t>
            </w:r>
            <w:r w:rsidRPr="009F0CDD">
              <w:rPr>
                <w:color w:val="0D0D0D" w:themeColor="text1" w:themeTint="F2"/>
                <w:spacing w:val="-4"/>
              </w:rPr>
              <w:t>DPFO)</w:t>
            </w:r>
            <w:r>
              <w:rPr>
                <w:color w:val="0D0D0D" w:themeColor="text1" w:themeTint="F2"/>
                <w:spacing w:val="-4"/>
              </w:rPr>
              <w:t xml:space="preserve"> – o pětinu (resp. 25,2 mld. korun). I přes zvolňování růstu inkasa během roku na tom měla hlavní zásluhu</w:t>
            </w:r>
            <w:r w:rsidRPr="009F0CDD">
              <w:rPr>
                <w:color w:val="0D0D0D" w:themeColor="text1" w:themeTint="F2"/>
                <w:spacing w:val="-4"/>
              </w:rPr>
              <w:t xml:space="preserve"> klíčo</w:t>
            </w:r>
            <w:r>
              <w:rPr>
                <w:color w:val="0D0D0D" w:themeColor="text1" w:themeTint="F2"/>
                <w:spacing w:val="-4"/>
              </w:rPr>
              <w:t xml:space="preserve">vá příjmová daň </w:t>
            </w:r>
            <w:r w:rsidRPr="009F0CDD">
              <w:rPr>
                <w:color w:val="0D0D0D" w:themeColor="text1" w:themeTint="F2"/>
                <w:spacing w:val="-4"/>
              </w:rPr>
              <w:t>ze závislé činnosti</w:t>
            </w:r>
            <w:r>
              <w:rPr>
                <w:color w:val="0D0D0D" w:themeColor="text1" w:themeTint="F2"/>
                <w:spacing w:val="-4"/>
              </w:rPr>
              <w:t xml:space="preserve"> (+17 mld. korun</w:t>
            </w:r>
            <w:r w:rsidRPr="009F0CDD">
              <w:rPr>
                <w:color w:val="0D0D0D" w:themeColor="text1" w:themeTint="F2"/>
                <w:spacing w:val="-4"/>
              </w:rPr>
              <w:t>)</w:t>
            </w:r>
            <w:r w:rsidRPr="009F0CDD">
              <w:rPr>
                <w:rStyle w:val="Znakapoznpodarou"/>
                <w:color w:val="0D0D0D" w:themeColor="text1" w:themeTint="F2"/>
                <w:spacing w:val="-4"/>
              </w:rPr>
              <w:footnoteReference w:id="110"/>
            </w:r>
            <w:r>
              <w:rPr>
                <w:color w:val="0D0D0D" w:themeColor="text1" w:themeTint="F2"/>
                <w:spacing w:val="-4"/>
              </w:rPr>
              <w:t xml:space="preserve">. Příznivě se v ní promítala vyšší </w:t>
            </w:r>
            <w:r>
              <w:rPr>
                <w:color w:val="0D0D0D" w:themeColor="text1" w:themeTint="F2"/>
                <w:spacing w:val="-4"/>
              </w:rPr>
              <w:lastRenderedPageBreak/>
              <w:t>zaměstnanost</w:t>
            </w:r>
            <w:r w:rsidRPr="009F0CDD">
              <w:rPr>
                <w:color w:val="0D0D0D" w:themeColor="text1" w:themeTint="F2"/>
                <w:spacing w:val="-4"/>
              </w:rPr>
              <w:t xml:space="preserve"> i svižný nominální růst průměrné mzdy v podnikové sféře. </w:t>
            </w:r>
            <w:r>
              <w:rPr>
                <w:color w:val="0D0D0D" w:themeColor="text1" w:themeTint="F2"/>
                <w:spacing w:val="-4"/>
              </w:rPr>
              <w:t xml:space="preserve">Naopak v menší míře se </w:t>
            </w:r>
            <w:r w:rsidRPr="009F0CDD">
              <w:rPr>
                <w:color w:val="0D0D0D" w:themeColor="text1" w:themeTint="F2"/>
                <w:spacing w:val="-4"/>
              </w:rPr>
              <w:t>negativně projevil vliv daňových změn (</w:t>
            </w:r>
            <w:r>
              <w:rPr>
                <w:color w:val="0D0D0D" w:themeColor="text1" w:themeTint="F2"/>
                <w:spacing w:val="-4"/>
              </w:rPr>
              <w:t>především</w:t>
            </w:r>
            <w:r w:rsidRPr="009F0CDD">
              <w:rPr>
                <w:color w:val="0D0D0D" w:themeColor="text1" w:themeTint="F2"/>
                <w:spacing w:val="-4"/>
              </w:rPr>
              <w:t xml:space="preserve"> zvýšení daňového zvýhodnění na druhé a třetí dítě). </w:t>
            </w:r>
            <w:r>
              <w:rPr>
                <w:color w:val="0D0D0D" w:themeColor="text1" w:themeTint="F2"/>
                <w:spacing w:val="-4"/>
              </w:rPr>
              <w:t>V</w:t>
            </w:r>
            <w:r w:rsidRPr="009F0CDD">
              <w:rPr>
                <w:color w:val="0D0D0D" w:themeColor="text1" w:themeTint="F2"/>
                <w:spacing w:val="-4"/>
              </w:rPr>
              <w:t xml:space="preserve">ýběr váhově </w:t>
            </w:r>
            <w:r>
              <w:rPr>
                <w:color w:val="0D0D0D" w:themeColor="text1" w:themeTint="F2"/>
                <w:spacing w:val="-4"/>
              </w:rPr>
              <w:t xml:space="preserve">mnohem </w:t>
            </w:r>
            <w:r w:rsidRPr="009F0CDD">
              <w:rPr>
                <w:color w:val="0D0D0D" w:themeColor="text1" w:themeTint="F2"/>
                <w:spacing w:val="-4"/>
              </w:rPr>
              <w:t>méně významné daně DP</w:t>
            </w:r>
            <w:r>
              <w:rPr>
                <w:color w:val="0D0D0D" w:themeColor="text1" w:themeTint="F2"/>
                <w:spacing w:val="-4"/>
              </w:rPr>
              <w:t xml:space="preserve">FO placené poplatníky (cílené </w:t>
            </w:r>
            <w:r w:rsidRPr="009F0CDD">
              <w:rPr>
                <w:color w:val="0D0D0D" w:themeColor="text1" w:themeTint="F2"/>
                <w:spacing w:val="-4"/>
              </w:rPr>
              <w:t>hlavně na drobné podnik</w:t>
            </w:r>
            <w:r>
              <w:rPr>
                <w:color w:val="0D0D0D" w:themeColor="text1" w:themeTint="F2"/>
                <w:spacing w:val="-4"/>
              </w:rPr>
              <w:t xml:space="preserve">atele) se </w:t>
            </w:r>
            <w:r w:rsidRPr="009F0CDD">
              <w:rPr>
                <w:color w:val="0D0D0D" w:themeColor="text1" w:themeTint="F2"/>
                <w:spacing w:val="-4"/>
              </w:rPr>
              <w:t>meziročně</w:t>
            </w:r>
            <w:r>
              <w:rPr>
                <w:color w:val="0D0D0D" w:themeColor="text1" w:themeTint="F2"/>
                <w:spacing w:val="-4"/>
              </w:rPr>
              <w:t xml:space="preserve"> zvýšil mírněji (+7,5 %), avšak plánovanou výši inkasa převýšil o více než třetinu.</w:t>
            </w:r>
            <w:r w:rsidRPr="009F0CDD">
              <w:rPr>
                <w:color w:val="0D0D0D" w:themeColor="text1" w:themeTint="F2"/>
                <w:spacing w:val="-4"/>
              </w:rPr>
              <w:t xml:space="preserve"> </w:t>
            </w:r>
            <w:r>
              <w:rPr>
                <w:color w:val="0D0D0D" w:themeColor="text1" w:themeTint="F2"/>
                <w:spacing w:val="-4"/>
              </w:rPr>
              <w:t>Pomohlo tomu pokračující zotavování řady služeb zasažených v éře pandemie i rostoucí počet podnikajících osob. Opačný vliv měly některé daňové změny (zvýšení slevy na poplatníka, navýšení limitu příjmů pro možnost vstupu do paušálního režimu daně). Nadále se d</w:t>
            </w:r>
            <w:r w:rsidRPr="009F0CDD">
              <w:rPr>
                <w:color w:val="0D0D0D" w:themeColor="text1" w:themeTint="F2"/>
                <w:spacing w:val="-4"/>
              </w:rPr>
              <w:t>ařil</w:t>
            </w:r>
            <w:r>
              <w:rPr>
                <w:color w:val="0D0D0D" w:themeColor="text1" w:themeTint="F2"/>
                <w:spacing w:val="-4"/>
              </w:rPr>
              <w:t xml:space="preserve">o </w:t>
            </w:r>
            <w:r w:rsidRPr="009F0CDD">
              <w:rPr>
                <w:color w:val="0D0D0D" w:themeColor="text1" w:themeTint="F2"/>
                <w:spacing w:val="-4"/>
              </w:rPr>
              <w:t>inkasu DPFO vybírané srážkou</w:t>
            </w:r>
            <w:r>
              <w:rPr>
                <w:color w:val="0D0D0D" w:themeColor="text1" w:themeTint="F2"/>
                <w:spacing w:val="-4"/>
              </w:rPr>
              <w:t xml:space="preserve">. Byť jeho meziroční růst během roku postupně slábl, za celý loňský rok inkaso vzrostlo o více než třetinu (+7,5 mld. korun). Bylo taženo přetrvávajícími vyššími </w:t>
            </w:r>
            <w:r w:rsidRPr="00C1254A">
              <w:rPr>
                <w:color w:val="0D0D0D" w:themeColor="text1" w:themeTint="F2"/>
                <w:spacing w:val="-5"/>
              </w:rPr>
              <w:t>úrokovými sazb</w:t>
            </w:r>
            <w:r>
              <w:rPr>
                <w:color w:val="0D0D0D" w:themeColor="text1" w:themeTint="F2"/>
                <w:spacing w:val="-5"/>
              </w:rPr>
              <w:t>ami</w:t>
            </w:r>
            <w:r w:rsidRPr="00C1254A">
              <w:rPr>
                <w:color w:val="0D0D0D" w:themeColor="text1" w:themeTint="F2"/>
                <w:spacing w:val="-5"/>
              </w:rPr>
              <w:t xml:space="preserve"> na vkladech a v menší míře i vyšším počtem osob pracujících na dohody.</w:t>
            </w:r>
          </w:p>
        </w:tc>
      </w:tr>
      <w:tr w:rsidR="0011055D" w:rsidRPr="00F704D2" w14:paraId="32F938D7" w14:textId="77777777" w:rsidTr="00C07C2F">
        <w:trPr>
          <w:trHeight w:val="170"/>
        </w:trPr>
        <w:tc>
          <w:tcPr>
            <w:tcW w:w="1792" w:type="dxa"/>
            <w:vMerge w:val="restart"/>
            <w:shd w:val="clear" w:color="auto" w:fill="auto"/>
            <w:tcMar>
              <w:left w:w="0" w:type="dxa"/>
            </w:tcMar>
          </w:tcPr>
          <w:p w14:paraId="6E49F856" w14:textId="77777777" w:rsidR="0011055D" w:rsidRDefault="0011055D" w:rsidP="00C07C2F">
            <w:pPr>
              <w:pStyle w:val="Marginlie"/>
            </w:pPr>
          </w:p>
        </w:tc>
        <w:tc>
          <w:tcPr>
            <w:tcW w:w="203" w:type="dxa"/>
            <w:vMerge w:val="restart"/>
            <w:shd w:val="clear" w:color="auto" w:fill="auto"/>
            <w:tcMar>
              <w:left w:w="0" w:type="dxa"/>
            </w:tcMar>
          </w:tcPr>
          <w:p w14:paraId="26C8E9EA" w14:textId="77777777" w:rsidR="0011055D" w:rsidRDefault="0011055D" w:rsidP="00C07C2F">
            <w:pPr>
              <w:pStyle w:val="Textpoznpodarou"/>
              <w:jc w:val="both"/>
              <w:rPr>
                <w:spacing w:val="-4"/>
              </w:rPr>
            </w:pPr>
          </w:p>
        </w:tc>
        <w:tc>
          <w:tcPr>
            <w:tcW w:w="7674" w:type="dxa"/>
            <w:shd w:val="clear" w:color="auto" w:fill="auto"/>
            <w:tcMar>
              <w:left w:w="0" w:type="dxa"/>
            </w:tcMar>
          </w:tcPr>
          <w:p w14:paraId="04C2746D" w14:textId="77777777" w:rsidR="0011055D" w:rsidRPr="004457BD" w:rsidRDefault="0011055D" w:rsidP="00C07C2F">
            <w:pPr>
              <w:spacing w:after="0"/>
              <w:rPr>
                <w:rFonts w:cs="Arial"/>
                <w:b/>
                <w:bCs/>
                <w:color w:val="000000"/>
                <w:spacing w:val="-2"/>
                <w:szCs w:val="20"/>
              </w:rPr>
            </w:pPr>
            <w:r w:rsidRPr="004457BD">
              <w:rPr>
                <w:rFonts w:cs="Arial"/>
                <w:b/>
                <w:bCs/>
                <w:color w:val="000000"/>
                <w:spacing w:val="-2"/>
                <w:szCs w:val="20"/>
              </w:rPr>
              <w:t xml:space="preserve">Graf č. 18 Příspěvek dílčích příjmů k meziročnímu růstu </w:t>
            </w:r>
            <w:r>
              <w:rPr>
                <w:rFonts w:cs="Arial"/>
                <w:b/>
                <w:bCs/>
                <w:color w:val="000000"/>
                <w:spacing w:val="-2"/>
                <w:szCs w:val="20"/>
              </w:rPr>
              <w:t xml:space="preserve">souhrnného </w:t>
            </w:r>
            <w:r w:rsidRPr="004457BD">
              <w:rPr>
                <w:rFonts w:cs="Arial"/>
                <w:b/>
                <w:bCs/>
                <w:color w:val="000000"/>
                <w:spacing w:val="-2"/>
                <w:szCs w:val="20"/>
              </w:rPr>
              <w:t xml:space="preserve">celostátního inkasa daňových příjmů </w:t>
            </w:r>
            <w:r w:rsidRPr="004457BD">
              <w:rPr>
                <w:rFonts w:cs="Arial"/>
                <w:bCs/>
                <w:color w:val="000000"/>
                <w:spacing w:val="-2"/>
                <w:szCs w:val="20"/>
              </w:rPr>
              <w:t xml:space="preserve">(v p. b.), </w:t>
            </w:r>
            <w:r w:rsidRPr="004457BD">
              <w:rPr>
                <w:rFonts w:cs="Arial"/>
                <w:b/>
                <w:bCs/>
                <w:color w:val="000000"/>
                <w:spacing w:val="-2"/>
                <w:szCs w:val="20"/>
              </w:rPr>
              <w:t>meziroční růst příjmů pojistného</w:t>
            </w:r>
            <w:r>
              <w:rPr>
                <w:rFonts w:cs="Arial"/>
                <w:b/>
                <w:bCs/>
                <w:color w:val="000000"/>
                <w:spacing w:val="-2"/>
                <w:szCs w:val="20"/>
              </w:rPr>
              <w:t xml:space="preserve"> na sociální</w:t>
            </w:r>
            <w:r w:rsidRPr="004457BD">
              <w:rPr>
                <w:rFonts w:cs="Arial"/>
                <w:b/>
                <w:bCs/>
                <w:color w:val="000000"/>
                <w:spacing w:val="-2"/>
                <w:szCs w:val="20"/>
              </w:rPr>
              <w:t xml:space="preserve"> zabezpečení</w:t>
            </w:r>
            <w:r w:rsidRPr="004457BD">
              <w:rPr>
                <w:rFonts w:cs="Arial"/>
                <w:bCs/>
                <w:color w:val="000000"/>
                <w:spacing w:val="-2"/>
                <w:szCs w:val="20"/>
              </w:rPr>
              <w:t xml:space="preserve"> (%) </w:t>
            </w:r>
            <w:r w:rsidRPr="004457BD">
              <w:rPr>
                <w:rFonts w:cs="Arial"/>
                <w:b/>
                <w:bCs/>
                <w:color w:val="000000"/>
                <w:spacing w:val="-2"/>
                <w:szCs w:val="20"/>
              </w:rPr>
              <w:t xml:space="preserve">a saldo státního rozpočtu </w:t>
            </w:r>
            <w:r w:rsidRPr="004457BD">
              <w:rPr>
                <w:rFonts w:cs="Arial"/>
                <w:bCs/>
                <w:color w:val="000000"/>
                <w:spacing w:val="-2"/>
                <w:szCs w:val="20"/>
              </w:rPr>
              <w:t>(v mld. korun)</w:t>
            </w:r>
          </w:p>
        </w:tc>
      </w:tr>
      <w:tr w:rsidR="0011055D" w14:paraId="0368D539" w14:textId="77777777" w:rsidTr="00C07C2F">
        <w:tblPrEx>
          <w:tblCellMar>
            <w:left w:w="70" w:type="dxa"/>
            <w:right w:w="70" w:type="dxa"/>
          </w:tblCellMar>
        </w:tblPrEx>
        <w:trPr>
          <w:trHeight w:val="170"/>
        </w:trPr>
        <w:tc>
          <w:tcPr>
            <w:tcW w:w="1792" w:type="dxa"/>
            <w:vMerge/>
            <w:shd w:val="clear" w:color="auto" w:fill="auto"/>
          </w:tcPr>
          <w:p w14:paraId="1E064F46" w14:textId="77777777" w:rsidR="0011055D" w:rsidRDefault="0011055D" w:rsidP="00C07C2F">
            <w:pPr>
              <w:pStyle w:val="Marginlie"/>
            </w:pPr>
          </w:p>
        </w:tc>
        <w:tc>
          <w:tcPr>
            <w:tcW w:w="203" w:type="dxa"/>
            <w:vMerge/>
            <w:shd w:val="clear" w:color="auto" w:fill="auto"/>
          </w:tcPr>
          <w:p w14:paraId="731BE8A0" w14:textId="77777777" w:rsidR="0011055D" w:rsidRDefault="0011055D" w:rsidP="00C07C2F">
            <w:pPr>
              <w:pStyle w:val="Textpoznpodarou"/>
              <w:jc w:val="both"/>
              <w:rPr>
                <w:spacing w:val="-4"/>
              </w:rPr>
            </w:pPr>
          </w:p>
        </w:tc>
        <w:tc>
          <w:tcPr>
            <w:tcW w:w="7674" w:type="dxa"/>
            <w:shd w:val="clear" w:color="auto" w:fill="auto"/>
          </w:tcPr>
          <w:p w14:paraId="10B824CF" w14:textId="77777777" w:rsidR="0011055D" w:rsidRPr="0067514E" w:rsidRDefault="0011055D" w:rsidP="00C07C2F">
            <w:pPr>
              <w:spacing w:after="40"/>
              <w:rPr>
                <w:spacing w:val="-6"/>
              </w:rPr>
            </w:pPr>
            <w:r>
              <w:rPr>
                <w:noProof/>
              </w:rPr>
              <w:drawing>
                <wp:inline distT="0" distB="0" distL="0" distR="0" wp14:anchorId="048D9AD6" wp14:editId="4779AC94">
                  <wp:extent cx="4749800" cy="3378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11055D" w:rsidRPr="007B3A78" w14:paraId="712D5BD4" w14:textId="77777777" w:rsidTr="00C07C2F">
        <w:trPr>
          <w:trHeight w:val="170"/>
        </w:trPr>
        <w:tc>
          <w:tcPr>
            <w:tcW w:w="1792" w:type="dxa"/>
            <w:vMerge/>
            <w:shd w:val="clear" w:color="auto" w:fill="auto"/>
            <w:tcMar>
              <w:left w:w="0" w:type="dxa"/>
            </w:tcMar>
          </w:tcPr>
          <w:p w14:paraId="67C88BC6" w14:textId="77777777" w:rsidR="0011055D" w:rsidRDefault="0011055D" w:rsidP="00C07C2F">
            <w:pPr>
              <w:pStyle w:val="Marginlie"/>
            </w:pPr>
          </w:p>
        </w:tc>
        <w:tc>
          <w:tcPr>
            <w:tcW w:w="203" w:type="dxa"/>
            <w:vMerge/>
            <w:shd w:val="clear" w:color="auto" w:fill="auto"/>
            <w:tcMar>
              <w:left w:w="0" w:type="dxa"/>
            </w:tcMar>
          </w:tcPr>
          <w:p w14:paraId="13A7213F" w14:textId="77777777" w:rsidR="0011055D" w:rsidRDefault="0011055D" w:rsidP="00C07C2F">
            <w:pPr>
              <w:pStyle w:val="Textpoznpodarou"/>
              <w:jc w:val="both"/>
              <w:rPr>
                <w:spacing w:val="-4"/>
              </w:rPr>
            </w:pPr>
          </w:p>
        </w:tc>
        <w:tc>
          <w:tcPr>
            <w:tcW w:w="7674" w:type="dxa"/>
            <w:shd w:val="clear" w:color="auto" w:fill="auto"/>
            <w:tcMar>
              <w:left w:w="0" w:type="dxa"/>
            </w:tcMar>
          </w:tcPr>
          <w:p w14:paraId="0DB31A19" w14:textId="77777777" w:rsidR="0011055D" w:rsidRDefault="0011055D" w:rsidP="00C07C2F">
            <w:pPr>
              <w:tabs>
                <w:tab w:val="right" w:pos="7683"/>
              </w:tabs>
              <w:spacing w:after="0" w:line="240" w:lineRule="auto"/>
              <w:jc w:val="left"/>
              <w:rPr>
                <w:spacing w:val="-2"/>
                <w:sz w:val="14"/>
                <w:szCs w:val="14"/>
              </w:rPr>
            </w:pPr>
            <w:r w:rsidRPr="004457BD">
              <w:rPr>
                <w:spacing w:val="-2"/>
                <w:sz w:val="14"/>
                <w:szCs w:val="14"/>
              </w:rPr>
              <w:t>*Zahrnují i příspěvky na státní politiku zaměstnanosti.</w:t>
            </w:r>
          </w:p>
          <w:p w14:paraId="2AFCEB01" w14:textId="77777777" w:rsidR="0011055D" w:rsidRDefault="0011055D" w:rsidP="00C07C2F">
            <w:pPr>
              <w:tabs>
                <w:tab w:val="right" w:pos="7683"/>
              </w:tabs>
              <w:spacing w:after="0" w:line="240" w:lineRule="auto"/>
              <w:jc w:val="left"/>
              <w:rPr>
                <w:spacing w:val="-2"/>
                <w:sz w:val="14"/>
                <w:szCs w:val="14"/>
              </w:rPr>
            </w:pPr>
            <w:r w:rsidRPr="004457BD">
              <w:rPr>
                <w:spacing w:val="-2"/>
                <w:sz w:val="14"/>
                <w:szCs w:val="14"/>
              </w:rPr>
              <w:t>**Saldo očištěné o prostředky na pro</w:t>
            </w:r>
            <w:r>
              <w:rPr>
                <w:spacing w:val="-2"/>
                <w:sz w:val="14"/>
                <w:szCs w:val="14"/>
              </w:rPr>
              <w:t>gramy/projekty z rozpočtu EU a f</w:t>
            </w:r>
            <w:r w:rsidRPr="004457BD">
              <w:rPr>
                <w:spacing w:val="-2"/>
                <w:sz w:val="14"/>
                <w:szCs w:val="14"/>
              </w:rPr>
              <w:t xml:space="preserve">inančních mechanismů, které byly předfinancovány ze SR a následně jsou propláceny z rozpočtu EU a FM. </w:t>
            </w:r>
            <w:r>
              <w:rPr>
                <w:spacing w:val="-2"/>
                <w:sz w:val="14"/>
                <w:szCs w:val="14"/>
              </w:rPr>
              <w:t>Celoroční ú</w:t>
            </w:r>
            <w:r w:rsidRPr="004457BD">
              <w:rPr>
                <w:spacing w:val="-2"/>
                <w:sz w:val="14"/>
                <w:szCs w:val="14"/>
              </w:rPr>
              <w:t>daje jsou k dispozici počínaje rokem 2010.</w:t>
            </w:r>
          </w:p>
          <w:p w14:paraId="43D04880" w14:textId="77777777" w:rsidR="0011055D" w:rsidRDefault="0011055D" w:rsidP="00C07C2F">
            <w:pPr>
              <w:tabs>
                <w:tab w:val="right" w:pos="7683"/>
              </w:tabs>
              <w:spacing w:after="0" w:line="240" w:lineRule="auto"/>
              <w:jc w:val="left"/>
              <w:rPr>
                <w:sz w:val="16"/>
                <w:szCs w:val="16"/>
              </w:rPr>
            </w:pPr>
            <w:r>
              <w:rPr>
                <w:spacing w:val="-2"/>
                <w:sz w:val="14"/>
                <w:szCs w:val="14"/>
              </w:rPr>
              <w:t>FO = fyzické soby, PO = právnické osoby. Ostatní daně z příjmů FO zahrnují daně placené</w:t>
            </w:r>
            <w:r w:rsidRPr="005B05AD">
              <w:rPr>
                <w:spacing w:val="-2"/>
                <w:sz w:val="14"/>
                <w:szCs w:val="14"/>
              </w:rPr>
              <w:t xml:space="preserve"> poplatníky</w:t>
            </w:r>
            <w:r>
              <w:rPr>
                <w:spacing w:val="-2"/>
                <w:sz w:val="14"/>
                <w:szCs w:val="14"/>
              </w:rPr>
              <w:t xml:space="preserve"> (zejména z drobného podnikání) a dále daně vybírané</w:t>
            </w:r>
            <w:r w:rsidRPr="005B05AD">
              <w:rPr>
                <w:spacing w:val="-2"/>
                <w:sz w:val="14"/>
                <w:szCs w:val="14"/>
              </w:rPr>
              <w:t xml:space="preserve"> srážkou</w:t>
            </w:r>
            <w:r>
              <w:rPr>
                <w:spacing w:val="-2"/>
                <w:sz w:val="14"/>
                <w:szCs w:val="14"/>
              </w:rPr>
              <w:t>.</w:t>
            </w:r>
          </w:p>
          <w:p w14:paraId="287A26C0" w14:textId="77777777" w:rsidR="0011055D" w:rsidRPr="00764654" w:rsidRDefault="0011055D" w:rsidP="00C07C2F">
            <w:pPr>
              <w:tabs>
                <w:tab w:val="right" w:pos="7683"/>
              </w:tabs>
              <w:spacing w:after="180" w:line="240" w:lineRule="auto"/>
              <w:jc w:val="left"/>
              <w:rPr>
                <w:sz w:val="14"/>
                <w:szCs w:val="14"/>
              </w:rPr>
            </w:pPr>
            <w:r>
              <w:rPr>
                <w:sz w:val="14"/>
                <w:szCs w:val="14"/>
              </w:rPr>
              <w:t>Ostatní daně a poplatky obsahují zejména daň z nemovitých věcí, d</w:t>
            </w:r>
            <w:r w:rsidRPr="001F4360">
              <w:rPr>
                <w:sz w:val="14"/>
                <w:szCs w:val="14"/>
              </w:rPr>
              <w:t>aň z hazardních her</w:t>
            </w:r>
            <w:r>
              <w:rPr>
                <w:sz w:val="14"/>
                <w:szCs w:val="14"/>
              </w:rPr>
              <w:t>, d</w:t>
            </w:r>
            <w:r w:rsidRPr="001F4360">
              <w:rPr>
                <w:sz w:val="14"/>
                <w:szCs w:val="14"/>
              </w:rPr>
              <w:t>álniční poplatek</w:t>
            </w:r>
            <w:r>
              <w:rPr>
                <w:sz w:val="14"/>
                <w:szCs w:val="14"/>
              </w:rPr>
              <w:t>, mýtné a v roce 2023 nově rovněž o</w:t>
            </w:r>
            <w:r w:rsidRPr="003C78E5">
              <w:rPr>
                <w:sz w:val="14"/>
                <w:szCs w:val="14"/>
              </w:rPr>
              <w:t>dvod z nadměrných příjmů</w:t>
            </w:r>
            <w:r>
              <w:rPr>
                <w:sz w:val="14"/>
                <w:szCs w:val="14"/>
              </w:rPr>
              <w:t xml:space="preserve"> a neočekávaných zisků.                                                           </w:t>
            </w:r>
            <w:r w:rsidRPr="002777A9">
              <w:rPr>
                <w:sz w:val="14"/>
                <w:szCs w:val="14"/>
              </w:rPr>
              <w:t>Zdroj: MF ČR</w:t>
            </w:r>
          </w:p>
        </w:tc>
      </w:tr>
      <w:tr w:rsidR="0011055D" w:rsidRPr="007B3A78" w14:paraId="3F446F49" w14:textId="77777777" w:rsidTr="00C07C2F">
        <w:trPr>
          <w:trHeight w:val="170"/>
        </w:trPr>
        <w:tc>
          <w:tcPr>
            <w:tcW w:w="1792" w:type="dxa"/>
            <w:shd w:val="clear" w:color="auto" w:fill="auto"/>
            <w:tcMar>
              <w:left w:w="0" w:type="dxa"/>
            </w:tcMar>
          </w:tcPr>
          <w:p w14:paraId="7428CA2D" w14:textId="77777777" w:rsidR="0011055D" w:rsidRDefault="0011055D" w:rsidP="00C07C2F">
            <w:pPr>
              <w:pStyle w:val="Marginlie"/>
              <w:rPr>
                <w:spacing w:val="-5"/>
              </w:rPr>
            </w:pPr>
            <w:r>
              <w:rPr>
                <w:spacing w:val="-5"/>
              </w:rPr>
              <w:t>Kladný vliv vysokého růstu cen v ekonomice na výběr DPH byl tlumen poklesem spotřeby domácností. Očekávané inkaso tak nebylo naplněno.</w:t>
            </w:r>
          </w:p>
        </w:tc>
        <w:tc>
          <w:tcPr>
            <w:tcW w:w="203" w:type="dxa"/>
            <w:shd w:val="clear" w:color="auto" w:fill="auto"/>
            <w:tcMar>
              <w:left w:w="0" w:type="dxa"/>
            </w:tcMar>
          </w:tcPr>
          <w:p w14:paraId="5BE10B6B" w14:textId="77777777" w:rsidR="0011055D" w:rsidRDefault="0011055D" w:rsidP="00C07C2F">
            <w:pPr>
              <w:pStyle w:val="Textpoznpodarou"/>
              <w:jc w:val="both"/>
              <w:rPr>
                <w:spacing w:val="-4"/>
              </w:rPr>
            </w:pPr>
          </w:p>
        </w:tc>
        <w:tc>
          <w:tcPr>
            <w:tcW w:w="7674" w:type="dxa"/>
            <w:shd w:val="clear" w:color="auto" w:fill="auto"/>
            <w:tcMar>
              <w:left w:w="0" w:type="dxa"/>
            </w:tcMar>
          </w:tcPr>
          <w:p w14:paraId="637FF770" w14:textId="2060D204" w:rsidR="0011055D" w:rsidRPr="00244FD4" w:rsidRDefault="0011055D" w:rsidP="00C07C2F">
            <w:pPr>
              <w:spacing w:after="220"/>
              <w:rPr>
                <w:color w:val="0D0D0D" w:themeColor="text1" w:themeTint="F2"/>
                <w:spacing w:val="-6"/>
              </w:rPr>
            </w:pPr>
            <w:r w:rsidRPr="00244FD4">
              <w:rPr>
                <w:color w:val="0D0D0D" w:themeColor="text1" w:themeTint="F2"/>
                <w:spacing w:val="-6"/>
              </w:rPr>
              <w:t xml:space="preserve">Z výběru DPH sice loni plynulo do SR meziročně o 5,8 % více, původně rozpočtovaná výše inkasa však opět nebyla naplněna (o 4,4 %, resp. 16,7 mld. korun). Během 1. pololetí růst výběru DPH vlivem odeznívající vysoké inflace slábl, mírné posílení inkasa ve 4. čtvrtletí (meziročně </w:t>
            </w:r>
            <w:r w:rsidR="00E82AB6">
              <w:rPr>
                <w:color w:val="0D0D0D" w:themeColor="text1" w:themeTint="F2"/>
                <w:spacing w:val="-6"/>
              </w:rPr>
              <w:t>+6,5 %) souviselo s lehkým</w:t>
            </w:r>
            <w:r w:rsidRPr="00244FD4">
              <w:rPr>
                <w:color w:val="0D0D0D" w:themeColor="text1" w:themeTint="F2"/>
                <w:spacing w:val="-6"/>
              </w:rPr>
              <w:t xml:space="preserve"> oživením spotřeby domácností</w:t>
            </w:r>
            <w:r w:rsidRPr="00244FD4">
              <w:rPr>
                <w:rStyle w:val="Znakapoznpodarou"/>
                <w:color w:val="0D0D0D" w:themeColor="text1" w:themeTint="F2"/>
                <w:spacing w:val="-6"/>
              </w:rPr>
              <w:footnoteReference w:id="111"/>
            </w:r>
            <w:r w:rsidRPr="00244FD4">
              <w:rPr>
                <w:color w:val="0D0D0D" w:themeColor="text1" w:themeTint="F2"/>
                <w:spacing w:val="-6"/>
              </w:rPr>
              <w:t>.</w:t>
            </w:r>
            <w:r w:rsidRPr="00244FD4">
              <w:rPr>
                <w:spacing w:val="-6"/>
              </w:rPr>
              <w:t xml:space="preserve"> Zvyšování výběru daně bylo po celý rok mírně tlumeno dopadem posunu limitu tržeb pro registraci DPH</w:t>
            </w:r>
            <w:r w:rsidRPr="00244FD4">
              <w:rPr>
                <w:rStyle w:val="Znakapoznpodarou"/>
                <w:spacing w:val="-6"/>
              </w:rPr>
              <w:footnoteReference w:id="112"/>
            </w:r>
            <w:r w:rsidRPr="00244FD4">
              <w:rPr>
                <w:spacing w:val="-6"/>
              </w:rPr>
              <w:t>.</w:t>
            </w:r>
          </w:p>
        </w:tc>
      </w:tr>
      <w:tr w:rsidR="0011055D" w:rsidRPr="007B3A78" w14:paraId="74299C39" w14:textId="77777777" w:rsidTr="00C07C2F">
        <w:trPr>
          <w:trHeight w:val="170"/>
        </w:trPr>
        <w:tc>
          <w:tcPr>
            <w:tcW w:w="1792" w:type="dxa"/>
            <w:shd w:val="clear" w:color="auto" w:fill="auto"/>
            <w:tcMar>
              <w:left w:w="0" w:type="dxa"/>
            </w:tcMar>
          </w:tcPr>
          <w:p w14:paraId="3F6E1711" w14:textId="77777777" w:rsidR="0011055D" w:rsidRDefault="0011055D" w:rsidP="00C07C2F">
            <w:pPr>
              <w:pStyle w:val="Marginlie"/>
              <w:rPr>
                <w:spacing w:val="-5"/>
              </w:rPr>
            </w:pPr>
            <w:r>
              <w:rPr>
                <w:spacing w:val="-5"/>
              </w:rPr>
              <w:t>Výběr spotřební daně se snížil a zůstával za rozpočtovým očekáváním.</w:t>
            </w:r>
          </w:p>
          <w:p w14:paraId="7D77AEF4" w14:textId="77777777" w:rsidR="0011055D" w:rsidRDefault="0011055D" w:rsidP="00C07C2F">
            <w:pPr>
              <w:pStyle w:val="Marginlie"/>
              <w:rPr>
                <w:spacing w:val="-5"/>
              </w:rPr>
            </w:pPr>
            <w:r>
              <w:rPr>
                <w:spacing w:val="-5"/>
              </w:rPr>
              <w:lastRenderedPageBreak/>
              <w:t>Inkaso daně z tabákových výrobků kleslo na osmileté minimum.</w:t>
            </w:r>
          </w:p>
          <w:p w14:paraId="737FC74A" w14:textId="77777777" w:rsidR="0011055D" w:rsidRDefault="0011055D" w:rsidP="00C07C2F">
            <w:pPr>
              <w:pStyle w:val="Marginlie"/>
              <w:rPr>
                <w:spacing w:val="-5"/>
              </w:rPr>
            </w:pPr>
          </w:p>
          <w:p w14:paraId="080D5D71" w14:textId="77777777" w:rsidR="0011055D" w:rsidRDefault="0011055D" w:rsidP="00C07C2F">
            <w:pPr>
              <w:pStyle w:val="Marginlie"/>
              <w:rPr>
                <w:spacing w:val="-5"/>
              </w:rPr>
            </w:pPr>
          </w:p>
          <w:p w14:paraId="03C67FC3" w14:textId="77777777" w:rsidR="0011055D" w:rsidRDefault="0011055D" w:rsidP="00C07C2F">
            <w:pPr>
              <w:pStyle w:val="Marginlie"/>
              <w:rPr>
                <w:spacing w:val="-5"/>
              </w:rPr>
            </w:pPr>
          </w:p>
          <w:p w14:paraId="712008CB" w14:textId="77777777" w:rsidR="0011055D" w:rsidRDefault="0011055D" w:rsidP="00C07C2F">
            <w:pPr>
              <w:pStyle w:val="Marginlie"/>
              <w:rPr>
                <w:spacing w:val="-5"/>
              </w:rPr>
            </w:pPr>
          </w:p>
          <w:p w14:paraId="74FE5359" w14:textId="77777777" w:rsidR="0011055D" w:rsidRDefault="0011055D" w:rsidP="00C07C2F">
            <w:pPr>
              <w:pStyle w:val="Marginlie"/>
              <w:rPr>
                <w:spacing w:val="-5"/>
              </w:rPr>
            </w:pPr>
            <w:r>
              <w:rPr>
                <w:spacing w:val="-5"/>
              </w:rPr>
              <w:t>Výběr daně z minerálních olejů díky zvýšení sazby u</w:t>
            </w:r>
            <w:r>
              <w:t> </w:t>
            </w:r>
            <w:r>
              <w:rPr>
                <w:spacing w:val="-5"/>
              </w:rPr>
              <w:t xml:space="preserve">motorové nafty vzrostl. </w:t>
            </w:r>
          </w:p>
          <w:p w14:paraId="5BD0640F" w14:textId="77777777" w:rsidR="0011055D" w:rsidRDefault="0011055D" w:rsidP="00C07C2F">
            <w:pPr>
              <w:pStyle w:val="Marginlie"/>
              <w:rPr>
                <w:spacing w:val="-5"/>
              </w:rPr>
            </w:pPr>
          </w:p>
        </w:tc>
        <w:tc>
          <w:tcPr>
            <w:tcW w:w="203" w:type="dxa"/>
            <w:shd w:val="clear" w:color="auto" w:fill="auto"/>
            <w:tcMar>
              <w:left w:w="0" w:type="dxa"/>
            </w:tcMar>
          </w:tcPr>
          <w:p w14:paraId="649B6E7C" w14:textId="77777777" w:rsidR="0011055D" w:rsidRDefault="0011055D" w:rsidP="00C07C2F">
            <w:pPr>
              <w:pStyle w:val="Textpoznpodarou"/>
              <w:jc w:val="both"/>
              <w:rPr>
                <w:spacing w:val="-4"/>
              </w:rPr>
            </w:pPr>
          </w:p>
        </w:tc>
        <w:tc>
          <w:tcPr>
            <w:tcW w:w="7674" w:type="dxa"/>
            <w:shd w:val="clear" w:color="auto" w:fill="auto"/>
            <w:tcMar>
              <w:left w:w="0" w:type="dxa"/>
            </w:tcMar>
          </w:tcPr>
          <w:p w14:paraId="39EA7F7C" w14:textId="77777777" w:rsidR="0011055D" w:rsidRPr="00244FD4" w:rsidRDefault="0011055D" w:rsidP="00C07C2F">
            <w:pPr>
              <w:spacing w:after="200"/>
              <w:rPr>
                <w:color w:val="0D0D0D" w:themeColor="text1" w:themeTint="F2"/>
                <w:spacing w:val="-6"/>
              </w:rPr>
            </w:pPr>
            <w:r w:rsidRPr="00244FD4">
              <w:rPr>
                <w:color w:val="0D0D0D" w:themeColor="text1" w:themeTint="F2"/>
                <w:spacing w:val="-6"/>
              </w:rPr>
              <w:t>Inkaso spotřební daně</w:t>
            </w:r>
            <w:r w:rsidRPr="00244FD4">
              <w:rPr>
                <w:rStyle w:val="Znakapoznpodarou"/>
                <w:color w:val="0D0D0D" w:themeColor="text1" w:themeTint="F2"/>
                <w:spacing w:val="-6"/>
              </w:rPr>
              <w:footnoteReference w:id="113"/>
            </w:r>
            <w:r w:rsidRPr="00244FD4">
              <w:rPr>
                <w:color w:val="0D0D0D" w:themeColor="text1" w:themeTint="F2"/>
                <w:spacing w:val="-6"/>
              </w:rPr>
              <w:t xml:space="preserve"> loni meziročně kleslo (−3,4 %) a za rozpočtovým očekáváním zaostávalo potřetí v řadě (naposledy o 5,8 %, 9,1 mld. korun). Projevil se slabý výběr daně z tabákových výrobků, jenž meziročně propadl o desetinu, na nejnižší úroveň za posledních </w:t>
            </w:r>
            <w:r w:rsidRPr="00244FD4">
              <w:rPr>
                <w:color w:val="0D0D0D" w:themeColor="text1" w:themeTint="F2"/>
                <w:spacing w:val="-6"/>
              </w:rPr>
              <w:lastRenderedPageBreak/>
              <w:t xml:space="preserve">osm let. </w:t>
            </w:r>
            <w:r w:rsidRPr="00244FD4">
              <w:rPr>
                <w:spacing w:val="-6"/>
              </w:rPr>
              <w:t>K tomu došlo i přes pokračující růst daňové sazby, neboť silnější vliv na inkaso měla změna nákupních preferencí obyvatel ČR (přesun spotřeby k alternativním, v tuzemsku méně zdaněným produktům</w:t>
            </w:r>
            <w:r w:rsidRPr="00244FD4">
              <w:rPr>
                <w:rStyle w:val="Znakapoznpodarou"/>
                <w:spacing w:val="-6"/>
              </w:rPr>
              <w:footnoteReference w:id="114"/>
            </w:r>
            <w:r w:rsidRPr="00244FD4">
              <w:rPr>
                <w:spacing w:val="-6"/>
              </w:rPr>
              <w:t>, zvýšení přeshraničních nákupů). U klíčové daně z minerálních olejů ale loni výběr vzrostl (+3 %) a poprvé za poslední tři roky naplnil rozpočtová očekávání. Pozitivně se projevil návrat sazby daně z motorové nafty na úroveň před vzplanutím energetické krize</w:t>
            </w:r>
            <w:r w:rsidRPr="00244FD4">
              <w:rPr>
                <w:rStyle w:val="Znakapoznpodarou"/>
                <w:color w:val="0D0D0D" w:themeColor="text1" w:themeTint="F2"/>
                <w:spacing w:val="-6"/>
              </w:rPr>
              <w:footnoteReference w:id="115"/>
            </w:r>
            <w:r w:rsidRPr="00244FD4">
              <w:rPr>
                <w:spacing w:val="-6"/>
              </w:rPr>
              <w:t>. Spotřeba většiny druhů ropných produktů v ČR loni rostla, u klíčové položky – motorové nafty – však kvůli slabší poptávce po nákladní dopravě jen mírně</w:t>
            </w:r>
            <w:r w:rsidRPr="00244FD4">
              <w:rPr>
                <w:rStyle w:val="Znakapoznpodarou"/>
                <w:spacing w:val="-6"/>
              </w:rPr>
              <w:footnoteReference w:id="116"/>
            </w:r>
            <w:r w:rsidRPr="00244FD4">
              <w:rPr>
                <w:spacing w:val="-6"/>
              </w:rPr>
              <w:t>. Vlivem omezení zbytných výdajů tuzemských domácností kleslo inkaso daně ze specifických komodit (líh, pivo, šumivé víno i meziprodukty). Úsporné chování domácností i firem vyústily v plošný pokles výběru všech energetických daní (nejvíce u pevných paliv).</w:t>
            </w:r>
          </w:p>
        </w:tc>
      </w:tr>
      <w:tr w:rsidR="0011055D" w:rsidRPr="00D541C0" w14:paraId="388DB6E4" w14:textId="77777777" w:rsidTr="00C07C2F">
        <w:trPr>
          <w:trHeight w:val="170"/>
        </w:trPr>
        <w:tc>
          <w:tcPr>
            <w:tcW w:w="1792" w:type="dxa"/>
            <w:shd w:val="clear" w:color="auto" w:fill="auto"/>
            <w:tcMar>
              <w:left w:w="0" w:type="dxa"/>
            </w:tcMar>
          </w:tcPr>
          <w:p w14:paraId="7B5B3149" w14:textId="77777777" w:rsidR="0011055D" w:rsidRDefault="0011055D" w:rsidP="00C07C2F">
            <w:pPr>
              <w:pStyle w:val="Marginlie"/>
              <w:rPr>
                <w:spacing w:val="-5"/>
              </w:rPr>
            </w:pPr>
            <w:r>
              <w:rPr>
                <w:spacing w:val="-5"/>
              </w:rPr>
              <w:lastRenderedPageBreak/>
              <w:t>Nedaňové a kapitálové příjmy svižně rostly díky prostředkům z EU i</w:t>
            </w:r>
            <w:r>
              <w:t> </w:t>
            </w:r>
            <w:r>
              <w:rPr>
                <w:spacing w:val="-5"/>
              </w:rPr>
              <w:t>převodům z podniků s účastí státu.</w:t>
            </w:r>
          </w:p>
        </w:tc>
        <w:tc>
          <w:tcPr>
            <w:tcW w:w="203" w:type="dxa"/>
            <w:shd w:val="clear" w:color="auto" w:fill="auto"/>
            <w:tcMar>
              <w:left w:w="0" w:type="dxa"/>
            </w:tcMar>
          </w:tcPr>
          <w:p w14:paraId="747EC403" w14:textId="77777777" w:rsidR="0011055D" w:rsidRDefault="0011055D" w:rsidP="00C07C2F">
            <w:pPr>
              <w:pStyle w:val="Textpoznpodarou"/>
              <w:jc w:val="both"/>
              <w:rPr>
                <w:spacing w:val="-4"/>
              </w:rPr>
            </w:pPr>
          </w:p>
        </w:tc>
        <w:tc>
          <w:tcPr>
            <w:tcW w:w="7674" w:type="dxa"/>
            <w:shd w:val="clear" w:color="auto" w:fill="auto"/>
            <w:tcMar>
              <w:left w:w="0" w:type="dxa"/>
            </w:tcMar>
          </w:tcPr>
          <w:p w14:paraId="3E32A917" w14:textId="77777777" w:rsidR="0011055D" w:rsidRPr="00244FD4" w:rsidRDefault="0011055D" w:rsidP="00C07C2F">
            <w:pPr>
              <w:spacing w:after="220"/>
              <w:rPr>
                <w:spacing w:val="-6"/>
              </w:rPr>
            </w:pPr>
            <w:r w:rsidRPr="00244FD4">
              <w:rPr>
                <w:color w:val="0D0D0D" w:themeColor="text1" w:themeTint="F2"/>
                <w:spacing w:val="-6"/>
              </w:rPr>
              <w:t xml:space="preserve">Nedaňové a kapitálové příjmy se za loňský rok zvýšily téměř o polovinu, přesto však </w:t>
            </w:r>
            <w:r w:rsidRPr="00244FD4">
              <w:rPr>
                <w:color w:val="0D0D0D" w:themeColor="text1" w:themeTint="F2"/>
                <w:spacing w:val="-6"/>
              </w:rPr>
              <w:br/>
              <w:t>z důvodu slabšího výnosu z emisních povolenek zaostaly o desetinu za plánovanou výší. Na meziročním růstu se nejvíc podílely dividendy a další převody prostředků ze státních podniků (+30,6 mld. korun) a též příjmy z rozpočtu EU výrazně navýšené o přijaté platby z</w:t>
            </w:r>
            <w:r w:rsidRPr="00244FD4">
              <w:rPr>
                <w:spacing w:val="-6"/>
              </w:rPr>
              <w:t> </w:t>
            </w:r>
            <w:r w:rsidRPr="00244FD4">
              <w:rPr>
                <w:color w:val="0D0D0D" w:themeColor="text1" w:themeTint="F2"/>
                <w:spacing w:val="-6"/>
              </w:rPr>
              <w:t>Národního plánu obnovy (primárně do oblasti dopravy a životního prostředí). Čistá pozice ČR vůči rozpočtu EU činila loni +49,9 mld. korun a meziročně se mírně snížila (−7 %)</w:t>
            </w:r>
            <w:r w:rsidRPr="00244FD4">
              <w:rPr>
                <w:rStyle w:val="Znakapoznpodarou"/>
                <w:color w:val="0D0D0D" w:themeColor="text1" w:themeTint="F2"/>
                <w:spacing w:val="-6"/>
              </w:rPr>
              <w:footnoteReference w:id="117"/>
            </w:r>
            <w:r w:rsidRPr="00244FD4">
              <w:rPr>
                <w:color w:val="0D0D0D" w:themeColor="text1" w:themeTint="F2"/>
                <w:spacing w:val="-6"/>
              </w:rPr>
              <w:t xml:space="preserve">, zčásti i vlivem dlouhodobě mírně rostoucích odvodů ČR do rozpočtu EU. Po započtení příjmů v rámci </w:t>
            </w:r>
            <w:r w:rsidRPr="00244FD4">
              <w:rPr>
                <w:iCs/>
                <w:color w:val="0D0D0D" w:themeColor="text1" w:themeTint="F2"/>
                <w:spacing w:val="-6"/>
              </w:rPr>
              <w:t>Národního plánu obnovy se však kladné saldo ČR takřka zdvojnásobilo (89,5 mld. korun) a</w:t>
            </w:r>
            <w:r>
              <w:rPr>
                <w:iCs/>
                <w:color w:val="0D0D0D" w:themeColor="text1" w:themeTint="F2"/>
                <w:spacing w:val="-6"/>
              </w:rPr>
              <w:t> </w:t>
            </w:r>
            <w:r w:rsidRPr="00244FD4">
              <w:rPr>
                <w:iCs/>
                <w:color w:val="0D0D0D" w:themeColor="text1" w:themeTint="F2"/>
                <w:spacing w:val="-6"/>
              </w:rPr>
              <w:t>vůči roku 2022 posílilo o 25,2 mld.</w:t>
            </w:r>
          </w:p>
        </w:tc>
      </w:tr>
      <w:tr w:rsidR="0011055D" w:rsidRPr="007B3A78" w14:paraId="354D0690" w14:textId="77777777" w:rsidTr="00C07C2F">
        <w:trPr>
          <w:trHeight w:val="170"/>
        </w:trPr>
        <w:tc>
          <w:tcPr>
            <w:tcW w:w="1792" w:type="dxa"/>
            <w:shd w:val="clear" w:color="auto" w:fill="auto"/>
            <w:tcMar>
              <w:left w:w="0" w:type="dxa"/>
            </w:tcMar>
          </w:tcPr>
          <w:p w14:paraId="2FAE1302" w14:textId="77777777" w:rsidR="0011055D" w:rsidRDefault="0011055D" w:rsidP="00C07C2F">
            <w:pPr>
              <w:pStyle w:val="Marginlie"/>
            </w:pPr>
            <w:r>
              <w:t xml:space="preserve">Růst celkových výdajů SR loni oproti předešlým letům zásadně zrychlil, ve 2. pololetí 2023 však meziroční tempo zvolňovalo. </w:t>
            </w:r>
          </w:p>
        </w:tc>
        <w:tc>
          <w:tcPr>
            <w:tcW w:w="203" w:type="dxa"/>
            <w:shd w:val="clear" w:color="auto" w:fill="auto"/>
            <w:tcMar>
              <w:left w:w="0" w:type="dxa"/>
            </w:tcMar>
          </w:tcPr>
          <w:p w14:paraId="441C06D2" w14:textId="77777777" w:rsidR="0011055D" w:rsidRDefault="0011055D" w:rsidP="00C07C2F">
            <w:pPr>
              <w:pStyle w:val="Textpoznpodarou"/>
              <w:jc w:val="both"/>
              <w:rPr>
                <w:spacing w:val="-4"/>
              </w:rPr>
            </w:pPr>
          </w:p>
        </w:tc>
        <w:tc>
          <w:tcPr>
            <w:tcW w:w="7674" w:type="dxa"/>
            <w:shd w:val="clear" w:color="auto" w:fill="auto"/>
            <w:tcMar>
              <w:left w:w="0" w:type="dxa"/>
            </w:tcMar>
          </w:tcPr>
          <w:p w14:paraId="023E90FE" w14:textId="6378CF36" w:rsidR="0011055D" w:rsidRPr="00244FD4" w:rsidRDefault="0011055D" w:rsidP="00C07C2F">
            <w:pPr>
              <w:spacing w:after="220"/>
              <w:rPr>
                <w:color w:val="0D0D0D" w:themeColor="text1" w:themeTint="F2"/>
                <w:spacing w:val="-6"/>
              </w:rPr>
            </w:pPr>
            <w:r w:rsidRPr="00244FD4">
              <w:rPr>
                <w:color w:val="0D0D0D" w:themeColor="text1" w:themeTint="F2"/>
                <w:spacing w:val="-6"/>
              </w:rPr>
              <w:t xml:space="preserve">Meziroční růst celkových výdajů SR vystoupal loni na 11,0 % a ve srovnání s lety 2021 a 2022 výrazně akceleroval. Vlivem zvolnění tempa valorizace důchodů i nižší potřeby pomoci podnikům i domácnostem (umožněné příznivým vývojem cen energií na světových trzích) tempo růstu celkových výdajů SR ve 2. pololetí 2023 sláblo a jejich celoroční výše tak byla oproti plánovanému rozpočtu mírně nižší (o 2,2 %, </w:t>
            </w:r>
            <w:r w:rsidR="00E82AB6">
              <w:rPr>
                <w:color w:val="0D0D0D" w:themeColor="text1" w:themeTint="F2"/>
                <w:spacing w:val="-6"/>
              </w:rPr>
              <w:t>resp. 48,5 mld. korun). V siln</w:t>
            </w:r>
            <w:r w:rsidRPr="00244FD4">
              <w:rPr>
                <w:color w:val="0D0D0D" w:themeColor="text1" w:themeTint="F2"/>
                <w:spacing w:val="-6"/>
              </w:rPr>
              <w:t xml:space="preserve">ém loňském růstu výdajů </w:t>
            </w:r>
            <w:r w:rsidRPr="00244FD4">
              <w:rPr>
                <w:spacing w:val="-6"/>
              </w:rPr>
              <w:t>se odrážela jak pomoc státu související s vysokými cenami energií (nedostatečně kompenzovaná mimořádnými příjmy ze zdanění vybraných sektorů ekonomiky), tak dopady pozvolna doznívající vysoké inflace (valorizace důchodů, vyšší objem vyplacených sociálních dávek, rostoucí splátky státního dluhu) či vyšší výdaje v přímém důsledku války na Ukrajině (humanitární pomoc, výdaje na obranu a bezpečnost). Ačkoli k fiskální expanzi přispěly loni tradičně zejména běžné výdaje (+192,4 mld. korun), stejně jako v předchozích letech hrály nezanedbatelnou roli i vyšší investice (+25,4 mld.).</w:t>
            </w:r>
          </w:p>
        </w:tc>
      </w:tr>
      <w:tr w:rsidR="0011055D" w:rsidRPr="007B3A78" w14:paraId="2F1099F1" w14:textId="77777777" w:rsidTr="00C07C2F">
        <w:trPr>
          <w:trHeight w:val="170"/>
        </w:trPr>
        <w:tc>
          <w:tcPr>
            <w:tcW w:w="1792" w:type="dxa"/>
            <w:shd w:val="clear" w:color="auto" w:fill="auto"/>
            <w:tcMar>
              <w:left w:w="0" w:type="dxa"/>
            </w:tcMar>
          </w:tcPr>
          <w:p w14:paraId="6701952F" w14:textId="77777777" w:rsidR="0011055D" w:rsidRDefault="0011055D" w:rsidP="00C07C2F">
            <w:pPr>
              <w:pStyle w:val="Marginlie"/>
            </w:pPr>
            <w:r>
              <w:t xml:space="preserve">Navzdory úpravě valorizace přispěly loni k fiskální expanzi nejvíce výdaje na důchody. Saldo důchodového pojištění se prohloubilo na rekordních 73 mld. korun. </w:t>
            </w:r>
          </w:p>
        </w:tc>
        <w:tc>
          <w:tcPr>
            <w:tcW w:w="203" w:type="dxa"/>
            <w:shd w:val="clear" w:color="auto" w:fill="auto"/>
            <w:tcMar>
              <w:left w:w="0" w:type="dxa"/>
            </w:tcMar>
          </w:tcPr>
          <w:p w14:paraId="42C518DF" w14:textId="77777777" w:rsidR="0011055D" w:rsidRDefault="0011055D" w:rsidP="00C07C2F">
            <w:pPr>
              <w:pStyle w:val="Textpoznpodarou"/>
              <w:jc w:val="both"/>
              <w:rPr>
                <w:spacing w:val="-4"/>
              </w:rPr>
            </w:pPr>
          </w:p>
        </w:tc>
        <w:tc>
          <w:tcPr>
            <w:tcW w:w="7674" w:type="dxa"/>
            <w:shd w:val="clear" w:color="auto" w:fill="auto"/>
            <w:tcMar>
              <w:left w:w="0" w:type="dxa"/>
            </w:tcMar>
          </w:tcPr>
          <w:p w14:paraId="1E57F2F6" w14:textId="77777777" w:rsidR="0011055D" w:rsidRPr="00244FD4" w:rsidRDefault="0011055D" w:rsidP="00C07C2F">
            <w:pPr>
              <w:spacing w:after="220"/>
              <w:rPr>
                <w:color w:val="0D0D0D" w:themeColor="text1" w:themeTint="F2"/>
                <w:spacing w:val="-6"/>
              </w:rPr>
            </w:pPr>
            <w:r w:rsidRPr="00244FD4">
              <w:rPr>
                <w:color w:val="0D0D0D" w:themeColor="text1" w:themeTint="F2"/>
                <w:spacing w:val="-6"/>
              </w:rPr>
              <w:t xml:space="preserve">Do loňského meziročního růstu běžných výdajů zásadně promluvily sociální dávky </w:t>
            </w:r>
            <w:r w:rsidRPr="00244FD4">
              <w:rPr>
                <w:color w:val="0D0D0D" w:themeColor="text1" w:themeTint="F2"/>
                <w:spacing w:val="-6"/>
              </w:rPr>
              <w:br/>
              <w:t xml:space="preserve">(+100 mld. korun). </w:t>
            </w:r>
            <w:r w:rsidRPr="00244FD4">
              <w:rPr>
                <w:spacing w:val="-6"/>
              </w:rPr>
              <w:t>Jejich podíl na veškerých výdajích SR byl nejvyšší za poslední pětiletí (39,4</w:t>
            </w:r>
            <w:r>
              <w:rPr>
                <w:spacing w:val="-6"/>
              </w:rPr>
              <w:t> </w:t>
            </w:r>
            <w:r w:rsidRPr="00244FD4">
              <w:rPr>
                <w:spacing w:val="-6"/>
              </w:rPr>
              <w:t xml:space="preserve">%). Takřka veškerý růst u sociálních dávek pokryly vyšší </w:t>
            </w:r>
            <w:r w:rsidRPr="00244FD4">
              <w:rPr>
                <w:color w:val="0D0D0D" w:themeColor="text1" w:themeTint="F2"/>
                <w:spacing w:val="-6"/>
              </w:rPr>
              <w:t xml:space="preserve">výdaje na důchody, jež </w:t>
            </w:r>
            <w:r w:rsidRPr="00244FD4">
              <w:rPr>
                <w:spacing w:val="-6"/>
              </w:rPr>
              <w:t>dosáhly 685,2 mld. korun (+16,5 %). Jejich čerpání bylo, podobně jako v roce 2022, zásadně ovlivněno jak řádnou lednovou valorizací, tak mimořádným navýšením během roku</w:t>
            </w:r>
            <w:r w:rsidRPr="00244FD4">
              <w:rPr>
                <w:rStyle w:val="Znakapoznpodarou"/>
                <w:spacing w:val="-6"/>
              </w:rPr>
              <w:footnoteReference w:id="118"/>
            </w:r>
            <w:r w:rsidRPr="00244FD4">
              <w:rPr>
                <w:spacing w:val="-6"/>
              </w:rPr>
              <w:t xml:space="preserve">. Vlivem výrazně vyššího zájmu </w:t>
            </w:r>
            <w:r w:rsidRPr="00244FD4">
              <w:rPr>
                <w:color w:val="0D0D0D" w:themeColor="text1" w:themeTint="F2"/>
                <w:spacing w:val="-6"/>
              </w:rPr>
              <w:t>o předčasné penze</w:t>
            </w:r>
            <w:r w:rsidRPr="00244FD4">
              <w:rPr>
                <w:rStyle w:val="Znakapoznpodarou"/>
                <w:color w:val="0D0D0D" w:themeColor="text1" w:themeTint="F2"/>
                <w:spacing w:val="-6"/>
              </w:rPr>
              <w:footnoteReference w:id="119"/>
            </w:r>
            <w:r w:rsidRPr="00244FD4">
              <w:rPr>
                <w:color w:val="0D0D0D" w:themeColor="text1" w:themeTint="F2"/>
                <w:spacing w:val="-6"/>
              </w:rPr>
              <w:t xml:space="preserve"> se zastavil více než tři roky trvající pokles počtu osob, jež jsou příjemci některého z důchodů.</w:t>
            </w:r>
            <w:r w:rsidRPr="00244FD4">
              <w:rPr>
                <w:spacing w:val="-6"/>
              </w:rPr>
              <w:t xml:space="preserve"> Ačkoli stále dobrá kondice tuzemského trhu práce podporovala svižný růst příjmů </w:t>
            </w:r>
            <w:r w:rsidRPr="00244FD4">
              <w:rPr>
                <w:rFonts w:cs="Arial"/>
                <w:color w:val="0D0D0D" w:themeColor="text1" w:themeTint="F2"/>
                <w:spacing w:val="-6"/>
              </w:rPr>
              <w:t xml:space="preserve">důchodového pojištění, jeho meziroční tempo nebylo loni oproti </w:t>
            </w:r>
            <w:r w:rsidRPr="00244FD4">
              <w:rPr>
                <w:rFonts w:cs="Arial"/>
                <w:color w:val="0D0D0D" w:themeColor="text1" w:themeTint="F2"/>
                <w:spacing w:val="-6"/>
              </w:rPr>
              <w:lastRenderedPageBreak/>
              <w:t>výdajům na důchody ani poloviční. Saldo systému důchodového pojištění</w:t>
            </w:r>
            <w:r w:rsidRPr="00244FD4">
              <w:rPr>
                <w:rStyle w:val="Znakapoznpodarou"/>
                <w:color w:val="0D0D0D" w:themeColor="text1" w:themeTint="F2"/>
                <w:spacing w:val="-6"/>
              </w:rPr>
              <w:footnoteReference w:id="120"/>
            </w:r>
            <w:r w:rsidRPr="00244FD4">
              <w:rPr>
                <w:rFonts w:cs="Arial"/>
                <w:color w:val="0D0D0D" w:themeColor="text1" w:themeTint="F2"/>
                <w:spacing w:val="-6"/>
              </w:rPr>
              <w:t xml:space="preserve"> se proto loni propadlo do rekordního deficitu (72,8 mld. korun), meziročně více než trojnásobného.</w:t>
            </w:r>
          </w:p>
        </w:tc>
      </w:tr>
      <w:tr w:rsidR="0011055D" w:rsidRPr="007B3A78" w14:paraId="17FF59B8" w14:textId="77777777" w:rsidTr="00C07C2F">
        <w:trPr>
          <w:trHeight w:val="170"/>
        </w:trPr>
        <w:tc>
          <w:tcPr>
            <w:tcW w:w="1792" w:type="dxa"/>
            <w:shd w:val="clear" w:color="auto" w:fill="auto"/>
            <w:tcMar>
              <w:left w:w="0" w:type="dxa"/>
            </w:tcMar>
          </w:tcPr>
          <w:p w14:paraId="2AEE6C79" w14:textId="77777777" w:rsidR="0011055D" w:rsidRDefault="0011055D" w:rsidP="00C07C2F">
            <w:pPr>
              <w:pStyle w:val="Marginlie"/>
            </w:pPr>
            <w:r>
              <w:lastRenderedPageBreak/>
              <w:t>Růst výdajů na nedůchodové sociální dávky zpomalil. Klesly výdaje na přídavky na děti, humanitární dávky uprchlíkům, rodičovské příspěvky i dávky nemocenské.</w:t>
            </w:r>
          </w:p>
          <w:p w14:paraId="17C42118" w14:textId="77777777" w:rsidR="0011055D" w:rsidRDefault="0011055D" w:rsidP="00C07C2F">
            <w:pPr>
              <w:pStyle w:val="Marginlie"/>
            </w:pPr>
          </w:p>
          <w:p w14:paraId="5A3665F7" w14:textId="77777777" w:rsidR="0011055D" w:rsidRDefault="0011055D" w:rsidP="00C07C2F">
            <w:pPr>
              <w:pStyle w:val="Marginlie"/>
            </w:pPr>
          </w:p>
          <w:p w14:paraId="73F2A32C" w14:textId="77777777" w:rsidR="0011055D" w:rsidRDefault="0011055D" w:rsidP="00C07C2F">
            <w:pPr>
              <w:pStyle w:val="Marginlie"/>
            </w:pPr>
          </w:p>
          <w:p w14:paraId="3E6AC526" w14:textId="77777777" w:rsidR="0011055D" w:rsidRDefault="0011055D" w:rsidP="00C07C2F">
            <w:pPr>
              <w:pStyle w:val="Marginlie"/>
            </w:pPr>
          </w:p>
          <w:p w14:paraId="211A0784" w14:textId="77777777" w:rsidR="0011055D" w:rsidRDefault="0011055D" w:rsidP="00C07C2F">
            <w:pPr>
              <w:pStyle w:val="Marginlie"/>
            </w:pPr>
            <w:r>
              <w:t>Čerpání příspěvků na bydlení se razantně zvýšilo.</w:t>
            </w:r>
          </w:p>
        </w:tc>
        <w:tc>
          <w:tcPr>
            <w:tcW w:w="203" w:type="dxa"/>
            <w:shd w:val="clear" w:color="auto" w:fill="auto"/>
            <w:tcMar>
              <w:left w:w="0" w:type="dxa"/>
            </w:tcMar>
          </w:tcPr>
          <w:p w14:paraId="7E9F1C14" w14:textId="77777777" w:rsidR="0011055D" w:rsidRDefault="0011055D" w:rsidP="00C07C2F">
            <w:pPr>
              <w:pStyle w:val="Textpoznpodarou"/>
              <w:jc w:val="both"/>
              <w:rPr>
                <w:spacing w:val="-4"/>
              </w:rPr>
            </w:pPr>
          </w:p>
        </w:tc>
        <w:tc>
          <w:tcPr>
            <w:tcW w:w="7674" w:type="dxa"/>
            <w:shd w:val="clear" w:color="auto" w:fill="auto"/>
            <w:tcMar>
              <w:left w:w="0" w:type="dxa"/>
            </w:tcMar>
          </w:tcPr>
          <w:p w14:paraId="39053642" w14:textId="77777777" w:rsidR="0011055D" w:rsidRPr="00244FD4" w:rsidRDefault="0011055D" w:rsidP="00C07C2F">
            <w:pPr>
              <w:spacing w:after="220"/>
              <w:rPr>
                <w:color w:val="0D0D0D" w:themeColor="text1" w:themeTint="F2"/>
                <w:spacing w:val="-6"/>
              </w:rPr>
            </w:pPr>
            <w:r w:rsidRPr="00244FD4">
              <w:rPr>
                <w:color w:val="0D0D0D" w:themeColor="text1" w:themeTint="F2"/>
                <w:spacing w:val="-6"/>
              </w:rPr>
              <w:t>Růst výdajů na ostatní sociální dávky, na rozdíl od těch důchodových, po vysokém tempu v roce 2022 (+11,2 %) loni razantně zvolnil (+1,7 %, na 182,9 mld. korun), dokonce až nad rámec rozpočtového očekávání. Na zvolnění tempa se významně podílel meziroční pokles přídavků na děti (−4,8 mld. korun, resp. −45 %) z důvodu vyplacení jednorázové dávky většině domácností s dětmi během léta 2022 (5 tis. na dítě). Zejména vlivem většího zacílení</w:t>
            </w:r>
            <w:r w:rsidRPr="00244FD4">
              <w:rPr>
                <w:rStyle w:val="Znakapoznpodarou"/>
                <w:color w:val="0D0D0D" w:themeColor="text1" w:themeTint="F2"/>
                <w:spacing w:val="-6"/>
              </w:rPr>
              <w:footnoteReference w:id="121"/>
            </w:r>
            <w:r w:rsidRPr="00244FD4">
              <w:rPr>
                <w:color w:val="0D0D0D" w:themeColor="text1" w:themeTint="F2"/>
                <w:spacing w:val="-6"/>
              </w:rPr>
              <w:t xml:space="preserve"> se snížil objem humanitárních dávek </w:t>
            </w:r>
            <w:r w:rsidRPr="00244FD4">
              <w:rPr>
                <w:spacing w:val="-6"/>
              </w:rPr>
              <w:t xml:space="preserve">pro </w:t>
            </w:r>
            <w:r w:rsidRPr="00244FD4">
              <w:rPr>
                <w:rFonts w:cs="Arial"/>
                <w:color w:val="0D0D0D" w:themeColor="text1" w:themeTint="F2"/>
                <w:spacing w:val="-6"/>
              </w:rPr>
              <w:t>uprchlíky z Ukrajiny (−20 %, −1,7 mld. korun). Třetí rok v řadě došlo k nižšímu čerpání váhově významných rodičovských příspěvků (loni −5,7 %, −1,9</w:t>
            </w:r>
            <w:r>
              <w:rPr>
                <w:rFonts w:cs="Arial"/>
                <w:color w:val="0D0D0D" w:themeColor="text1" w:themeTint="F2"/>
                <w:spacing w:val="-6"/>
              </w:rPr>
              <w:t> </w:t>
            </w:r>
            <w:r w:rsidRPr="00244FD4">
              <w:rPr>
                <w:rFonts w:cs="Arial"/>
                <w:color w:val="0D0D0D" w:themeColor="text1" w:themeTint="F2"/>
                <w:spacing w:val="-6"/>
              </w:rPr>
              <w:t>mld. korun). Podobně dlouze trvá i pokles výdajů na dávky nemocenského pojištění (−4,6</w:t>
            </w:r>
            <w:r>
              <w:rPr>
                <w:rFonts w:cs="Arial"/>
                <w:color w:val="0D0D0D" w:themeColor="text1" w:themeTint="F2"/>
                <w:spacing w:val="-6"/>
              </w:rPr>
              <w:t> </w:t>
            </w:r>
            <w:r w:rsidRPr="00244FD4">
              <w:rPr>
                <w:rFonts w:cs="Arial"/>
                <w:color w:val="0D0D0D" w:themeColor="text1" w:themeTint="F2"/>
                <w:spacing w:val="-6"/>
              </w:rPr>
              <w:t>%), i tak se jejich loňská výše (45,9 mld. korun</w:t>
            </w:r>
            <w:r w:rsidRPr="00244FD4">
              <w:rPr>
                <w:rStyle w:val="Znakapoznpodarou"/>
                <w:color w:val="0D0D0D" w:themeColor="text1" w:themeTint="F2"/>
                <w:spacing w:val="-6"/>
              </w:rPr>
              <w:footnoteReference w:id="122"/>
            </w:r>
            <w:r w:rsidRPr="00244FD4">
              <w:rPr>
                <w:rFonts w:cs="Arial"/>
                <w:color w:val="0D0D0D" w:themeColor="text1" w:themeTint="F2"/>
                <w:spacing w:val="-6"/>
              </w:rPr>
              <w:t xml:space="preserve">) nacházela zřetelně nad úrovní roku 2019 (+17 %). Ve směru růstu nedůchodových dávek působily loni nejvíce příspěvky na bydlení, jejichž objem se meziročně více než zdvojnásobil (na 17,9 mld. korun). Projevil se zde dopad </w:t>
            </w:r>
            <w:r w:rsidRPr="00244FD4">
              <w:rPr>
                <w:color w:val="0D0D0D" w:themeColor="text1" w:themeTint="F2"/>
                <w:spacing w:val="-6"/>
              </w:rPr>
              <w:t xml:space="preserve">vysokých cen energií a </w:t>
            </w:r>
            <w:r w:rsidRPr="00244FD4">
              <w:rPr>
                <w:spacing w:val="-6"/>
              </w:rPr>
              <w:t>zvýšení nákladů uznatelných pro výplatu, ale i růstu povědomí o</w:t>
            </w:r>
            <w:r w:rsidRPr="00244FD4">
              <w:rPr>
                <w:color w:val="0D0D0D" w:themeColor="text1" w:themeTint="F2"/>
                <w:spacing w:val="-6"/>
              </w:rPr>
              <w:t> </w:t>
            </w:r>
            <w:r w:rsidRPr="00244FD4">
              <w:rPr>
                <w:spacing w:val="-6"/>
              </w:rPr>
              <w:t>možnosti čerpání této pomoci v populaci, či zjednodušení procedury podání žádosti o</w:t>
            </w:r>
            <w:r w:rsidRPr="00244FD4">
              <w:rPr>
                <w:color w:val="0D0D0D" w:themeColor="text1" w:themeTint="F2"/>
                <w:spacing w:val="-6"/>
              </w:rPr>
              <w:t> </w:t>
            </w:r>
            <w:r w:rsidRPr="00244FD4">
              <w:rPr>
                <w:spacing w:val="-6"/>
              </w:rPr>
              <w:t xml:space="preserve">dávku. Řádově menší vliv na celkový růst dávek měl vyšší </w:t>
            </w:r>
            <w:r w:rsidRPr="00244FD4">
              <w:rPr>
                <w:color w:val="0D0D0D" w:themeColor="text1" w:themeTint="F2"/>
                <w:spacing w:val="-6"/>
              </w:rPr>
              <w:t xml:space="preserve">objem dávek </w:t>
            </w:r>
            <w:r w:rsidRPr="00244FD4">
              <w:rPr>
                <w:rFonts w:cs="Arial"/>
                <w:color w:val="0D0D0D" w:themeColor="text1" w:themeTint="F2"/>
                <w:spacing w:val="-6"/>
              </w:rPr>
              <w:t>pro zdravotně postižené (+40,9 %)</w:t>
            </w:r>
            <w:r w:rsidRPr="00244FD4">
              <w:rPr>
                <w:rStyle w:val="Znakapoznpodarou"/>
                <w:color w:val="0D0D0D" w:themeColor="text1" w:themeTint="F2"/>
                <w:spacing w:val="-6"/>
              </w:rPr>
              <w:footnoteReference w:id="123"/>
            </w:r>
            <w:r w:rsidRPr="00244FD4">
              <w:rPr>
                <w:rFonts w:cs="Arial"/>
                <w:color w:val="0D0D0D" w:themeColor="text1" w:themeTint="F2"/>
                <w:spacing w:val="-6"/>
              </w:rPr>
              <w:t>, příspěvků na péči pro dlouhodobě nemocné</w:t>
            </w:r>
            <w:r w:rsidRPr="00244FD4">
              <w:rPr>
                <w:spacing w:val="-6"/>
              </w:rPr>
              <w:t xml:space="preserve"> (+2,2 %) či r</w:t>
            </w:r>
            <w:r w:rsidRPr="00244FD4">
              <w:rPr>
                <w:rFonts w:cs="Arial"/>
                <w:color w:val="0D0D0D" w:themeColor="text1" w:themeTint="F2"/>
                <w:spacing w:val="-6"/>
              </w:rPr>
              <w:t>ůst výdajů na podporu v nezaměstnanosti (+6,2 %)</w:t>
            </w:r>
            <w:r w:rsidRPr="00244FD4">
              <w:rPr>
                <w:rStyle w:val="Znakapoznpodarou"/>
                <w:color w:val="0D0D0D" w:themeColor="text1" w:themeTint="F2"/>
                <w:spacing w:val="-6"/>
              </w:rPr>
              <w:footnoteReference w:id="124"/>
            </w:r>
            <w:r w:rsidRPr="00244FD4">
              <w:rPr>
                <w:rFonts w:cs="Arial"/>
                <w:color w:val="0D0D0D" w:themeColor="text1" w:themeTint="F2"/>
                <w:spacing w:val="-6"/>
              </w:rPr>
              <w:t xml:space="preserve">, jenž se loni po dvou předešlých letech obnovil. Ochlazení trhu práce se odrazilo v mírném růstu počtu dlouhodobě nezaměstnaných, což podpořilo i vyšší čerpání příspěvků na živobytí (+16 %, +0,6 mld. korun).   </w:t>
            </w:r>
          </w:p>
        </w:tc>
      </w:tr>
      <w:tr w:rsidR="0011055D" w:rsidRPr="007B3A78" w14:paraId="2A102030" w14:textId="77777777" w:rsidTr="00C07C2F">
        <w:trPr>
          <w:trHeight w:val="170"/>
        </w:trPr>
        <w:tc>
          <w:tcPr>
            <w:tcW w:w="1792" w:type="dxa"/>
            <w:shd w:val="clear" w:color="auto" w:fill="auto"/>
            <w:tcMar>
              <w:left w:w="0" w:type="dxa"/>
            </w:tcMar>
          </w:tcPr>
          <w:p w14:paraId="3A21B638" w14:textId="77777777" w:rsidR="0011055D" w:rsidRDefault="0011055D" w:rsidP="00C07C2F">
            <w:pPr>
              <w:pStyle w:val="Marginlie"/>
            </w:pPr>
            <w:r>
              <w:t xml:space="preserve">Prudký růst neinvestičních dotací podnikatelům úzce souvisel se </w:t>
            </w:r>
            <w:proofErr w:type="spellStart"/>
            <w:r>
              <w:t>zastropováním</w:t>
            </w:r>
            <w:proofErr w:type="spellEnd"/>
            <w:r>
              <w:t xml:space="preserve"> cen energií pro zákazníky.</w:t>
            </w:r>
          </w:p>
          <w:p w14:paraId="3A585C09" w14:textId="77777777" w:rsidR="0011055D" w:rsidRDefault="0011055D" w:rsidP="00C07C2F">
            <w:pPr>
              <w:pStyle w:val="Marginlie"/>
            </w:pPr>
          </w:p>
        </w:tc>
        <w:tc>
          <w:tcPr>
            <w:tcW w:w="203" w:type="dxa"/>
            <w:shd w:val="clear" w:color="auto" w:fill="auto"/>
            <w:tcMar>
              <w:left w:w="0" w:type="dxa"/>
            </w:tcMar>
          </w:tcPr>
          <w:p w14:paraId="6ACF8901" w14:textId="77777777" w:rsidR="0011055D" w:rsidRDefault="0011055D" w:rsidP="00C07C2F">
            <w:pPr>
              <w:pStyle w:val="Textpoznpodarou"/>
              <w:jc w:val="both"/>
              <w:rPr>
                <w:spacing w:val="-4"/>
              </w:rPr>
            </w:pPr>
          </w:p>
        </w:tc>
        <w:tc>
          <w:tcPr>
            <w:tcW w:w="7674" w:type="dxa"/>
            <w:shd w:val="clear" w:color="auto" w:fill="auto"/>
            <w:tcMar>
              <w:left w:w="0" w:type="dxa"/>
            </w:tcMar>
          </w:tcPr>
          <w:p w14:paraId="36C7CCFF" w14:textId="77777777" w:rsidR="0011055D" w:rsidRPr="00244FD4" w:rsidRDefault="0011055D" w:rsidP="00C07C2F">
            <w:pPr>
              <w:spacing w:after="200"/>
              <w:rPr>
                <w:color w:val="0D0D0D" w:themeColor="text1" w:themeTint="F2"/>
                <w:spacing w:val="-6"/>
              </w:rPr>
            </w:pPr>
            <w:r w:rsidRPr="00244FD4">
              <w:rPr>
                <w:color w:val="0D0D0D" w:themeColor="text1" w:themeTint="F2"/>
                <w:spacing w:val="-6"/>
              </w:rPr>
              <w:t>Neinvestiční dotace podnikatelům představovaly loni dle očekávání nejrychleji rostoucí běžný výdaj SR, když se meziročně zvýšily o 54,6 % a dosáhly 137,8 mld. korun</w:t>
            </w:r>
            <w:r w:rsidRPr="00244FD4">
              <w:rPr>
                <w:rStyle w:val="Znakapoznpodarou"/>
                <w:color w:val="0D0D0D" w:themeColor="text1" w:themeTint="F2"/>
                <w:spacing w:val="-6"/>
              </w:rPr>
              <w:footnoteReference w:id="125"/>
            </w:r>
            <w:r w:rsidRPr="00244FD4">
              <w:rPr>
                <w:color w:val="0D0D0D" w:themeColor="text1" w:themeTint="F2"/>
                <w:spacing w:val="-6"/>
              </w:rPr>
              <w:t xml:space="preserve">. Zahrnují totiž mimořádné výdaje na pomoc s vysokými cenami energií – hlavně kompenzace za dodávky elektřiny a plynu zákazníkům a ztráty kvůli </w:t>
            </w:r>
            <w:proofErr w:type="spellStart"/>
            <w:r w:rsidRPr="00244FD4">
              <w:rPr>
                <w:color w:val="0D0D0D" w:themeColor="text1" w:themeTint="F2"/>
                <w:spacing w:val="-6"/>
              </w:rPr>
              <w:t>zastropování</w:t>
            </w:r>
            <w:proofErr w:type="spellEnd"/>
            <w:r w:rsidRPr="00244FD4">
              <w:rPr>
                <w:color w:val="0D0D0D" w:themeColor="text1" w:themeTint="F2"/>
                <w:spacing w:val="-6"/>
              </w:rPr>
              <w:t xml:space="preserve"> jejich cen (52,8 mld., korun), dále dotace provozovatelům přenosové soustavy (18,7 mld.) či pomoc firmám v energeticky náročných odvětvích (4,6 mld.). Více než 40 % těchto výdajů bylo loni uvolněno již v 1. čtvrtletí. Meziroční růst transferů podnikatelů byl tlumen poklesem zálohových dotací na obnovitelné zdroje energie (obsahující i dopady dočasného odpuštění poplatků), k menší úspoře došlo </w:t>
            </w:r>
            <w:r>
              <w:rPr>
                <w:color w:val="0D0D0D" w:themeColor="text1" w:themeTint="F2"/>
                <w:spacing w:val="-6"/>
              </w:rPr>
              <w:t>také</w:t>
            </w:r>
            <w:r w:rsidRPr="00244FD4">
              <w:rPr>
                <w:color w:val="0D0D0D" w:themeColor="text1" w:themeTint="F2"/>
                <w:spacing w:val="-6"/>
              </w:rPr>
              <w:t xml:space="preserve"> u</w:t>
            </w:r>
            <w:r>
              <w:rPr>
                <w:color w:val="0D0D0D" w:themeColor="text1" w:themeTint="F2"/>
                <w:spacing w:val="-6"/>
              </w:rPr>
              <w:t> </w:t>
            </w:r>
            <w:r w:rsidRPr="00244FD4">
              <w:rPr>
                <w:color w:val="0D0D0D" w:themeColor="text1" w:themeTint="F2"/>
                <w:spacing w:val="-6"/>
              </w:rPr>
              <w:t>výdajů na řešení dopadů souvisejících s pandemií.</w:t>
            </w:r>
          </w:p>
        </w:tc>
      </w:tr>
      <w:tr w:rsidR="0011055D" w:rsidRPr="007B3A78" w14:paraId="548A4B03" w14:textId="77777777" w:rsidTr="00C07C2F">
        <w:trPr>
          <w:trHeight w:val="170"/>
        </w:trPr>
        <w:tc>
          <w:tcPr>
            <w:tcW w:w="1792" w:type="dxa"/>
            <w:shd w:val="clear" w:color="auto" w:fill="auto"/>
            <w:tcMar>
              <w:left w:w="0" w:type="dxa"/>
            </w:tcMar>
          </w:tcPr>
          <w:p w14:paraId="47AFAB34" w14:textId="77777777" w:rsidR="0011055D" w:rsidRDefault="0011055D" w:rsidP="00C07C2F">
            <w:pPr>
              <w:pStyle w:val="Marginlie"/>
            </w:pPr>
            <w:r>
              <w:t xml:space="preserve">Rostly výdaje na platy zaměstnanců v regionálním školství. </w:t>
            </w:r>
          </w:p>
          <w:p w14:paraId="3947B498" w14:textId="77777777" w:rsidR="0011055D" w:rsidRDefault="0011055D" w:rsidP="00C07C2F">
            <w:pPr>
              <w:pStyle w:val="Marginlie"/>
            </w:pPr>
          </w:p>
          <w:p w14:paraId="0EE808BC" w14:textId="77777777" w:rsidR="0011055D" w:rsidRDefault="0011055D" w:rsidP="00C07C2F">
            <w:pPr>
              <w:pStyle w:val="Marginlie"/>
            </w:pPr>
          </w:p>
          <w:p w14:paraId="76A3BBC8" w14:textId="77777777" w:rsidR="0011055D" w:rsidRDefault="0011055D" w:rsidP="00C07C2F">
            <w:pPr>
              <w:pStyle w:val="Marginlie"/>
            </w:pPr>
          </w:p>
          <w:p w14:paraId="0267DD4C" w14:textId="77777777" w:rsidR="0011055D" w:rsidRDefault="0011055D" w:rsidP="00C07C2F">
            <w:pPr>
              <w:pStyle w:val="Marginlie"/>
            </w:pPr>
          </w:p>
          <w:p w14:paraId="65A166FA" w14:textId="77777777" w:rsidR="0011055D" w:rsidRDefault="0011055D" w:rsidP="00C07C2F">
            <w:pPr>
              <w:pStyle w:val="Marginlie"/>
            </w:pPr>
            <w:r>
              <w:t xml:space="preserve">Výdaje na obsluhu státního dluhu akcelerovaly na rekordní tempo. </w:t>
            </w:r>
          </w:p>
          <w:p w14:paraId="7BF871C4" w14:textId="77777777" w:rsidR="0011055D" w:rsidRDefault="0011055D" w:rsidP="00C07C2F">
            <w:pPr>
              <w:pStyle w:val="Marginlie"/>
            </w:pPr>
          </w:p>
          <w:p w14:paraId="05316118" w14:textId="77777777" w:rsidR="0011055D" w:rsidRDefault="0011055D" w:rsidP="00C07C2F">
            <w:pPr>
              <w:pStyle w:val="Marginlie"/>
            </w:pPr>
          </w:p>
        </w:tc>
        <w:tc>
          <w:tcPr>
            <w:tcW w:w="203" w:type="dxa"/>
            <w:shd w:val="clear" w:color="auto" w:fill="auto"/>
            <w:tcMar>
              <w:left w:w="0" w:type="dxa"/>
            </w:tcMar>
          </w:tcPr>
          <w:p w14:paraId="526696FB" w14:textId="77777777" w:rsidR="0011055D" w:rsidRDefault="0011055D" w:rsidP="00C07C2F">
            <w:pPr>
              <w:pStyle w:val="Textpoznpodarou"/>
              <w:jc w:val="both"/>
              <w:rPr>
                <w:spacing w:val="-4"/>
              </w:rPr>
            </w:pPr>
          </w:p>
        </w:tc>
        <w:tc>
          <w:tcPr>
            <w:tcW w:w="7674" w:type="dxa"/>
            <w:shd w:val="clear" w:color="auto" w:fill="auto"/>
            <w:tcMar>
              <w:left w:w="0" w:type="dxa"/>
            </w:tcMar>
          </w:tcPr>
          <w:p w14:paraId="44BAFD0A" w14:textId="77777777" w:rsidR="0011055D" w:rsidRPr="00244FD4" w:rsidRDefault="0011055D" w:rsidP="00C07C2F">
            <w:pPr>
              <w:spacing w:after="200"/>
              <w:rPr>
                <w:color w:val="0D0D0D" w:themeColor="text1" w:themeTint="F2"/>
                <w:spacing w:val="-6"/>
              </w:rPr>
            </w:pPr>
            <w:r w:rsidRPr="00244FD4">
              <w:rPr>
                <w:color w:val="0D0D0D" w:themeColor="text1" w:themeTint="F2"/>
                <w:spacing w:val="-6"/>
              </w:rPr>
              <w:t>Váhově významné neinvestiční transfery územním rozpočtům se meziročně zvýšily o 9,6 % (na 266,2 mld. korun). Více než polovina loňského přírůstku souvisela s navýšením platů pracovníků základních a středních škol</w:t>
            </w:r>
            <w:r w:rsidRPr="00244FD4">
              <w:rPr>
                <w:rStyle w:val="Znakapoznpodarou"/>
                <w:color w:val="0D0D0D" w:themeColor="text1" w:themeTint="F2"/>
                <w:spacing w:val="-6"/>
              </w:rPr>
              <w:footnoteReference w:id="126"/>
            </w:r>
            <w:r w:rsidRPr="00244FD4">
              <w:rPr>
                <w:color w:val="0D0D0D" w:themeColor="text1" w:themeTint="F2"/>
                <w:spacing w:val="-6"/>
              </w:rPr>
              <w:t>. Projevilo se i posílení výdajů na sociální služby, kompenzačního příspěvku na ubytování uprchlíků z Ukrajiny či na spolufinancování programů v oblasti vzdělávání, podpořených z rozpočtu EU. Z dalších oblastí SR výrazně zatížily také očekávané výdaje na obsluhu státního dluhu, jejichž meziroční růst loni zásadně zrychlil na rekordních 37,4 % (+18,6 mld. korun)</w:t>
            </w:r>
            <w:r w:rsidRPr="00244FD4">
              <w:rPr>
                <w:rStyle w:val="Znakapoznpodarou"/>
                <w:spacing w:val="-6"/>
              </w:rPr>
              <w:footnoteReference w:id="127"/>
            </w:r>
            <w:r w:rsidRPr="00244FD4">
              <w:rPr>
                <w:color w:val="0D0D0D" w:themeColor="text1" w:themeTint="F2"/>
                <w:spacing w:val="-6"/>
              </w:rPr>
              <w:t>. Na platy v organizačních složkách státu směřovalo loni o 7,4 %</w:t>
            </w:r>
            <w:r w:rsidRPr="00244FD4">
              <w:rPr>
                <w:rStyle w:val="Znakapoznpodarou"/>
                <w:color w:val="0D0D0D" w:themeColor="text1" w:themeTint="F2"/>
                <w:spacing w:val="-6"/>
              </w:rPr>
              <w:footnoteReference w:id="128"/>
            </w:r>
            <w:r w:rsidRPr="00244FD4">
              <w:rPr>
                <w:color w:val="0D0D0D" w:themeColor="text1" w:themeTint="F2"/>
                <w:spacing w:val="-6"/>
              </w:rPr>
              <w:t xml:space="preserve"> více (+11,4 mld. korun). To souviselo s navýšením platových tarifů příslušníků bezpečnostních sborů a vojáků (od ledna 2023) a zaměstnanců ve státní službě (od září 2022). Po zmrazení během pandemie se loni zvýšily rovněž výdaje na platy ústavních činitelů. Poslední kapitolu podílející se významněji na růstu běžných výdajů představovaly  platby </w:t>
            </w:r>
            <w:r w:rsidRPr="00244FD4">
              <w:rPr>
                <w:color w:val="0D0D0D" w:themeColor="text1" w:themeTint="F2"/>
                <w:spacing w:val="-6"/>
              </w:rPr>
              <w:lastRenderedPageBreak/>
              <w:t>veřejného zdravotního pojištění za tzv. státní pojištěnce, jež vzrostly o 7,2 % (+9,3 mld. korun) primárně vlivem zvýšení vyměřovacího základu pro platbu.</w:t>
            </w:r>
          </w:p>
        </w:tc>
      </w:tr>
      <w:tr w:rsidR="0011055D" w:rsidRPr="007B3A78" w14:paraId="1D332A8D" w14:textId="77777777" w:rsidTr="00C07C2F">
        <w:trPr>
          <w:trHeight w:val="170"/>
        </w:trPr>
        <w:tc>
          <w:tcPr>
            <w:tcW w:w="1792" w:type="dxa"/>
            <w:shd w:val="clear" w:color="auto" w:fill="auto"/>
            <w:tcMar>
              <w:left w:w="0" w:type="dxa"/>
            </w:tcMar>
          </w:tcPr>
          <w:p w14:paraId="586C9EE2" w14:textId="77777777" w:rsidR="0011055D" w:rsidRDefault="0011055D" w:rsidP="00C07C2F">
            <w:pPr>
              <w:pStyle w:val="Marginlie"/>
            </w:pPr>
            <w:r>
              <w:lastRenderedPageBreak/>
              <w:t>Výše běžných dotací do zemědělství či neinvestičních nákupů se snížila.</w:t>
            </w:r>
          </w:p>
        </w:tc>
        <w:tc>
          <w:tcPr>
            <w:tcW w:w="203" w:type="dxa"/>
            <w:shd w:val="clear" w:color="auto" w:fill="auto"/>
            <w:tcMar>
              <w:left w:w="0" w:type="dxa"/>
            </w:tcMar>
          </w:tcPr>
          <w:p w14:paraId="5A183A69" w14:textId="77777777" w:rsidR="0011055D" w:rsidRDefault="0011055D" w:rsidP="00C07C2F">
            <w:pPr>
              <w:pStyle w:val="Textpoznpodarou"/>
              <w:jc w:val="both"/>
              <w:rPr>
                <w:spacing w:val="-4"/>
              </w:rPr>
            </w:pPr>
          </w:p>
        </w:tc>
        <w:tc>
          <w:tcPr>
            <w:tcW w:w="7674" w:type="dxa"/>
            <w:shd w:val="clear" w:color="auto" w:fill="auto"/>
            <w:tcMar>
              <w:left w:w="0" w:type="dxa"/>
            </w:tcMar>
          </w:tcPr>
          <w:p w14:paraId="6E85C714" w14:textId="77777777" w:rsidR="0011055D" w:rsidRPr="00244FD4" w:rsidRDefault="0011055D" w:rsidP="00C07C2F">
            <w:pPr>
              <w:spacing w:after="200"/>
              <w:rPr>
                <w:color w:val="0D0D0D" w:themeColor="text1" w:themeTint="F2"/>
                <w:spacing w:val="-6"/>
              </w:rPr>
            </w:pPr>
            <w:r w:rsidRPr="00244FD4">
              <w:rPr>
                <w:color w:val="0D0D0D" w:themeColor="text1" w:themeTint="F2"/>
                <w:spacing w:val="-6"/>
              </w:rPr>
              <w:t>Růst běžných výdajů SR tlumily hlavně nižší dotace Státnímu zemědělskému intervenčnímu fondu, jež meziročně propadly téměř o 30 % (−12,9 mld. korun). K úspoře došlo rovněž u neinvestičních nákupů, na něž směřovalo o desetinu méně (−9,6 mld. korun) než v roce 2022. Stály za tím především nižší cena zemního plynu pořízeného do státních hmotných rezerv, pokles nákupů vakcín i nižší náhrady České poště. Nárůst výdajů naopak loni nastal u</w:t>
            </w:r>
            <w:r>
              <w:rPr>
                <w:color w:val="0D0D0D" w:themeColor="text1" w:themeTint="F2"/>
                <w:spacing w:val="-6"/>
              </w:rPr>
              <w:t> </w:t>
            </w:r>
            <w:r w:rsidRPr="00244FD4">
              <w:rPr>
                <w:color w:val="0D0D0D" w:themeColor="text1" w:themeTint="F2"/>
                <w:spacing w:val="-6"/>
              </w:rPr>
              <w:t xml:space="preserve">nákupů souvisejících s oblastí obrany a vnitřní bezpečnosti. </w:t>
            </w:r>
          </w:p>
        </w:tc>
      </w:tr>
      <w:tr w:rsidR="0011055D" w:rsidRPr="00F704D2" w14:paraId="60D04FAD" w14:textId="77777777" w:rsidTr="00C07C2F">
        <w:trPr>
          <w:trHeight w:val="170"/>
        </w:trPr>
        <w:tc>
          <w:tcPr>
            <w:tcW w:w="1792" w:type="dxa"/>
            <w:vMerge w:val="restart"/>
            <w:shd w:val="clear" w:color="auto" w:fill="auto"/>
            <w:tcMar>
              <w:left w:w="0" w:type="dxa"/>
            </w:tcMar>
          </w:tcPr>
          <w:p w14:paraId="4EF4266F" w14:textId="77777777" w:rsidR="0011055D" w:rsidRDefault="0011055D" w:rsidP="00C07C2F">
            <w:pPr>
              <w:pStyle w:val="Marginlie"/>
            </w:pPr>
          </w:p>
        </w:tc>
        <w:tc>
          <w:tcPr>
            <w:tcW w:w="203" w:type="dxa"/>
            <w:vMerge w:val="restart"/>
            <w:shd w:val="clear" w:color="auto" w:fill="auto"/>
            <w:tcMar>
              <w:left w:w="0" w:type="dxa"/>
            </w:tcMar>
          </w:tcPr>
          <w:p w14:paraId="0773478B" w14:textId="77777777" w:rsidR="0011055D" w:rsidRDefault="0011055D" w:rsidP="00C07C2F">
            <w:pPr>
              <w:pStyle w:val="Textpoznpodarou"/>
              <w:jc w:val="both"/>
              <w:rPr>
                <w:spacing w:val="-4"/>
              </w:rPr>
            </w:pPr>
          </w:p>
        </w:tc>
        <w:tc>
          <w:tcPr>
            <w:tcW w:w="7674" w:type="dxa"/>
            <w:shd w:val="clear" w:color="auto" w:fill="auto"/>
            <w:tcMar>
              <w:left w:w="0" w:type="dxa"/>
            </w:tcMar>
          </w:tcPr>
          <w:p w14:paraId="6C8C6374" w14:textId="77777777" w:rsidR="0011055D" w:rsidRPr="00331F78" w:rsidRDefault="0011055D" w:rsidP="00C07C2F">
            <w:pPr>
              <w:spacing w:after="20" w:line="240" w:lineRule="auto"/>
              <w:jc w:val="left"/>
              <w:rPr>
                <w:rFonts w:cs="Arial"/>
                <w:b/>
                <w:bCs/>
              </w:rPr>
            </w:pPr>
            <w:r w:rsidRPr="00E63A41">
              <w:rPr>
                <w:b/>
              </w:rPr>
              <w:t xml:space="preserve">Graf č. 19 </w:t>
            </w:r>
            <w:r w:rsidRPr="00E63A41">
              <w:rPr>
                <w:rFonts w:cs="Arial"/>
                <w:b/>
                <w:bCs/>
              </w:rPr>
              <w:t xml:space="preserve">Vybrané výdaje státního rozpočtu </w:t>
            </w:r>
          </w:p>
        </w:tc>
      </w:tr>
      <w:tr w:rsidR="0011055D" w14:paraId="44EBC16C" w14:textId="77777777" w:rsidTr="00C07C2F">
        <w:tblPrEx>
          <w:tblCellMar>
            <w:left w:w="70" w:type="dxa"/>
            <w:right w:w="70" w:type="dxa"/>
          </w:tblCellMar>
        </w:tblPrEx>
        <w:trPr>
          <w:trHeight w:val="170"/>
        </w:trPr>
        <w:tc>
          <w:tcPr>
            <w:tcW w:w="1792" w:type="dxa"/>
            <w:vMerge/>
            <w:shd w:val="clear" w:color="auto" w:fill="auto"/>
          </w:tcPr>
          <w:p w14:paraId="328D877A" w14:textId="77777777" w:rsidR="0011055D" w:rsidRDefault="0011055D" w:rsidP="00C07C2F">
            <w:pPr>
              <w:pStyle w:val="Marginlie"/>
            </w:pPr>
          </w:p>
        </w:tc>
        <w:tc>
          <w:tcPr>
            <w:tcW w:w="203" w:type="dxa"/>
            <w:vMerge/>
            <w:shd w:val="clear" w:color="auto" w:fill="auto"/>
          </w:tcPr>
          <w:p w14:paraId="7A930ECF" w14:textId="77777777" w:rsidR="0011055D" w:rsidRDefault="0011055D" w:rsidP="00C07C2F">
            <w:pPr>
              <w:pStyle w:val="Textpoznpodarou"/>
              <w:jc w:val="both"/>
              <w:rPr>
                <w:spacing w:val="-4"/>
              </w:rPr>
            </w:pPr>
          </w:p>
        </w:tc>
        <w:tc>
          <w:tcPr>
            <w:tcW w:w="7674" w:type="dxa"/>
            <w:shd w:val="clear" w:color="auto" w:fill="auto"/>
          </w:tcPr>
          <w:p w14:paraId="76AC23F1" w14:textId="77777777" w:rsidR="0011055D" w:rsidRPr="0067514E" w:rsidRDefault="0011055D" w:rsidP="00C07C2F">
            <w:pPr>
              <w:spacing w:after="40"/>
              <w:rPr>
                <w:spacing w:val="-6"/>
              </w:rPr>
            </w:pPr>
            <w:r>
              <w:rPr>
                <w:noProof/>
              </w:rPr>
              <w:drawing>
                <wp:inline distT="0" distB="0" distL="0" distR="0" wp14:anchorId="21DE8362" wp14:editId="7063035E">
                  <wp:extent cx="4730294" cy="3448774"/>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11055D" w:rsidRPr="00343AC1" w14:paraId="584B6453" w14:textId="77777777" w:rsidTr="00C07C2F">
        <w:trPr>
          <w:trHeight w:val="170"/>
        </w:trPr>
        <w:tc>
          <w:tcPr>
            <w:tcW w:w="1792" w:type="dxa"/>
            <w:vMerge/>
            <w:shd w:val="clear" w:color="auto" w:fill="auto"/>
            <w:tcMar>
              <w:left w:w="0" w:type="dxa"/>
            </w:tcMar>
          </w:tcPr>
          <w:p w14:paraId="2368233A" w14:textId="77777777" w:rsidR="0011055D" w:rsidRDefault="0011055D" w:rsidP="00C07C2F">
            <w:pPr>
              <w:pStyle w:val="Marginlie"/>
            </w:pPr>
          </w:p>
        </w:tc>
        <w:tc>
          <w:tcPr>
            <w:tcW w:w="203" w:type="dxa"/>
            <w:vMerge/>
            <w:shd w:val="clear" w:color="auto" w:fill="auto"/>
            <w:tcMar>
              <w:left w:w="0" w:type="dxa"/>
            </w:tcMar>
          </w:tcPr>
          <w:p w14:paraId="6D1C3D7C" w14:textId="77777777" w:rsidR="0011055D" w:rsidRDefault="0011055D" w:rsidP="00C07C2F">
            <w:pPr>
              <w:pStyle w:val="Textpoznpodarou"/>
              <w:jc w:val="both"/>
              <w:rPr>
                <w:spacing w:val="-4"/>
              </w:rPr>
            </w:pPr>
          </w:p>
        </w:tc>
        <w:tc>
          <w:tcPr>
            <w:tcW w:w="7674" w:type="dxa"/>
            <w:shd w:val="clear" w:color="auto" w:fill="auto"/>
            <w:tcMar>
              <w:left w:w="0" w:type="dxa"/>
            </w:tcMar>
          </w:tcPr>
          <w:p w14:paraId="6F6FC0F2" w14:textId="77777777" w:rsidR="0011055D" w:rsidRPr="008F2BE2" w:rsidRDefault="0011055D" w:rsidP="00C07C2F">
            <w:pPr>
              <w:pStyle w:val="Textpoznpodarou"/>
              <w:rPr>
                <w:spacing w:val="-4"/>
                <w:sz w:val="14"/>
                <w:szCs w:val="14"/>
              </w:rPr>
            </w:pPr>
            <w:r w:rsidRPr="008F2BE2">
              <w:rPr>
                <w:spacing w:val="-4"/>
                <w:sz w:val="14"/>
                <w:szCs w:val="14"/>
              </w:rPr>
              <w:t>*Pokrývají výdaje na platy v organizačních složkách státu. Nezahrnují například mzdové výdaje na regionální školství.</w:t>
            </w:r>
          </w:p>
          <w:p w14:paraId="2D49EA58" w14:textId="77777777" w:rsidR="0011055D" w:rsidRPr="008F2BE2" w:rsidRDefault="0011055D" w:rsidP="00C07C2F">
            <w:pPr>
              <w:pStyle w:val="Textpoznpodarou"/>
              <w:rPr>
                <w:spacing w:val="-4"/>
                <w:sz w:val="14"/>
                <w:szCs w:val="14"/>
              </w:rPr>
            </w:pPr>
            <w:r w:rsidRPr="008F2BE2">
              <w:rPr>
                <w:spacing w:val="-4"/>
                <w:sz w:val="14"/>
                <w:szCs w:val="14"/>
              </w:rPr>
              <w:t>**Zahrnuje i dávky pěstounské péče.</w:t>
            </w:r>
            <w:r>
              <w:rPr>
                <w:spacing w:val="-4"/>
                <w:sz w:val="14"/>
                <w:szCs w:val="14"/>
              </w:rPr>
              <w:t xml:space="preserve">   *</w:t>
            </w:r>
            <w:r w:rsidRPr="008F2BE2">
              <w:rPr>
                <w:spacing w:val="-4"/>
                <w:sz w:val="14"/>
                <w:szCs w:val="14"/>
              </w:rPr>
              <w:t>**Zahrnují dávky pomoci v hmotné nouzi, dávky osobám se zdravotním postižením, příspěvek na péči dle zákona o soc. službách.</w:t>
            </w:r>
            <w:r>
              <w:rPr>
                <w:spacing w:val="-4"/>
                <w:sz w:val="14"/>
                <w:szCs w:val="14"/>
              </w:rPr>
              <w:t xml:space="preserve"> Jsou zde obsaženy i dávky </w:t>
            </w:r>
            <w:r w:rsidRPr="00FB6649">
              <w:rPr>
                <w:spacing w:val="-4"/>
                <w:sz w:val="14"/>
                <w:szCs w:val="14"/>
              </w:rPr>
              <w:t>humanitární pomoc</w:t>
            </w:r>
            <w:r>
              <w:rPr>
                <w:spacing w:val="-4"/>
                <w:sz w:val="14"/>
                <w:szCs w:val="14"/>
              </w:rPr>
              <w:t>i poskytnuté občanům Ukrajiny.</w:t>
            </w:r>
          </w:p>
          <w:p w14:paraId="07AFF123" w14:textId="77777777" w:rsidR="0011055D" w:rsidRDefault="0011055D" w:rsidP="00C07C2F">
            <w:pPr>
              <w:pStyle w:val="Textpoznpodarou"/>
              <w:rPr>
                <w:spacing w:val="-4"/>
                <w:sz w:val="14"/>
                <w:szCs w:val="14"/>
              </w:rPr>
            </w:pPr>
            <w:r w:rsidRPr="008F2BE2">
              <w:rPr>
                <w:spacing w:val="-4"/>
                <w:sz w:val="14"/>
                <w:szCs w:val="14"/>
              </w:rPr>
              <w:t>****Obsahují zejména výdaje na nákup služeb, materiálu, energií či ostatních služeb (například výdaje na opravy a udržování).</w:t>
            </w:r>
          </w:p>
          <w:p w14:paraId="03C283EA" w14:textId="77777777" w:rsidR="0011055D" w:rsidRPr="009F63C6" w:rsidRDefault="0011055D" w:rsidP="00C07C2F">
            <w:pPr>
              <w:pStyle w:val="Textpoznpodarou"/>
              <w:rPr>
                <w:spacing w:val="-4"/>
                <w:sz w:val="14"/>
                <w:szCs w:val="14"/>
              </w:rPr>
            </w:pPr>
            <w:r>
              <w:rPr>
                <w:spacing w:val="-4"/>
                <w:sz w:val="14"/>
                <w:szCs w:val="14"/>
              </w:rPr>
              <w:t xml:space="preserve">***** Odpovídá saldu rozpočtové kapitoly Státní dluh.                                                                                               </w:t>
            </w:r>
            <w:r w:rsidRPr="000F45E7">
              <w:rPr>
                <w:spacing w:val="-4"/>
                <w:sz w:val="14"/>
                <w:szCs w:val="14"/>
              </w:rPr>
              <w:t>Zdroj: MF ČR, MPSV</w:t>
            </w:r>
          </w:p>
        </w:tc>
      </w:tr>
    </w:tbl>
    <w:p w14:paraId="5F54A675" w14:textId="77777777" w:rsidR="0011055D" w:rsidRDefault="0011055D" w:rsidP="0011055D">
      <w:pPr>
        <w:pStyle w:val="Nadpis11"/>
        <w:rPr>
          <w:b w:val="0"/>
          <w:sz w:val="2"/>
          <w:szCs w:val="2"/>
        </w:rPr>
      </w:pPr>
    </w:p>
    <w:tbl>
      <w:tblPr>
        <w:tblW w:w="9669" w:type="dxa"/>
        <w:tblInd w:w="-20" w:type="dxa"/>
        <w:tblCellMar>
          <w:left w:w="0" w:type="dxa"/>
          <w:right w:w="0" w:type="dxa"/>
        </w:tblCellMar>
        <w:tblLook w:val="00A0" w:firstRow="1" w:lastRow="0" w:firstColumn="1" w:lastColumn="0" w:noHBand="0" w:noVBand="0"/>
      </w:tblPr>
      <w:tblGrid>
        <w:gridCol w:w="1718"/>
        <w:gridCol w:w="210"/>
        <w:gridCol w:w="7741"/>
      </w:tblGrid>
      <w:tr w:rsidR="0011055D" w:rsidRPr="004B2C92" w14:paraId="195F0AD2" w14:textId="77777777" w:rsidTr="00C07C2F">
        <w:trPr>
          <w:trHeight w:val="145"/>
        </w:trPr>
        <w:tc>
          <w:tcPr>
            <w:tcW w:w="1718" w:type="dxa"/>
            <w:shd w:val="clear" w:color="auto" w:fill="auto"/>
            <w:tcMar>
              <w:left w:w="0" w:type="dxa"/>
            </w:tcMar>
          </w:tcPr>
          <w:p w14:paraId="4D82BC55" w14:textId="77777777" w:rsidR="0011055D" w:rsidRDefault="0011055D" w:rsidP="00C07C2F">
            <w:pPr>
              <w:pStyle w:val="Marginlie"/>
            </w:pPr>
            <w:r>
              <w:t xml:space="preserve">Ke svižnému růstu investic přispěly výdaje na životní prostředí, obranu a bezpečnost. </w:t>
            </w:r>
          </w:p>
          <w:p w14:paraId="2B7FDCF3" w14:textId="77777777" w:rsidR="0011055D" w:rsidRDefault="0011055D" w:rsidP="00C07C2F">
            <w:pPr>
              <w:pStyle w:val="Marginlie"/>
            </w:pPr>
          </w:p>
          <w:p w14:paraId="634C2879" w14:textId="77777777" w:rsidR="0011055D" w:rsidRDefault="0011055D" w:rsidP="00C07C2F">
            <w:pPr>
              <w:pStyle w:val="Marginlie"/>
            </w:pPr>
          </w:p>
          <w:p w14:paraId="7BB98DC2" w14:textId="77777777" w:rsidR="0011055D" w:rsidRDefault="0011055D" w:rsidP="00C07C2F">
            <w:pPr>
              <w:pStyle w:val="Marginlie"/>
            </w:pPr>
          </w:p>
          <w:p w14:paraId="18804995" w14:textId="77777777" w:rsidR="0011055D" w:rsidRDefault="0011055D" w:rsidP="00C07C2F">
            <w:pPr>
              <w:pStyle w:val="Marginlie"/>
            </w:pPr>
          </w:p>
          <w:p w14:paraId="0C93A795" w14:textId="77777777" w:rsidR="0011055D" w:rsidRDefault="0011055D" w:rsidP="00C07C2F">
            <w:pPr>
              <w:pStyle w:val="Marginlie"/>
            </w:pPr>
          </w:p>
          <w:p w14:paraId="1790B96D" w14:textId="77777777" w:rsidR="0011055D" w:rsidRDefault="0011055D" w:rsidP="00C07C2F">
            <w:pPr>
              <w:pStyle w:val="Marginlie"/>
            </w:pPr>
          </w:p>
          <w:p w14:paraId="26264A37" w14:textId="77777777" w:rsidR="0011055D" w:rsidRDefault="0011055D" w:rsidP="00C07C2F">
            <w:pPr>
              <w:pStyle w:val="Marginlie"/>
            </w:pPr>
            <w:r>
              <w:t>Podíl investic na celkových výdajích SR byl nejvyšší za posledních osm let.</w:t>
            </w:r>
          </w:p>
        </w:tc>
        <w:tc>
          <w:tcPr>
            <w:tcW w:w="210" w:type="dxa"/>
            <w:shd w:val="clear" w:color="auto" w:fill="auto"/>
            <w:tcMar>
              <w:left w:w="0" w:type="dxa"/>
            </w:tcMar>
          </w:tcPr>
          <w:p w14:paraId="25F9DBA0" w14:textId="77777777" w:rsidR="0011055D" w:rsidRDefault="0011055D" w:rsidP="00C07C2F">
            <w:pPr>
              <w:pStyle w:val="Textpoznpodarou"/>
              <w:jc w:val="both"/>
              <w:rPr>
                <w:spacing w:val="-4"/>
              </w:rPr>
            </w:pPr>
          </w:p>
        </w:tc>
        <w:tc>
          <w:tcPr>
            <w:tcW w:w="7741" w:type="dxa"/>
            <w:shd w:val="clear" w:color="auto" w:fill="auto"/>
            <w:tcMar>
              <w:left w:w="0" w:type="dxa"/>
            </w:tcMar>
          </w:tcPr>
          <w:p w14:paraId="7D6B5313" w14:textId="3975556E" w:rsidR="0011055D" w:rsidRPr="0011055D" w:rsidRDefault="0011055D" w:rsidP="0011055D">
            <w:pPr>
              <w:spacing w:after="200"/>
              <w:rPr>
                <w:color w:val="0D0D0D" w:themeColor="text1" w:themeTint="F2"/>
                <w:spacing w:val="-4"/>
              </w:rPr>
            </w:pPr>
            <w:r w:rsidRPr="0011055D">
              <w:rPr>
                <w:color w:val="0D0D0D" w:themeColor="text1" w:themeTint="F2"/>
                <w:spacing w:val="-4"/>
              </w:rPr>
              <w:t>Tempo růstu kapitálových výdajů SR loni zrychlilo na 13,6 %, meziročně bylo investováno o</w:t>
            </w:r>
            <w:r>
              <w:rPr>
                <w:color w:val="0D0D0D" w:themeColor="text1" w:themeTint="F2"/>
                <w:spacing w:val="-4"/>
              </w:rPr>
              <w:t> </w:t>
            </w:r>
            <w:r w:rsidRPr="0011055D">
              <w:rPr>
                <w:color w:val="0D0D0D" w:themeColor="text1" w:themeTint="F2"/>
                <w:spacing w:val="-4"/>
              </w:rPr>
              <w:t>25,4 mld. korun více. I přesto zůstala výše investic mírně za rozpočtovým očekáváním (−2,6 %). Na rozdíl od roku 2022 se na růstu investic podílely nejen prostředky na společné programy ČR z EU, ale též investice výhradně z národních zdrojů (ty loni tvořily více než polovinu všech kapitálových výdajů). Na zvýšení celkových investic ze SR se nejvíce podílely dotace územním rozpočtům (+8,4 mld. korun), významnější nárůst ovšem nastal téměř u</w:t>
            </w:r>
            <w:r>
              <w:rPr>
                <w:color w:val="0D0D0D" w:themeColor="text1" w:themeTint="F2"/>
                <w:spacing w:val="-4"/>
              </w:rPr>
              <w:t> </w:t>
            </w:r>
            <w:r w:rsidRPr="0011055D">
              <w:rPr>
                <w:color w:val="0D0D0D" w:themeColor="text1" w:themeTint="F2"/>
                <w:spacing w:val="-4"/>
              </w:rPr>
              <w:t>všech kategorií investic. Výjimkou byly dotace do dopravní infrastruktury (−8,7 mld.</w:t>
            </w:r>
            <w:r>
              <w:rPr>
                <w:color w:val="0D0D0D" w:themeColor="text1" w:themeTint="F2"/>
                <w:spacing w:val="-4"/>
              </w:rPr>
              <w:t> </w:t>
            </w:r>
            <w:r w:rsidRPr="0011055D">
              <w:rPr>
                <w:color w:val="0D0D0D" w:themeColor="text1" w:themeTint="F2"/>
                <w:spacing w:val="-4"/>
              </w:rPr>
              <w:t>korun)</w:t>
            </w:r>
            <w:r w:rsidRPr="0011055D">
              <w:rPr>
                <w:rStyle w:val="Znakapoznpodarou"/>
                <w:color w:val="0D0D0D" w:themeColor="text1" w:themeTint="F2"/>
                <w:spacing w:val="-4"/>
              </w:rPr>
              <w:footnoteReference w:id="129"/>
            </w:r>
            <w:r w:rsidRPr="0011055D">
              <w:rPr>
                <w:color w:val="0D0D0D" w:themeColor="text1" w:themeTint="F2"/>
                <w:spacing w:val="-4"/>
              </w:rPr>
              <w:t>, které ale i tak představovaly třetinu všech investic ze SR (68,1 mld.). Na rozdíl od roku 2022 se loni na růstu kapitálových výdajů podílely i investiční nákupy (+6,9</w:t>
            </w:r>
            <w:r>
              <w:rPr>
                <w:color w:val="0D0D0D" w:themeColor="text1" w:themeTint="F2"/>
                <w:spacing w:val="-4"/>
              </w:rPr>
              <w:t> </w:t>
            </w:r>
            <w:r w:rsidRPr="0011055D">
              <w:rPr>
                <w:color w:val="0D0D0D" w:themeColor="text1" w:themeTint="F2"/>
                <w:spacing w:val="-4"/>
              </w:rPr>
              <w:t>mld.</w:t>
            </w:r>
            <w:r>
              <w:rPr>
                <w:color w:val="0D0D0D" w:themeColor="text1" w:themeTint="F2"/>
                <w:spacing w:val="-4"/>
              </w:rPr>
              <w:t> </w:t>
            </w:r>
            <w:r w:rsidRPr="0011055D">
              <w:rPr>
                <w:color w:val="0D0D0D" w:themeColor="text1" w:themeTint="F2"/>
                <w:spacing w:val="-4"/>
              </w:rPr>
              <w:t>korun), šlo zejména o armádní techniku a dopravní prostředky. Celkové investice se na všech výdajích SR loni podílely 9,6 %, nejvíce za posledních osm let. Z dlouhodobého pohledu (poslední dvě dekády) se ale stále jedná spíše o průměrnou hodnotu.</w:t>
            </w:r>
          </w:p>
        </w:tc>
      </w:tr>
      <w:tr w:rsidR="0011055D" w:rsidRPr="004B2C92" w14:paraId="6344EFA7" w14:textId="77777777" w:rsidTr="00C07C2F">
        <w:trPr>
          <w:trHeight w:val="145"/>
        </w:trPr>
        <w:tc>
          <w:tcPr>
            <w:tcW w:w="1718" w:type="dxa"/>
            <w:shd w:val="clear" w:color="auto" w:fill="auto"/>
            <w:tcMar>
              <w:left w:w="0" w:type="dxa"/>
            </w:tcMar>
          </w:tcPr>
          <w:p w14:paraId="6E2EEB22" w14:textId="77777777" w:rsidR="0011055D" w:rsidRPr="005B591B" w:rsidRDefault="0011055D" w:rsidP="00C07C2F">
            <w:pPr>
              <w:pStyle w:val="Marginlie"/>
            </w:pPr>
            <w:r>
              <w:t>Státní dluh vystoupal na rekordní výši, tempo zadlužování však bylo nejnižší za poslední čtyři roky.</w:t>
            </w:r>
          </w:p>
        </w:tc>
        <w:tc>
          <w:tcPr>
            <w:tcW w:w="210" w:type="dxa"/>
            <w:shd w:val="clear" w:color="auto" w:fill="auto"/>
            <w:tcMar>
              <w:left w:w="0" w:type="dxa"/>
            </w:tcMar>
          </w:tcPr>
          <w:p w14:paraId="18FF772F" w14:textId="77777777" w:rsidR="0011055D" w:rsidRDefault="0011055D" w:rsidP="00C07C2F">
            <w:pPr>
              <w:pStyle w:val="Textpoznpodarou"/>
              <w:jc w:val="both"/>
              <w:rPr>
                <w:spacing w:val="-4"/>
              </w:rPr>
            </w:pPr>
          </w:p>
        </w:tc>
        <w:tc>
          <w:tcPr>
            <w:tcW w:w="7741" w:type="dxa"/>
            <w:shd w:val="clear" w:color="auto" w:fill="auto"/>
            <w:tcMar>
              <w:left w:w="0" w:type="dxa"/>
            </w:tcMar>
          </w:tcPr>
          <w:p w14:paraId="1B8BF50F" w14:textId="77777777" w:rsidR="0011055D" w:rsidRPr="0011055D" w:rsidRDefault="0011055D" w:rsidP="00C07C2F">
            <w:pPr>
              <w:spacing w:after="200"/>
              <w:rPr>
                <w:color w:val="0D0D0D" w:themeColor="text1" w:themeTint="F2"/>
                <w:spacing w:val="-4"/>
              </w:rPr>
            </w:pPr>
            <w:r w:rsidRPr="0011055D">
              <w:rPr>
                <w:color w:val="0D0D0D" w:themeColor="text1" w:themeTint="F2"/>
                <w:spacing w:val="-4"/>
              </w:rPr>
              <w:t xml:space="preserve">Státní dluh vystoupal loni na konci roku 2023 na rekordních 3 111 mld. korun. Meziročně se zvýšil o 216 mld. korun, tedy zhruba o polovinu méně než během let 2020, 2021 a 2022. Zmírnění tempa zadlužování souvisí s poklesem výše přijatých krátkodobých zahraničních zápůjček a současně s nárůstem u splacených zápůjček. Díky tomu došlo během loňského </w:t>
            </w:r>
            <w:r w:rsidRPr="0011055D">
              <w:rPr>
                <w:color w:val="0D0D0D" w:themeColor="text1" w:themeTint="F2"/>
                <w:spacing w:val="-4"/>
              </w:rPr>
              <w:lastRenderedPageBreak/>
              <w:t>roku ke snížení vnějšího dluhu o 47,4 % (na 152 mld. korun). Vnitřní dluh se však zvýšil o 13,5 %, především kvůli pokračující vysoké emisi středně a dlouhodobých státních dluhopisů, dílčí vliv měl i vyšší objem státních pokladničních poukázek.</w:t>
            </w:r>
          </w:p>
        </w:tc>
      </w:tr>
      <w:tr w:rsidR="0011055D" w:rsidRPr="004B2C92" w14:paraId="121F7445" w14:textId="77777777" w:rsidTr="00C07C2F">
        <w:trPr>
          <w:trHeight w:val="145"/>
        </w:trPr>
        <w:tc>
          <w:tcPr>
            <w:tcW w:w="1718" w:type="dxa"/>
            <w:shd w:val="clear" w:color="auto" w:fill="auto"/>
            <w:tcMar>
              <w:left w:w="0" w:type="dxa"/>
            </w:tcMar>
          </w:tcPr>
          <w:p w14:paraId="66AAC424" w14:textId="77777777" w:rsidR="0011055D" w:rsidRDefault="0011055D" w:rsidP="00C07C2F">
            <w:pPr>
              <w:pStyle w:val="Marginlie"/>
              <w:rPr>
                <w:color w:val="0D0D0D" w:themeColor="text1" w:themeTint="F2"/>
              </w:rPr>
            </w:pPr>
            <w:r>
              <w:rPr>
                <w:color w:val="0D0D0D" w:themeColor="text1" w:themeTint="F2"/>
              </w:rPr>
              <w:lastRenderedPageBreak/>
              <w:t xml:space="preserve">Schodek hospodaření sektoru vládních institucí za 1. až 3. čtvrtletí se meziročně nezměnil. </w:t>
            </w:r>
          </w:p>
          <w:p w14:paraId="40337730" w14:textId="77777777" w:rsidR="0011055D" w:rsidRDefault="0011055D" w:rsidP="00C07C2F">
            <w:pPr>
              <w:pStyle w:val="Marginlie"/>
              <w:rPr>
                <w:color w:val="0D0D0D" w:themeColor="text1" w:themeTint="F2"/>
              </w:rPr>
            </w:pPr>
          </w:p>
          <w:p w14:paraId="11704BAD" w14:textId="77777777" w:rsidR="0011055D" w:rsidRDefault="0011055D" w:rsidP="00C07C2F">
            <w:pPr>
              <w:pStyle w:val="Marginlie"/>
              <w:rPr>
                <w:color w:val="0D0D0D" w:themeColor="text1" w:themeTint="F2"/>
              </w:rPr>
            </w:pPr>
          </w:p>
          <w:p w14:paraId="1C13DA28" w14:textId="77777777" w:rsidR="0011055D" w:rsidRDefault="0011055D" w:rsidP="00C07C2F">
            <w:pPr>
              <w:pStyle w:val="Marginlie"/>
              <w:rPr>
                <w:color w:val="0D0D0D" w:themeColor="text1" w:themeTint="F2"/>
              </w:rPr>
            </w:pPr>
          </w:p>
          <w:p w14:paraId="40A4EDBF" w14:textId="77777777" w:rsidR="0011055D" w:rsidRDefault="0011055D" w:rsidP="00C07C2F">
            <w:pPr>
              <w:pStyle w:val="Marginlie"/>
              <w:rPr>
                <w:color w:val="0D0D0D" w:themeColor="text1" w:themeTint="F2"/>
              </w:rPr>
            </w:pPr>
          </w:p>
          <w:p w14:paraId="1241A197" w14:textId="77777777" w:rsidR="0011055D" w:rsidRDefault="0011055D" w:rsidP="00C07C2F">
            <w:pPr>
              <w:pStyle w:val="Marginlie"/>
              <w:rPr>
                <w:color w:val="0D0D0D" w:themeColor="text1" w:themeTint="F2"/>
              </w:rPr>
            </w:pPr>
          </w:p>
          <w:p w14:paraId="7AE0D23A" w14:textId="77777777" w:rsidR="0011055D" w:rsidRDefault="0011055D" w:rsidP="00C07C2F">
            <w:pPr>
              <w:pStyle w:val="Marginlie"/>
              <w:rPr>
                <w:color w:val="0D0D0D" w:themeColor="text1" w:themeTint="F2"/>
              </w:rPr>
            </w:pPr>
          </w:p>
          <w:p w14:paraId="1DEDFA00" w14:textId="77777777" w:rsidR="0011055D" w:rsidRDefault="0011055D" w:rsidP="00C07C2F">
            <w:pPr>
              <w:pStyle w:val="Marginlie"/>
              <w:rPr>
                <w:color w:val="0D0D0D" w:themeColor="text1" w:themeTint="F2"/>
              </w:rPr>
            </w:pPr>
          </w:p>
          <w:p w14:paraId="4D9CA073" w14:textId="77777777" w:rsidR="0011055D" w:rsidRDefault="0011055D" w:rsidP="00C07C2F">
            <w:pPr>
              <w:pStyle w:val="Marginlie"/>
              <w:rPr>
                <w:color w:val="0D0D0D" w:themeColor="text1" w:themeTint="F2"/>
              </w:rPr>
            </w:pPr>
          </w:p>
          <w:p w14:paraId="0CC43C70" w14:textId="77777777" w:rsidR="0011055D" w:rsidRDefault="0011055D" w:rsidP="00C07C2F">
            <w:pPr>
              <w:pStyle w:val="Marginlie"/>
              <w:rPr>
                <w:color w:val="0D0D0D" w:themeColor="text1" w:themeTint="F2"/>
              </w:rPr>
            </w:pPr>
            <w:r>
              <w:rPr>
                <w:color w:val="0D0D0D" w:themeColor="text1" w:themeTint="F2"/>
              </w:rPr>
              <w:t xml:space="preserve">Meziroční nárůst absolutní výše dluhu opět převýšil schodek hospodaření. </w:t>
            </w:r>
          </w:p>
          <w:p w14:paraId="5F4F544D" w14:textId="77777777" w:rsidR="0011055D" w:rsidRDefault="0011055D" w:rsidP="00C07C2F">
            <w:pPr>
              <w:pStyle w:val="Marginlie"/>
              <w:rPr>
                <w:color w:val="0D0D0D" w:themeColor="text1" w:themeTint="F2"/>
              </w:rPr>
            </w:pPr>
          </w:p>
          <w:p w14:paraId="0161EFFC" w14:textId="77777777" w:rsidR="0011055D" w:rsidRPr="00073981" w:rsidRDefault="0011055D" w:rsidP="00C07C2F">
            <w:pPr>
              <w:pStyle w:val="Marginlie"/>
              <w:rPr>
                <w:color w:val="0D0D0D" w:themeColor="text1" w:themeTint="F2"/>
              </w:rPr>
            </w:pPr>
            <w:r>
              <w:rPr>
                <w:color w:val="0D0D0D" w:themeColor="text1" w:themeTint="F2"/>
              </w:rPr>
              <w:t xml:space="preserve">Díky svižnému nominálnímu růstu HDP míra zadlužení meziročně poklesla. </w:t>
            </w:r>
          </w:p>
        </w:tc>
        <w:tc>
          <w:tcPr>
            <w:tcW w:w="210" w:type="dxa"/>
            <w:shd w:val="clear" w:color="auto" w:fill="auto"/>
            <w:tcMar>
              <w:left w:w="0" w:type="dxa"/>
            </w:tcMar>
          </w:tcPr>
          <w:p w14:paraId="25403A24" w14:textId="77777777" w:rsidR="0011055D" w:rsidRPr="00073981" w:rsidRDefault="0011055D" w:rsidP="00C07C2F">
            <w:pPr>
              <w:pStyle w:val="Textpoznpodarou"/>
              <w:jc w:val="both"/>
              <w:rPr>
                <w:color w:val="0D0D0D" w:themeColor="text1" w:themeTint="F2"/>
                <w:spacing w:val="-4"/>
              </w:rPr>
            </w:pPr>
          </w:p>
        </w:tc>
        <w:tc>
          <w:tcPr>
            <w:tcW w:w="7741" w:type="dxa"/>
            <w:shd w:val="clear" w:color="auto" w:fill="auto"/>
            <w:tcMar>
              <w:left w:w="0" w:type="dxa"/>
            </w:tcMar>
          </w:tcPr>
          <w:p w14:paraId="2C033545" w14:textId="0025F563" w:rsidR="0011055D" w:rsidRPr="0011055D" w:rsidRDefault="0011055D" w:rsidP="00C07C2F">
            <w:pPr>
              <w:rPr>
                <w:color w:val="0D0D0D" w:themeColor="text1" w:themeTint="F2"/>
                <w:spacing w:val="-4"/>
              </w:rPr>
            </w:pPr>
            <w:r w:rsidRPr="0011055D">
              <w:rPr>
                <w:color w:val="0D0D0D" w:themeColor="text1" w:themeTint="F2"/>
                <w:spacing w:val="-4"/>
              </w:rPr>
              <w:t>Sektor vládních institucí (VI) v ČR hospodařil v 1. až 3. čtvrtletí 2023</w:t>
            </w:r>
            <w:r w:rsidRPr="0011055D">
              <w:rPr>
                <w:rStyle w:val="Znakapoznpodarou"/>
                <w:color w:val="0D0D0D" w:themeColor="text1" w:themeTint="F2"/>
                <w:spacing w:val="-4"/>
              </w:rPr>
              <w:footnoteReference w:id="130"/>
            </w:r>
            <w:r w:rsidRPr="0011055D">
              <w:rPr>
                <w:color w:val="0D0D0D" w:themeColor="text1" w:themeTint="F2"/>
                <w:spacing w:val="-4"/>
              </w:rPr>
              <w:t xml:space="preserve"> s deficitem 117 mld. korun</w:t>
            </w:r>
            <w:r w:rsidRPr="0011055D">
              <w:rPr>
                <w:rStyle w:val="Znakapoznpodarou"/>
                <w:color w:val="0D0D0D" w:themeColor="text1" w:themeTint="F2"/>
                <w:spacing w:val="-4"/>
              </w:rPr>
              <w:footnoteReference w:id="131"/>
            </w:r>
            <w:r w:rsidRPr="0011055D">
              <w:rPr>
                <w:color w:val="0D0D0D" w:themeColor="text1" w:themeTint="F2"/>
                <w:spacing w:val="-4"/>
              </w:rPr>
              <w:t>, takřka identickým jako ve stejném období předchozího roku. Při stagnaci hlubokého schodku ústředních vládních institucí (</w:t>
            </w:r>
            <w:r w:rsidRPr="0011055D">
              <w:rPr>
                <w:spacing w:val="-4"/>
              </w:rPr>
              <w:t>jež financovaly klíčové mimořádné výdaje související s řešením dopadů vysoké inflace či s integrací uprchlíků z Ukrajiny</w:t>
            </w:r>
            <w:r w:rsidRPr="0011055D">
              <w:rPr>
                <w:color w:val="0D0D0D" w:themeColor="text1" w:themeTint="F2"/>
                <w:spacing w:val="-4"/>
              </w:rPr>
              <w:t>) došlo k mírnému zvýšení přebytku místních vládních institucí (na rekordních 93 mld.), naopak kladné saldo hospodaření zdravotních pojišťoven se lehce zhoršilo (z 15 mld. na 4 mld.). Příjmy celého sektoru VI se loni za tři čtvrtletí meziročně zvýšily o 10,8 %, zejména vlivem běžných daní z důchodů (+72 mld. korun), přijatých sociálních příspěvků (+61 mld.) či rostou</w:t>
            </w:r>
            <w:r w:rsidR="00E82AB6">
              <w:rPr>
                <w:color w:val="0D0D0D" w:themeColor="text1" w:themeTint="F2"/>
                <w:spacing w:val="-4"/>
              </w:rPr>
              <w:t>cího významu přijatých dividend. N</w:t>
            </w:r>
            <w:r w:rsidRPr="0011055D">
              <w:rPr>
                <w:color w:val="0D0D0D" w:themeColor="text1" w:themeTint="F2"/>
                <w:spacing w:val="-4"/>
              </w:rPr>
              <w:t>aopak vliv DPH a spotřebních daní slábl. Celkové výdaje VI se analogicky zvýšily o 10,2 %, k čemuž nejvíce přispěly sociální dávky a naturální sociální transfery (+96 mld. korun) vyplacené dotace (+40 mld.) a náhrady zaměstnancům (+40 mld.), jejichž prorůstová role oproti roku 2022 zesílila. Sezónně očištěný schodek hospodaření VI dosáhl ve 3. čtvrtletí 2023 výše 3,1 % HDP a od počátku roku se téměř nezměnil. Nominální dluh VI na konci 3. čtvrtletí 2023 dosáhl 3 214 mld. korun a meziročně stoupl o 231 mld. Stejně jako v období let 2020–2022 nárůst dluhu významně převýšil dosažený schodek hospodaření VI. Míra zadlužení sektoru VI dosáhla ve 3. čtvrtletí 44,5 % HDP (o rok dříve 45,2 %). Meziroční pokles zadlužení</w:t>
            </w:r>
            <w:r w:rsidRPr="0011055D">
              <w:rPr>
                <w:rStyle w:val="Znakapoznpodarou"/>
                <w:color w:val="0D0D0D" w:themeColor="text1" w:themeTint="F2"/>
                <w:spacing w:val="-4"/>
              </w:rPr>
              <w:footnoteReference w:id="132"/>
            </w:r>
            <w:r w:rsidRPr="0011055D">
              <w:rPr>
                <w:color w:val="0D0D0D" w:themeColor="text1" w:themeTint="F2"/>
                <w:spacing w:val="-4"/>
              </w:rPr>
              <w:t xml:space="preserve"> nastal poprvé za posledních jeden a půl roku.</w:t>
            </w:r>
          </w:p>
        </w:tc>
      </w:tr>
      <w:tr w:rsidR="0011055D" w:rsidRPr="004B2C92" w14:paraId="334E58EE" w14:textId="77777777" w:rsidTr="00C07C2F">
        <w:trPr>
          <w:trHeight w:val="145"/>
        </w:trPr>
        <w:tc>
          <w:tcPr>
            <w:tcW w:w="1718" w:type="dxa"/>
            <w:shd w:val="clear" w:color="auto" w:fill="auto"/>
            <w:tcMar>
              <w:left w:w="0" w:type="dxa"/>
            </w:tcMar>
          </w:tcPr>
          <w:p w14:paraId="5BBC2EE1" w14:textId="77777777" w:rsidR="0011055D" w:rsidRDefault="0011055D" w:rsidP="00C07C2F">
            <w:pPr>
              <w:pStyle w:val="Marginlie"/>
            </w:pPr>
            <w:r>
              <w:t xml:space="preserve">Po nárůstu nerovnováhy veřejných financí ve </w:t>
            </w:r>
            <w:r>
              <w:br/>
              <w:t>2. pololetí 2022 se rozpočtové schodky ve většině států EU postupně stabilizovaly.</w:t>
            </w:r>
          </w:p>
          <w:p w14:paraId="5D5F4B96" w14:textId="77777777" w:rsidR="0011055D" w:rsidRDefault="0011055D" w:rsidP="00C07C2F">
            <w:pPr>
              <w:pStyle w:val="Marginlie"/>
            </w:pPr>
          </w:p>
          <w:p w14:paraId="2BE3938F" w14:textId="77777777" w:rsidR="0011055D" w:rsidRDefault="0011055D" w:rsidP="00C07C2F">
            <w:pPr>
              <w:pStyle w:val="Marginlie"/>
            </w:pPr>
          </w:p>
          <w:p w14:paraId="54A09529" w14:textId="77777777" w:rsidR="0011055D" w:rsidRDefault="0011055D" w:rsidP="00C07C2F">
            <w:pPr>
              <w:pStyle w:val="Marginlie"/>
            </w:pPr>
          </w:p>
          <w:p w14:paraId="2F873949" w14:textId="77777777" w:rsidR="0011055D" w:rsidRDefault="0011055D" w:rsidP="00C07C2F">
            <w:pPr>
              <w:pStyle w:val="Marginlie"/>
            </w:pPr>
          </w:p>
          <w:p w14:paraId="71AD74DE" w14:textId="77777777" w:rsidR="0011055D" w:rsidRDefault="0011055D" w:rsidP="00C07C2F">
            <w:pPr>
              <w:pStyle w:val="Marginlie"/>
            </w:pPr>
          </w:p>
          <w:p w14:paraId="26695034" w14:textId="77777777" w:rsidR="0011055D" w:rsidRPr="005B591B" w:rsidRDefault="0011055D" w:rsidP="00C07C2F">
            <w:pPr>
              <w:pStyle w:val="Marginlie"/>
            </w:pPr>
            <w:r>
              <w:t xml:space="preserve">V řadě států střední </w:t>
            </w:r>
            <w:r>
              <w:br/>
              <w:t xml:space="preserve">a severní Evropy se však schodek sektoru vládních institucí prohloubil. </w:t>
            </w:r>
          </w:p>
        </w:tc>
        <w:tc>
          <w:tcPr>
            <w:tcW w:w="210" w:type="dxa"/>
            <w:shd w:val="clear" w:color="auto" w:fill="auto"/>
            <w:tcMar>
              <w:left w:w="0" w:type="dxa"/>
            </w:tcMar>
          </w:tcPr>
          <w:p w14:paraId="31368F91" w14:textId="77777777" w:rsidR="0011055D" w:rsidRDefault="0011055D" w:rsidP="00C07C2F">
            <w:pPr>
              <w:pStyle w:val="Textpoznpodarou"/>
              <w:jc w:val="both"/>
              <w:rPr>
                <w:spacing w:val="-4"/>
              </w:rPr>
            </w:pPr>
          </w:p>
        </w:tc>
        <w:tc>
          <w:tcPr>
            <w:tcW w:w="7741" w:type="dxa"/>
            <w:shd w:val="clear" w:color="auto" w:fill="auto"/>
            <w:tcMar>
              <w:left w:w="0" w:type="dxa"/>
            </w:tcMar>
          </w:tcPr>
          <w:p w14:paraId="152E7BC1" w14:textId="3AEB14CC" w:rsidR="0011055D" w:rsidRPr="0011055D" w:rsidRDefault="0011055D" w:rsidP="00C07C2F">
            <w:pPr>
              <w:rPr>
                <w:spacing w:val="-4"/>
              </w:rPr>
            </w:pPr>
            <w:r w:rsidRPr="0011055D">
              <w:rPr>
                <w:color w:val="0D0D0D" w:themeColor="text1" w:themeTint="F2"/>
                <w:spacing w:val="-4"/>
              </w:rPr>
              <w:t xml:space="preserve">Po prudkém zhoršení během roku 2022 se loni stabilizovala kondice veřejných financí v EU. Po odeznění loňské cenové akcelerace u energií došlo k částečnému zmírnění potřeby mimořádných veřejných výdajů. Na druhou stranu pokračující velmi slabý ekonomický růst většiny evropských ekonomik se negativně podepsal i na příjmech sektoru VI (ty v relaci k HDP loni setrvávaly pod úrovní roku 2022). Ve 3. čtvrtletí 2023 čítal deficit hospodaření (po sezónním očištění) VI v EU 2,8 % HDP, což bylo o 0,2 p. b. </w:t>
            </w:r>
            <w:proofErr w:type="gramStart"/>
            <w:r w:rsidRPr="0011055D">
              <w:rPr>
                <w:color w:val="0D0D0D" w:themeColor="text1" w:themeTint="F2"/>
                <w:spacing w:val="-4"/>
              </w:rPr>
              <w:t>méně</w:t>
            </w:r>
            <w:proofErr w:type="gramEnd"/>
            <w:r w:rsidRPr="0011055D">
              <w:rPr>
                <w:color w:val="0D0D0D" w:themeColor="text1" w:themeTint="F2"/>
                <w:spacing w:val="-4"/>
              </w:rPr>
              <w:t xml:space="preserve"> než v předchozím kvartálu a o celý 1 p. b. lepší výsledek než ve shodném období předchozího roku. V 1. až 3. čtvrtletí 2023 bylo relativně nejvyšším schodkem zasaženo Maďarsko (−7,3 % HDP), Itálie (−7,1 %), Rumunsk</w:t>
            </w:r>
            <w:r w:rsidR="00E82AB6">
              <w:rPr>
                <w:color w:val="0D0D0D" w:themeColor="text1" w:themeTint="F2"/>
                <w:spacing w:val="-4"/>
              </w:rPr>
              <w:t>o (−5,7 %) a Slovensko (−5,5 %). N</w:t>
            </w:r>
            <w:r w:rsidRPr="0011055D">
              <w:rPr>
                <w:color w:val="0D0D0D" w:themeColor="text1" w:themeTint="F2"/>
                <w:spacing w:val="-4"/>
              </w:rPr>
              <w:t xml:space="preserve">aopak významnějšího přebytku (nad 1 % HDP) docílily jen Dánsko, Irsko, Portugalsko a Kypr. Meziročně se ve většině států schodek prohloubil (neboť v 1. pololetí 2022 byla situace v oblasti veřejných rozpočtů ještě stabilizovaná). Nejvíce klesl na Slovensku (z −1,7 % na −5,5 % HDP), s mírným odstupem pak v Polsku, Švédsku, Maďarsku, Estonsku a Finsku. V EU, podobně jako v Česku, setrvával schodek v obou letech blízko 3 % HDP. </w:t>
            </w:r>
          </w:p>
        </w:tc>
      </w:tr>
      <w:tr w:rsidR="0011055D" w:rsidRPr="004B2C92" w14:paraId="4945A3CE" w14:textId="77777777" w:rsidTr="00C07C2F">
        <w:trPr>
          <w:trHeight w:val="145"/>
        </w:trPr>
        <w:tc>
          <w:tcPr>
            <w:tcW w:w="1718" w:type="dxa"/>
            <w:shd w:val="clear" w:color="auto" w:fill="auto"/>
            <w:tcMar>
              <w:left w:w="0" w:type="dxa"/>
            </w:tcMar>
          </w:tcPr>
          <w:p w14:paraId="5FB676AE" w14:textId="77777777" w:rsidR="0011055D" w:rsidRDefault="0011055D" w:rsidP="00C07C2F">
            <w:pPr>
              <w:pStyle w:val="Marginlie"/>
            </w:pPr>
            <w:r>
              <w:t>Pokles míry zadlužení v zemích EU loni pokračoval, byť mírnějším tempem.</w:t>
            </w:r>
          </w:p>
          <w:p w14:paraId="75F3D157" w14:textId="77777777" w:rsidR="0011055D" w:rsidRDefault="0011055D" w:rsidP="00C07C2F">
            <w:pPr>
              <w:pStyle w:val="Marginlie"/>
            </w:pPr>
          </w:p>
          <w:p w14:paraId="25B2F888" w14:textId="77777777" w:rsidR="0011055D" w:rsidRDefault="0011055D" w:rsidP="00C07C2F">
            <w:pPr>
              <w:pStyle w:val="Marginlie"/>
            </w:pPr>
          </w:p>
          <w:p w14:paraId="5DF5520B" w14:textId="77777777" w:rsidR="0011055D" w:rsidRDefault="0011055D" w:rsidP="00C07C2F">
            <w:pPr>
              <w:pStyle w:val="Marginlie"/>
            </w:pPr>
          </w:p>
          <w:p w14:paraId="27596BA1" w14:textId="77777777" w:rsidR="0011055D" w:rsidRDefault="0011055D" w:rsidP="00C07C2F">
            <w:pPr>
              <w:pStyle w:val="Marginlie"/>
            </w:pPr>
          </w:p>
          <w:p w14:paraId="2C82CE17" w14:textId="77777777" w:rsidR="0011055D" w:rsidRDefault="0011055D" w:rsidP="00C07C2F">
            <w:pPr>
              <w:pStyle w:val="Marginlie"/>
            </w:pPr>
          </w:p>
          <w:p w14:paraId="31291096" w14:textId="77777777" w:rsidR="0011055D" w:rsidRDefault="0011055D" w:rsidP="00C07C2F">
            <w:pPr>
              <w:pStyle w:val="Marginlie"/>
            </w:pPr>
          </w:p>
          <w:p w14:paraId="0F6E283B" w14:textId="77777777" w:rsidR="0011055D" w:rsidRDefault="0011055D" w:rsidP="00C07C2F">
            <w:pPr>
              <w:pStyle w:val="Marginlie"/>
            </w:pPr>
            <w:r>
              <w:t>Míra zadlužení v Česku byla devátá nejnižší v Unii, ale její souhrnný nárůst od konce roku 2019 byl mezi státy nejvyšší.</w:t>
            </w:r>
          </w:p>
        </w:tc>
        <w:tc>
          <w:tcPr>
            <w:tcW w:w="210" w:type="dxa"/>
            <w:shd w:val="clear" w:color="auto" w:fill="auto"/>
            <w:tcMar>
              <w:left w:w="0" w:type="dxa"/>
            </w:tcMar>
          </w:tcPr>
          <w:p w14:paraId="100A1BD4" w14:textId="77777777" w:rsidR="0011055D" w:rsidRDefault="0011055D" w:rsidP="00C07C2F">
            <w:pPr>
              <w:pStyle w:val="Textpoznpodarou"/>
              <w:jc w:val="both"/>
              <w:rPr>
                <w:spacing w:val="-4"/>
              </w:rPr>
            </w:pPr>
          </w:p>
        </w:tc>
        <w:tc>
          <w:tcPr>
            <w:tcW w:w="7741" w:type="dxa"/>
            <w:shd w:val="clear" w:color="auto" w:fill="auto"/>
            <w:tcMar>
              <w:left w:w="0" w:type="dxa"/>
            </w:tcMar>
          </w:tcPr>
          <w:p w14:paraId="6EDA56ED" w14:textId="24A31F65" w:rsidR="0011055D" w:rsidRPr="0011055D" w:rsidRDefault="0011055D" w:rsidP="0011055D">
            <w:pPr>
              <w:spacing w:after="0"/>
              <w:rPr>
                <w:spacing w:val="-4"/>
              </w:rPr>
            </w:pPr>
            <w:r w:rsidRPr="0011055D">
              <w:rPr>
                <w:spacing w:val="-4"/>
              </w:rPr>
              <w:t xml:space="preserve">Na konci 3. čtvrtletí činila míra zadlužení sektoru VI v EU 82,6 % HDP, z toho </w:t>
            </w:r>
            <w:r w:rsidRPr="0011055D">
              <w:rPr>
                <w:spacing w:val="-4"/>
              </w:rPr>
              <w:br/>
              <w:t xml:space="preserve">v eurozóně 89,9 % HDP. </w:t>
            </w:r>
            <w:proofErr w:type="spellStart"/>
            <w:r w:rsidRPr="0011055D">
              <w:rPr>
                <w:spacing w:val="-4"/>
              </w:rPr>
              <w:t>Mezikvartální</w:t>
            </w:r>
            <w:proofErr w:type="spellEnd"/>
            <w:r w:rsidRPr="0011055D">
              <w:rPr>
                <w:spacing w:val="-4"/>
              </w:rPr>
              <w:t xml:space="preserve"> pokles zadlužení tak přetrvával 2,5 roku, byť loni probíhal pomalejším tempem. Oproti 3. čtvrtletí 2022 bylo aktuální zadlužení nižší ve dvou třetinách států Unie (v celé EU o rovné 2 p. b.), nejvíce v některých vysoce zadlužených státech – v Řecku, Portugalsku, Kypru (o více než 10 p. b.), ale rovněž např. v Irsku (−4,9</w:t>
            </w:r>
            <w:r>
              <w:rPr>
                <w:spacing w:val="-4"/>
              </w:rPr>
              <w:t> </w:t>
            </w:r>
            <w:r w:rsidRPr="0011055D">
              <w:rPr>
                <w:spacing w:val="-4"/>
              </w:rPr>
              <w:t>p.</w:t>
            </w:r>
            <w:r>
              <w:rPr>
                <w:spacing w:val="-4"/>
              </w:rPr>
              <w:t> </w:t>
            </w:r>
            <w:r w:rsidRPr="0011055D">
              <w:rPr>
                <w:spacing w:val="-4"/>
              </w:rPr>
              <w:t>b.) a Švédsku (−4,0 p. b.). Naopak ke zvýšení zadlužení došlo zejména v Belgii (</w:t>
            </w:r>
            <w:proofErr w:type="gramStart"/>
            <w:r w:rsidRPr="0011055D">
              <w:rPr>
                <w:spacing w:val="-4"/>
              </w:rPr>
              <w:t>ze</w:t>
            </w:r>
            <w:proofErr w:type="gramEnd"/>
            <w:r w:rsidRPr="0011055D">
              <w:rPr>
                <w:spacing w:val="-4"/>
              </w:rPr>
              <w:t xml:space="preserve"> 105,6 % na 108,0 % HDP). Míra zadlužení v Česku byla stále „jen“ poloviční vůči eurozóně a mezi státy EU devátá nejnižší (z toho pátá mezi jeho novějšími členy – po Estonsku, Bulharsku, Litvě a Lotyšsku). Oproti konci roku 2019 ale vzrostla o 14,5 p. b. (spolu s Francií nejvíce v EU), skoro třikrát více než v Německu či v průměru za Unii. Naopak osm zemí dokázalo snížit zadlužení za toto období – o více než 13 p. b. Řecko, Kypr a Irsko, mírněji také Švédsko, Dánsko a Nizozemsko. Ze středoevropských států si relativně nejlépe vedlo Polsko, kde zadlužení vzrostlo ze 45,7 % na 48,7 % HDP.</w:t>
            </w:r>
          </w:p>
        </w:tc>
      </w:tr>
    </w:tbl>
    <w:p w14:paraId="0FA9EA49" w14:textId="77777777" w:rsidR="0011055D" w:rsidRPr="002D3D35" w:rsidRDefault="0011055D" w:rsidP="0011055D">
      <w:pPr>
        <w:pStyle w:val="Nadpis11"/>
        <w:rPr>
          <w:sz w:val="2"/>
          <w:szCs w:val="2"/>
        </w:rPr>
      </w:pPr>
    </w:p>
    <w:p w14:paraId="6FD91E5A" w14:textId="797E1141" w:rsidR="00106BCC" w:rsidRPr="001C3855" w:rsidRDefault="00106BCC" w:rsidP="001E1AF1">
      <w:pPr>
        <w:pStyle w:val="Nadpis11"/>
        <w:rPr>
          <w:sz w:val="2"/>
          <w:szCs w:val="2"/>
        </w:rPr>
      </w:pPr>
    </w:p>
    <w:sectPr w:rsidR="00106BCC" w:rsidRPr="001C3855" w:rsidSect="00A03B10">
      <w:headerReference w:type="even" r:id="rId36"/>
      <w:headerReference w:type="default" r:id="rId37"/>
      <w:footerReference w:type="even" r:id="rId38"/>
      <w:footerReference w:type="default" r:id="rId39"/>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B0717" w14:textId="77777777" w:rsidR="00BA5125" w:rsidRDefault="00BA5125" w:rsidP="00E71A58">
      <w:r>
        <w:separator/>
      </w:r>
    </w:p>
  </w:endnote>
  <w:endnote w:type="continuationSeparator" w:id="0">
    <w:p w14:paraId="128212C9" w14:textId="77777777" w:rsidR="00BA5125" w:rsidRDefault="00BA512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BA5125" w14:paraId="6989D3A2" w14:textId="77777777" w:rsidTr="7059F910">
      <w:trPr>
        <w:trHeight w:val="300"/>
      </w:trPr>
      <w:tc>
        <w:tcPr>
          <w:tcW w:w="3210" w:type="dxa"/>
        </w:tcPr>
        <w:p w14:paraId="6590D2C6" w14:textId="074A4A49" w:rsidR="00BA5125" w:rsidRDefault="00BA5125" w:rsidP="7059F910">
          <w:pPr>
            <w:pStyle w:val="Zhlav"/>
            <w:ind w:left="-115"/>
          </w:pPr>
        </w:p>
      </w:tc>
      <w:tc>
        <w:tcPr>
          <w:tcW w:w="3210" w:type="dxa"/>
        </w:tcPr>
        <w:p w14:paraId="5B278884" w14:textId="26249C98" w:rsidR="00BA5125" w:rsidRDefault="00BA5125" w:rsidP="7059F910">
          <w:pPr>
            <w:pStyle w:val="Zhlav"/>
            <w:jc w:val="center"/>
          </w:pPr>
        </w:p>
      </w:tc>
      <w:tc>
        <w:tcPr>
          <w:tcW w:w="3210" w:type="dxa"/>
        </w:tcPr>
        <w:p w14:paraId="350DA2AE" w14:textId="68DB72F9" w:rsidR="00BA5125" w:rsidRDefault="00BA5125" w:rsidP="7059F910">
          <w:pPr>
            <w:pStyle w:val="Zhlav"/>
            <w:ind w:right="-115"/>
            <w:jc w:val="right"/>
          </w:pPr>
        </w:p>
      </w:tc>
    </w:tr>
  </w:tbl>
  <w:p w14:paraId="2D671E04" w14:textId="65A29983" w:rsidR="00BA5125" w:rsidRDefault="00BA5125" w:rsidP="7059F9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BA5125" w14:paraId="5BC8A3D5" w14:textId="77777777" w:rsidTr="7059F910">
      <w:trPr>
        <w:trHeight w:val="300"/>
      </w:trPr>
      <w:tc>
        <w:tcPr>
          <w:tcW w:w="3210" w:type="dxa"/>
        </w:tcPr>
        <w:p w14:paraId="4C3FABBA" w14:textId="5B17EC4C" w:rsidR="00BA5125" w:rsidRDefault="00BA5125" w:rsidP="7059F910">
          <w:pPr>
            <w:pStyle w:val="Zhlav"/>
            <w:ind w:left="-115"/>
          </w:pPr>
        </w:p>
      </w:tc>
      <w:tc>
        <w:tcPr>
          <w:tcW w:w="3210" w:type="dxa"/>
        </w:tcPr>
        <w:p w14:paraId="2F6BA66C" w14:textId="3E0E9ADE" w:rsidR="00BA5125" w:rsidRDefault="00BA5125" w:rsidP="7059F910">
          <w:pPr>
            <w:pStyle w:val="Zhlav"/>
            <w:jc w:val="center"/>
          </w:pPr>
        </w:p>
      </w:tc>
      <w:tc>
        <w:tcPr>
          <w:tcW w:w="3210" w:type="dxa"/>
        </w:tcPr>
        <w:p w14:paraId="376513CE" w14:textId="29DADE64" w:rsidR="00BA5125" w:rsidRDefault="00BA5125" w:rsidP="7059F910">
          <w:pPr>
            <w:pStyle w:val="Zhlav"/>
            <w:ind w:right="-115"/>
            <w:jc w:val="right"/>
          </w:pPr>
        </w:p>
      </w:tc>
    </w:tr>
  </w:tbl>
  <w:p w14:paraId="02DCEB25" w14:textId="79ED3BB1" w:rsidR="00BA5125" w:rsidRDefault="00BA5125" w:rsidP="7059F9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17924C0F" w:rsidR="00BA5125" w:rsidRPr="00932443" w:rsidRDefault="00BA5125"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0472CA">
      <w:rPr>
        <w:szCs w:val="16"/>
      </w:rPr>
      <w:t>6</w:t>
    </w:r>
    <w:r w:rsidRPr="00932443">
      <w:rPr>
        <w:szCs w:val="16"/>
      </w:rPr>
      <w:fldChar w:fldCharType="end"/>
    </w:r>
    <w:r w:rsidRPr="00932443">
      <w:rPr>
        <w:szCs w:val="16"/>
      </w:rPr>
      <w:tab/>
    </w:r>
    <w:r>
      <w:rPr>
        <w:szCs w:val="16"/>
      </w:rPr>
      <w:t>rok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2C442F8A" w:rsidR="00BA5125" w:rsidRPr="00932443" w:rsidRDefault="00BA5125" w:rsidP="00FA6CB6">
    <w:pPr>
      <w:pStyle w:val="Zpat"/>
      <w:rPr>
        <w:szCs w:val="16"/>
      </w:rPr>
    </w:pPr>
    <w:r w:rsidRPr="00FA6CB6">
      <w:rPr>
        <w:szCs w:val="16"/>
      </w:rPr>
      <w:tab/>
    </w:r>
    <w:r>
      <w:rPr>
        <w:szCs w:val="16"/>
      </w:rPr>
      <w:t>rok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0472CA">
      <w:rPr>
        <w:rStyle w:val="ZpatChar"/>
        <w:szCs w:val="16"/>
      </w:rPr>
      <w:t>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9486" w14:textId="77777777" w:rsidR="00BA5125" w:rsidRDefault="00BA5125" w:rsidP="00A21B4D">
      <w:pPr>
        <w:spacing w:after="0"/>
      </w:pPr>
      <w:r>
        <w:separator/>
      </w:r>
    </w:p>
  </w:footnote>
  <w:footnote w:type="continuationSeparator" w:id="0">
    <w:p w14:paraId="6380DEF4" w14:textId="77777777" w:rsidR="00BA5125" w:rsidRDefault="00BA5125" w:rsidP="00E71A58">
      <w:r>
        <w:continuationSeparator/>
      </w:r>
    </w:p>
  </w:footnote>
  <w:footnote w:id="1">
    <w:p w14:paraId="449061FF" w14:textId="77777777" w:rsidR="00BA5125" w:rsidRDefault="00BA5125" w:rsidP="00EA1EBB">
      <w:pPr>
        <w:pStyle w:val="Textpoznpodarou"/>
        <w:rPr>
          <w:spacing w:val="-2"/>
          <w:sz w:val="16"/>
          <w:szCs w:val="16"/>
        </w:rPr>
      </w:pPr>
      <w:r>
        <w:rPr>
          <w:rStyle w:val="Znakapoznpodarou"/>
          <w:spacing w:val="-2"/>
          <w:sz w:val="16"/>
          <w:szCs w:val="16"/>
        </w:rPr>
        <w:footnoteRef/>
      </w:r>
      <w:r>
        <w:rPr>
          <w:spacing w:val="-2"/>
          <w:sz w:val="16"/>
          <w:szCs w:val="16"/>
        </w:rPr>
        <w:t xml:space="preserve"> Data o HDP, hrubé přidané hodnotě a jejích složkách jsou vyjádřena ve stálých cenách a v očištění o sezónní a kalendářní vlivy.</w:t>
      </w:r>
    </w:p>
  </w:footnote>
  <w:footnote w:id="2">
    <w:p w14:paraId="720C5770"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Podle metodiky čtvrtletních národních účtů (vývoz a dovoz v ocenění FOB/FOB).</w:t>
      </w:r>
    </w:p>
  </w:footnote>
  <w:footnote w:id="3">
    <w:p w14:paraId="5E8361CA" w14:textId="77777777" w:rsidR="00BA5125" w:rsidRDefault="00BA5125" w:rsidP="00EA1EBB">
      <w:pPr>
        <w:pStyle w:val="Textpoznpodarou"/>
        <w:jc w:val="both"/>
        <w:rPr>
          <w:sz w:val="16"/>
          <w:szCs w:val="16"/>
        </w:rPr>
      </w:pPr>
      <w:r>
        <w:rPr>
          <w:rStyle w:val="Znakapoznpodarou"/>
          <w:spacing w:val="-2"/>
          <w:sz w:val="16"/>
          <w:szCs w:val="16"/>
        </w:rPr>
        <w:footnoteRef/>
      </w:r>
      <w:r>
        <w:rPr>
          <w:spacing w:val="-2"/>
          <w:sz w:val="16"/>
          <w:szCs w:val="16"/>
        </w:rPr>
        <w:t xml:space="preserve"> Údaje o zaměstnanosti jsou uvedeny v pojetí národních účtů a očištěny o sezónní vlivy.</w:t>
      </w:r>
    </w:p>
  </w:footnote>
  <w:footnote w:id="4">
    <w:p w14:paraId="184459A3" w14:textId="77777777" w:rsidR="00BA5125" w:rsidRPr="000348AF" w:rsidRDefault="00BA5125" w:rsidP="00EA1EBB">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w:t>
      </w:r>
      <w:r>
        <w:rPr>
          <w:sz w:val="16"/>
          <w:szCs w:val="16"/>
        </w:rPr>
        <w:t xml:space="preserve"> 1. 3. </w:t>
      </w:r>
      <w:r w:rsidRPr="000348AF">
        <w:rPr>
          <w:sz w:val="16"/>
          <w:szCs w:val="16"/>
        </w:rPr>
        <w:t>202</w:t>
      </w:r>
      <w:r>
        <w:rPr>
          <w:sz w:val="16"/>
          <w:szCs w:val="16"/>
        </w:rPr>
        <w:t>3</w:t>
      </w:r>
      <w:r w:rsidRPr="000348AF">
        <w:rPr>
          <w:sz w:val="16"/>
          <w:szCs w:val="16"/>
        </w:rPr>
        <w:t>.</w:t>
      </w:r>
    </w:p>
  </w:footnote>
  <w:footnote w:id="5">
    <w:p w14:paraId="112F8AD3" w14:textId="77777777" w:rsidR="00BA5125" w:rsidRPr="009C6EA8" w:rsidRDefault="00BA5125" w:rsidP="00EA1EBB">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6">
    <w:p w14:paraId="67ED7480" w14:textId="77777777" w:rsidR="00BA5125" w:rsidRDefault="00BA5125" w:rsidP="00EA1EBB">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7">
    <w:p w14:paraId="1B9B4704" w14:textId="77777777" w:rsidR="00BA5125" w:rsidRPr="005F75B1" w:rsidRDefault="00BA5125" w:rsidP="00EA1EBB">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8">
    <w:p w14:paraId="2F00293D" w14:textId="77777777" w:rsidR="00BA5125" w:rsidRPr="0053191D" w:rsidRDefault="00BA5125" w:rsidP="00EA1EBB">
      <w:pPr>
        <w:pStyle w:val="Textpoznpodarou"/>
        <w:rPr>
          <w:sz w:val="16"/>
          <w:szCs w:val="16"/>
        </w:rPr>
      </w:pPr>
      <w:r w:rsidRPr="0053191D">
        <w:rPr>
          <w:rStyle w:val="Znakapoznpodarou"/>
          <w:sz w:val="16"/>
          <w:szCs w:val="16"/>
        </w:rPr>
        <w:footnoteRef/>
      </w:r>
      <w:r w:rsidRPr="0053191D">
        <w:rPr>
          <w:sz w:val="16"/>
          <w:szCs w:val="16"/>
        </w:rPr>
        <w:t xml:space="preserve"> Tato sekce zahrnuje činnosti organizací sdružujících osoby za účelem prosazování společných zájmů, opravy počítačů a výrobků pro osobní potřebu a převážně pro domácnost a řadu jiných osobních služeb</w:t>
      </w:r>
      <w:r>
        <w:rPr>
          <w:sz w:val="16"/>
          <w:szCs w:val="16"/>
        </w:rPr>
        <w:t xml:space="preserve"> (kosmetické, kadeřnické apod.).</w:t>
      </w:r>
    </w:p>
  </w:footnote>
  <w:footnote w:id="9">
    <w:p w14:paraId="343AD942" w14:textId="77777777" w:rsidR="00BA5125" w:rsidRPr="00954992" w:rsidRDefault="00BA5125" w:rsidP="00EA1EBB">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10">
    <w:p w14:paraId="50AD997C" w14:textId="77777777" w:rsidR="00BA5125" w:rsidRPr="004831F6" w:rsidRDefault="00BA5125" w:rsidP="00EA1EBB">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neočištěná)</w:t>
      </w:r>
      <w:r w:rsidRPr="004831F6">
        <w:rPr>
          <w:sz w:val="16"/>
          <w:szCs w:val="16"/>
        </w:rPr>
        <w:t xml:space="preserve"> </w:t>
      </w:r>
      <w:r>
        <w:rPr>
          <w:sz w:val="16"/>
          <w:szCs w:val="16"/>
        </w:rPr>
        <w:t>loni dosáhla 133,9 mld. korun, zatímco v roce 2022 to bylo 346,5 mld. Ve </w:t>
      </w:r>
      <w:r>
        <w:rPr>
          <w:sz w:val="16"/>
          <w:szCs w:val="16"/>
        </w:rPr>
        <w:br/>
        <w:t>4. čtvrtletí změna zásob činila −54,8 mld. korun.</w:t>
      </w:r>
    </w:p>
  </w:footnote>
  <w:footnote w:id="11">
    <w:p w14:paraId="2EE60217" w14:textId="77777777" w:rsidR="00BA5125" w:rsidRPr="00167B30" w:rsidRDefault="00BA5125" w:rsidP="00EA1EBB">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 w:id="12">
    <w:p w14:paraId="48EAF03E" w14:textId="77777777" w:rsidR="00BA5125" w:rsidRPr="00AC5E0A" w:rsidRDefault="00BA5125" w:rsidP="00EA1EBB">
      <w:pPr>
        <w:pStyle w:val="Textpoznpodarou"/>
        <w:rPr>
          <w:sz w:val="16"/>
          <w:szCs w:val="16"/>
        </w:rPr>
      </w:pPr>
      <w:r w:rsidRPr="00AC5E0A">
        <w:rPr>
          <w:rStyle w:val="Znakapoznpodarou"/>
          <w:sz w:val="16"/>
          <w:szCs w:val="16"/>
        </w:rPr>
        <w:footnoteRef/>
      </w:r>
      <w:r w:rsidRPr="00AC5E0A">
        <w:rPr>
          <w:sz w:val="16"/>
          <w:szCs w:val="16"/>
        </w:rPr>
        <w:t xml:space="preserve"> Výrazný rozdíl mezi dynamikou HDP a HPH byl způsoben vlivem různého ocenění HDP a HPH. Hrubá přidaná hodnota je oceněná </w:t>
      </w:r>
      <w:r>
        <w:rPr>
          <w:sz w:val="16"/>
          <w:szCs w:val="16"/>
        </w:rPr>
        <w:br/>
      </w:r>
      <w:r w:rsidRPr="00AC5E0A">
        <w:rPr>
          <w:sz w:val="16"/>
          <w:szCs w:val="16"/>
        </w:rPr>
        <w:t xml:space="preserve">v základních cenách, zatímco HDP je vyjádřen ve skutečných cenách. </w:t>
      </w:r>
      <w:r>
        <w:rPr>
          <w:sz w:val="16"/>
          <w:szCs w:val="16"/>
        </w:rPr>
        <w:t>Loni</w:t>
      </w:r>
      <w:r w:rsidRPr="00AC5E0A">
        <w:rPr>
          <w:sz w:val="16"/>
          <w:szCs w:val="16"/>
        </w:rPr>
        <w:t xml:space="preserve"> se v těchto rozdílech </w:t>
      </w:r>
      <w:r>
        <w:rPr>
          <w:sz w:val="16"/>
          <w:szCs w:val="16"/>
        </w:rPr>
        <w:t xml:space="preserve">projevily na jedné straně klesající daňové výnosy </w:t>
      </w:r>
      <w:r w:rsidRPr="00AC5E0A">
        <w:rPr>
          <w:sz w:val="16"/>
          <w:szCs w:val="16"/>
        </w:rPr>
        <w:t>souvis</w:t>
      </w:r>
      <w:r>
        <w:rPr>
          <w:sz w:val="16"/>
          <w:szCs w:val="16"/>
        </w:rPr>
        <w:t>ející</w:t>
      </w:r>
      <w:r w:rsidRPr="00AC5E0A">
        <w:rPr>
          <w:sz w:val="16"/>
          <w:szCs w:val="16"/>
        </w:rPr>
        <w:t xml:space="preserve"> s propadající se spotřebou</w:t>
      </w:r>
      <w:r>
        <w:rPr>
          <w:sz w:val="16"/>
          <w:szCs w:val="16"/>
        </w:rPr>
        <w:t>. Zejména na začátku roku měly vliv také d</w:t>
      </w:r>
      <w:r w:rsidRPr="00AC5E0A">
        <w:rPr>
          <w:sz w:val="16"/>
          <w:szCs w:val="16"/>
        </w:rPr>
        <w:t>otace zachycující stropy cen elektřiny</w:t>
      </w:r>
      <w:r>
        <w:rPr>
          <w:sz w:val="16"/>
          <w:szCs w:val="16"/>
        </w:rPr>
        <w:t>.</w:t>
      </w:r>
    </w:p>
  </w:footnote>
  <w:footnote w:id="13">
    <w:p w14:paraId="309857BE" w14:textId="77777777" w:rsidR="00BA5125" w:rsidRPr="007163BD" w:rsidRDefault="00BA5125" w:rsidP="00BA5125">
      <w:pPr>
        <w:pStyle w:val="Textpoznpodarou"/>
        <w:jc w:val="both"/>
        <w:rPr>
          <w:rFonts w:cs="Arial"/>
          <w:color w:val="0D0D0D" w:themeColor="text1" w:themeTint="F2"/>
          <w:spacing w:val="-2"/>
          <w:sz w:val="16"/>
          <w:szCs w:val="16"/>
        </w:rPr>
      </w:pPr>
      <w:r w:rsidRPr="007163BD">
        <w:rPr>
          <w:rStyle w:val="Znakapoznpodarou"/>
          <w:rFonts w:cs="Arial"/>
          <w:color w:val="0D0D0D" w:themeColor="text1" w:themeTint="F2"/>
          <w:spacing w:val="-2"/>
          <w:sz w:val="16"/>
          <w:szCs w:val="16"/>
        </w:rPr>
        <w:footnoteRef/>
      </w:r>
      <w:r w:rsidRPr="007163BD">
        <w:rPr>
          <w:rFonts w:cs="Arial"/>
          <w:color w:val="0D0D0D" w:themeColor="text1" w:themeTint="F2"/>
          <w:spacing w:val="-2"/>
          <w:sz w:val="16"/>
          <w:szCs w:val="16"/>
        </w:rPr>
        <w:t xml:space="preserve"> Údaje o HPH jsou vyjádřeny ve stálých cenách a v očištění o sezónní a kalendářní vlivy.</w:t>
      </w:r>
    </w:p>
  </w:footnote>
  <w:footnote w:id="14">
    <w:p w14:paraId="5F6ADF1A" w14:textId="77777777" w:rsidR="00BA5125" w:rsidRDefault="00BA5125" w:rsidP="00BA5125">
      <w:pPr>
        <w:pStyle w:val="Textpoznpodarou"/>
      </w:pPr>
      <w:r w:rsidRPr="00CA3327">
        <w:rPr>
          <w:rStyle w:val="Znakapoznpodarou"/>
          <w:sz w:val="16"/>
          <w:szCs w:val="16"/>
        </w:rPr>
        <w:footnoteRef/>
      </w:r>
      <w:r w:rsidRPr="00CA3327">
        <w:rPr>
          <w:sz w:val="16"/>
          <w:szCs w:val="16"/>
        </w:rPr>
        <w:t xml:space="preserve"> Zahrnují</w:t>
      </w:r>
      <w:r w:rsidRPr="002964C4">
        <w:rPr>
          <w:sz w:val="16"/>
          <w:szCs w:val="16"/>
        </w:rPr>
        <w:t xml:space="preserve"> skupinu veřejná správa a obrana, vzdělávání, zdravotní a sociální péče.</w:t>
      </w:r>
    </w:p>
  </w:footnote>
  <w:footnote w:id="15">
    <w:p w14:paraId="21FDCDF0" w14:textId="77777777" w:rsidR="00BA5125" w:rsidRPr="00FC6D1B" w:rsidRDefault="00BA5125" w:rsidP="00BA5125">
      <w:pPr>
        <w:pStyle w:val="Textpoznpodarou"/>
        <w:rPr>
          <w:sz w:val="16"/>
          <w:szCs w:val="16"/>
        </w:rPr>
      </w:pPr>
      <w:r w:rsidRPr="00FC6D1B">
        <w:rPr>
          <w:rStyle w:val="Znakapoznpodarou"/>
          <w:sz w:val="16"/>
          <w:szCs w:val="16"/>
        </w:rPr>
        <w:footnoteRef/>
      </w:r>
      <w:r w:rsidRPr="00FC6D1B">
        <w:rPr>
          <w:sz w:val="16"/>
          <w:szCs w:val="16"/>
        </w:rPr>
        <w:t xml:space="preserve"> Těžba a energetika přitom brzdily růst HPH v celé ekonomice nejvíce </w:t>
      </w:r>
      <w:r>
        <w:rPr>
          <w:sz w:val="16"/>
          <w:szCs w:val="16"/>
        </w:rPr>
        <w:t>ze</w:t>
      </w:r>
      <w:r w:rsidRPr="00FC6D1B">
        <w:rPr>
          <w:sz w:val="16"/>
          <w:szCs w:val="16"/>
        </w:rPr>
        <w:t xml:space="preserve"> všech hlavních odvětví již v roce 2022</w:t>
      </w:r>
      <w:r>
        <w:rPr>
          <w:sz w:val="16"/>
          <w:szCs w:val="16"/>
        </w:rPr>
        <w:t xml:space="preserve"> (</w:t>
      </w:r>
      <w:r w:rsidRPr="008726C6">
        <w:rPr>
          <w:sz w:val="16"/>
          <w:szCs w:val="16"/>
        </w:rPr>
        <w:t>−</w:t>
      </w:r>
      <w:r>
        <w:rPr>
          <w:sz w:val="16"/>
          <w:szCs w:val="16"/>
        </w:rPr>
        <w:t>1,2 p. b.)</w:t>
      </w:r>
      <w:r w:rsidRPr="00FC6D1B">
        <w:rPr>
          <w:sz w:val="16"/>
          <w:szCs w:val="16"/>
        </w:rPr>
        <w:t>.</w:t>
      </w:r>
      <w:r>
        <w:rPr>
          <w:sz w:val="16"/>
          <w:szCs w:val="16"/>
        </w:rPr>
        <w:t xml:space="preserve"> Přidaná hodnota vytvořená loni v tomto odvětví dosáhla pouze poloviny úrovně z roku 2019.</w:t>
      </w:r>
    </w:p>
  </w:footnote>
  <w:footnote w:id="16">
    <w:p w14:paraId="20D2381F" w14:textId="77777777" w:rsidR="00BA5125" w:rsidRPr="00133104" w:rsidRDefault="00BA5125" w:rsidP="00BA5125">
      <w:pPr>
        <w:pStyle w:val="Textpoznpodarou"/>
        <w:rPr>
          <w:sz w:val="16"/>
          <w:szCs w:val="16"/>
        </w:rPr>
      </w:pPr>
      <w:r w:rsidRPr="00133104">
        <w:rPr>
          <w:rStyle w:val="Znakapoznpodarou"/>
          <w:sz w:val="16"/>
          <w:szCs w:val="16"/>
        </w:rPr>
        <w:footnoteRef/>
      </w:r>
      <w:r w:rsidRPr="00133104">
        <w:rPr>
          <w:sz w:val="16"/>
          <w:szCs w:val="16"/>
        </w:rPr>
        <w:t xml:space="preserve"> Přímý nákup mléka od producentů vzrostl (v naturálním </w:t>
      </w:r>
      <w:r>
        <w:rPr>
          <w:sz w:val="16"/>
          <w:szCs w:val="16"/>
        </w:rPr>
        <w:t xml:space="preserve">vyjádření) loni meziročně o </w:t>
      </w:r>
      <w:r w:rsidRPr="00133104">
        <w:rPr>
          <w:sz w:val="16"/>
          <w:szCs w:val="16"/>
        </w:rPr>
        <w:t>1</w:t>
      </w:r>
      <w:r>
        <w:rPr>
          <w:sz w:val="16"/>
          <w:szCs w:val="16"/>
        </w:rPr>
        <w:t>,6</w:t>
      </w:r>
      <w:r w:rsidRPr="00133104">
        <w:rPr>
          <w:sz w:val="16"/>
          <w:szCs w:val="16"/>
        </w:rPr>
        <w:t xml:space="preserve"> %. </w:t>
      </w:r>
      <w:r>
        <w:rPr>
          <w:sz w:val="16"/>
          <w:szCs w:val="16"/>
        </w:rPr>
        <w:t>Loňská v</w:t>
      </w:r>
      <w:r w:rsidRPr="000C7C27">
        <w:rPr>
          <w:sz w:val="16"/>
          <w:szCs w:val="16"/>
        </w:rPr>
        <w:t>ýroba masa na jatkách</w:t>
      </w:r>
      <w:r>
        <w:rPr>
          <w:sz w:val="16"/>
          <w:szCs w:val="16"/>
        </w:rPr>
        <w:t xml:space="preserve"> dosáhla 435,9 tis. tun (nejméně </w:t>
      </w:r>
      <w:r w:rsidRPr="000C7C27">
        <w:rPr>
          <w:sz w:val="16"/>
          <w:szCs w:val="16"/>
        </w:rPr>
        <w:t>v historii samostatné ČR</w:t>
      </w:r>
      <w:r>
        <w:rPr>
          <w:sz w:val="16"/>
          <w:szCs w:val="16"/>
        </w:rPr>
        <w:t>)</w:t>
      </w:r>
      <w:r w:rsidRPr="000C7C27">
        <w:rPr>
          <w:sz w:val="16"/>
          <w:szCs w:val="16"/>
        </w:rPr>
        <w:t>. Stejně jako v roce 2022 byl i loni pokles tažen hlavně nižší výrobou vepřového masa, naopak u hov</w:t>
      </w:r>
      <w:r>
        <w:rPr>
          <w:sz w:val="16"/>
          <w:szCs w:val="16"/>
        </w:rPr>
        <w:t>ězího došlo v roce 2023 k mírnému</w:t>
      </w:r>
      <w:r w:rsidRPr="000C7C27">
        <w:rPr>
          <w:sz w:val="16"/>
          <w:szCs w:val="16"/>
        </w:rPr>
        <w:t xml:space="preserve"> nárůst</w:t>
      </w:r>
      <w:r>
        <w:rPr>
          <w:sz w:val="16"/>
          <w:szCs w:val="16"/>
        </w:rPr>
        <w:t>u. Hrubá tuzemská produkce</w:t>
      </w:r>
      <w:r w:rsidRPr="000C7C27">
        <w:rPr>
          <w:sz w:val="16"/>
          <w:szCs w:val="16"/>
        </w:rPr>
        <w:t xml:space="preserve"> odpovídající celkovým dodávkám z českých chovů na jatka (v tuzemsku i zahraničí) se loni meziročně propadla u vepřového masa o 7,6 % (v roce</w:t>
      </w:r>
      <w:r>
        <w:rPr>
          <w:sz w:val="16"/>
          <w:szCs w:val="16"/>
        </w:rPr>
        <w:t xml:space="preserve"> 2022 klesla o 5,6 %), naopak u</w:t>
      </w:r>
      <w:r w:rsidRPr="001A321F">
        <w:rPr>
          <w:spacing w:val="-2"/>
          <w:sz w:val="16"/>
          <w:szCs w:val="16"/>
        </w:rPr>
        <w:t> </w:t>
      </w:r>
      <w:r w:rsidRPr="000C7C27">
        <w:rPr>
          <w:sz w:val="16"/>
          <w:szCs w:val="16"/>
        </w:rPr>
        <w:t>hovězího vzrostla o 3,2 % (předloni ale klesla o 1,6 %) a u drůbežího zhruba stagnovala (i v roce 2022).</w:t>
      </w:r>
    </w:p>
  </w:footnote>
  <w:footnote w:id="17">
    <w:p w14:paraId="3BBFBF20" w14:textId="77777777" w:rsidR="00BA5125" w:rsidRPr="0089127D" w:rsidRDefault="00BA5125" w:rsidP="00BA5125">
      <w:pPr>
        <w:pStyle w:val="Textpoznpodarou"/>
        <w:rPr>
          <w:sz w:val="16"/>
          <w:szCs w:val="16"/>
        </w:rPr>
      </w:pPr>
      <w:r w:rsidRPr="00C24490">
        <w:rPr>
          <w:rStyle w:val="Znakapoznpodarou"/>
          <w:sz w:val="16"/>
          <w:szCs w:val="16"/>
        </w:rPr>
        <w:footnoteRef/>
      </w:r>
      <w:r w:rsidRPr="00C24490">
        <w:rPr>
          <w:rStyle w:val="Znakapoznpodarou"/>
          <w:sz w:val="16"/>
          <w:szCs w:val="16"/>
        </w:rPr>
        <w:t xml:space="preserve"> </w:t>
      </w:r>
      <w:r w:rsidRPr="00C24490">
        <w:rPr>
          <w:sz w:val="16"/>
          <w:szCs w:val="16"/>
        </w:rPr>
        <w:t>Sklizeň všec</w:t>
      </w:r>
      <w:r>
        <w:rPr>
          <w:sz w:val="16"/>
          <w:szCs w:val="16"/>
        </w:rPr>
        <w:t>h obilovin dosáhla loni 7,996</w:t>
      </w:r>
      <w:r w:rsidRPr="00C24490">
        <w:rPr>
          <w:sz w:val="16"/>
          <w:szCs w:val="16"/>
        </w:rPr>
        <w:t xml:space="preserve"> mil. tun </w:t>
      </w:r>
      <w:r>
        <w:rPr>
          <w:sz w:val="16"/>
          <w:szCs w:val="16"/>
        </w:rPr>
        <w:t>(</w:t>
      </w:r>
      <w:r w:rsidRPr="00C24490">
        <w:rPr>
          <w:sz w:val="16"/>
          <w:szCs w:val="16"/>
        </w:rPr>
        <w:t>při výnosu 6,0</w:t>
      </w:r>
      <w:r>
        <w:rPr>
          <w:sz w:val="16"/>
          <w:szCs w:val="16"/>
        </w:rPr>
        <w:t>7</w:t>
      </w:r>
      <w:r w:rsidRPr="00C24490">
        <w:rPr>
          <w:sz w:val="16"/>
          <w:szCs w:val="16"/>
        </w:rPr>
        <w:t xml:space="preserve"> t/ha</w:t>
      </w:r>
      <w:r>
        <w:rPr>
          <w:sz w:val="16"/>
          <w:szCs w:val="16"/>
        </w:rPr>
        <w:t>). Meziročně je sklizeň nižší o 2,7</w:t>
      </w:r>
      <w:r w:rsidRPr="00C24490">
        <w:rPr>
          <w:sz w:val="16"/>
          <w:szCs w:val="16"/>
        </w:rPr>
        <w:t xml:space="preserve"> %, 5</w:t>
      </w:r>
      <w:r>
        <w:rPr>
          <w:sz w:val="16"/>
          <w:szCs w:val="16"/>
        </w:rPr>
        <w:t>letý průměr ale převyšuje (+2,0</w:t>
      </w:r>
      <w:r w:rsidRPr="00C24490">
        <w:rPr>
          <w:sz w:val="16"/>
          <w:szCs w:val="16"/>
        </w:rPr>
        <w:t xml:space="preserve"> %</w:t>
      </w:r>
      <w:r>
        <w:rPr>
          <w:sz w:val="16"/>
          <w:szCs w:val="16"/>
        </w:rPr>
        <w:t>, z toho pšenice +8,4 %</w:t>
      </w:r>
      <w:r w:rsidRPr="00C24490">
        <w:rPr>
          <w:sz w:val="16"/>
          <w:szCs w:val="16"/>
        </w:rPr>
        <w:t xml:space="preserve">). </w:t>
      </w:r>
      <w:r>
        <w:rPr>
          <w:sz w:val="16"/>
          <w:szCs w:val="16"/>
        </w:rPr>
        <w:t>Meziroční pokles sklizně nastal také u</w:t>
      </w:r>
      <w:r w:rsidRPr="008726C6">
        <w:rPr>
          <w:sz w:val="16"/>
          <w:szCs w:val="16"/>
        </w:rPr>
        <w:t xml:space="preserve"> luskovin na zrno (−9,9 %), brambor (−12,4 %), cukrové řepy (−5,5 %), pícnin (−6,3 %), vína (−16,1 %) i ovoce (−22,7 %). Naopak vyšší byla úroda olejnin (+9,4 %), zeleniny (+15,4 %) a chmele (+57,2 %).</w:t>
      </w:r>
      <w:r>
        <w:rPr>
          <w:sz w:val="16"/>
          <w:szCs w:val="16"/>
        </w:rPr>
        <w:t xml:space="preserve"> Ve srovnání s 5letým průměrem lze loňskou sklizeň považovat za dobrou u olejnin, luskovin, řepky či chmele, za podprůměrnou pak u pícnin, vína a brambor (v prvé řadě vlivem </w:t>
      </w:r>
      <w:r w:rsidRPr="0089127D">
        <w:rPr>
          <w:sz w:val="16"/>
          <w:szCs w:val="16"/>
        </w:rPr>
        <w:t>historicky nejmenší osázené plochy).</w:t>
      </w:r>
    </w:p>
  </w:footnote>
  <w:footnote w:id="18">
    <w:p w14:paraId="4613FB80" w14:textId="77777777" w:rsidR="00BA5125" w:rsidRPr="00E1174E" w:rsidRDefault="00BA5125" w:rsidP="00BA5125">
      <w:pPr>
        <w:spacing w:after="0" w:line="240" w:lineRule="auto"/>
        <w:rPr>
          <w:rFonts w:cs="Arial"/>
          <w:color w:val="0D0D0D" w:themeColor="text1" w:themeTint="F2"/>
          <w:spacing w:val="-4"/>
          <w:sz w:val="16"/>
          <w:szCs w:val="16"/>
        </w:rPr>
      </w:pPr>
      <w:r w:rsidRPr="008C2F46">
        <w:rPr>
          <w:rStyle w:val="Znakapoznpodarou"/>
          <w:spacing w:val="-4"/>
          <w:sz w:val="16"/>
          <w:szCs w:val="16"/>
        </w:rPr>
        <w:footnoteRef/>
      </w:r>
      <w:r w:rsidRPr="008C2F46">
        <w:rPr>
          <w:spacing w:val="-4"/>
          <w:sz w:val="16"/>
          <w:szCs w:val="16"/>
        </w:rPr>
        <w:t xml:space="preserve"> </w:t>
      </w:r>
      <w:r w:rsidRPr="00E1174E">
        <w:rPr>
          <w:rFonts w:cs="Arial"/>
          <w:color w:val="0D0D0D" w:themeColor="text1" w:themeTint="F2"/>
          <w:spacing w:val="-4"/>
          <w:sz w:val="16"/>
          <w:szCs w:val="16"/>
        </w:rPr>
        <w:t>Zahrnuje odvětví těžby a dobývání, zpracovatelského průmyslu a také energetiky (zde pojímané jako odvětví výroby a rozvodu elektřiny, plynu, tepla a klimatizovaného vzduchu). Všechna meziroční tempa produkce jsou očištěna o kalendářní vlivy, mezičtvrtletní tempa i o vliv sezónnosti.</w:t>
      </w:r>
    </w:p>
  </w:footnote>
  <w:footnote w:id="19">
    <w:p w14:paraId="07A44548" w14:textId="77777777" w:rsidR="00BA5125" w:rsidRPr="0013125D" w:rsidRDefault="00BA5125" w:rsidP="00BA5125">
      <w:pPr>
        <w:pStyle w:val="Textpoznpodarou"/>
        <w:rPr>
          <w:sz w:val="16"/>
          <w:szCs w:val="16"/>
        </w:rPr>
      </w:pPr>
      <w:r w:rsidRPr="0013125D">
        <w:rPr>
          <w:rStyle w:val="Znakapoznpodarou"/>
          <w:sz w:val="16"/>
          <w:szCs w:val="16"/>
        </w:rPr>
        <w:footnoteRef/>
      </w:r>
      <w:r w:rsidRPr="0013125D">
        <w:rPr>
          <w:sz w:val="16"/>
          <w:szCs w:val="16"/>
        </w:rPr>
        <w:t xml:space="preserve"> Z</w:t>
      </w:r>
      <w:r>
        <w:rPr>
          <w:sz w:val="16"/>
          <w:szCs w:val="16"/>
        </w:rPr>
        <w:t xml:space="preserve">a svým vrcholem </w:t>
      </w:r>
      <w:r w:rsidRPr="0013125D">
        <w:rPr>
          <w:sz w:val="16"/>
          <w:szCs w:val="16"/>
        </w:rPr>
        <w:t xml:space="preserve">z období </w:t>
      </w:r>
      <w:r>
        <w:rPr>
          <w:sz w:val="16"/>
          <w:szCs w:val="16"/>
        </w:rPr>
        <w:t xml:space="preserve">let </w:t>
      </w:r>
      <w:r w:rsidRPr="0013125D">
        <w:rPr>
          <w:sz w:val="16"/>
          <w:szCs w:val="16"/>
        </w:rPr>
        <w:t>2015</w:t>
      </w:r>
      <w:r>
        <w:rPr>
          <w:sz w:val="16"/>
          <w:szCs w:val="16"/>
        </w:rPr>
        <w:t>–</w:t>
      </w:r>
      <w:r w:rsidRPr="0013125D">
        <w:rPr>
          <w:sz w:val="16"/>
          <w:szCs w:val="16"/>
        </w:rPr>
        <w:t>2019 loni ve 4. čtvrtletí zaostávaly dvě třetiny prů</w:t>
      </w:r>
      <w:r>
        <w:rPr>
          <w:sz w:val="16"/>
          <w:szCs w:val="16"/>
        </w:rPr>
        <w:t xml:space="preserve">myslových oborů – nejvíce těžba uhlí (o 59 %), </w:t>
      </w:r>
      <w:proofErr w:type="gramStart"/>
      <w:r>
        <w:rPr>
          <w:sz w:val="16"/>
          <w:szCs w:val="16"/>
        </w:rPr>
        <w:t>kožedělný (–29</w:t>
      </w:r>
      <w:proofErr w:type="gramEnd"/>
      <w:r>
        <w:rPr>
          <w:sz w:val="16"/>
          <w:szCs w:val="16"/>
        </w:rPr>
        <w:t xml:space="preserve"> %), hutnický (–28 %), textilní (–24 %), tiskařský průmysl (–22 %) a energetika (–19 %). </w:t>
      </w:r>
    </w:p>
  </w:footnote>
  <w:footnote w:id="20">
    <w:p w14:paraId="44027E39" w14:textId="77777777" w:rsidR="00BA5125" w:rsidRPr="00E1174E" w:rsidRDefault="00BA5125" w:rsidP="00BA5125">
      <w:pPr>
        <w:pStyle w:val="Textpoznpodarou"/>
        <w:rPr>
          <w:color w:val="0D0D0D" w:themeColor="text1" w:themeTint="F2"/>
          <w:sz w:val="16"/>
          <w:szCs w:val="16"/>
        </w:rPr>
      </w:pPr>
      <w:r w:rsidRPr="00E1174E">
        <w:rPr>
          <w:rStyle w:val="Znakapoznpodarou"/>
          <w:color w:val="0D0D0D" w:themeColor="text1" w:themeTint="F2"/>
          <w:sz w:val="16"/>
          <w:szCs w:val="16"/>
        </w:rPr>
        <w:footnoteRef/>
      </w:r>
      <w:r w:rsidRPr="00E1174E">
        <w:rPr>
          <w:color w:val="0D0D0D" w:themeColor="text1" w:themeTint="F2"/>
          <w:sz w:val="16"/>
          <w:szCs w:val="16"/>
        </w:rPr>
        <w:t xml:space="preserve"> Bez příspěvku tohoto odvětví by se meziroční pokles průmyslu blížil 4 %</w:t>
      </w:r>
      <w:r>
        <w:rPr>
          <w:color w:val="0D0D0D" w:themeColor="text1" w:themeTint="F2"/>
          <w:sz w:val="16"/>
          <w:szCs w:val="16"/>
        </w:rPr>
        <w:t>.</w:t>
      </w:r>
    </w:p>
  </w:footnote>
  <w:footnote w:id="21">
    <w:p w14:paraId="2EB12AD9" w14:textId="77777777" w:rsidR="00BA5125" w:rsidRPr="00E1174E" w:rsidRDefault="00BA5125" w:rsidP="00BA5125">
      <w:pPr>
        <w:pStyle w:val="Textpoznpodarou"/>
        <w:rPr>
          <w:color w:val="0D0D0D" w:themeColor="text1" w:themeTint="F2"/>
          <w:sz w:val="16"/>
          <w:szCs w:val="16"/>
        </w:rPr>
      </w:pPr>
      <w:r w:rsidRPr="00E1174E">
        <w:rPr>
          <w:rStyle w:val="Znakapoznpodarou"/>
          <w:color w:val="0D0D0D" w:themeColor="text1" w:themeTint="F2"/>
          <w:sz w:val="16"/>
          <w:szCs w:val="16"/>
        </w:rPr>
        <w:footnoteRef/>
      </w:r>
      <w:r w:rsidRPr="00E1174E">
        <w:rPr>
          <w:color w:val="0D0D0D" w:themeColor="text1" w:themeTint="F2"/>
          <w:sz w:val="16"/>
          <w:szCs w:val="16"/>
        </w:rPr>
        <w:t xml:space="preserve"> Dle Sdružení automobilového průmyslu bylo za loňský rok v Česku vyrobeno 1,398 mil. osobních automobilů (nejvíce v tomto období za poslední čtyři roky a pouze o necelá 3 % méně než v rekordním roce 2018). Výroba meziročně posílila o 14,8 %. </w:t>
      </w:r>
      <w:r w:rsidRPr="00E1174E">
        <w:rPr>
          <w:color w:val="0D0D0D" w:themeColor="text1" w:themeTint="F2"/>
          <w:spacing w:val="-3"/>
          <w:sz w:val="16"/>
          <w:szCs w:val="16"/>
        </w:rPr>
        <w:t>Březnová, červnová, červencová a říjnová výroba byla v rámci shodných měsíců dokonce nejvyšší v historii. Na elektrická vozidla (vč. vozů s hybridní</w:t>
      </w:r>
      <w:r>
        <w:rPr>
          <w:color w:val="0D0D0D" w:themeColor="text1" w:themeTint="F2"/>
          <w:spacing w:val="-3"/>
          <w:sz w:val="16"/>
          <w:szCs w:val="16"/>
        </w:rPr>
        <w:t>m pohonem) připadalo dosud loni</w:t>
      </w:r>
      <w:r w:rsidRPr="00E1174E">
        <w:rPr>
          <w:color w:val="0D0D0D" w:themeColor="text1" w:themeTint="F2"/>
          <w:spacing w:val="-3"/>
          <w:sz w:val="16"/>
          <w:szCs w:val="16"/>
        </w:rPr>
        <w:t xml:space="preserve"> již 12,9 % všech v tuzemsku vyrobených osobních automobilů. Meziročně nižší produkci zaznamenali naopak výrobci většiny ostatních druhů motorových silničních vozidel.</w:t>
      </w:r>
    </w:p>
  </w:footnote>
  <w:footnote w:id="22">
    <w:p w14:paraId="5DC58E03" w14:textId="77777777" w:rsidR="00BA5125" w:rsidRDefault="00BA5125" w:rsidP="00BA5125">
      <w:pPr>
        <w:pStyle w:val="Textpoznpodarou"/>
      </w:pPr>
      <w:r w:rsidRPr="00E1174E">
        <w:rPr>
          <w:rStyle w:val="Znakapoznpodarou"/>
          <w:color w:val="0D0D0D" w:themeColor="text1" w:themeTint="F2"/>
          <w:sz w:val="16"/>
          <w:szCs w:val="16"/>
        </w:rPr>
        <w:footnoteRef/>
      </w:r>
      <w:r w:rsidRPr="00E1174E">
        <w:rPr>
          <w:color w:val="0D0D0D" w:themeColor="text1" w:themeTint="F2"/>
          <w:sz w:val="16"/>
          <w:szCs w:val="16"/>
        </w:rPr>
        <w:t xml:space="preserve"> </w:t>
      </w:r>
      <w:r w:rsidRPr="00E1174E">
        <w:rPr>
          <w:rFonts w:eastAsia="Times New Roman" w:cs="Arial"/>
          <w:color w:val="0D0D0D" w:themeColor="text1" w:themeTint="F2"/>
          <w:spacing w:val="-4"/>
          <w:sz w:val="16"/>
          <w:szCs w:val="16"/>
        </w:rPr>
        <w:t>Dle Evropského sdružení výrobců automobilů vzrostly v roce 2023 počty registrací nových osobních aut v EU meziro</w:t>
      </w:r>
      <w:r>
        <w:rPr>
          <w:rFonts w:eastAsia="Times New Roman" w:cs="Arial"/>
          <w:color w:val="0D0D0D" w:themeColor="text1" w:themeTint="F2"/>
          <w:spacing w:val="-4"/>
          <w:sz w:val="16"/>
          <w:szCs w:val="16"/>
        </w:rPr>
        <w:t>čně o 13,9 %. Ty se zvyšovaly</w:t>
      </w:r>
      <w:r w:rsidRPr="00E1174E">
        <w:rPr>
          <w:rFonts w:eastAsia="Times New Roman" w:cs="Arial"/>
          <w:color w:val="0D0D0D" w:themeColor="text1" w:themeTint="F2"/>
          <w:spacing w:val="-4"/>
          <w:sz w:val="16"/>
          <w:szCs w:val="16"/>
        </w:rPr>
        <w:t xml:space="preserve"> nepřetržitě 16 měsíců v řadě až do loňského prosince, kdy došlo k mírnému meziročnímu poklesu zejména vlivem slabší poptávky na německém trhu. </w:t>
      </w:r>
      <w:r w:rsidRPr="00E1174E">
        <w:rPr>
          <w:color w:val="0D0D0D" w:themeColor="text1" w:themeTint="F2"/>
          <w:sz w:val="16"/>
          <w:szCs w:val="16"/>
        </w:rPr>
        <w:t xml:space="preserve">I díky rostoucím dovozům cenově dostupnějších modelů z Asie se </w:t>
      </w:r>
      <w:r>
        <w:rPr>
          <w:color w:val="0D0D0D" w:themeColor="text1" w:themeTint="F2"/>
          <w:sz w:val="16"/>
          <w:szCs w:val="16"/>
        </w:rPr>
        <w:t xml:space="preserve">svižně </w:t>
      </w:r>
      <w:r w:rsidRPr="00E1174E">
        <w:rPr>
          <w:color w:val="0D0D0D" w:themeColor="text1" w:themeTint="F2"/>
          <w:sz w:val="16"/>
          <w:szCs w:val="16"/>
        </w:rPr>
        <w:t>zvyšovala poptávka po elektrických vozech (vč. hybridních), ty tak loni v EU tvořily j</w:t>
      </w:r>
      <w:r>
        <w:rPr>
          <w:color w:val="0D0D0D" w:themeColor="text1" w:themeTint="F2"/>
          <w:sz w:val="16"/>
          <w:szCs w:val="16"/>
        </w:rPr>
        <w:t>iž 48 % všech nových registrací automobilů.</w:t>
      </w:r>
    </w:p>
  </w:footnote>
  <w:footnote w:id="23">
    <w:p w14:paraId="7EE5F85B" w14:textId="77777777" w:rsidR="00BA5125" w:rsidRPr="0022017D" w:rsidRDefault="00BA5125" w:rsidP="00BA5125">
      <w:pPr>
        <w:pStyle w:val="Textpoznpodarou"/>
        <w:rPr>
          <w:sz w:val="16"/>
          <w:szCs w:val="16"/>
        </w:rPr>
      </w:pPr>
      <w:r w:rsidRPr="0022017D">
        <w:rPr>
          <w:rStyle w:val="Znakapoznpodarou"/>
          <w:sz w:val="16"/>
          <w:szCs w:val="16"/>
        </w:rPr>
        <w:footnoteRef/>
      </w:r>
      <w:r w:rsidRPr="0022017D">
        <w:rPr>
          <w:sz w:val="16"/>
          <w:szCs w:val="16"/>
        </w:rPr>
        <w:t xml:space="preserve"> Vysoké využití kapacit (nad 85 %) signalizovala na konci loňského roku i výroba ostatních dopravních prostředků, petrochemický, farmaceutický</w:t>
      </w:r>
      <w:r>
        <w:rPr>
          <w:sz w:val="16"/>
          <w:szCs w:val="16"/>
        </w:rPr>
        <w:t>, textilní,</w:t>
      </w:r>
      <w:r w:rsidRPr="0022017D">
        <w:rPr>
          <w:sz w:val="16"/>
          <w:szCs w:val="16"/>
        </w:rPr>
        <w:t xml:space="preserve"> kožedělný</w:t>
      </w:r>
      <w:r>
        <w:rPr>
          <w:sz w:val="16"/>
          <w:szCs w:val="16"/>
        </w:rPr>
        <w:t xml:space="preserve"> a obuvnický průmysl a také opravy strojů a zařízení.</w:t>
      </w:r>
    </w:p>
  </w:footnote>
  <w:footnote w:id="24">
    <w:p w14:paraId="5775B125" w14:textId="77777777" w:rsidR="00BA5125" w:rsidRPr="00725626" w:rsidRDefault="00BA5125" w:rsidP="00BA5125">
      <w:pPr>
        <w:pStyle w:val="Textpoznpodarou"/>
        <w:rPr>
          <w:sz w:val="16"/>
          <w:szCs w:val="16"/>
        </w:rPr>
      </w:pPr>
      <w:r w:rsidRPr="00725626">
        <w:rPr>
          <w:rStyle w:val="Znakapoznpodarou"/>
          <w:sz w:val="16"/>
          <w:szCs w:val="16"/>
        </w:rPr>
        <w:footnoteRef/>
      </w:r>
      <w:r w:rsidRPr="00725626">
        <w:rPr>
          <w:sz w:val="16"/>
          <w:szCs w:val="16"/>
        </w:rPr>
        <w:t xml:space="preserve"> I Tento mělký pokles produkce znamenal loni v tomto tradičně stabilním oboru nejhorší výsledek za posledních 12 let. </w:t>
      </w:r>
    </w:p>
  </w:footnote>
  <w:footnote w:id="25">
    <w:p w14:paraId="5919BC78" w14:textId="77777777" w:rsidR="00BA5125" w:rsidRPr="005C7A8D" w:rsidRDefault="00BA5125" w:rsidP="00BA5125">
      <w:pPr>
        <w:pStyle w:val="Textpoznpodarou"/>
        <w:rPr>
          <w:sz w:val="16"/>
          <w:szCs w:val="16"/>
        </w:rPr>
      </w:pPr>
      <w:r w:rsidRPr="005C7A8D">
        <w:rPr>
          <w:rStyle w:val="Znakapoznpodarou"/>
          <w:sz w:val="16"/>
          <w:szCs w:val="16"/>
        </w:rPr>
        <w:footnoteRef/>
      </w:r>
      <w:r w:rsidRPr="005C7A8D">
        <w:rPr>
          <w:sz w:val="16"/>
          <w:szCs w:val="16"/>
        </w:rPr>
        <w:t xml:space="preserve"> Tento obor zahrnuje (vedle váhově dominantní skupiny výroby lékařských a dentálních nástrojů a potřeb) také výrobu her, hraček, hudebních nástrojů, sportovních potřeb či klenotů a bižuterie.</w:t>
      </w:r>
    </w:p>
  </w:footnote>
  <w:footnote w:id="26">
    <w:p w14:paraId="4B60343D" w14:textId="77777777" w:rsidR="00BA5125" w:rsidRPr="009767C5" w:rsidRDefault="00BA5125" w:rsidP="00BA5125">
      <w:pPr>
        <w:pStyle w:val="Textpoznpodarou"/>
        <w:rPr>
          <w:color w:val="0D0D0D" w:themeColor="text1" w:themeTint="F2"/>
          <w:spacing w:val="-4"/>
          <w:sz w:val="16"/>
          <w:szCs w:val="16"/>
        </w:rPr>
      </w:pPr>
      <w:r w:rsidRPr="00BF5830">
        <w:rPr>
          <w:rStyle w:val="Znakapoznpodarou"/>
          <w:spacing w:val="-4"/>
          <w:sz w:val="16"/>
          <w:szCs w:val="16"/>
        </w:rPr>
        <w:footnoteRef/>
      </w:r>
      <w:r w:rsidRPr="00BF5830">
        <w:rPr>
          <w:spacing w:val="-4"/>
          <w:sz w:val="16"/>
          <w:szCs w:val="16"/>
        </w:rPr>
        <w:t xml:space="preserve"> </w:t>
      </w:r>
      <w:r w:rsidRPr="00201E70">
        <w:rPr>
          <w:color w:val="0D0D0D" w:themeColor="text1" w:themeTint="F2"/>
          <w:spacing w:val="-4"/>
          <w:sz w:val="16"/>
          <w:szCs w:val="16"/>
        </w:rPr>
        <w:t xml:space="preserve">Dle údajů energetického regulačního </w:t>
      </w:r>
      <w:r>
        <w:rPr>
          <w:color w:val="0D0D0D" w:themeColor="text1" w:themeTint="F2"/>
          <w:spacing w:val="-4"/>
          <w:sz w:val="16"/>
          <w:szCs w:val="16"/>
        </w:rPr>
        <w:t>úřadu se v roce 2023</w:t>
      </w:r>
      <w:r w:rsidRPr="00201E70">
        <w:rPr>
          <w:color w:val="0D0D0D" w:themeColor="text1" w:themeTint="F2"/>
          <w:spacing w:val="-4"/>
          <w:sz w:val="16"/>
          <w:szCs w:val="16"/>
        </w:rPr>
        <w:t xml:space="preserve"> hrubá tuzemská spotřeba el</w:t>
      </w:r>
      <w:r>
        <w:rPr>
          <w:color w:val="0D0D0D" w:themeColor="text1" w:themeTint="F2"/>
          <w:spacing w:val="-4"/>
          <w:sz w:val="16"/>
          <w:szCs w:val="16"/>
        </w:rPr>
        <w:t>ektřiny meziročně snížila o 4,2 % (srovnatelně jako v roce 2022). K úspoře došlo loni</w:t>
      </w:r>
      <w:r w:rsidRPr="00201E70">
        <w:rPr>
          <w:color w:val="0D0D0D" w:themeColor="text1" w:themeTint="F2"/>
          <w:spacing w:val="-4"/>
          <w:sz w:val="16"/>
          <w:szCs w:val="16"/>
        </w:rPr>
        <w:t xml:space="preserve"> </w:t>
      </w:r>
      <w:r w:rsidRPr="00201E70">
        <w:rPr>
          <w:color w:val="0D0D0D" w:themeColor="text1" w:themeTint="F2"/>
          <w:spacing w:val="-3"/>
          <w:sz w:val="16"/>
          <w:szCs w:val="16"/>
        </w:rPr>
        <w:t>u všech hlavních kategorií spotře</w:t>
      </w:r>
      <w:r>
        <w:rPr>
          <w:color w:val="0D0D0D" w:themeColor="text1" w:themeTint="F2"/>
          <w:spacing w:val="-3"/>
          <w:sz w:val="16"/>
          <w:szCs w:val="16"/>
        </w:rPr>
        <w:t xml:space="preserve">by – nejvíce u domácností (o 4,0 </w:t>
      </w:r>
      <w:r w:rsidRPr="00201E70">
        <w:rPr>
          <w:color w:val="0D0D0D" w:themeColor="text1" w:themeTint="F2"/>
          <w:spacing w:val="-3"/>
          <w:sz w:val="16"/>
          <w:szCs w:val="16"/>
        </w:rPr>
        <w:t xml:space="preserve">%, </w:t>
      </w:r>
      <w:r w:rsidRPr="00201E70">
        <w:rPr>
          <w:color w:val="0D0D0D" w:themeColor="text1" w:themeTint="F2"/>
          <w:spacing w:val="-4"/>
          <w:sz w:val="16"/>
          <w:szCs w:val="16"/>
        </w:rPr>
        <w:t>za dva roky doko</w:t>
      </w:r>
      <w:r>
        <w:rPr>
          <w:color w:val="0D0D0D" w:themeColor="text1" w:themeTint="F2"/>
          <w:spacing w:val="-4"/>
          <w:sz w:val="16"/>
          <w:szCs w:val="16"/>
        </w:rPr>
        <w:t xml:space="preserve">nce o 12,7 </w:t>
      </w:r>
      <w:r w:rsidRPr="00201E70">
        <w:rPr>
          <w:color w:val="0D0D0D" w:themeColor="text1" w:themeTint="F2"/>
          <w:spacing w:val="-4"/>
          <w:sz w:val="16"/>
          <w:szCs w:val="16"/>
        </w:rPr>
        <w:t>%</w:t>
      </w:r>
      <w:r w:rsidRPr="00201E70">
        <w:rPr>
          <w:color w:val="0D0D0D" w:themeColor="text1" w:themeTint="F2"/>
          <w:spacing w:val="-3"/>
          <w:sz w:val="16"/>
          <w:szCs w:val="16"/>
        </w:rPr>
        <w:t>), nejméně u</w:t>
      </w:r>
      <w:r w:rsidRPr="00201E70">
        <w:rPr>
          <w:color w:val="0D0D0D" w:themeColor="text1" w:themeTint="F2"/>
          <w:spacing w:val="-4"/>
          <w:sz w:val="16"/>
          <w:szCs w:val="16"/>
        </w:rPr>
        <w:t> </w:t>
      </w:r>
      <w:r w:rsidRPr="00201E70">
        <w:rPr>
          <w:color w:val="0D0D0D" w:themeColor="text1" w:themeTint="F2"/>
          <w:spacing w:val="-3"/>
          <w:sz w:val="16"/>
          <w:szCs w:val="16"/>
        </w:rPr>
        <w:t>velkoodběratelů</w:t>
      </w:r>
      <w:r>
        <w:rPr>
          <w:color w:val="0D0D0D" w:themeColor="text1" w:themeTint="F2"/>
          <w:spacing w:val="-3"/>
          <w:sz w:val="16"/>
          <w:szCs w:val="16"/>
        </w:rPr>
        <w:t xml:space="preserve"> na hladině velmi vysokého </w:t>
      </w:r>
      <w:proofErr w:type="gramStart"/>
      <w:r>
        <w:rPr>
          <w:color w:val="0D0D0D" w:themeColor="text1" w:themeTint="F2"/>
          <w:spacing w:val="-3"/>
          <w:sz w:val="16"/>
          <w:szCs w:val="16"/>
        </w:rPr>
        <w:t>napětí</w:t>
      </w:r>
      <w:r w:rsidRPr="00201E70">
        <w:rPr>
          <w:color w:val="0D0D0D" w:themeColor="text1" w:themeTint="F2"/>
          <w:spacing w:val="-2"/>
          <w:sz w:val="16"/>
          <w:szCs w:val="16"/>
        </w:rPr>
        <w:t xml:space="preserve"> </w:t>
      </w:r>
      <w:r>
        <w:rPr>
          <w:color w:val="0D0D0D" w:themeColor="text1" w:themeTint="F2"/>
          <w:spacing w:val="-4"/>
          <w:sz w:val="16"/>
          <w:szCs w:val="16"/>
        </w:rPr>
        <w:t>(–1,4</w:t>
      </w:r>
      <w:proofErr w:type="gramEnd"/>
      <w:r w:rsidRPr="00201E70">
        <w:rPr>
          <w:color w:val="0D0D0D" w:themeColor="text1" w:themeTint="F2"/>
          <w:spacing w:val="-4"/>
          <w:sz w:val="16"/>
          <w:szCs w:val="16"/>
        </w:rPr>
        <w:t xml:space="preserve"> %).</w:t>
      </w:r>
      <w:r w:rsidRPr="00201E70">
        <w:rPr>
          <w:color w:val="0D0D0D" w:themeColor="text1" w:themeTint="F2"/>
          <w:spacing w:val="-3"/>
          <w:sz w:val="16"/>
          <w:szCs w:val="16"/>
        </w:rPr>
        <w:t xml:space="preserve"> </w:t>
      </w:r>
      <w:r>
        <w:rPr>
          <w:color w:val="0D0D0D" w:themeColor="text1" w:themeTint="F2"/>
          <w:spacing w:val="-4"/>
          <w:sz w:val="16"/>
          <w:szCs w:val="16"/>
        </w:rPr>
        <w:t>Citelně, byť polovičním tempem než v roce 2022, klesla za loňský rok i</w:t>
      </w:r>
      <w:r w:rsidRPr="001A321F">
        <w:rPr>
          <w:spacing w:val="-2"/>
          <w:sz w:val="16"/>
          <w:szCs w:val="16"/>
        </w:rPr>
        <w:t> </w:t>
      </w:r>
      <w:r w:rsidRPr="00201E70">
        <w:rPr>
          <w:color w:val="0D0D0D" w:themeColor="text1" w:themeTint="F2"/>
          <w:spacing w:val="-4"/>
          <w:sz w:val="16"/>
          <w:szCs w:val="16"/>
        </w:rPr>
        <w:t>celková spotřeba plynu (vyjádřená v m</w:t>
      </w:r>
      <w:r w:rsidRPr="00201E70">
        <w:rPr>
          <w:color w:val="0D0D0D" w:themeColor="text1" w:themeTint="F2"/>
          <w:spacing w:val="-4"/>
          <w:sz w:val="16"/>
          <w:szCs w:val="16"/>
          <w:vertAlign w:val="superscript"/>
        </w:rPr>
        <w:t>3</w:t>
      </w:r>
      <w:r>
        <w:rPr>
          <w:color w:val="0D0D0D" w:themeColor="text1" w:themeTint="F2"/>
          <w:spacing w:val="-4"/>
          <w:sz w:val="16"/>
          <w:szCs w:val="16"/>
        </w:rPr>
        <w:t>) v ČR – meziročně o 12,4</w:t>
      </w:r>
      <w:r w:rsidRPr="00201E70">
        <w:rPr>
          <w:color w:val="0D0D0D" w:themeColor="text1" w:themeTint="F2"/>
          <w:spacing w:val="-4"/>
          <w:sz w:val="16"/>
          <w:szCs w:val="16"/>
        </w:rPr>
        <w:t xml:space="preserve"> % (po </w:t>
      </w:r>
      <w:r>
        <w:rPr>
          <w:color w:val="0D0D0D" w:themeColor="text1" w:themeTint="F2"/>
          <w:spacing w:val="-4"/>
          <w:sz w:val="16"/>
          <w:szCs w:val="16"/>
        </w:rPr>
        <w:t>přepočtu na teplotní normál o 8,1</w:t>
      </w:r>
      <w:r w:rsidRPr="00201E70">
        <w:rPr>
          <w:color w:val="0D0D0D" w:themeColor="text1" w:themeTint="F2"/>
          <w:spacing w:val="-4"/>
          <w:sz w:val="16"/>
          <w:szCs w:val="16"/>
        </w:rPr>
        <w:t xml:space="preserve"> %). Znatelné snížení spotřeby nastalo u všech hlavních kategorií odběratelů, nejvyšší bylo u domácnost</w:t>
      </w:r>
      <w:r>
        <w:rPr>
          <w:color w:val="0D0D0D" w:themeColor="text1" w:themeTint="F2"/>
          <w:spacing w:val="-4"/>
          <w:sz w:val="16"/>
          <w:szCs w:val="16"/>
        </w:rPr>
        <w:t>í, které odebraly meziročně o 11,6</w:t>
      </w:r>
      <w:r w:rsidRPr="00201E70">
        <w:rPr>
          <w:color w:val="0D0D0D" w:themeColor="text1" w:themeTint="F2"/>
          <w:spacing w:val="-4"/>
          <w:sz w:val="16"/>
          <w:szCs w:val="16"/>
        </w:rPr>
        <w:t xml:space="preserve"> </w:t>
      </w:r>
      <w:r>
        <w:rPr>
          <w:color w:val="0D0D0D" w:themeColor="text1" w:themeTint="F2"/>
          <w:spacing w:val="-4"/>
          <w:sz w:val="16"/>
          <w:szCs w:val="16"/>
        </w:rPr>
        <w:t>% plynu méně (za dva roky o</w:t>
      </w:r>
      <w:r w:rsidRPr="001A321F">
        <w:rPr>
          <w:spacing w:val="-2"/>
          <w:sz w:val="16"/>
          <w:szCs w:val="16"/>
        </w:rPr>
        <w:t> </w:t>
      </w:r>
      <w:r>
        <w:rPr>
          <w:color w:val="0D0D0D" w:themeColor="text1" w:themeTint="F2"/>
          <w:spacing w:val="-4"/>
          <w:sz w:val="16"/>
          <w:szCs w:val="16"/>
        </w:rPr>
        <w:t>rovných 30</w:t>
      </w:r>
      <w:r w:rsidRPr="00201E70">
        <w:rPr>
          <w:color w:val="0D0D0D" w:themeColor="text1" w:themeTint="F2"/>
          <w:spacing w:val="-4"/>
          <w:sz w:val="16"/>
          <w:szCs w:val="16"/>
        </w:rPr>
        <w:t xml:space="preserve"> % méně), nejmenší p</w:t>
      </w:r>
      <w:r>
        <w:rPr>
          <w:color w:val="0D0D0D" w:themeColor="text1" w:themeTint="F2"/>
          <w:spacing w:val="-4"/>
          <w:sz w:val="16"/>
          <w:szCs w:val="16"/>
        </w:rPr>
        <w:t>okles pak u velkoodběratelů (o 9,6 %). Aktuální data za 1. až 3. čtvrtletí</w:t>
      </w:r>
      <w:r w:rsidRPr="00201E70">
        <w:rPr>
          <w:color w:val="0D0D0D" w:themeColor="text1" w:themeTint="F2"/>
          <w:spacing w:val="-4"/>
          <w:sz w:val="16"/>
          <w:szCs w:val="16"/>
        </w:rPr>
        <w:t xml:space="preserve"> 2023 ukazují i na plošný meziroční pokles spotřeby tepla (vyjá</w:t>
      </w:r>
      <w:r>
        <w:rPr>
          <w:color w:val="0D0D0D" w:themeColor="text1" w:themeTint="F2"/>
          <w:spacing w:val="-4"/>
          <w:sz w:val="16"/>
          <w:szCs w:val="16"/>
        </w:rPr>
        <w:t>dřené v TJ) – o rovných 9 % (o rok dříve o 10,3 %), z toho v domácnostech o 4,9</w:t>
      </w:r>
      <w:r w:rsidRPr="00201E70">
        <w:rPr>
          <w:color w:val="0D0D0D" w:themeColor="text1" w:themeTint="F2"/>
          <w:spacing w:val="-4"/>
          <w:sz w:val="16"/>
          <w:szCs w:val="16"/>
        </w:rPr>
        <w:t xml:space="preserve"> %, v odvětví obchodu, služb</w:t>
      </w:r>
      <w:r>
        <w:rPr>
          <w:color w:val="0D0D0D" w:themeColor="text1" w:themeTint="F2"/>
          <w:spacing w:val="-4"/>
          <w:sz w:val="16"/>
          <w:szCs w:val="16"/>
        </w:rPr>
        <w:t>ách, školství, zdravotnictví o 8,3 %, v průmyslu o 13,7</w:t>
      </w:r>
      <w:r w:rsidRPr="00201E70">
        <w:rPr>
          <w:color w:val="0D0D0D" w:themeColor="text1" w:themeTint="F2"/>
          <w:spacing w:val="-4"/>
          <w:sz w:val="16"/>
          <w:szCs w:val="16"/>
        </w:rPr>
        <w:t xml:space="preserve"> %.</w:t>
      </w:r>
    </w:p>
  </w:footnote>
  <w:footnote w:id="27">
    <w:p w14:paraId="44C0F089" w14:textId="77777777" w:rsidR="00BA5125" w:rsidRPr="00E5704D" w:rsidRDefault="00BA5125" w:rsidP="00BA5125">
      <w:pPr>
        <w:pStyle w:val="Textpoznpodarou"/>
        <w:rPr>
          <w:sz w:val="16"/>
          <w:szCs w:val="16"/>
        </w:rPr>
      </w:pPr>
      <w:r w:rsidRPr="00E5704D">
        <w:rPr>
          <w:rStyle w:val="Znakapoznpodarou"/>
          <w:sz w:val="16"/>
          <w:szCs w:val="16"/>
        </w:rPr>
        <w:footnoteRef/>
      </w:r>
      <w:r w:rsidRPr="00E5704D">
        <w:rPr>
          <w:sz w:val="16"/>
          <w:szCs w:val="16"/>
        </w:rPr>
        <w:t xml:space="preserve"> </w:t>
      </w:r>
      <w:r w:rsidRPr="00E5704D">
        <w:rPr>
          <w:color w:val="0D0D0D" w:themeColor="text1" w:themeTint="F2"/>
          <w:spacing w:val="-4"/>
          <w:sz w:val="16"/>
          <w:szCs w:val="16"/>
        </w:rPr>
        <w:t xml:space="preserve">Meziroční </w:t>
      </w:r>
      <w:r>
        <w:rPr>
          <w:color w:val="0D0D0D" w:themeColor="text1" w:themeTint="F2"/>
          <w:spacing w:val="-4"/>
          <w:sz w:val="16"/>
          <w:szCs w:val="16"/>
        </w:rPr>
        <w:t xml:space="preserve">pokles </w:t>
      </w:r>
      <w:r w:rsidRPr="00E5704D">
        <w:rPr>
          <w:color w:val="0D0D0D" w:themeColor="text1" w:themeTint="F2"/>
          <w:spacing w:val="-4"/>
          <w:sz w:val="16"/>
          <w:szCs w:val="16"/>
        </w:rPr>
        <w:t>produk</w:t>
      </w:r>
      <w:r>
        <w:rPr>
          <w:color w:val="0D0D0D" w:themeColor="text1" w:themeTint="F2"/>
          <w:spacing w:val="-4"/>
          <w:sz w:val="16"/>
          <w:szCs w:val="16"/>
        </w:rPr>
        <w:t>ce postihl loni skoro tři čtvrtiny</w:t>
      </w:r>
      <w:r w:rsidRPr="00E5704D">
        <w:rPr>
          <w:color w:val="0D0D0D" w:themeColor="text1" w:themeTint="F2"/>
          <w:spacing w:val="-4"/>
          <w:sz w:val="16"/>
          <w:szCs w:val="16"/>
        </w:rPr>
        <w:t xml:space="preserve"> průmyslových oborů.</w:t>
      </w:r>
    </w:p>
  </w:footnote>
  <w:footnote w:id="28">
    <w:p w14:paraId="38D89295" w14:textId="77777777" w:rsidR="00BA5125" w:rsidRPr="00201E70" w:rsidRDefault="00BA5125" w:rsidP="00BA5125">
      <w:pPr>
        <w:pStyle w:val="Textpoznpodarou"/>
        <w:rPr>
          <w:color w:val="0D0D0D" w:themeColor="text1" w:themeTint="F2"/>
          <w:sz w:val="16"/>
          <w:szCs w:val="16"/>
        </w:rPr>
      </w:pPr>
      <w:r w:rsidRPr="00201E70">
        <w:rPr>
          <w:rStyle w:val="Znakapoznpodarou"/>
          <w:color w:val="0D0D0D" w:themeColor="text1" w:themeTint="F2"/>
          <w:sz w:val="16"/>
          <w:szCs w:val="16"/>
        </w:rPr>
        <w:footnoteRef/>
      </w:r>
      <w:r w:rsidRPr="00201E70">
        <w:rPr>
          <w:color w:val="0D0D0D" w:themeColor="text1" w:themeTint="F2"/>
          <w:sz w:val="16"/>
          <w:szCs w:val="16"/>
        </w:rPr>
        <w:t xml:space="preserve"> Průměrná teplota</w:t>
      </w:r>
      <w:r>
        <w:rPr>
          <w:color w:val="0D0D0D" w:themeColor="text1" w:themeTint="F2"/>
          <w:sz w:val="16"/>
          <w:szCs w:val="16"/>
        </w:rPr>
        <w:t xml:space="preserve"> ovzduší v ČR vystoupala vloni</w:t>
      </w:r>
      <w:r w:rsidRPr="00201E70">
        <w:rPr>
          <w:color w:val="0D0D0D" w:themeColor="text1" w:themeTint="F2"/>
          <w:sz w:val="16"/>
          <w:szCs w:val="16"/>
        </w:rPr>
        <w:t xml:space="preserve"> </w:t>
      </w:r>
      <w:r>
        <w:rPr>
          <w:color w:val="0D0D0D" w:themeColor="text1" w:themeTint="F2"/>
          <w:sz w:val="16"/>
          <w:szCs w:val="16"/>
        </w:rPr>
        <w:t xml:space="preserve">v </w:t>
      </w:r>
      <w:r w:rsidRPr="00201E70">
        <w:rPr>
          <w:color w:val="0D0D0D" w:themeColor="text1" w:themeTint="F2"/>
          <w:sz w:val="16"/>
          <w:szCs w:val="16"/>
        </w:rPr>
        <w:t>le</w:t>
      </w:r>
      <w:r>
        <w:rPr>
          <w:color w:val="0D0D0D" w:themeColor="text1" w:themeTint="F2"/>
          <w:sz w:val="16"/>
          <w:szCs w:val="16"/>
        </w:rPr>
        <w:t>dnu i září nad</w:t>
      </w:r>
      <w:r w:rsidRPr="00201E70">
        <w:rPr>
          <w:color w:val="0D0D0D" w:themeColor="text1" w:themeTint="F2"/>
          <w:sz w:val="16"/>
          <w:szCs w:val="16"/>
        </w:rPr>
        <w:t xml:space="preserve"> dlouhodobý normál</w:t>
      </w:r>
      <w:r>
        <w:rPr>
          <w:color w:val="0D0D0D" w:themeColor="text1" w:themeTint="F2"/>
          <w:sz w:val="16"/>
          <w:szCs w:val="16"/>
        </w:rPr>
        <w:t xml:space="preserve"> o 3,4 stupně Celsia, v říjnu o 2,9 stupně, v prosinci o</w:t>
      </w:r>
      <w:r w:rsidRPr="001A321F">
        <w:rPr>
          <w:spacing w:val="-2"/>
          <w:sz w:val="16"/>
          <w:szCs w:val="16"/>
        </w:rPr>
        <w:t> </w:t>
      </w:r>
      <w:r>
        <w:rPr>
          <w:color w:val="0D0D0D" w:themeColor="text1" w:themeTint="F2"/>
          <w:sz w:val="16"/>
          <w:szCs w:val="16"/>
        </w:rPr>
        <w:t>2,6 stupně, v únoru i březnu</w:t>
      </w:r>
      <w:r w:rsidRPr="00201E70">
        <w:rPr>
          <w:color w:val="0D0D0D" w:themeColor="text1" w:themeTint="F2"/>
          <w:sz w:val="16"/>
          <w:szCs w:val="16"/>
        </w:rPr>
        <w:t xml:space="preserve"> o 1,5 stupně.</w:t>
      </w:r>
      <w:r>
        <w:rPr>
          <w:color w:val="0D0D0D" w:themeColor="text1" w:themeTint="F2"/>
          <w:sz w:val="16"/>
          <w:szCs w:val="16"/>
        </w:rPr>
        <w:t xml:space="preserve"> Naopak za chladnější lze považovat pouze duben s teplotou o dva stupně pod normálem. Za celý loňský rok dosáhla průměrná teplota ovzduší v ČR 9,9 stupně, předcházející rok 9,4 stupně.</w:t>
      </w:r>
    </w:p>
  </w:footnote>
  <w:footnote w:id="29">
    <w:p w14:paraId="677C3DA9" w14:textId="77777777" w:rsidR="00BA5125" w:rsidRPr="00FB58F4" w:rsidRDefault="00BA5125" w:rsidP="00BA5125">
      <w:pPr>
        <w:pStyle w:val="Textpoznpodarou"/>
        <w:jc w:val="both"/>
        <w:rPr>
          <w:rFonts w:cs="Arial"/>
          <w:color w:val="0D0D0D" w:themeColor="text1" w:themeTint="F2"/>
          <w:spacing w:val="-2"/>
          <w:sz w:val="16"/>
          <w:szCs w:val="16"/>
        </w:rPr>
      </w:pPr>
      <w:r w:rsidRPr="00F33536">
        <w:rPr>
          <w:rStyle w:val="Znakapoznpodarou"/>
          <w:rFonts w:cs="Arial"/>
          <w:color w:val="0D0D0D" w:themeColor="text1" w:themeTint="F2"/>
          <w:spacing w:val="-2"/>
          <w:sz w:val="16"/>
          <w:szCs w:val="16"/>
        </w:rPr>
        <w:footnoteRef/>
      </w:r>
      <w:r w:rsidRPr="00F33536">
        <w:rPr>
          <w:rFonts w:cs="Arial"/>
          <w:color w:val="0D0D0D" w:themeColor="text1" w:themeTint="F2"/>
          <w:spacing w:val="-2"/>
          <w:sz w:val="16"/>
          <w:szCs w:val="16"/>
        </w:rPr>
        <w:t xml:space="preserve"> Zjišťování zakázek probíhá jen ve dvanácti zpracovatelských odvětvích vyrábějících převážně na zakázku, s dlouhodobějším výrobním cyklem a s většími zásobami zakázek. Meziroční tempa zakázek j</w:t>
      </w:r>
      <w:r>
        <w:rPr>
          <w:rFonts w:cs="Arial"/>
          <w:color w:val="0D0D0D" w:themeColor="text1" w:themeTint="F2"/>
          <w:spacing w:val="-2"/>
          <w:sz w:val="16"/>
          <w:szCs w:val="16"/>
        </w:rPr>
        <w:t xml:space="preserve">sou očištěna o kalendářní vlivy, </w:t>
      </w:r>
      <w:proofErr w:type="spellStart"/>
      <w:r>
        <w:rPr>
          <w:rFonts w:cs="Arial"/>
          <w:color w:val="0D0D0D" w:themeColor="text1" w:themeTint="F2"/>
          <w:spacing w:val="-2"/>
          <w:sz w:val="16"/>
          <w:szCs w:val="16"/>
        </w:rPr>
        <w:t>mezikvartální</w:t>
      </w:r>
      <w:proofErr w:type="spellEnd"/>
      <w:r>
        <w:rPr>
          <w:rFonts w:cs="Arial"/>
          <w:color w:val="0D0D0D" w:themeColor="text1" w:themeTint="F2"/>
          <w:spacing w:val="-2"/>
          <w:sz w:val="16"/>
          <w:szCs w:val="16"/>
        </w:rPr>
        <w:t xml:space="preserve"> tempa také o vliv sezónnosti.</w:t>
      </w:r>
    </w:p>
  </w:footnote>
  <w:footnote w:id="30">
    <w:p w14:paraId="24566CF0" w14:textId="77777777" w:rsidR="00BA5125" w:rsidRPr="00AF44D9" w:rsidRDefault="00BA5125" w:rsidP="00BA5125">
      <w:pPr>
        <w:pStyle w:val="Textpoznpodarou"/>
        <w:rPr>
          <w:sz w:val="16"/>
          <w:szCs w:val="16"/>
        </w:rPr>
      </w:pPr>
      <w:r w:rsidRPr="00AF44D9">
        <w:rPr>
          <w:rStyle w:val="Znakapoznpodarou"/>
          <w:sz w:val="16"/>
          <w:szCs w:val="16"/>
        </w:rPr>
        <w:footnoteRef/>
      </w:r>
      <w:r w:rsidRPr="00AF44D9">
        <w:rPr>
          <w:sz w:val="16"/>
          <w:szCs w:val="16"/>
        </w:rPr>
        <w:t xml:space="preserve"> Podniky mohly uvést více bariér současně.</w:t>
      </w:r>
      <w:r>
        <w:rPr>
          <w:sz w:val="16"/>
          <w:szCs w:val="16"/>
        </w:rPr>
        <w:t xml:space="preserve"> Bariéry jsou očištěny o vliv sezónnosti. Slabá poptávka představovala zásadní růstový limit především pro většinu energeticky náročných průmyslových oborů (hutnictví, výroba stavebních hmot, gumárenství a </w:t>
      </w:r>
      <w:proofErr w:type="spellStart"/>
      <w:r>
        <w:rPr>
          <w:sz w:val="16"/>
          <w:szCs w:val="16"/>
        </w:rPr>
        <w:t>plastikářství</w:t>
      </w:r>
      <w:proofErr w:type="spellEnd"/>
      <w:r>
        <w:rPr>
          <w:sz w:val="16"/>
          <w:szCs w:val="16"/>
        </w:rPr>
        <w:t xml:space="preserve">, </w:t>
      </w:r>
      <w:r w:rsidRPr="001D37AB">
        <w:rPr>
          <w:sz w:val="16"/>
          <w:szCs w:val="16"/>
        </w:rPr>
        <w:t xml:space="preserve">dřevozpracující a papírenský průmysl), dále pro </w:t>
      </w:r>
      <w:r>
        <w:rPr>
          <w:sz w:val="16"/>
          <w:szCs w:val="16"/>
        </w:rPr>
        <w:t xml:space="preserve">tiskařský, </w:t>
      </w:r>
      <w:r w:rsidRPr="001D37AB">
        <w:rPr>
          <w:sz w:val="16"/>
          <w:szCs w:val="16"/>
        </w:rPr>
        <w:t xml:space="preserve">textilní či nápojový průmysl. Tuto bariéru uvedl </w:t>
      </w:r>
      <w:r>
        <w:rPr>
          <w:sz w:val="16"/>
          <w:szCs w:val="16"/>
        </w:rPr>
        <w:t xml:space="preserve">překvapivě </w:t>
      </w:r>
      <w:r w:rsidRPr="001D37AB">
        <w:rPr>
          <w:sz w:val="16"/>
          <w:szCs w:val="16"/>
        </w:rPr>
        <w:t>i vysoký podíl podniků v</w:t>
      </w:r>
      <w:r>
        <w:rPr>
          <w:sz w:val="16"/>
          <w:szCs w:val="16"/>
        </w:rPr>
        <w:t>e výrobě elektrických zařízení (nad 70 %). Nedostatečná poptávka představovala hlavní růstovou bariéru pro dvě třetiny všech zpracovatelských oborů.</w:t>
      </w:r>
    </w:p>
  </w:footnote>
  <w:footnote w:id="31">
    <w:p w14:paraId="229E0649" w14:textId="77777777" w:rsidR="00BA5125" w:rsidRPr="00AE4366" w:rsidRDefault="00BA5125" w:rsidP="00BA5125">
      <w:pPr>
        <w:pStyle w:val="Textpoznpodarou"/>
        <w:rPr>
          <w:spacing w:val="-2"/>
          <w:sz w:val="16"/>
          <w:szCs w:val="16"/>
        </w:rPr>
      </w:pPr>
      <w:r w:rsidRPr="00AE4366">
        <w:rPr>
          <w:rStyle w:val="Znakapoznpodarou"/>
          <w:spacing w:val="-2"/>
          <w:sz w:val="16"/>
          <w:szCs w:val="16"/>
        </w:rPr>
        <w:footnoteRef/>
      </w:r>
      <w:r w:rsidRPr="00AE4366">
        <w:rPr>
          <w:spacing w:val="-2"/>
          <w:sz w:val="16"/>
          <w:szCs w:val="16"/>
        </w:rPr>
        <w:t xml:space="preserve"> Větší problém ztělesňoval zejména v gumárenství a </w:t>
      </w:r>
      <w:proofErr w:type="spellStart"/>
      <w:r w:rsidRPr="00AE4366">
        <w:rPr>
          <w:spacing w:val="-2"/>
          <w:sz w:val="16"/>
          <w:szCs w:val="16"/>
        </w:rPr>
        <w:t>plastikářství</w:t>
      </w:r>
      <w:proofErr w:type="spellEnd"/>
      <w:r w:rsidRPr="00AE4366">
        <w:rPr>
          <w:spacing w:val="-2"/>
          <w:sz w:val="16"/>
          <w:szCs w:val="16"/>
        </w:rPr>
        <w:t xml:space="preserve">, </w:t>
      </w:r>
      <w:r>
        <w:rPr>
          <w:spacing w:val="-2"/>
          <w:sz w:val="16"/>
          <w:szCs w:val="16"/>
        </w:rPr>
        <w:t xml:space="preserve">ve </w:t>
      </w:r>
      <w:r w:rsidRPr="00AE4366">
        <w:rPr>
          <w:spacing w:val="-2"/>
          <w:sz w:val="16"/>
          <w:szCs w:val="16"/>
        </w:rPr>
        <w:t xml:space="preserve">výrobě dopravních prostředků (mimo automobily), </w:t>
      </w:r>
      <w:r>
        <w:rPr>
          <w:spacing w:val="-2"/>
          <w:sz w:val="16"/>
          <w:szCs w:val="16"/>
        </w:rPr>
        <w:br/>
        <w:t xml:space="preserve">v </w:t>
      </w:r>
      <w:r w:rsidRPr="00AE4366">
        <w:rPr>
          <w:spacing w:val="-2"/>
          <w:sz w:val="16"/>
          <w:szCs w:val="16"/>
        </w:rPr>
        <w:t>elektrotechnickém, oděvním a kožedělném průmyslu.</w:t>
      </w:r>
    </w:p>
  </w:footnote>
  <w:footnote w:id="32">
    <w:p w14:paraId="2363E2DB" w14:textId="77777777" w:rsidR="00BA5125" w:rsidRPr="001508CB" w:rsidRDefault="00BA5125" w:rsidP="00BA5125">
      <w:pPr>
        <w:pStyle w:val="Textpoznpodarou"/>
        <w:rPr>
          <w:sz w:val="16"/>
          <w:szCs w:val="16"/>
        </w:rPr>
      </w:pPr>
      <w:r w:rsidRPr="001508CB">
        <w:rPr>
          <w:rStyle w:val="Znakapoznpodarou"/>
          <w:sz w:val="16"/>
          <w:szCs w:val="16"/>
        </w:rPr>
        <w:footnoteRef/>
      </w:r>
      <w:r w:rsidRPr="001508CB">
        <w:rPr>
          <w:sz w:val="16"/>
          <w:szCs w:val="16"/>
        </w:rPr>
        <w:t xml:space="preserve"> Tato bariéra limitovala zejména podniky v automobilovém a elektronickém průmyslu.</w:t>
      </w:r>
    </w:p>
  </w:footnote>
  <w:footnote w:id="33">
    <w:p w14:paraId="4A02B836" w14:textId="77777777" w:rsidR="00BA5125" w:rsidRPr="00291A49" w:rsidRDefault="00BA5125" w:rsidP="00BA5125">
      <w:pPr>
        <w:pStyle w:val="Textpoznpodarou"/>
        <w:rPr>
          <w:sz w:val="16"/>
          <w:szCs w:val="16"/>
        </w:rPr>
      </w:pPr>
      <w:r w:rsidRPr="00291A49">
        <w:rPr>
          <w:rStyle w:val="Znakapoznpodarou"/>
          <w:sz w:val="16"/>
          <w:szCs w:val="16"/>
        </w:rPr>
        <w:footnoteRef/>
      </w:r>
      <w:r w:rsidRPr="00291A49">
        <w:rPr>
          <w:sz w:val="16"/>
          <w:szCs w:val="16"/>
        </w:rPr>
        <w:t xml:space="preserve"> Dle kon</w:t>
      </w:r>
      <w:r>
        <w:rPr>
          <w:sz w:val="16"/>
          <w:szCs w:val="16"/>
        </w:rPr>
        <w:t xml:space="preserve">junkturálních průzkumů z loňského listopadu očekávalo </w:t>
      </w:r>
      <w:r w:rsidRPr="00291A49">
        <w:rPr>
          <w:sz w:val="16"/>
          <w:szCs w:val="16"/>
        </w:rPr>
        <w:t xml:space="preserve">růst cen vlastní produkce </w:t>
      </w:r>
      <w:r>
        <w:rPr>
          <w:sz w:val="16"/>
          <w:szCs w:val="16"/>
        </w:rPr>
        <w:t xml:space="preserve">(v horizontu tří měsíců) stále bezmála 40 % tuzemských </w:t>
      </w:r>
      <w:r w:rsidRPr="00291A49">
        <w:rPr>
          <w:sz w:val="16"/>
          <w:szCs w:val="16"/>
        </w:rPr>
        <w:t>stavebních p</w:t>
      </w:r>
      <w:r>
        <w:rPr>
          <w:sz w:val="16"/>
          <w:szCs w:val="16"/>
        </w:rPr>
        <w:t xml:space="preserve">odniků. I přes postupný pokles, </w:t>
      </w:r>
      <w:r w:rsidRPr="00291A49">
        <w:rPr>
          <w:sz w:val="16"/>
          <w:szCs w:val="16"/>
        </w:rPr>
        <w:t>který je však mírněj</w:t>
      </w:r>
      <w:r>
        <w:rPr>
          <w:sz w:val="16"/>
          <w:szCs w:val="16"/>
        </w:rPr>
        <w:t xml:space="preserve">ší než v průmyslu, šlo </w:t>
      </w:r>
      <w:r w:rsidRPr="00291A49">
        <w:rPr>
          <w:sz w:val="16"/>
          <w:szCs w:val="16"/>
        </w:rPr>
        <w:t>o nejvyšší podíl me</w:t>
      </w:r>
      <w:r>
        <w:rPr>
          <w:sz w:val="16"/>
          <w:szCs w:val="16"/>
        </w:rPr>
        <w:t>zi všemi hlavními odvětvími</w:t>
      </w:r>
      <w:r w:rsidRPr="00291A49">
        <w:rPr>
          <w:sz w:val="16"/>
          <w:szCs w:val="16"/>
        </w:rPr>
        <w:t>.</w:t>
      </w:r>
    </w:p>
  </w:footnote>
  <w:footnote w:id="34">
    <w:p w14:paraId="6561C27C" w14:textId="77777777" w:rsidR="00BA5125" w:rsidRPr="00C6587B" w:rsidRDefault="00BA5125" w:rsidP="00BA5125">
      <w:pPr>
        <w:pStyle w:val="Textpoznpodarou"/>
        <w:rPr>
          <w:sz w:val="16"/>
          <w:szCs w:val="16"/>
        </w:rPr>
      </w:pPr>
      <w:r w:rsidRPr="00C6587B">
        <w:rPr>
          <w:rStyle w:val="Znakapoznpodarou"/>
          <w:sz w:val="16"/>
          <w:szCs w:val="16"/>
        </w:rPr>
        <w:footnoteRef/>
      </w:r>
      <w:r w:rsidRPr="00C6587B">
        <w:rPr>
          <w:sz w:val="16"/>
          <w:szCs w:val="16"/>
        </w:rPr>
        <w:t xml:space="preserve"> Ta souvisela </w:t>
      </w:r>
      <w:r>
        <w:rPr>
          <w:sz w:val="16"/>
          <w:szCs w:val="16"/>
        </w:rPr>
        <w:t>s poklesem reálných příjmů domácností i s vysokými úrokovými sazbami hypoték (jejichž úroveň se během loňského roku příliš nezměnila).</w:t>
      </w:r>
      <w:r w:rsidRPr="00C6587B">
        <w:rPr>
          <w:sz w:val="16"/>
          <w:szCs w:val="16"/>
        </w:rPr>
        <w:t xml:space="preserve"> </w:t>
      </w:r>
      <w:r>
        <w:rPr>
          <w:sz w:val="16"/>
          <w:szCs w:val="16"/>
        </w:rPr>
        <w:t>Situaci by v nejbližší době mohlo zlepšit omezení regulací. Od ledna 2024</w:t>
      </w:r>
      <w:r w:rsidRPr="00C6587B">
        <w:rPr>
          <w:sz w:val="16"/>
          <w:szCs w:val="16"/>
        </w:rPr>
        <w:t xml:space="preserve"> </w:t>
      </w:r>
      <w:r>
        <w:rPr>
          <w:sz w:val="16"/>
          <w:szCs w:val="16"/>
        </w:rPr>
        <w:t>přistoupila</w:t>
      </w:r>
      <w:r w:rsidRPr="00C6587B">
        <w:rPr>
          <w:sz w:val="16"/>
          <w:szCs w:val="16"/>
        </w:rPr>
        <w:t xml:space="preserve"> ČNB </w:t>
      </w:r>
      <w:r>
        <w:rPr>
          <w:sz w:val="16"/>
          <w:szCs w:val="16"/>
        </w:rPr>
        <w:t>k deaktivaci některých limitů pro poskytování hypotečních úvěrů (poměr celkové výše dluhu, resp. výše dluhové služby k ročnímu čistému příjmu domácnosti).</w:t>
      </w:r>
    </w:p>
  </w:footnote>
  <w:footnote w:id="35">
    <w:p w14:paraId="726F0B33" w14:textId="77777777" w:rsidR="00BA5125" w:rsidRPr="000F6F33" w:rsidRDefault="00BA5125" w:rsidP="00BA5125">
      <w:pPr>
        <w:pStyle w:val="Textpoznpodarou"/>
        <w:rPr>
          <w:sz w:val="16"/>
          <w:szCs w:val="16"/>
        </w:rPr>
      </w:pPr>
      <w:r w:rsidRPr="000F6F33">
        <w:rPr>
          <w:rStyle w:val="Znakapoznpodarou"/>
          <w:sz w:val="16"/>
          <w:szCs w:val="16"/>
        </w:rPr>
        <w:footnoteRef/>
      </w:r>
      <w:r w:rsidRPr="000F6F33">
        <w:rPr>
          <w:sz w:val="16"/>
          <w:szCs w:val="16"/>
        </w:rPr>
        <w:t xml:space="preserve"> </w:t>
      </w:r>
      <w:r>
        <w:rPr>
          <w:sz w:val="16"/>
          <w:szCs w:val="16"/>
        </w:rPr>
        <w:t>Např. k</w:t>
      </w:r>
      <w:r w:rsidRPr="000F6F33">
        <w:rPr>
          <w:sz w:val="16"/>
          <w:szCs w:val="16"/>
        </w:rPr>
        <w:t>apitálové výdaje stá</w:t>
      </w:r>
      <w:r>
        <w:rPr>
          <w:sz w:val="16"/>
          <w:szCs w:val="16"/>
        </w:rPr>
        <w:t>tního rozpočtu ČR vzrostly loni od ledna do prosince meziročně o 14</w:t>
      </w:r>
      <w:r w:rsidRPr="000F6F33">
        <w:rPr>
          <w:sz w:val="16"/>
          <w:szCs w:val="16"/>
        </w:rPr>
        <w:t xml:space="preserve"> %, </w:t>
      </w:r>
      <w:r>
        <w:rPr>
          <w:sz w:val="16"/>
          <w:szCs w:val="16"/>
        </w:rPr>
        <w:t>resp. 25</w:t>
      </w:r>
      <w:r w:rsidRPr="000F6F33">
        <w:rPr>
          <w:sz w:val="16"/>
          <w:szCs w:val="16"/>
        </w:rPr>
        <w:t>,4 mld. korun.</w:t>
      </w:r>
    </w:p>
  </w:footnote>
  <w:footnote w:id="36">
    <w:p w14:paraId="290DA2E8" w14:textId="77777777" w:rsidR="00BA5125" w:rsidRPr="002D2942" w:rsidRDefault="00BA5125" w:rsidP="00BA5125">
      <w:pPr>
        <w:pStyle w:val="Textpoznpodarou"/>
        <w:jc w:val="both"/>
        <w:rPr>
          <w:sz w:val="16"/>
          <w:szCs w:val="16"/>
        </w:rPr>
      </w:pPr>
      <w:r w:rsidRPr="002D2942">
        <w:rPr>
          <w:rStyle w:val="Znakapoznpodarou"/>
          <w:rFonts w:cs="Arial"/>
          <w:color w:val="0D0D0D" w:themeColor="text1" w:themeTint="F2"/>
          <w:sz w:val="16"/>
          <w:szCs w:val="16"/>
        </w:rPr>
        <w:footnoteRef/>
      </w:r>
      <w:r w:rsidRPr="002D2942">
        <w:rPr>
          <w:rFonts w:cs="Arial"/>
          <w:color w:val="0D0D0D" w:themeColor="text1" w:themeTint="F2"/>
          <w:sz w:val="16"/>
          <w:szCs w:val="16"/>
        </w:rPr>
        <w:t xml:space="preserve"> Údaje o stavební produkci jsou ve stálých cenách, meziroční tempa jsou očištěna o kalendářní vlivy, mezičtvrtletní též o vliv sezónnosti.</w:t>
      </w:r>
    </w:p>
  </w:footnote>
  <w:footnote w:id="37">
    <w:p w14:paraId="0B2F7008" w14:textId="77777777" w:rsidR="00BA5125" w:rsidRPr="00E62461" w:rsidRDefault="00BA5125" w:rsidP="00BA5125">
      <w:pPr>
        <w:spacing w:after="0" w:line="240" w:lineRule="auto"/>
        <w:rPr>
          <w:spacing w:val="-2"/>
        </w:rPr>
      </w:pPr>
      <w:r w:rsidRPr="00E62461">
        <w:rPr>
          <w:rStyle w:val="Znakapoznpodarou"/>
          <w:color w:val="0D0D0D" w:themeColor="text1" w:themeTint="F2"/>
          <w:spacing w:val="-2"/>
          <w:sz w:val="16"/>
          <w:szCs w:val="16"/>
        </w:rPr>
        <w:footnoteRef/>
      </w:r>
      <w:r w:rsidRPr="00E62461">
        <w:rPr>
          <w:color w:val="0D0D0D" w:themeColor="text1" w:themeTint="F2"/>
          <w:spacing w:val="-2"/>
          <w:sz w:val="16"/>
          <w:szCs w:val="16"/>
        </w:rPr>
        <w:t xml:space="preserve"> Bez obchodu, peněžnictví, pojišťovnictví, vědy, výzkumu a veřejných služeb. Všechny údaje za tržby ve službách jsou ve stálých cenách, meziroční data jsou očištěna o kalendářní vlivy, mezičtvrtletní jsou očištěna o sezónní vlivy (včetně vlivu počtu pracovních dnů).</w:t>
      </w:r>
    </w:p>
  </w:footnote>
  <w:footnote w:id="38">
    <w:p w14:paraId="35E99CE7" w14:textId="77777777" w:rsidR="00BA5125" w:rsidRPr="00D60F26" w:rsidRDefault="00BA5125" w:rsidP="00BA5125">
      <w:pPr>
        <w:pStyle w:val="Textpoznpodarou"/>
        <w:rPr>
          <w:spacing w:val="-4"/>
          <w:sz w:val="16"/>
          <w:szCs w:val="16"/>
        </w:rPr>
      </w:pPr>
      <w:r w:rsidRPr="00D60F26">
        <w:rPr>
          <w:rStyle w:val="Znakapoznpodarou"/>
          <w:spacing w:val="-4"/>
          <w:sz w:val="16"/>
          <w:szCs w:val="16"/>
        </w:rPr>
        <w:footnoteRef/>
      </w:r>
      <w:r w:rsidRPr="00D60F26">
        <w:rPr>
          <w:spacing w:val="-4"/>
          <w:sz w:val="16"/>
          <w:szCs w:val="16"/>
        </w:rPr>
        <w:t xml:space="preserve"> </w:t>
      </w:r>
      <w:r w:rsidRPr="00BD42D7">
        <w:rPr>
          <w:spacing w:val="-6"/>
          <w:sz w:val="16"/>
          <w:szCs w:val="16"/>
        </w:rPr>
        <w:t xml:space="preserve">Z hlavních odvětví za svým předkrizovým maximem zaostávaly tržby ve 4. čtvrtletí 2023 nejvíce v ubytování, stravování a </w:t>
      </w:r>
      <w:proofErr w:type="gramStart"/>
      <w:r w:rsidRPr="00BD42D7">
        <w:rPr>
          <w:spacing w:val="-6"/>
          <w:sz w:val="16"/>
          <w:szCs w:val="16"/>
        </w:rPr>
        <w:t>pohostinství (</w:t>
      </w:r>
      <w:r w:rsidRPr="00BD42D7">
        <w:rPr>
          <w:color w:val="0D0D0D" w:themeColor="text1" w:themeTint="F2"/>
          <w:spacing w:val="-6"/>
          <w:sz w:val="16"/>
          <w:szCs w:val="16"/>
        </w:rPr>
        <w:t>–</w:t>
      </w:r>
      <w:r w:rsidRPr="00BD42D7">
        <w:rPr>
          <w:spacing w:val="-6"/>
          <w:sz w:val="16"/>
          <w:szCs w:val="16"/>
        </w:rPr>
        <w:t>19,4</w:t>
      </w:r>
      <w:proofErr w:type="gramEnd"/>
      <w:r w:rsidRPr="00BD42D7">
        <w:rPr>
          <w:spacing w:val="-6"/>
          <w:sz w:val="16"/>
          <w:szCs w:val="16"/>
        </w:rPr>
        <w:t xml:space="preserve"> %)</w:t>
      </w:r>
      <w:r>
        <w:rPr>
          <w:spacing w:val="-4"/>
          <w:sz w:val="16"/>
          <w:szCs w:val="16"/>
        </w:rPr>
        <w:t xml:space="preserve"> a</w:t>
      </w:r>
      <w:r w:rsidRPr="00E62461">
        <w:rPr>
          <w:color w:val="0D0D0D" w:themeColor="text1" w:themeTint="F2"/>
          <w:spacing w:val="-2"/>
          <w:sz w:val="16"/>
          <w:szCs w:val="16"/>
        </w:rPr>
        <w:t> </w:t>
      </w:r>
      <w:r w:rsidRPr="00D60F26">
        <w:rPr>
          <w:spacing w:val="-4"/>
          <w:sz w:val="16"/>
          <w:szCs w:val="16"/>
        </w:rPr>
        <w:t xml:space="preserve">v </w:t>
      </w:r>
      <w:r w:rsidRPr="00D60F26">
        <w:rPr>
          <w:rFonts w:cs="Arial"/>
          <w:color w:val="0D0D0D" w:themeColor="text1" w:themeTint="F2"/>
          <w:spacing w:val="-4"/>
          <w:sz w:val="16"/>
          <w:szCs w:val="16"/>
        </w:rPr>
        <w:t>administrativních a podpůrných činnostech (</w:t>
      </w:r>
      <w:r w:rsidRPr="00D60F26">
        <w:rPr>
          <w:color w:val="0D0D0D" w:themeColor="text1" w:themeTint="F2"/>
          <w:spacing w:val="-4"/>
          <w:sz w:val="16"/>
          <w:szCs w:val="16"/>
        </w:rPr>
        <w:t>–</w:t>
      </w:r>
      <w:r>
        <w:rPr>
          <w:rFonts w:cs="Arial"/>
          <w:color w:val="0D0D0D" w:themeColor="text1" w:themeTint="F2"/>
          <w:spacing w:val="-4"/>
          <w:sz w:val="16"/>
          <w:szCs w:val="16"/>
        </w:rPr>
        <w:t>12,3</w:t>
      </w:r>
      <w:r w:rsidRPr="00D60F26">
        <w:rPr>
          <w:rFonts w:cs="Arial"/>
          <w:color w:val="0D0D0D" w:themeColor="text1" w:themeTint="F2"/>
          <w:spacing w:val="-4"/>
          <w:sz w:val="16"/>
          <w:szCs w:val="16"/>
        </w:rPr>
        <w:t xml:space="preserve"> %). Naproti tomu tuto úroveň překonaly zejména informa</w:t>
      </w:r>
      <w:r>
        <w:rPr>
          <w:rFonts w:cs="Arial"/>
          <w:color w:val="0D0D0D" w:themeColor="text1" w:themeTint="F2"/>
          <w:spacing w:val="-4"/>
          <w:sz w:val="16"/>
          <w:szCs w:val="16"/>
        </w:rPr>
        <w:t>ční a</w:t>
      </w:r>
      <w:r w:rsidRPr="001A321F">
        <w:rPr>
          <w:spacing w:val="-2"/>
          <w:sz w:val="16"/>
          <w:szCs w:val="16"/>
        </w:rPr>
        <w:t> </w:t>
      </w:r>
      <w:r>
        <w:rPr>
          <w:rFonts w:cs="Arial"/>
          <w:color w:val="0D0D0D" w:themeColor="text1" w:themeTint="F2"/>
          <w:spacing w:val="-4"/>
          <w:sz w:val="16"/>
          <w:szCs w:val="16"/>
        </w:rPr>
        <w:t>komunikační činnosti (+5,5</w:t>
      </w:r>
      <w:r w:rsidRPr="00E62461">
        <w:rPr>
          <w:color w:val="0D0D0D" w:themeColor="text1" w:themeTint="F2"/>
          <w:spacing w:val="-2"/>
          <w:sz w:val="16"/>
          <w:szCs w:val="16"/>
        </w:rPr>
        <w:t> </w:t>
      </w:r>
      <w:r>
        <w:rPr>
          <w:rFonts w:cs="Arial"/>
          <w:color w:val="0D0D0D" w:themeColor="text1" w:themeTint="F2"/>
          <w:spacing w:val="-4"/>
          <w:sz w:val="16"/>
          <w:szCs w:val="16"/>
        </w:rPr>
        <w:t xml:space="preserve">%) a </w:t>
      </w:r>
      <w:r w:rsidRPr="00D60F26">
        <w:rPr>
          <w:rFonts w:cs="Arial"/>
          <w:color w:val="0D0D0D" w:themeColor="text1" w:themeTint="F2"/>
          <w:spacing w:val="-4"/>
          <w:sz w:val="16"/>
          <w:szCs w:val="16"/>
        </w:rPr>
        <w:t>profesní, vě</w:t>
      </w:r>
      <w:r>
        <w:rPr>
          <w:rFonts w:cs="Arial"/>
          <w:color w:val="0D0D0D" w:themeColor="text1" w:themeTint="F2"/>
          <w:spacing w:val="-4"/>
          <w:sz w:val="16"/>
          <w:szCs w:val="16"/>
        </w:rPr>
        <w:t>decké a technické činnosti (+1,8 %)</w:t>
      </w:r>
      <w:r w:rsidRPr="00D60F26">
        <w:rPr>
          <w:rFonts w:cs="Arial"/>
          <w:color w:val="0D0D0D" w:themeColor="text1" w:themeTint="F2"/>
          <w:spacing w:val="-4"/>
          <w:sz w:val="16"/>
          <w:szCs w:val="16"/>
        </w:rPr>
        <w:t>.</w:t>
      </w:r>
    </w:p>
  </w:footnote>
  <w:footnote w:id="39">
    <w:p w14:paraId="5E351405" w14:textId="77777777" w:rsidR="00BA5125" w:rsidRPr="00F20DDD" w:rsidRDefault="00BA5125" w:rsidP="00BA5125">
      <w:pPr>
        <w:pStyle w:val="Textpoznpodarou"/>
        <w:rPr>
          <w:sz w:val="16"/>
          <w:szCs w:val="16"/>
        </w:rPr>
      </w:pPr>
      <w:r w:rsidRPr="00F20DDD">
        <w:rPr>
          <w:rStyle w:val="Znakapoznpodarou"/>
          <w:sz w:val="16"/>
          <w:szCs w:val="16"/>
        </w:rPr>
        <w:footnoteRef/>
      </w:r>
      <w:r w:rsidRPr="00F20DDD">
        <w:rPr>
          <w:sz w:val="16"/>
          <w:szCs w:val="16"/>
        </w:rPr>
        <w:t xml:space="preserve"> Ve srovnání s rokem 2</w:t>
      </w:r>
      <w:r>
        <w:rPr>
          <w:sz w:val="16"/>
          <w:szCs w:val="16"/>
        </w:rPr>
        <w:t>019 však zde byly tržby stále znatelně vyšší (o 8,3</w:t>
      </w:r>
      <w:r w:rsidRPr="00F20DDD">
        <w:rPr>
          <w:sz w:val="16"/>
          <w:szCs w:val="16"/>
        </w:rPr>
        <w:t xml:space="preserve"> %).</w:t>
      </w:r>
    </w:p>
  </w:footnote>
  <w:footnote w:id="40">
    <w:p w14:paraId="354DF64F" w14:textId="77777777" w:rsidR="00BA5125" w:rsidRPr="004272FC" w:rsidRDefault="00BA5125" w:rsidP="00BA5125">
      <w:pPr>
        <w:pStyle w:val="Textpoznpodarou"/>
        <w:rPr>
          <w:sz w:val="16"/>
          <w:szCs w:val="16"/>
        </w:rPr>
      </w:pPr>
      <w:r w:rsidRPr="004272FC">
        <w:rPr>
          <w:rStyle w:val="Znakapoznpodarou"/>
          <w:sz w:val="16"/>
          <w:szCs w:val="16"/>
        </w:rPr>
        <w:footnoteRef/>
      </w:r>
      <w:r w:rsidRPr="004272FC">
        <w:rPr>
          <w:sz w:val="16"/>
          <w:szCs w:val="16"/>
        </w:rPr>
        <w:t xml:space="preserve"> Obrat zbožového zahraničního obchodu ve stálých cenách (dle metodik</w:t>
      </w:r>
      <w:r>
        <w:rPr>
          <w:sz w:val="16"/>
          <w:szCs w:val="16"/>
        </w:rPr>
        <w:t>y národního účetnictví) se loni</w:t>
      </w:r>
      <w:r w:rsidRPr="004272FC">
        <w:rPr>
          <w:sz w:val="16"/>
          <w:szCs w:val="16"/>
        </w:rPr>
        <w:t xml:space="preserve"> ve 3</w:t>
      </w:r>
      <w:r>
        <w:rPr>
          <w:sz w:val="16"/>
          <w:szCs w:val="16"/>
        </w:rPr>
        <w:t>. čtvrtletí meziročně snížil o</w:t>
      </w:r>
      <w:r w:rsidRPr="001A321F">
        <w:rPr>
          <w:spacing w:val="-2"/>
          <w:sz w:val="16"/>
          <w:szCs w:val="16"/>
        </w:rPr>
        <w:t> </w:t>
      </w:r>
      <w:r>
        <w:rPr>
          <w:sz w:val="16"/>
          <w:szCs w:val="16"/>
        </w:rPr>
        <w:t>2,3 %, v následujícím kvartálu se prohloubil na 2,7 %</w:t>
      </w:r>
      <w:r w:rsidRPr="004272FC">
        <w:rPr>
          <w:sz w:val="16"/>
          <w:szCs w:val="16"/>
        </w:rPr>
        <w:t>.</w:t>
      </w:r>
      <w:r>
        <w:rPr>
          <w:sz w:val="16"/>
          <w:szCs w:val="16"/>
        </w:rPr>
        <w:t xml:space="preserve"> </w:t>
      </w:r>
    </w:p>
  </w:footnote>
  <w:footnote w:id="41">
    <w:p w14:paraId="0AEEFD29" w14:textId="77777777" w:rsidR="00BA5125" w:rsidRPr="00F4476A" w:rsidRDefault="00BA5125" w:rsidP="00BA5125">
      <w:pPr>
        <w:pStyle w:val="Textpoznpodarou"/>
        <w:rPr>
          <w:sz w:val="16"/>
          <w:szCs w:val="16"/>
        </w:rPr>
      </w:pPr>
      <w:r w:rsidRPr="00F4476A">
        <w:rPr>
          <w:rStyle w:val="Znakapoznpodarou"/>
          <w:sz w:val="16"/>
          <w:szCs w:val="16"/>
        </w:rPr>
        <w:footnoteRef/>
      </w:r>
      <w:r w:rsidRPr="00F4476A">
        <w:rPr>
          <w:sz w:val="16"/>
          <w:szCs w:val="16"/>
        </w:rPr>
        <w:t xml:space="preserve"> Dle</w:t>
      </w:r>
      <w:r>
        <w:rPr>
          <w:sz w:val="16"/>
          <w:szCs w:val="16"/>
        </w:rPr>
        <w:t xml:space="preserve"> aktuálních dat se v roce</w:t>
      </w:r>
      <w:r w:rsidRPr="00F4476A">
        <w:rPr>
          <w:sz w:val="16"/>
          <w:szCs w:val="16"/>
        </w:rPr>
        <w:t xml:space="preserve"> 2023 </w:t>
      </w:r>
      <w:r>
        <w:rPr>
          <w:sz w:val="16"/>
          <w:szCs w:val="16"/>
        </w:rPr>
        <w:t xml:space="preserve">meziročně </w:t>
      </w:r>
      <w:r w:rsidRPr="00F4476A">
        <w:rPr>
          <w:sz w:val="16"/>
          <w:szCs w:val="16"/>
        </w:rPr>
        <w:t xml:space="preserve">snížily přepravní výkony (v </w:t>
      </w:r>
      <w:proofErr w:type="spellStart"/>
      <w:r w:rsidRPr="00F4476A">
        <w:rPr>
          <w:sz w:val="16"/>
          <w:szCs w:val="16"/>
        </w:rPr>
        <w:t>tkm</w:t>
      </w:r>
      <w:proofErr w:type="spellEnd"/>
      <w:r w:rsidRPr="00F4476A">
        <w:rPr>
          <w:sz w:val="16"/>
          <w:szCs w:val="16"/>
        </w:rPr>
        <w:t>) v n</w:t>
      </w:r>
      <w:r>
        <w:rPr>
          <w:sz w:val="16"/>
          <w:szCs w:val="16"/>
        </w:rPr>
        <w:t>ákladní dopravě na železnici o 5,1 %, na silnici o</w:t>
      </w:r>
      <w:r w:rsidRPr="00E62461">
        <w:rPr>
          <w:color w:val="0D0D0D" w:themeColor="text1" w:themeTint="F2"/>
          <w:spacing w:val="-2"/>
          <w:sz w:val="16"/>
          <w:szCs w:val="16"/>
        </w:rPr>
        <w:t> </w:t>
      </w:r>
      <w:r>
        <w:rPr>
          <w:sz w:val="16"/>
          <w:szCs w:val="16"/>
        </w:rPr>
        <w:t>1,5</w:t>
      </w:r>
      <w:r w:rsidRPr="00E62461">
        <w:rPr>
          <w:color w:val="0D0D0D" w:themeColor="text1" w:themeTint="F2"/>
          <w:spacing w:val="-2"/>
          <w:sz w:val="16"/>
          <w:szCs w:val="16"/>
        </w:rPr>
        <w:t> </w:t>
      </w:r>
      <w:r w:rsidRPr="00F4476A">
        <w:rPr>
          <w:sz w:val="16"/>
          <w:szCs w:val="16"/>
        </w:rPr>
        <w:t>%.</w:t>
      </w:r>
      <w:r>
        <w:rPr>
          <w:sz w:val="16"/>
          <w:szCs w:val="16"/>
        </w:rPr>
        <w:t xml:space="preserve"> V obou případech se ukázal jako klíčový pokles poptávky po vnitrostátní dopravě.</w:t>
      </w:r>
    </w:p>
  </w:footnote>
  <w:footnote w:id="42">
    <w:p w14:paraId="0D72B3D0" w14:textId="77777777" w:rsidR="00BA5125" w:rsidRPr="00052DD9" w:rsidRDefault="00BA5125" w:rsidP="00BA5125">
      <w:pPr>
        <w:pStyle w:val="Textpoznpodarou"/>
        <w:rPr>
          <w:sz w:val="16"/>
          <w:szCs w:val="16"/>
        </w:rPr>
      </w:pPr>
      <w:r w:rsidRPr="00052DD9">
        <w:rPr>
          <w:rStyle w:val="Znakapoznpodarou"/>
          <w:sz w:val="16"/>
          <w:szCs w:val="16"/>
        </w:rPr>
        <w:footnoteRef/>
      </w:r>
      <w:r w:rsidRPr="00052DD9">
        <w:rPr>
          <w:sz w:val="16"/>
          <w:szCs w:val="16"/>
        </w:rPr>
        <w:t xml:space="preserve"> K poklesu tržeb </w:t>
      </w:r>
      <w:r>
        <w:rPr>
          <w:sz w:val="16"/>
          <w:szCs w:val="16"/>
        </w:rPr>
        <w:t xml:space="preserve">zde </w:t>
      </w:r>
      <w:r w:rsidRPr="00052DD9">
        <w:rPr>
          <w:sz w:val="16"/>
          <w:szCs w:val="16"/>
        </w:rPr>
        <w:t>došlo i při vysokém růstu počtu pracujících cizinců v ČR. Na něm se v posledních dvou letech významně podíleli uprchlíci z Ukrajiny. Vzhledem ke statu</w:t>
      </w:r>
      <w:r>
        <w:rPr>
          <w:sz w:val="16"/>
          <w:szCs w:val="16"/>
        </w:rPr>
        <w:t>su</w:t>
      </w:r>
      <w:r w:rsidRPr="00052DD9">
        <w:rPr>
          <w:sz w:val="16"/>
          <w:szCs w:val="16"/>
        </w:rPr>
        <w:t xml:space="preserve"> dočasné ochrany, který byl těmto osobám přiznán, je </w:t>
      </w:r>
      <w:r>
        <w:rPr>
          <w:sz w:val="16"/>
          <w:szCs w:val="16"/>
        </w:rPr>
        <w:t>je</w:t>
      </w:r>
      <w:r w:rsidRPr="00052DD9">
        <w:rPr>
          <w:sz w:val="16"/>
          <w:szCs w:val="16"/>
        </w:rPr>
        <w:t xml:space="preserve">jich zaměstnávání v tuzemsku administrativně jednodušší (oproti ostatním skupinám migrantů z tzv. třetích zemí) a </w:t>
      </w:r>
      <w:r>
        <w:rPr>
          <w:sz w:val="16"/>
          <w:szCs w:val="16"/>
        </w:rPr>
        <w:t>ti tak mohou</w:t>
      </w:r>
      <w:r w:rsidRPr="00052DD9">
        <w:rPr>
          <w:sz w:val="16"/>
          <w:szCs w:val="16"/>
        </w:rPr>
        <w:t xml:space="preserve"> snáze nalézt práci „napřímo“ (bez zprostředkovatele). Kromě výše uvedeného se na pokle</w:t>
      </w:r>
      <w:r>
        <w:rPr>
          <w:sz w:val="16"/>
          <w:szCs w:val="16"/>
        </w:rPr>
        <w:t xml:space="preserve">su tržeb </w:t>
      </w:r>
      <w:r w:rsidRPr="00052DD9">
        <w:rPr>
          <w:sz w:val="16"/>
          <w:szCs w:val="16"/>
        </w:rPr>
        <w:t xml:space="preserve">může podílet i snížená poptávka </w:t>
      </w:r>
      <w:r>
        <w:rPr>
          <w:sz w:val="16"/>
          <w:szCs w:val="16"/>
        </w:rPr>
        <w:t xml:space="preserve">po </w:t>
      </w:r>
      <w:r w:rsidRPr="00052DD9">
        <w:rPr>
          <w:sz w:val="16"/>
          <w:szCs w:val="16"/>
        </w:rPr>
        <w:t>agenturních pracovních ze strany klí</w:t>
      </w:r>
      <w:r>
        <w:rPr>
          <w:sz w:val="16"/>
          <w:szCs w:val="16"/>
        </w:rPr>
        <w:t xml:space="preserve">čových výrobních odvětví </w:t>
      </w:r>
      <w:r w:rsidRPr="00052DD9">
        <w:rPr>
          <w:sz w:val="16"/>
          <w:szCs w:val="16"/>
        </w:rPr>
        <w:t>procház</w:t>
      </w:r>
      <w:r>
        <w:rPr>
          <w:sz w:val="16"/>
          <w:szCs w:val="16"/>
        </w:rPr>
        <w:t>ej</w:t>
      </w:r>
      <w:r w:rsidRPr="00052DD9">
        <w:rPr>
          <w:sz w:val="16"/>
          <w:szCs w:val="16"/>
        </w:rPr>
        <w:t>í</w:t>
      </w:r>
      <w:r>
        <w:rPr>
          <w:sz w:val="16"/>
          <w:szCs w:val="16"/>
        </w:rPr>
        <w:t>cích</w:t>
      </w:r>
      <w:r w:rsidRPr="00052DD9">
        <w:rPr>
          <w:sz w:val="16"/>
          <w:szCs w:val="16"/>
        </w:rPr>
        <w:t xml:space="preserve"> recesí (např. průmysl</w:t>
      </w:r>
      <w:r>
        <w:rPr>
          <w:sz w:val="16"/>
          <w:szCs w:val="16"/>
        </w:rPr>
        <w:t>u</w:t>
      </w:r>
      <w:r w:rsidRPr="00052DD9">
        <w:rPr>
          <w:sz w:val="16"/>
          <w:szCs w:val="16"/>
        </w:rPr>
        <w:t>).</w:t>
      </w:r>
    </w:p>
  </w:footnote>
  <w:footnote w:id="43">
    <w:p w14:paraId="0468E298" w14:textId="77777777" w:rsidR="00BA5125" w:rsidRPr="00F46CDF" w:rsidRDefault="00BA5125" w:rsidP="00BA5125">
      <w:pPr>
        <w:pStyle w:val="Textpoznpodarou"/>
        <w:rPr>
          <w:sz w:val="16"/>
          <w:szCs w:val="16"/>
        </w:rPr>
      </w:pPr>
      <w:r w:rsidRPr="00B82136">
        <w:rPr>
          <w:rStyle w:val="Znakapoznpodarou"/>
          <w:sz w:val="16"/>
          <w:szCs w:val="16"/>
        </w:rPr>
        <w:footnoteRef/>
      </w:r>
      <w:r w:rsidRPr="00B82136">
        <w:rPr>
          <w:sz w:val="16"/>
          <w:szCs w:val="16"/>
        </w:rPr>
        <w:t xml:space="preserve"> </w:t>
      </w:r>
      <w:r>
        <w:rPr>
          <w:sz w:val="16"/>
          <w:szCs w:val="16"/>
        </w:rPr>
        <w:t xml:space="preserve">Z toho ve 4. </w:t>
      </w:r>
      <w:r w:rsidRPr="00F46CDF">
        <w:rPr>
          <w:sz w:val="16"/>
          <w:szCs w:val="16"/>
        </w:rPr>
        <w:t>čtvrtletí 2023 byl oproti úrovni z roku 2019 p</w:t>
      </w:r>
      <w:r w:rsidRPr="00F46CDF">
        <w:rPr>
          <w:rFonts w:eastAsia="Arial" w:cs="Arial"/>
          <w:sz w:val="16"/>
          <w:szCs w:val="16"/>
        </w:rPr>
        <w:t>očet přenocování nižší o 3,4 % (u zahrani</w:t>
      </w:r>
      <w:r>
        <w:rPr>
          <w:rFonts w:eastAsia="Arial" w:cs="Arial"/>
          <w:sz w:val="16"/>
          <w:szCs w:val="16"/>
        </w:rPr>
        <w:t>čních hostů dokonce o 11,3 % nižší, u</w:t>
      </w:r>
      <w:r w:rsidRPr="001A321F">
        <w:rPr>
          <w:spacing w:val="-2"/>
          <w:sz w:val="16"/>
          <w:szCs w:val="16"/>
        </w:rPr>
        <w:t> </w:t>
      </w:r>
      <w:r w:rsidRPr="00F46CDF">
        <w:rPr>
          <w:rFonts w:eastAsia="Arial" w:cs="Arial"/>
          <w:sz w:val="16"/>
          <w:szCs w:val="16"/>
        </w:rPr>
        <w:t xml:space="preserve">domácích </w:t>
      </w:r>
      <w:r>
        <w:rPr>
          <w:rFonts w:eastAsia="Arial" w:cs="Arial"/>
          <w:sz w:val="16"/>
          <w:szCs w:val="16"/>
        </w:rPr>
        <w:t xml:space="preserve">byl </w:t>
      </w:r>
      <w:r w:rsidRPr="00F46CDF">
        <w:rPr>
          <w:rFonts w:eastAsia="Arial" w:cs="Arial"/>
          <w:sz w:val="16"/>
          <w:szCs w:val="16"/>
        </w:rPr>
        <w:t>naopak o 6,9 % vyšší)</w:t>
      </w:r>
      <w:r>
        <w:rPr>
          <w:rFonts w:eastAsia="Arial" w:cs="Arial"/>
          <w:sz w:val="16"/>
          <w:szCs w:val="16"/>
        </w:rPr>
        <w:t>. Mezi kraji překonalo v poč</w:t>
      </w:r>
      <w:r w:rsidRPr="00F46CDF">
        <w:rPr>
          <w:rFonts w:eastAsia="Arial" w:cs="Arial"/>
          <w:sz w:val="16"/>
          <w:szCs w:val="16"/>
        </w:rPr>
        <w:t>t</w:t>
      </w:r>
      <w:r>
        <w:rPr>
          <w:rFonts w:eastAsia="Arial" w:cs="Arial"/>
          <w:sz w:val="16"/>
          <w:szCs w:val="16"/>
        </w:rPr>
        <w:t>u</w:t>
      </w:r>
      <w:r w:rsidRPr="00F46CDF">
        <w:rPr>
          <w:rFonts w:eastAsia="Arial" w:cs="Arial"/>
          <w:sz w:val="16"/>
          <w:szCs w:val="16"/>
        </w:rPr>
        <w:t xml:space="preserve"> p</w:t>
      </w:r>
      <w:r>
        <w:rPr>
          <w:rFonts w:eastAsia="Arial" w:cs="Arial"/>
          <w:sz w:val="16"/>
          <w:szCs w:val="16"/>
        </w:rPr>
        <w:t>řenocování tuto úroveň jen pět</w:t>
      </w:r>
      <w:r w:rsidRPr="00F46CDF">
        <w:rPr>
          <w:rFonts w:eastAsia="Arial" w:cs="Arial"/>
          <w:sz w:val="16"/>
          <w:szCs w:val="16"/>
        </w:rPr>
        <w:t xml:space="preserve"> (nejvíce Vysočina +9%), ostatní zaostávaly (Ústecký o 12 %, Karlovarský a Praha shodně o 5 %).</w:t>
      </w:r>
      <w:r>
        <w:rPr>
          <w:rFonts w:eastAsia="Arial" w:cs="Arial"/>
          <w:sz w:val="16"/>
          <w:szCs w:val="16"/>
        </w:rPr>
        <w:t xml:space="preserve"> V celé ČR zaostala nejvíce přenocování hostů ze zemí zapojených do </w:t>
      </w:r>
      <w:r w:rsidRPr="007F7DB4">
        <w:rPr>
          <w:rFonts w:eastAsia="Arial" w:cs="Arial"/>
          <w:spacing w:val="-2"/>
          <w:sz w:val="16"/>
          <w:szCs w:val="16"/>
        </w:rPr>
        <w:t xml:space="preserve">válečných konfliktů (Rusko o 95 %, </w:t>
      </w:r>
      <w:r>
        <w:rPr>
          <w:rFonts w:eastAsia="Arial" w:cs="Arial"/>
          <w:spacing w:val="-2"/>
          <w:sz w:val="16"/>
          <w:szCs w:val="16"/>
        </w:rPr>
        <w:t>Izrael o 63 %),</w:t>
      </w:r>
      <w:r w:rsidRPr="007F7DB4">
        <w:rPr>
          <w:rFonts w:eastAsia="Arial" w:cs="Arial"/>
          <w:spacing w:val="-2"/>
          <w:sz w:val="16"/>
          <w:szCs w:val="16"/>
        </w:rPr>
        <w:t xml:space="preserve"> ze vzdálených asijských států</w:t>
      </w:r>
      <w:r>
        <w:rPr>
          <w:rFonts w:eastAsia="Arial" w:cs="Arial"/>
          <w:spacing w:val="-2"/>
          <w:sz w:val="16"/>
          <w:szCs w:val="16"/>
        </w:rPr>
        <w:t xml:space="preserve">, zejména </w:t>
      </w:r>
      <w:proofErr w:type="gramStart"/>
      <w:r>
        <w:rPr>
          <w:rFonts w:eastAsia="Arial" w:cs="Arial"/>
          <w:spacing w:val="-2"/>
          <w:sz w:val="16"/>
          <w:szCs w:val="16"/>
        </w:rPr>
        <w:t>Číny</w:t>
      </w:r>
      <w:r w:rsidRPr="007F7DB4">
        <w:rPr>
          <w:rFonts w:eastAsia="Arial" w:cs="Arial"/>
          <w:spacing w:val="-2"/>
          <w:sz w:val="16"/>
          <w:szCs w:val="16"/>
        </w:rPr>
        <w:t xml:space="preserve"> (</w:t>
      </w:r>
      <w:r w:rsidRPr="007F7DB4">
        <w:rPr>
          <w:color w:val="0D0D0D" w:themeColor="text1" w:themeTint="F2"/>
          <w:spacing w:val="-2"/>
          <w:sz w:val="16"/>
          <w:szCs w:val="16"/>
        </w:rPr>
        <w:t>–</w:t>
      </w:r>
      <w:r>
        <w:rPr>
          <w:rFonts w:eastAsia="Arial" w:cs="Arial"/>
          <w:spacing w:val="-2"/>
          <w:sz w:val="16"/>
          <w:szCs w:val="16"/>
        </w:rPr>
        <w:t>74</w:t>
      </w:r>
      <w:proofErr w:type="gramEnd"/>
      <w:r>
        <w:rPr>
          <w:rFonts w:eastAsia="Arial" w:cs="Arial"/>
          <w:spacing w:val="-2"/>
          <w:sz w:val="16"/>
          <w:szCs w:val="16"/>
        </w:rPr>
        <w:t xml:space="preserve"> %), Japonska</w:t>
      </w:r>
      <w:r w:rsidRPr="007F7DB4">
        <w:rPr>
          <w:rFonts w:eastAsia="Arial" w:cs="Arial"/>
          <w:spacing w:val="-2"/>
          <w:sz w:val="16"/>
          <w:szCs w:val="16"/>
        </w:rPr>
        <w:t xml:space="preserve"> (</w:t>
      </w:r>
      <w:r w:rsidRPr="007F7DB4">
        <w:rPr>
          <w:color w:val="0D0D0D" w:themeColor="text1" w:themeTint="F2"/>
          <w:spacing w:val="-2"/>
          <w:sz w:val="16"/>
          <w:szCs w:val="16"/>
        </w:rPr>
        <w:t>–</w:t>
      </w:r>
      <w:r w:rsidRPr="007F7DB4">
        <w:rPr>
          <w:rFonts w:eastAsia="Arial" w:cs="Arial"/>
          <w:spacing w:val="-2"/>
          <w:sz w:val="16"/>
          <w:szCs w:val="16"/>
        </w:rPr>
        <w:t>51 %)</w:t>
      </w:r>
      <w:r>
        <w:rPr>
          <w:rFonts w:eastAsia="Arial" w:cs="Arial"/>
          <w:spacing w:val="-2"/>
          <w:sz w:val="16"/>
          <w:szCs w:val="16"/>
        </w:rPr>
        <w:t>, Jižní Korey</w:t>
      </w:r>
      <w:r w:rsidRPr="007F7DB4">
        <w:rPr>
          <w:rFonts w:eastAsia="Arial" w:cs="Arial"/>
          <w:spacing w:val="-2"/>
          <w:sz w:val="16"/>
          <w:szCs w:val="16"/>
        </w:rPr>
        <w:t xml:space="preserve"> (</w:t>
      </w:r>
      <w:r w:rsidRPr="007F7DB4">
        <w:rPr>
          <w:color w:val="0D0D0D" w:themeColor="text1" w:themeTint="F2"/>
          <w:spacing w:val="-2"/>
          <w:sz w:val="16"/>
          <w:szCs w:val="16"/>
        </w:rPr>
        <w:t>–</w:t>
      </w:r>
      <w:r w:rsidRPr="007F7DB4">
        <w:rPr>
          <w:rFonts w:eastAsia="Arial" w:cs="Arial"/>
          <w:spacing w:val="-2"/>
          <w:sz w:val="16"/>
          <w:szCs w:val="16"/>
        </w:rPr>
        <w:t>29</w:t>
      </w:r>
      <w:r w:rsidRPr="007F7DB4">
        <w:rPr>
          <w:spacing w:val="-2"/>
          <w:sz w:val="16"/>
          <w:szCs w:val="16"/>
        </w:rPr>
        <w:t> </w:t>
      </w:r>
      <w:r w:rsidRPr="007F7DB4">
        <w:rPr>
          <w:rFonts w:eastAsia="Arial" w:cs="Arial"/>
          <w:spacing w:val="-2"/>
          <w:sz w:val="16"/>
          <w:szCs w:val="16"/>
        </w:rPr>
        <w:t>%)</w:t>
      </w:r>
      <w:r>
        <w:rPr>
          <w:rFonts w:eastAsia="Arial" w:cs="Arial"/>
          <w:spacing w:val="-2"/>
          <w:sz w:val="16"/>
          <w:szCs w:val="16"/>
        </w:rPr>
        <w:t xml:space="preserve"> a ze </w:t>
      </w:r>
      <w:r w:rsidRPr="00C8516F">
        <w:rPr>
          <w:rFonts w:eastAsia="Arial" w:cs="Arial"/>
          <w:spacing w:val="-3"/>
          <w:sz w:val="16"/>
          <w:szCs w:val="16"/>
        </w:rPr>
        <w:t>zemí EU nejvíce ze skandinávských států (např. Švédska –38 %).</w:t>
      </w:r>
      <w:r>
        <w:rPr>
          <w:rFonts w:eastAsia="Arial" w:cs="Arial"/>
          <w:spacing w:val="-3"/>
          <w:sz w:val="16"/>
          <w:szCs w:val="16"/>
        </w:rPr>
        <w:t xml:space="preserve"> Naopak poptávka</w:t>
      </w:r>
      <w:r w:rsidRPr="00C8516F">
        <w:rPr>
          <w:rFonts w:eastAsia="Arial" w:cs="Arial"/>
          <w:spacing w:val="-3"/>
          <w:sz w:val="16"/>
          <w:szCs w:val="16"/>
        </w:rPr>
        <w:t xml:space="preserve"> převyšovala v ČR </w:t>
      </w:r>
      <w:proofErr w:type="spellStart"/>
      <w:r w:rsidRPr="00C8516F">
        <w:rPr>
          <w:rFonts w:eastAsia="Arial" w:cs="Arial"/>
          <w:spacing w:val="-3"/>
          <w:sz w:val="16"/>
          <w:szCs w:val="16"/>
        </w:rPr>
        <w:t>předpandemickou</w:t>
      </w:r>
      <w:proofErr w:type="spellEnd"/>
      <w:r w:rsidRPr="00C8516F">
        <w:rPr>
          <w:rFonts w:eastAsia="Arial" w:cs="Arial"/>
          <w:spacing w:val="-3"/>
          <w:sz w:val="16"/>
          <w:szCs w:val="16"/>
        </w:rPr>
        <w:t xml:space="preserve"> úroveň u občanů všech sousedních států (Slovenska +13 %, Polska +12 %, Rakouska 11 % a Německa +2 %), z dalších v</w:t>
      </w:r>
      <w:r>
        <w:rPr>
          <w:rFonts w:eastAsia="Arial" w:cs="Arial"/>
          <w:spacing w:val="-3"/>
          <w:sz w:val="16"/>
          <w:szCs w:val="16"/>
        </w:rPr>
        <w:t>ýznamných zemí rostla nejvíce u</w:t>
      </w:r>
      <w:r w:rsidRPr="001A321F">
        <w:rPr>
          <w:spacing w:val="-2"/>
          <w:sz w:val="16"/>
          <w:szCs w:val="16"/>
        </w:rPr>
        <w:t> </w:t>
      </w:r>
      <w:r w:rsidRPr="00C8516F">
        <w:rPr>
          <w:rFonts w:eastAsia="Arial" w:cs="Arial"/>
          <w:spacing w:val="-3"/>
          <w:sz w:val="16"/>
          <w:szCs w:val="16"/>
        </w:rPr>
        <w:t>občanů Španělska (+26 %), z mimoevropských zemí relativně nejvíce z</w:t>
      </w:r>
      <w:r>
        <w:rPr>
          <w:rFonts w:eastAsia="Arial" w:cs="Arial"/>
          <w:spacing w:val="-3"/>
          <w:sz w:val="16"/>
          <w:szCs w:val="16"/>
        </w:rPr>
        <w:t>e Spojených arabských emirátů a</w:t>
      </w:r>
      <w:r w:rsidRPr="00590597">
        <w:rPr>
          <w:spacing w:val="-3"/>
          <w:sz w:val="16"/>
          <w:szCs w:val="16"/>
        </w:rPr>
        <w:t> </w:t>
      </w:r>
      <w:r w:rsidRPr="00C8516F">
        <w:rPr>
          <w:rFonts w:eastAsia="Arial" w:cs="Arial"/>
          <w:spacing w:val="-3"/>
          <w:sz w:val="16"/>
          <w:szCs w:val="16"/>
        </w:rPr>
        <w:t>Sa</w:t>
      </w:r>
      <w:r>
        <w:rPr>
          <w:rFonts w:eastAsia="Arial" w:cs="Arial"/>
          <w:spacing w:val="-3"/>
          <w:sz w:val="16"/>
          <w:szCs w:val="16"/>
        </w:rPr>
        <w:t>ú</w:t>
      </w:r>
      <w:r w:rsidRPr="00C8516F">
        <w:rPr>
          <w:rFonts w:eastAsia="Arial" w:cs="Arial"/>
          <w:spacing w:val="-3"/>
          <w:sz w:val="16"/>
          <w:szCs w:val="16"/>
        </w:rPr>
        <w:t>dské Arábie.</w:t>
      </w:r>
    </w:p>
  </w:footnote>
  <w:footnote w:id="44">
    <w:p w14:paraId="46C9A541" w14:textId="77777777" w:rsidR="00BA5125" w:rsidRPr="00F34E27" w:rsidRDefault="00BA5125" w:rsidP="00BA5125">
      <w:pPr>
        <w:pStyle w:val="Textpoznpodarou"/>
        <w:rPr>
          <w:sz w:val="16"/>
          <w:szCs w:val="16"/>
        </w:rPr>
      </w:pPr>
      <w:r w:rsidRPr="00F34E27">
        <w:rPr>
          <w:rStyle w:val="Znakapoznpodarou"/>
          <w:sz w:val="16"/>
          <w:szCs w:val="16"/>
        </w:rPr>
        <w:footnoteRef/>
      </w:r>
      <w:r w:rsidRPr="00F34E27">
        <w:rPr>
          <w:sz w:val="16"/>
          <w:szCs w:val="16"/>
        </w:rPr>
        <w:t xml:space="preserve"> Toto dílčí odvětví, v němž hrají významnou roli drobní podnikatelé, zahrnuje především zprostředkovatelské činnosti, návrhářské, překladatelské a fotografické služby </w:t>
      </w:r>
      <w:r>
        <w:rPr>
          <w:sz w:val="16"/>
          <w:szCs w:val="16"/>
        </w:rPr>
        <w:t>nebo činnosti stavebního dozoru.</w:t>
      </w:r>
    </w:p>
  </w:footnote>
  <w:footnote w:id="45">
    <w:p w14:paraId="40D585C1" w14:textId="77777777" w:rsidR="00BA5125" w:rsidRPr="00590597" w:rsidRDefault="00BA5125" w:rsidP="00BA5125">
      <w:pPr>
        <w:pStyle w:val="Textpoznpodarou"/>
        <w:rPr>
          <w:sz w:val="16"/>
          <w:szCs w:val="16"/>
        </w:rPr>
      </w:pPr>
      <w:r w:rsidRPr="00590597">
        <w:rPr>
          <w:rStyle w:val="Znakapoznpodarou"/>
          <w:sz w:val="16"/>
          <w:szCs w:val="16"/>
        </w:rPr>
        <w:footnoteRef/>
      </w:r>
      <w:r w:rsidRPr="00590597">
        <w:rPr>
          <w:sz w:val="16"/>
          <w:szCs w:val="16"/>
        </w:rPr>
        <w:t xml:space="preserve"> </w:t>
      </w:r>
      <w:r>
        <w:rPr>
          <w:sz w:val="16"/>
          <w:szCs w:val="16"/>
        </w:rPr>
        <w:t>Lépe si vedl segment</w:t>
      </w:r>
      <w:r w:rsidRPr="00590597">
        <w:rPr>
          <w:sz w:val="16"/>
          <w:szCs w:val="16"/>
        </w:rPr>
        <w:t xml:space="preserve"> filmové distribuce. </w:t>
      </w:r>
      <w:r w:rsidRPr="00590597">
        <w:rPr>
          <w:rFonts w:cs="Arial"/>
          <w:color w:val="0D0D0D" w:themeColor="text1" w:themeTint="F2"/>
          <w:spacing w:val="-3"/>
          <w:sz w:val="16"/>
          <w:szCs w:val="16"/>
        </w:rPr>
        <w:t xml:space="preserve">Dle údajů </w:t>
      </w:r>
      <w:r w:rsidRPr="00590597">
        <w:rPr>
          <w:spacing w:val="-3"/>
          <w:sz w:val="16"/>
          <w:szCs w:val="16"/>
        </w:rPr>
        <w:t>Unie filmových distributo</w:t>
      </w:r>
      <w:r>
        <w:rPr>
          <w:spacing w:val="-3"/>
          <w:sz w:val="16"/>
          <w:szCs w:val="16"/>
        </w:rPr>
        <w:t>rů vzrostly loni</w:t>
      </w:r>
      <w:r w:rsidRPr="00590597">
        <w:rPr>
          <w:spacing w:val="-3"/>
          <w:sz w:val="16"/>
          <w:szCs w:val="16"/>
        </w:rPr>
        <w:t xml:space="preserve"> hrubé nominální tržby provozovate</w:t>
      </w:r>
      <w:r>
        <w:rPr>
          <w:spacing w:val="-3"/>
          <w:sz w:val="16"/>
          <w:szCs w:val="16"/>
        </w:rPr>
        <w:t>lů tuzemských kin meziročně o 7,6</w:t>
      </w:r>
      <w:r w:rsidRPr="00590597">
        <w:rPr>
          <w:spacing w:val="-3"/>
          <w:sz w:val="16"/>
          <w:szCs w:val="16"/>
        </w:rPr>
        <w:t xml:space="preserve"> %. Celková návštěv</w:t>
      </w:r>
      <w:r>
        <w:rPr>
          <w:spacing w:val="-3"/>
          <w:sz w:val="16"/>
          <w:szCs w:val="16"/>
        </w:rPr>
        <w:t xml:space="preserve">nost, podobně jako </w:t>
      </w:r>
      <w:r w:rsidRPr="00590597">
        <w:rPr>
          <w:spacing w:val="-3"/>
          <w:sz w:val="16"/>
          <w:szCs w:val="16"/>
        </w:rPr>
        <w:t>počet odehraných představení</w:t>
      </w:r>
      <w:r>
        <w:rPr>
          <w:spacing w:val="-3"/>
          <w:sz w:val="16"/>
          <w:szCs w:val="16"/>
        </w:rPr>
        <w:t>,</w:t>
      </w:r>
      <w:r w:rsidRPr="00590597">
        <w:rPr>
          <w:spacing w:val="-3"/>
          <w:sz w:val="16"/>
          <w:szCs w:val="16"/>
        </w:rPr>
        <w:t xml:space="preserve"> se</w:t>
      </w:r>
      <w:r>
        <w:rPr>
          <w:spacing w:val="-3"/>
          <w:sz w:val="16"/>
          <w:szCs w:val="16"/>
        </w:rPr>
        <w:t xml:space="preserve"> snížily zhruba o 1 %</w:t>
      </w:r>
      <w:r w:rsidRPr="00590597">
        <w:rPr>
          <w:spacing w:val="-3"/>
          <w:sz w:val="16"/>
          <w:szCs w:val="16"/>
        </w:rPr>
        <w:t xml:space="preserve">. Ve srovnání s rekordním rokem 2019 </w:t>
      </w:r>
      <w:r>
        <w:rPr>
          <w:spacing w:val="-3"/>
          <w:sz w:val="16"/>
          <w:szCs w:val="16"/>
        </w:rPr>
        <w:t>ovšem loni</w:t>
      </w:r>
      <w:r w:rsidRPr="00590597">
        <w:rPr>
          <w:spacing w:val="-3"/>
          <w:sz w:val="16"/>
          <w:szCs w:val="16"/>
        </w:rPr>
        <w:t xml:space="preserve"> </w:t>
      </w:r>
      <w:r>
        <w:rPr>
          <w:spacing w:val="-3"/>
          <w:sz w:val="16"/>
          <w:szCs w:val="16"/>
        </w:rPr>
        <w:t xml:space="preserve">stále </w:t>
      </w:r>
      <w:r w:rsidRPr="00590597">
        <w:rPr>
          <w:spacing w:val="-3"/>
          <w:sz w:val="16"/>
          <w:szCs w:val="16"/>
        </w:rPr>
        <w:t>scházela více než čtvrtina diváků.</w:t>
      </w:r>
    </w:p>
  </w:footnote>
  <w:footnote w:id="46">
    <w:p w14:paraId="5A792078" w14:textId="77777777" w:rsidR="00BA5125" w:rsidRPr="00B86BDD" w:rsidRDefault="00BA5125" w:rsidP="00BA5125">
      <w:pPr>
        <w:pStyle w:val="Textpoznpodarou"/>
        <w:rPr>
          <w:sz w:val="16"/>
          <w:szCs w:val="16"/>
        </w:rPr>
      </w:pPr>
      <w:r w:rsidRPr="00B86BDD">
        <w:rPr>
          <w:rStyle w:val="Znakapoznpodarou"/>
          <w:sz w:val="16"/>
          <w:szCs w:val="16"/>
        </w:rPr>
        <w:footnoteRef/>
      </w:r>
      <w:r w:rsidRPr="00B86BDD">
        <w:rPr>
          <w:sz w:val="16"/>
          <w:szCs w:val="16"/>
        </w:rPr>
        <w:t xml:space="preserve"> Zahrnují zejména činnosti webových portálů, zpravodajských tiskových kanceláří a agentur či zpracování dat a </w:t>
      </w:r>
      <w:proofErr w:type="spellStart"/>
      <w:r w:rsidRPr="00B86BDD">
        <w:rPr>
          <w:sz w:val="16"/>
          <w:szCs w:val="16"/>
        </w:rPr>
        <w:t>hosting</w:t>
      </w:r>
      <w:proofErr w:type="spellEnd"/>
      <w:r w:rsidRPr="00B86BDD">
        <w:rPr>
          <w:sz w:val="16"/>
          <w:szCs w:val="16"/>
        </w:rPr>
        <w:t>.</w:t>
      </w:r>
    </w:p>
  </w:footnote>
  <w:footnote w:id="47">
    <w:p w14:paraId="73DF6FE3" w14:textId="77777777" w:rsidR="00BA5125" w:rsidRPr="00E53523" w:rsidRDefault="00BA5125" w:rsidP="00BA5125">
      <w:pPr>
        <w:pStyle w:val="Textpoznpodarou"/>
        <w:rPr>
          <w:sz w:val="16"/>
          <w:szCs w:val="16"/>
        </w:rPr>
      </w:pPr>
      <w:r w:rsidRPr="00E53523">
        <w:rPr>
          <w:rStyle w:val="Znakapoznpodarou"/>
          <w:sz w:val="16"/>
          <w:szCs w:val="16"/>
        </w:rPr>
        <w:footnoteRef/>
      </w:r>
      <w:r w:rsidRPr="00E53523">
        <w:rPr>
          <w:sz w:val="16"/>
          <w:szCs w:val="16"/>
        </w:rPr>
        <w:t xml:space="preserve"> Pesimismus tuzemských </w:t>
      </w:r>
      <w:r>
        <w:rPr>
          <w:sz w:val="16"/>
          <w:szCs w:val="16"/>
        </w:rPr>
        <w:t xml:space="preserve">spotřebitelů se oproti </w:t>
      </w:r>
      <w:r w:rsidRPr="00E53523">
        <w:rPr>
          <w:sz w:val="16"/>
          <w:szCs w:val="16"/>
        </w:rPr>
        <w:t xml:space="preserve">podzimu </w:t>
      </w:r>
      <w:r>
        <w:rPr>
          <w:sz w:val="16"/>
          <w:szCs w:val="16"/>
        </w:rPr>
        <w:t xml:space="preserve">2022 </w:t>
      </w:r>
      <w:r w:rsidRPr="00E53523">
        <w:rPr>
          <w:sz w:val="16"/>
          <w:szCs w:val="16"/>
        </w:rPr>
        <w:t xml:space="preserve">(kdy byl nejvyšší od konce 90. let) sice </w:t>
      </w:r>
      <w:r>
        <w:rPr>
          <w:sz w:val="16"/>
          <w:szCs w:val="16"/>
        </w:rPr>
        <w:t xml:space="preserve">na počátku loňského roku </w:t>
      </w:r>
      <w:r w:rsidRPr="00E53523">
        <w:rPr>
          <w:sz w:val="16"/>
          <w:szCs w:val="16"/>
        </w:rPr>
        <w:t xml:space="preserve">zmírnil, </w:t>
      </w:r>
      <w:r>
        <w:rPr>
          <w:sz w:val="16"/>
          <w:szCs w:val="16"/>
        </w:rPr>
        <w:t xml:space="preserve">po většinu roku však kolísal ve stále výrazně negativním pásmu (důvěra domácností se nacházela zhruba o desetinu pod dlouhodobým průměrem z let 2003–2023). </w:t>
      </w:r>
      <w:r w:rsidRPr="000119B3">
        <w:rPr>
          <w:sz w:val="16"/>
          <w:szCs w:val="16"/>
        </w:rPr>
        <w:t xml:space="preserve">Obavy lidí z cenového růstu se </w:t>
      </w:r>
      <w:r>
        <w:rPr>
          <w:sz w:val="16"/>
          <w:szCs w:val="16"/>
        </w:rPr>
        <w:t>sice loni</w:t>
      </w:r>
      <w:r w:rsidRPr="000119B3">
        <w:rPr>
          <w:sz w:val="16"/>
          <w:szCs w:val="16"/>
        </w:rPr>
        <w:t xml:space="preserve"> během jara</w:t>
      </w:r>
      <w:r>
        <w:rPr>
          <w:sz w:val="16"/>
          <w:szCs w:val="16"/>
        </w:rPr>
        <w:t xml:space="preserve"> z velké části rozpustily, většina domácností ovšem </w:t>
      </w:r>
      <w:r w:rsidRPr="000119B3">
        <w:rPr>
          <w:sz w:val="16"/>
          <w:szCs w:val="16"/>
        </w:rPr>
        <w:t>stále očekávala, ž</w:t>
      </w:r>
      <w:r>
        <w:rPr>
          <w:sz w:val="16"/>
          <w:szCs w:val="16"/>
        </w:rPr>
        <w:t>e jejich finanční situace (stej</w:t>
      </w:r>
      <w:r w:rsidRPr="000119B3">
        <w:rPr>
          <w:sz w:val="16"/>
          <w:szCs w:val="16"/>
        </w:rPr>
        <w:t>ně jako celková hospodářská situace v</w:t>
      </w:r>
      <w:r>
        <w:rPr>
          <w:sz w:val="16"/>
          <w:szCs w:val="16"/>
        </w:rPr>
        <w:t xml:space="preserve"> Česku) se v nejbližších </w:t>
      </w:r>
      <w:r>
        <w:rPr>
          <w:sz w:val="16"/>
          <w:szCs w:val="16"/>
        </w:rPr>
        <w:br/>
        <w:t>12 měsících zhorší. Lidé tak proto zůstávali</w:t>
      </w:r>
      <w:r w:rsidRPr="000119B3">
        <w:rPr>
          <w:sz w:val="16"/>
          <w:szCs w:val="16"/>
        </w:rPr>
        <w:t xml:space="preserve"> opatrní v oblasti plánování </w:t>
      </w:r>
      <w:r>
        <w:rPr>
          <w:sz w:val="16"/>
          <w:szCs w:val="16"/>
        </w:rPr>
        <w:t xml:space="preserve">velkých nákupů (zejména zboží </w:t>
      </w:r>
      <w:r w:rsidRPr="000119B3">
        <w:rPr>
          <w:sz w:val="16"/>
          <w:szCs w:val="16"/>
        </w:rPr>
        <w:t>dlouhodobé spotřeby či investic).</w:t>
      </w:r>
    </w:p>
  </w:footnote>
  <w:footnote w:id="48">
    <w:p w14:paraId="5DD43E91" w14:textId="77777777" w:rsidR="00BA5125" w:rsidRPr="00712854" w:rsidRDefault="00BA5125" w:rsidP="00BA5125">
      <w:pPr>
        <w:pStyle w:val="Textpoznpodarou"/>
        <w:rPr>
          <w:sz w:val="16"/>
          <w:szCs w:val="16"/>
        </w:rPr>
      </w:pPr>
      <w:r w:rsidRPr="00712854">
        <w:rPr>
          <w:rStyle w:val="Znakapoznpodarou"/>
          <w:sz w:val="16"/>
          <w:szCs w:val="16"/>
        </w:rPr>
        <w:footnoteRef/>
      </w:r>
      <w:r w:rsidRPr="00712854">
        <w:rPr>
          <w:sz w:val="16"/>
          <w:szCs w:val="16"/>
        </w:rPr>
        <w:t xml:space="preserve"> Zvlášť příhodné podmín</w:t>
      </w:r>
      <w:r>
        <w:rPr>
          <w:sz w:val="16"/>
          <w:szCs w:val="16"/>
        </w:rPr>
        <w:t>ky k těmto nákupům skýtalo loňské jaro</w:t>
      </w:r>
      <w:r w:rsidRPr="00712854">
        <w:rPr>
          <w:sz w:val="16"/>
          <w:szCs w:val="16"/>
        </w:rPr>
        <w:t xml:space="preserve">, a to díky </w:t>
      </w:r>
      <w:r>
        <w:rPr>
          <w:sz w:val="16"/>
          <w:szCs w:val="16"/>
        </w:rPr>
        <w:t>souběhu poklesu cen pohonných hmot a</w:t>
      </w:r>
      <w:r w:rsidRPr="00712854">
        <w:rPr>
          <w:sz w:val="16"/>
          <w:szCs w:val="16"/>
        </w:rPr>
        <w:t xml:space="preserve"> velmi příhodnému kurzu koru</w:t>
      </w:r>
      <w:r>
        <w:rPr>
          <w:sz w:val="16"/>
          <w:szCs w:val="16"/>
        </w:rPr>
        <w:t>ny vůči euru i polskému zlotému a také nulové sazby DPH u některých základních potravin v Polsku.</w:t>
      </w:r>
    </w:p>
  </w:footnote>
  <w:footnote w:id="49">
    <w:p w14:paraId="3271181E" w14:textId="77777777" w:rsidR="00BA5125" w:rsidRPr="00EB7D87" w:rsidRDefault="00BA5125" w:rsidP="00BA5125">
      <w:pPr>
        <w:spacing w:after="0" w:line="240" w:lineRule="auto"/>
        <w:rPr>
          <w:spacing w:val="-2"/>
        </w:rPr>
      </w:pPr>
      <w:r w:rsidRPr="00EB7D87">
        <w:rPr>
          <w:rStyle w:val="Znakapoznpodarou"/>
          <w:color w:val="0D0D0D" w:themeColor="text1" w:themeTint="F2"/>
          <w:spacing w:val="-2"/>
          <w:sz w:val="16"/>
          <w:szCs w:val="16"/>
        </w:rPr>
        <w:footnoteRef/>
      </w:r>
      <w:r>
        <w:rPr>
          <w:color w:val="0D0D0D" w:themeColor="text1" w:themeTint="F2"/>
          <w:spacing w:val="-2"/>
          <w:sz w:val="16"/>
          <w:szCs w:val="16"/>
        </w:rPr>
        <w:t xml:space="preserve"> Všechna meziroční</w:t>
      </w:r>
      <w:r w:rsidRPr="00EB7D87">
        <w:rPr>
          <w:color w:val="0D0D0D" w:themeColor="text1" w:themeTint="F2"/>
          <w:spacing w:val="-2"/>
          <w:sz w:val="16"/>
          <w:szCs w:val="16"/>
        </w:rPr>
        <w:t xml:space="preserve"> tempa tržeb za maloobchod jsou uvedena ve stálých cenách a očištěna o kalendářní vlivy, mezičtvrtletní tempa jsou očištěna o sezónní vlivy (včetně vlivu počtu pracovních dnů). Maloobchod zahrnuje odvětví CZ-NACE 47.</w:t>
      </w:r>
    </w:p>
  </w:footnote>
  <w:footnote w:id="50">
    <w:p w14:paraId="37B70FC4" w14:textId="77777777" w:rsidR="00BA5125" w:rsidRPr="00F418C1" w:rsidRDefault="00BA5125" w:rsidP="00BA5125">
      <w:pPr>
        <w:pStyle w:val="Textpoznpodarou"/>
        <w:rPr>
          <w:sz w:val="16"/>
          <w:szCs w:val="16"/>
        </w:rPr>
      </w:pPr>
      <w:r w:rsidRPr="00F418C1">
        <w:rPr>
          <w:rStyle w:val="Znakapoznpodarou"/>
          <w:sz w:val="16"/>
          <w:szCs w:val="16"/>
        </w:rPr>
        <w:footnoteRef/>
      </w:r>
      <w:r w:rsidRPr="00F418C1">
        <w:rPr>
          <w:sz w:val="16"/>
          <w:szCs w:val="16"/>
        </w:rPr>
        <w:t xml:space="preserve"> Ve srovnání se 3. čtvrt</w:t>
      </w:r>
      <w:r>
        <w:rPr>
          <w:sz w:val="16"/>
          <w:szCs w:val="16"/>
        </w:rPr>
        <w:t>letím 2021, kdy se objem tržeb</w:t>
      </w:r>
      <w:r w:rsidRPr="00F418C1">
        <w:rPr>
          <w:sz w:val="16"/>
          <w:szCs w:val="16"/>
        </w:rPr>
        <w:t xml:space="preserve"> nacházel na absolutn</w:t>
      </w:r>
      <w:r>
        <w:rPr>
          <w:sz w:val="16"/>
          <w:szCs w:val="16"/>
        </w:rPr>
        <w:t xml:space="preserve">ím maximu, byla jejich </w:t>
      </w:r>
      <w:r w:rsidRPr="00F418C1">
        <w:rPr>
          <w:sz w:val="16"/>
          <w:szCs w:val="16"/>
        </w:rPr>
        <w:t>úrove</w:t>
      </w:r>
      <w:r>
        <w:rPr>
          <w:sz w:val="16"/>
          <w:szCs w:val="16"/>
        </w:rPr>
        <w:t>ň ve 2. čtvrtletí 2023 o</w:t>
      </w:r>
      <w:r w:rsidRPr="00052DD9">
        <w:rPr>
          <w:sz w:val="16"/>
          <w:szCs w:val="16"/>
        </w:rPr>
        <w:t> </w:t>
      </w:r>
      <w:r>
        <w:rPr>
          <w:sz w:val="16"/>
          <w:szCs w:val="16"/>
        </w:rPr>
        <w:t>více než 10</w:t>
      </w:r>
      <w:r w:rsidRPr="00052DD9">
        <w:rPr>
          <w:sz w:val="16"/>
          <w:szCs w:val="16"/>
        </w:rPr>
        <w:t> </w:t>
      </w:r>
      <w:r w:rsidRPr="00F418C1">
        <w:rPr>
          <w:sz w:val="16"/>
          <w:szCs w:val="16"/>
        </w:rPr>
        <w:t>% nižší. Srovnatelně ve shodném období klesla i kupní síla pr</w:t>
      </w:r>
      <w:r>
        <w:rPr>
          <w:sz w:val="16"/>
          <w:szCs w:val="16"/>
        </w:rPr>
        <w:t>ůměrných mezd.</w:t>
      </w:r>
    </w:p>
  </w:footnote>
  <w:footnote w:id="51">
    <w:p w14:paraId="04E49604" w14:textId="77777777" w:rsidR="00BA5125" w:rsidRPr="00B400F9" w:rsidRDefault="00BA5125" w:rsidP="00BA5125">
      <w:pPr>
        <w:pStyle w:val="Textpoznpodarou"/>
        <w:rPr>
          <w:sz w:val="16"/>
          <w:szCs w:val="16"/>
        </w:rPr>
      </w:pPr>
      <w:r w:rsidRPr="00B400F9">
        <w:rPr>
          <w:rStyle w:val="Znakapoznpodarou"/>
          <w:sz w:val="16"/>
          <w:szCs w:val="16"/>
        </w:rPr>
        <w:footnoteRef/>
      </w:r>
      <w:r w:rsidRPr="00B400F9">
        <w:rPr>
          <w:sz w:val="16"/>
          <w:szCs w:val="16"/>
        </w:rPr>
        <w:t xml:space="preserve"> V </w:t>
      </w:r>
      <w:proofErr w:type="spellStart"/>
      <w:r w:rsidRPr="00B400F9">
        <w:rPr>
          <w:sz w:val="16"/>
          <w:szCs w:val="16"/>
        </w:rPr>
        <w:t>mezikvartálním</w:t>
      </w:r>
      <w:proofErr w:type="spellEnd"/>
      <w:r w:rsidRPr="00B400F9">
        <w:rPr>
          <w:sz w:val="16"/>
          <w:szCs w:val="16"/>
        </w:rPr>
        <w:t xml:space="preserve"> srovnání se tržby za tento typ prode</w:t>
      </w:r>
      <w:r>
        <w:rPr>
          <w:sz w:val="16"/>
          <w:szCs w:val="16"/>
        </w:rPr>
        <w:t>je vrátily k růstu již na jaře</w:t>
      </w:r>
      <w:r w:rsidRPr="00B400F9">
        <w:rPr>
          <w:sz w:val="16"/>
          <w:szCs w:val="16"/>
        </w:rPr>
        <w:t xml:space="preserve"> loňského roku. </w:t>
      </w:r>
    </w:p>
  </w:footnote>
  <w:footnote w:id="52">
    <w:p w14:paraId="505BD9B0" w14:textId="77777777" w:rsidR="00BA5125" w:rsidRPr="00B45636" w:rsidRDefault="00BA5125" w:rsidP="00BA5125">
      <w:pPr>
        <w:pStyle w:val="Textpoznpodarou"/>
        <w:rPr>
          <w:sz w:val="16"/>
          <w:szCs w:val="16"/>
        </w:rPr>
      </w:pPr>
      <w:r w:rsidRPr="00B45636">
        <w:rPr>
          <w:rStyle w:val="Znakapoznpodarou"/>
          <w:sz w:val="16"/>
          <w:szCs w:val="16"/>
        </w:rPr>
        <w:footnoteRef/>
      </w:r>
      <w:r w:rsidRPr="00B45636">
        <w:rPr>
          <w:sz w:val="16"/>
          <w:szCs w:val="16"/>
        </w:rPr>
        <w:t xml:space="preserve"> Mimo specializované prodejny rostly tržby nejvíce </w:t>
      </w:r>
      <w:r w:rsidRPr="00B45636">
        <w:rPr>
          <w:rStyle w:val="normaltextrun"/>
          <w:rFonts w:eastAsia="MS Gothic" w:cs="Arial"/>
          <w:sz w:val="16"/>
          <w:szCs w:val="16"/>
        </w:rPr>
        <w:t xml:space="preserve">v </w:t>
      </w:r>
      <w:r w:rsidRPr="00B45636">
        <w:rPr>
          <w:rFonts w:cs="Arial"/>
          <w:color w:val="0D0D0D" w:themeColor="text1" w:themeTint="F2"/>
          <w:sz w:val="16"/>
          <w:szCs w:val="16"/>
        </w:rPr>
        <w:t xml:space="preserve">malém segmentu ostatního maloobchodu s převahou </w:t>
      </w:r>
      <w:r>
        <w:rPr>
          <w:rFonts w:cs="Arial"/>
          <w:color w:val="0D0D0D" w:themeColor="text1" w:themeTint="F2"/>
          <w:sz w:val="16"/>
          <w:szCs w:val="16"/>
        </w:rPr>
        <w:t>nepotravinářského zboží (+9,6 %).</w:t>
      </w:r>
      <w:r w:rsidRPr="00B45636">
        <w:rPr>
          <w:rFonts w:cs="Arial"/>
          <w:color w:val="0D0D0D" w:themeColor="text1" w:themeTint="F2"/>
          <w:sz w:val="16"/>
          <w:szCs w:val="16"/>
        </w:rPr>
        <w:t xml:space="preserve"> Ten zahrnuje typicky menší provozovny orientované na prodej různorodého drobného zboží, zpravidla ve slevových akcích.</w:t>
      </w:r>
    </w:p>
  </w:footnote>
  <w:footnote w:id="53">
    <w:p w14:paraId="6EBB24A7" w14:textId="77777777" w:rsidR="00BA5125" w:rsidRPr="00816777" w:rsidRDefault="00BA5125" w:rsidP="00BA5125">
      <w:pPr>
        <w:pStyle w:val="Textpoznpodarou"/>
        <w:rPr>
          <w:sz w:val="16"/>
          <w:szCs w:val="16"/>
        </w:rPr>
      </w:pPr>
      <w:r w:rsidRPr="00816777">
        <w:rPr>
          <w:rStyle w:val="Znakapoznpodarou"/>
          <w:sz w:val="16"/>
          <w:szCs w:val="16"/>
        </w:rPr>
        <w:footnoteRef/>
      </w:r>
      <w:r w:rsidRPr="00816777">
        <w:rPr>
          <w:sz w:val="16"/>
          <w:szCs w:val="16"/>
        </w:rPr>
        <w:t xml:space="preserve"> Ty spolu s </w:t>
      </w:r>
      <w:r w:rsidRPr="00816777">
        <w:rPr>
          <w:rFonts w:cs="Arial"/>
          <w:color w:val="0D0D0D" w:themeColor="text1" w:themeTint="F2"/>
          <w:sz w:val="16"/>
          <w:szCs w:val="16"/>
        </w:rPr>
        <w:t xml:space="preserve">kosmetickými a toaletními výrobky představovaly jedinou oblast maloobchodu, v níž tržby </w:t>
      </w:r>
      <w:r>
        <w:rPr>
          <w:rFonts w:cs="Arial"/>
          <w:color w:val="0D0D0D" w:themeColor="text1" w:themeTint="F2"/>
          <w:sz w:val="16"/>
          <w:szCs w:val="16"/>
        </w:rPr>
        <w:t xml:space="preserve">loni </w:t>
      </w:r>
      <w:r w:rsidRPr="00816777">
        <w:rPr>
          <w:rFonts w:cs="Arial"/>
          <w:color w:val="0D0D0D" w:themeColor="text1" w:themeTint="F2"/>
          <w:sz w:val="16"/>
          <w:szCs w:val="16"/>
        </w:rPr>
        <w:t>ve 4. čtvrtletí</w:t>
      </w:r>
      <w:r>
        <w:rPr>
          <w:rFonts w:cs="Arial"/>
          <w:color w:val="0D0D0D" w:themeColor="text1" w:themeTint="F2"/>
          <w:sz w:val="16"/>
          <w:szCs w:val="16"/>
        </w:rPr>
        <w:t xml:space="preserve"> vystoupaly reálně na maximum za</w:t>
      </w:r>
      <w:r w:rsidRPr="00816777">
        <w:rPr>
          <w:rFonts w:cs="Arial"/>
          <w:color w:val="0D0D0D" w:themeColor="text1" w:themeTint="F2"/>
          <w:sz w:val="16"/>
          <w:szCs w:val="16"/>
        </w:rPr>
        <w:t> </w:t>
      </w:r>
      <w:r>
        <w:rPr>
          <w:rFonts w:cs="Arial"/>
          <w:color w:val="0D0D0D" w:themeColor="text1" w:themeTint="F2"/>
          <w:sz w:val="16"/>
          <w:szCs w:val="16"/>
        </w:rPr>
        <w:t>celou</w:t>
      </w:r>
      <w:r w:rsidRPr="00816777">
        <w:rPr>
          <w:rFonts w:cs="Arial"/>
          <w:color w:val="0D0D0D" w:themeColor="text1" w:themeTint="F2"/>
          <w:sz w:val="16"/>
          <w:szCs w:val="16"/>
        </w:rPr>
        <w:t xml:space="preserve"> </w:t>
      </w:r>
      <w:r>
        <w:rPr>
          <w:rFonts w:cs="Arial"/>
          <w:color w:val="0D0D0D" w:themeColor="text1" w:themeTint="F2"/>
          <w:sz w:val="16"/>
          <w:szCs w:val="16"/>
        </w:rPr>
        <w:t>sledovanou časovou řadu</w:t>
      </w:r>
      <w:r w:rsidRPr="00816777">
        <w:rPr>
          <w:rFonts w:cs="Arial"/>
          <w:color w:val="0D0D0D" w:themeColor="text1" w:themeTint="F2"/>
          <w:sz w:val="16"/>
          <w:szCs w:val="16"/>
        </w:rPr>
        <w:t xml:space="preserve"> (od roku 2000).</w:t>
      </w:r>
    </w:p>
  </w:footnote>
  <w:footnote w:id="54">
    <w:p w14:paraId="1C7A1434" w14:textId="77777777" w:rsidR="00BA5125" w:rsidRPr="00460A5B" w:rsidRDefault="00BA5125" w:rsidP="00BA5125">
      <w:pPr>
        <w:pStyle w:val="Textpoznpodarou"/>
        <w:rPr>
          <w:sz w:val="16"/>
          <w:szCs w:val="16"/>
        </w:rPr>
      </w:pPr>
      <w:r w:rsidRPr="00460A5B">
        <w:rPr>
          <w:rStyle w:val="Znakapoznpodarou"/>
          <w:sz w:val="16"/>
          <w:szCs w:val="16"/>
        </w:rPr>
        <w:footnoteRef/>
      </w:r>
      <w:r w:rsidRPr="00460A5B">
        <w:rPr>
          <w:sz w:val="16"/>
          <w:szCs w:val="16"/>
        </w:rPr>
        <w:t xml:space="preserve"> K utlumené spotřebitelské </w:t>
      </w:r>
      <w:r>
        <w:rPr>
          <w:sz w:val="16"/>
          <w:szCs w:val="16"/>
        </w:rPr>
        <w:t>poptávce za oděvy,</w:t>
      </w:r>
      <w:r w:rsidRPr="00460A5B">
        <w:rPr>
          <w:sz w:val="16"/>
          <w:szCs w:val="16"/>
        </w:rPr>
        <w:t xml:space="preserve"> obuv a kožené zboží </w:t>
      </w:r>
      <w:r>
        <w:rPr>
          <w:sz w:val="16"/>
          <w:szCs w:val="16"/>
        </w:rPr>
        <w:t xml:space="preserve">patrně </w:t>
      </w:r>
      <w:r w:rsidRPr="00460A5B">
        <w:rPr>
          <w:sz w:val="16"/>
          <w:szCs w:val="16"/>
        </w:rPr>
        <w:t>přispíval i přetrvávající svižný cenový růst</w:t>
      </w:r>
      <w:r>
        <w:rPr>
          <w:sz w:val="16"/>
          <w:szCs w:val="16"/>
        </w:rPr>
        <w:t xml:space="preserve"> tohoto sortimentu</w:t>
      </w:r>
      <w:r w:rsidRPr="00460A5B">
        <w:rPr>
          <w:sz w:val="16"/>
          <w:szCs w:val="16"/>
        </w:rPr>
        <w:t xml:space="preserve"> (ve 4. čtvrtletí se pohyboval me</w:t>
      </w:r>
      <w:r>
        <w:rPr>
          <w:sz w:val="16"/>
          <w:szCs w:val="16"/>
        </w:rPr>
        <w:t>ziročně kolem 7 % a dosáhl maxima</w:t>
      </w:r>
      <w:r w:rsidRPr="00460A5B">
        <w:rPr>
          <w:sz w:val="16"/>
          <w:szCs w:val="16"/>
        </w:rPr>
        <w:t xml:space="preserve"> ze všech sledovaných segmentů maloobchodu). </w:t>
      </w:r>
      <w:r>
        <w:rPr>
          <w:sz w:val="16"/>
          <w:szCs w:val="16"/>
        </w:rPr>
        <w:t>Oproti 4. čtvrtletí 2019 byly tržby za tento sortiment reálně o celou čtvrtinu nižší.</w:t>
      </w:r>
      <w:r w:rsidRPr="00460A5B">
        <w:rPr>
          <w:sz w:val="16"/>
          <w:szCs w:val="16"/>
        </w:rPr>
        <w:t xml:space="preserve"> </w:t>
      </w:r>
    </w:p>
  </w:footnote>
  <w:footnote w:id="55">
    <w:p w14:paraId="306A6873" w14:textId="77777777" w:rsidR="00BA5125" w:rsidRDefault="00BA5125" w:rsidP="00EA1EBB">
      <w:pPr>
        <w:pStyle w:val="Textpoznpodarou"/>
        <w:rPr>
          <w:rFonts w:cs="Arial"/>
          <w:i/>
          <w:iCs/>
          <w:sz w:val="16"/>
          <w:szCs w:val="16"/>
        </w:rPr>
      </w:pPr>
      <w:r>
        <w:rPr>
          <w:rStyle w:val="Znakapoznpodarou"/>
          <w:rFonts w:cs="Arial"/>
          <w:sz w:val="16"/>
          <w:szCs w:val="16"/>
        </w:rPr>
        <w:footnoteRef/>
      </w:r>
      <w:r>
        <w:rPr>
          <w:rFonts w:cs="Arial"/>
          <w:i/>
          <w:iCs/>
          <w:sz w:val="16"/>
          <w:szCs w:val="16"/>
        </w:rPr>
        <w:t xml:space="preserve"> </w:t>
      </w:r>
      <w:r>
        <w:rPr>
          <w:rStyle w:val="Zdraznn"/>
          <w:rFonts w:cs="Arial"/>
          <w:color w:val="333333"/>
          <w:sz w:val="16"/>
          <w:szCs w:val="16"/>
          <w:bdr w:val="none" w:sz="0" w:space="0" w:color="auto" w:frame="1"/>
          <w:shd w:val="clear" w:color="auto" w:fill="FFFFFF"/>
        </w:rPr>
        <w:t>Údaje za zahraniční obchod se zbožím od roku 2020 jsou přepočítávány aktualizovanou metodou založenou na vyšší míře detailu, viz </w:t>
      </w:r>
      <w:hyperlink r:id="rId1" w:history="1">
        <w:r>
          <w:rPr>
            <w:rStyle w:val="Hypertextovodkaz"/>
            <w:rFonts w:cs="Arial"/>
            <w:sz w:val="16"/>
            <w:szCs w:val="16"/>
            <w:bdr w:val="none" w:sz="0" w:space="0" w:color="auto" w:frame="1"/>
            <w:shd w:val="clear" w:color="auto" w:fill="FFFFFF"/>
          </w:rPr>
          <w:t>https://www.czso.cz/csu/czso/aktualizace-metody-propoctu-zahranicni-obchod-se-zbozim</w:t>
        </w:r>
      </w:hyperlink>
      <w:r>
        <w:rPr>
          <w:rStyle w:val="Hypertextovodkaz"/>
          <w:rFonts w:cs="Arial"/>
          <w:sz w:val="16"/>
          <w:szCs w:val="16"/>
          <w:bdr w:val="none" w:sz="0" w:space="0" w:color="auto" w:frame="1"/>
          <w:shd w:val="clear" w:color="auto" w:fill="FFFFFF"/>
        </w:rPr>
        <w:t xml:space="preserve">. </w:t>
      </w:r>
      <w:r>
        <w:rPr>
          <w:sz w:val="16"/>
          <w:szCs w:val="16"/>
        </w:rPr>
        <w:t>Není-li uvedeno jinak, jsou všechny údaje sezónně neočištěné a v běžných cenách.</w:t>
      </w:r>
    </w:p>
  </w:footnote>
  <w:footnote w:id="56">
    <w:p w14:paraId="7D35CA48"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Ceny vývozu zboží loni klesly o 0,7 % a v samotném 4. čtvrtletí byly meziročně nižší o 2,2 %. Mezičtvrtletně ceny vývozu vzrostly </w:t>
      </w:r>
      <w:r>
        <w:rPr>
          <w:sz w:val="16"/>
          <w:szCs w:val="16"/>
        </w:rPr>
        <w:br/>
        <w:t>o 0,6 %. Ceny ostatních surovin se loni propadly o 18,6 % a minerálních paliv o 0,9 %. Ve 4. čtvrtletí ale ceny minerálních paliv meziročně klesly o 13,7 %.</w:t>
      </w:r>
    </w:p>
  </w:footnote>
  <w:footnote w:id="57">
    <w:p w14:paraId="139E2970"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V roce 2022 v souvislosti s prudkým nárůstem cen hodnota vývozu elektřiny, plynu, páry a klimatizovaného vzduchu do Německa vzrostla o 38,7 mld. korun a loni se propadla o 30,8 mld. V případě Slovenska po přírůstku o 15,6 mld. korun následoval loni propad </w:t>
      </w:r>
      <w:r>
        <w:rPr>
          <w:sz w:val="16"/>
          <w:szCs w:val="16"/>
        </w:rPr>
        <w:br/>
        <w:t>o 30,9 mld. Podobně export elektřiny do Rakouska v roce 2022 vzrostl o 8,9 mld. korun a loni klesl o 9,1 mld.</w:t>
      </w:r>
    </w:p>
  </w:footnote>
  <w:footnote w:id="58">
    <w:p w14:paraId="35A87C23"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Ceny dovozu zboží byly loni nižší o 5,7 %. Ve 4. čtvrtletí meziročně klesly o 6,1 % a mezičtvrtletně vzrostly o 1,5 %. Ceny importu minerálních paliv loni klesly o 27,7 %, ostatních surovin o 10,7 % a chemikálií o 7,9 %.</w:t>
      </w:r>
    </w:p>
  </w:footnote>
  <w:footnote w:id="59">
    <w:p w14:paraId="1BAF2B60"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Pohled na vývoj v posledních deseti letech ukazuje, že v letech 2014–2017 a 2019–2020 bylo kladné saldo bilance zahraničního obchodu se zbožím vyšší.   </w:t>
      </w:r>
    </w:p>
  </w:footnote>
  <w:footnote w:id="60">
    <w:p w14:paraId="6C72D3BA"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Imputované nájemné vyjadřuje náklady vlastnického bydlení. Kromě samotných cen bydlení zahrnuje i náklady na výstavbu a renovace a další poplatky. Více na: </w:t>
      </w:r>
      <w:hyperlink r:id="rId2" w:history="1">
        <w:r>
          <w:rPr>
            <w:rStyle w:val="Hypertextovodkaz"/>
            <w:sz w:val="16"/>
            <w:szCs w:val="16"/>
          </w:rPr>
          <w:t>https://www.czso.cz/csu/czso/metodicka-poznamka-k-indexu-spotrebitelskych-cen-imputovane-najemne</w:t>
        </w:r>
      </w:hyperlink>
      <w:r>
        <w:rPr>
          <w:rStyle w:val="Hypertextovodkaz"/>
          <w:sz w:val="16"/>
          <w:szCs w:val="16"/>
        </w:rPr>
        <w:t>.</w:t>
      </w:r>
    </w:p>
  </w:footnote>
  <w:footnote w:id="61">
    <w:p w14:paraId="0C3183EE"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Zahrnuje služby osobní péče a osobní potřeby a doplňky, sociální péči, pojištění a další finanční služby apod.</w:t>
      </w:r>
    </w:p>
  </w:footnote>
  <w:footnote w:id="62">
    <w:p w14:paraId="629EF097"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Oproti indexu spotřebitelských cen, který ČSÚ pro českou ekonomiku sestavuje, HICP neobsahuje imputované nájemné, což bývá zdrojem rozdílů mezi HICP a Indexem spotřebitelských cen.</w:t>
      </w:r>
    </w:p>
  </w:footnote>
  <w:footnote w:id="63">
    <w:p w14:paraId="0680B45D"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Přesné hodnoty ukazatele nejsou uvedeny kvůli ochraně individuálních dat.</w:t>
      </w:r>
    </w:p>
  </w:footnote>
  <w:footnote w:id="64">
    <w:p w14:paraId="12940FA8"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Bez cen zásobování vodou a služeb souvisejících s odpadními vodami.</w:t>
      </w:r>
    </w:p>
  </w:footnote>
  <w:footnote w:id="65">
    <w:p w14:paraId="55295887"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SITC 2 – suroviny nepoživatelné s výjimkou paliv.</w:t>
      </w:r>
    </w:p>
  </w:footnote>
  <w:footnote w:id="66">
    <w:p w14:paraId="2E360B3C"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Podle údajů ČNB byl ve 4. čtvrtletí 2023 průměrný kurz koruny vůči euru 24,521 CZK/EUR. V roce 2022 to bylo 24,387 CZK/EUR. Kurz dolaru meziročně posílil. Ve 4. čtvrtletí 2022 činil průměr 23,923 CZK/USD a letos 22,820 CZK/USD.</w:t>
      </w:r>
    </w:p>
  </w:footnote>
  <w:footnote w:id="67">
    <w:p w14:paraId="6A59CE9E" w14:textId="77777777" w:rsidR="00BA5125" w:rsidRDefault="00BA5125" w:rsidP="00EA1EBB">
      <w:pPr>
        <w:pStyle w:val="Textpoznpodarou"/>
        <w:rPr>
          <w:sz w:val="16"/>
          <w:szCs w:val="16"/>
        </w:rPr>
      </w:pPr>
      <w:r>
        <w:rPr>
          <w:rStyle w:val="Znakapoznpodarou"/>
          <w:sz w:val="16"/>
          <w:szCs w:val="16"/>
        </w:rPr>
        <w:footnoteRef/>
      </w:r>
      <w:r>
        <w:rPr>
          <w:sz w:val="16"/>
          <w:szCs w:val="16"/>
        </w:rPr>
        <w:t xml:space="preserve"> SITC 6 – tržní výrobky tříděné hlavně podle materiálu.</w:t>
      </w:r>
    </w:p>
  </w:footnote>
  <w:footnote w:id="68">
    <w:p w14:paraId="5C5D5F9E" w14:textId="77777777" w:rsidR="00BA5125" w:rsidRPr="00F72E52" w:rsidRDefault="00BA5125" w:rsidP="00582A12">
      <w:pPr>
        <w:pStyle w:val="Textpoznpodarou"/>
        <w:jc w:val="both"/>
        <w:rPr>
          <w:color w:val="0D0D0D" w:themeColor="text1" w:themeTint="F2"/>
          <w:spacing w:val="-2"/>
          <w:sz w:val="16"/>
          <w:szCs w:val="16"/>
        </w:rPr>
      </w:pPr>
      <w:r w:rsidRPr="00F72E52">
        <w:rPr>
          <w:rStyle w:val="Znakapoznpodarou"/>
          <w:color w:val="0D0D0D" w:themeColor="text1" w:themeTint="F2"/>
          <w:spacing w:val="-2"/>
          <w:sz w:val="16"/>
          <w:szCs w:val="16"/>
        </w:rPr>
        <w:footnoteRef/>
      </w:r>
      <w:r w:rsidRPr="00F72E52">
        <w:rPr>
          <w:color w:val="0D0D0D" w:themeColor="text1" w:themeTint="F2"/>
          <w:spacing w:val="-2"/>
          <w:sz w:val="16"/>
          <w:szCs w:val="16"/>
        </w:rPr>
        <w:t xml:space="preserve"> Údaje </w:t>
      </w:r>
      <w:r>
        <w:rPr>
          <w:color w:val="0D0D0D" w:themeColor="text1" w:themeTint="F2"/>
          <w:spacing w:val="-2"/>
          <w:sz w:val="16"/>
          <w:szCs w:val="16"/>
        </w:rPr>
        <w:t xml:space="preserve">o zaměstnanosti </w:t>
      </w:r>
      <w:r w:rsidRPr="00F72E52">
        <w:rPr>
          <w:color w:val="0D0D0D" w:themeColor="text1" w:themeTint="F2"/>
          <w:spacing w:val="-2"/>
          <w:sz w:val="16"/>
          <w:szCs w:val="16"/>
        </w:rPr>
        <w:t>vycház</w:t>
      </w:r>
      <w:r>
        <w:rPr>
          <w:color w:val="0D0D0D" w:themeColor="text1" w:themeTint="F2"/>
          <w:spacing w:val="-2"/>
          <w:sz w:val="16"/>
          <w:szCs w:val="16"/>
        </w:rPr>
        <w:t>ej</w:t>
      </w:r>
      <w:r w:rsidRPr="00F72E52">
        <w:rPr>
          <w:color w:val="0D0D0D" w:themeColor="text1" w:themeTint="F2"/>
          <w:spacing w:val="-2"/>
          <w:sz w:val="16"/>
          <w:szCs w:val="16"/>
        </w:rPr>
        <w:t>í z</w:t>
      </w:r>
      <w:r>
        <w:rPr>
          <w:color w:val="0D0D0D" w:themeColor="text1" w:themeTint="F2"/>
          <w:spacing w:val="-2"/>
          <w:sz w:val="16"/>
          <w:szCs w:val="16"/>
        </w:rPr>
        <w:t> </w:t>
      </w:r>
      <w:r w:rsidRPr="00F72E52">
        <w:rPr>
          <w:color w:val="0D0D0D" w:themeColor="text1" w:themeTint="F2"/>
          <w:spacing w:val="-2"/>
          <w:sz w:val="16"/>
          <w:szCs w:val="16"/>
        </w:rPr>
        <w:t>pojetí národních účtů. Jsou vyjádřeny ve fyzických osobách a</w:t>
      </w:r>
      <w:r>
        <w:rPr>
          <w:color w:val="0D0D0D" w:themeColor="text1" w:themeTint="F2"/>
          <w:spacing w:val="-2"/>
          <w:sz w:val="16"/>
          <w:szCs w:val="16"/>
        </w:rPr>
        <w:t> </w:t>
      </w:r>
      <w:r w:rsidRPr="00F72E52">
        <w:rPr>
          <w:color w:val="0D0D0D" w:themeColor="text1" w:themeTint="F2"/>
          <w:spacing w:val="-2"/>
          <w:sz w:val="16"/>
          <w:szCs w:val="16"/>
        </w:rPr>
        <w:t>očištěny o sezónní vlivy.</w:t>
      </w:r>
      <w:r>
        <w:rPr>
          <w:color w:val="0D0D0D" w:themeColor="text1" w:themeTint="F2"/>
          <w:spacing w:val="-2"/>
          <w:sz w:val="16"/>
          <w:szCs w:val="16"/>
        </w:rPr>
        <w:t xml:space="preserve"> Na rozdíl od údajů z podnikové statistiky či z </w:t>
      </w:r>
      <w:r w:rsidRPr="00946AFA">
        <w:rPr>
          <w:sz w:val="16"/>
          <w:szCs w:val="16"/>
        </w:rPr>
        <w:t xml:space="preserve">výběrového šetření pracovních sil </w:t>
      </w:r>
      <w:r>
        <w:rPr>
          <w:sz w:val="16"/>
          <w:szCs w:val="16"/>
        </w:rPr>
        <w:t>(VŠPS) zahrnují např. i odhad vlivu šedé ekonomiky.</w:t>
      </w:r>
    </w:p>
  </w:footnote>
  <w:footnote w:id="69">
    <w:p w14:paraId="052A22AB" w14:textId="77777777" w:rsidR="00BA5125" w:rsidRPr="00F202F4" w:rsidRDefault="00BA5125" w:rsidP="00582A12">
      <w:pPr>
        <w:pStyle w:val="Textpoznpodarou"/>
        <w:rPr>
          <w:sz w:val="16"/>
          <w:szCs w:val="16"/>
        </w:rPr>
      </w:pPr>
      <w:r w:rsidRPr="00F202F4">
        <w:rPr>
          <w:rStyle w:val="Znakapoznpodarou"/>
          <w:sz w:val="16"/>
          <w:szCs w:val="16"/>
        </w:rPr>
        <w:footnoteRef/>
      </w:r>
      <w:r>
        <w:rPr>
          <w:sz w:val="16"/>
          <w:szCs w:val="16"/>
        </w:rPr>
        <w:t xml:space="preserve"> V E</w:t>
      </w:r>
      <w:r w:rsidRPr="00F202F4">
        <w:rPr>
          <w:sz w:val="16"/>
          <w:szCs w:val="16"/>
        </w:rPr>
        <w:t xml:space="preserve">U i samotné eurozóně mírný růst celkové zaměstnanosti </w:t>
      </w:r>
      <w:r>
        <w:rPr>
          <w:sz w:val="16"/>
          <w:szCs w:val="16"/>
        </w:rPr>
        <w:t xml:space="preserve">loni </w:t>
      </w:r>
      <w:r w:rsidRPr="00F202F4">
        <w:rPr>
          <w:sz w:val="16"/>
          <w:szCs w:val="16"/>
        </w:rPr>
        <w:t xml:space="preserve">pokračoval (ve 3. čtvrtletí činil </w:t>
      </w:r>
      <w:proofErr w:type="spellStart"/>
      <w:r w:rsidRPr="00F202F4">
        <w:rPr>
          <w:sz w:val="16"/>
          <w:szCs w:val="16"/>
        </w:rPr>
        <w:t>mezikvartálně</w:t>
      </w:r>
      <w:proofErr w:type="spellEnd"/>
      <w:r w:rsidRPr="00F202F4">
        <w:rPr>
          <w:sz w:val="16"/>
          <w:szCs w:val="16"/>
        </w:rPr>
        <w:t xml:space="preserve"> 0,2 %</w:t>
      </w:r>
      <w:r>
        <w:rPr>
          <w:sz w:val="16"/>
          <w:szCs w:val="16"/>
        </w:rPr>
        <w:t xml:space="preserve">, ve 4. čtvrtletí </w:t>
      </w:r>
      <w:r w:rsidRPr="00B71BED">
        <w:rPr>
          <w:spacing w:val="-2"/>
          <w:sz w:val="16"/>
          <w:szCs w:val="16"/>
        </w:rPr>
        <w:t>0,3</w:t>
      </w:r>
      <w:r w:rsidRPr="00B71BED">
        <w:rPr>
          <w:color w:val="0D0D0D" w:themeColor="text1" w:themeTint="F2"/>
          <w:spacing w:val="-2"/>
          <w:sz w:val="16"/>
          <w:szCs w:val="16"/>
        </w:rPr>
        <w:t> </w:t>
      </w:r>
      <w:r w:rsidRPr="00B71BED">
        <w:rPr>
          <w:spacing w:val="-2"/>
          <w:sz w:val="16"/>
          <w:szCs w:val="16"/>
        </w:rPr>
        <w:t>%). Horší výsledky průmyslu vyvažovaly služby – hlavně informační a komunikační činnosti, finančnictví a podnikové i veřejné služby.</w:t>
      </w:r>
    </w:p>
  </w:footnote>
  <w:footnote w:id="70">
    <w:p w14:paraId="3C80ADAC" w14:textId="77777777" w:rsidR="00BA5125" w:rsidRPr="00431D2B" w:rsidRDefault="00BA5125" w:rsidP="00582A12">
      <w:pPr>
        <w:pStyle w:val="Textpoznpodarou"/>
        <w:rPr>
          <w:sz w:val="16"/>
          <w:szCs w:val="16"/>
        </w:rPr>
      </w:pPr>
      <w:r w:rsidRPr="00431D2B">
        <w:rPr>
          <w:rStyle w:val="Znakapoznpodarou"/>
          <w:sz w:val="16"/>
          <w:szCs w:val="16"/>
        </w:rPr>
        <w:footnoteRef/>
      </w:r>
      <w:r w:rsidRPr="00431D2B">
        <w:rPr>
          <w:sz w:val="16"/>
          <w:szCs w:val="16"/>
        </w:rPr>
        <w:t xml:space="preserve"> </w:t>
      </w:r>
      <w:r w:rsidRPr="00C034B4">
        <w:rPr>
          <w:spacing w:val="-2"/>
          <w:sz w:val="16"/>
          <w:szCs w:val="16"/>
        </w:rPr>
        <w:t xml:space="preserve">Zaměstnanost v ČR tak rostla opět pomaleji než v EU. V celé Unii se loni počet pracovníků meziročně zvýšil o 1,2 %, z jednotlivých států pak nejvíce na Maltě (o 6,5 %), v Irsku (5,4 %), Estonsku a Španělsku (shodně o 3,2 %). Německo vykázalo podobný růst jako ČR (0,7 %). Poměrně slabý růst registrovaly i </w:t>
      </w:r>
      <w:r>
        <w:rPr>
          <w:spacing w:val="-2"/>
          <w:sz w:val="16"/>
          <w:szCs w:val="16"/>
        </w:rPr>
        <w:t xml:space="preserve">další středoevropské ekonomiky </w:t>
      </w:r>
      <w:r w:rsidRPr="00B71BED">
        <w:rPr>
          <w:spacing w:val="-2"/>
          <w:sz w:val="16"/>
          <w:szCs w:val="16"/>
        </w:rPr>
        <w:t>–</w:t>
      </w:r>
      <w:r w:rsidRPr="00C034B4">
        <w:rPr>
          <w:spacing w:val="-2"/>
          <w:sz w:val="16"/>
          <w:szCs w:val="16"/>
        </w:rPr>
        <w:t xml:space="preserve"> Slovensko (0,3 %),</w:t>
      </w:r>
      <w:r>
        <w:rPr>
          <w:spacing w:val="-2"/>
          <w:sz w:val="16"/>
          <w:szCs w:val="16"/>
        </w:rPr>
        <w:t xml:space="preserve"> Maďarsko</w:t>
      </w:r>
      <w:r w:rsidRPr="00C034B4">
        <w:rPr>
          <w:spacing w:val="-2"/>
          <w:sz w:val="16"/>
          <w:szCs w:val="16"/>
        </w:rPr>
        <w:t xml:space="preserve"> (0,2 %) a </w:t>
      </w:r>
      <w:r>
        <w:rPr>
          <w:spacing w:val="-2"/>
          <w:sz w:val="16"/>
          <w:szCs w:val="16"/>
        </w:rPr>
        <w:t>rovněž</w:t>
      </w:r>
      <w:r w:rsidRPr="00C034B4">
        <w:rPr>
          <w:spacing w:val="-2"/>
          <w:sz w:val="16"/>
          <w:szCs w:val="16"/>
        </w:rPr>
        <w:t xml:space="preserve"> Polsko (+0,1 %), kde ovšem počet pracovníků svižně rostl v roce 2022</w:t>
      </w:r>
      <w:r>
        <w:rPr>
          <w:spacing w:val="-2"/>
          <w:sz w:val="16"/>
          <w:szCs w:val="16"/>
        </w:rPr>
        <w:t xml:space="preserve"> (+3,9 %)</w:t>
      </w:r>
      <w:r w:rsidRPr="00C034B4">
        <w:rPr>
          <w:spacing w:val="-2"/>
          <w:sz w:val="16"/>
          <w:szCs w:val="16"/>
        </w:rPr>
        <w:t>. V Rumunsku, jako v jediné členské zemi, se loni zaměstnanost snížila (o 0,9 %).</w:t>
      </w:r>
    </w:p>
  </w:footnote>
  <w:footnote w:id="71">
    <w:p w14:paraId="2F937820" w14:textId="77777777" w:rsidR="00BA5125" w:rsidRDefault="00BA5125" w:rsidP="00582A12">
      <w:pPr>
        <w:pStyle w:val="Textpoznpodarou"/>
      </w:pPr>
      <w:r w:rsidRPr="00442EDD">
        <w:rPr>
          <w:rStyle w:val="Znakapoznpodarou"/>
          <w:sz w:val="16"/>
          <w:szCs w:val="16"/>
        </w:rPr>
        <w:footnoteRef/>
      </w:r>
      <w:r w:rsidRPr="00442EDD">
        <w:rPr>
          <w:sz w:val="16"/>
          <w:szCs w:val="16"/>
        </w:rPr>
        <w:t xml:space="preserve"> </w:t>
      </w:r>
      <w:r w:rsidRPr="00442EDD">
        <w:rPr>
          <w:spacing w:val="-2"/>
          <w:sz w:val="16"/>
          <w:szCs w:val="16"/>
        </w:rPr>
        <w:t>Zahrnují odvětví Veřejná správa a obrana, vzdělávání, zdravotní a sociální péče.</w:t>
      </w:r>
    </w:p>
  </w:footnote>
  <w:footnote w:id="72">
    <w:p w14:paraId="477438E5" w14:textId="77777777" w:rsidR="00BA5125" w:rsidRPr="00A85055" w:rsidRDefault="00BA5125" w:rsidP="00582A12">
      <w:pPr>
        <w:pStyle w:val="Textpoznpodarou"/>
        <w:rPr>
          <w:spacing w:val="-4"/>
          <w:sz w:val="16"/>
          <w:szCs w:val="16"/>
        </w:rPr>
      </w:pPr>
      <w:r w:rsidRPr="00A85055">
        <w:rPr>
          <w:rStyle w:val="Znakapoznpodarou"/>
          <w:spacing w:val="-6"/>
          <w:sz w:val="16"/>
          <w:szCs w:val="16"/>
        </w:rPr>
        <w:footnoteRef/>
      </w:r>
      <w:r w:rsidRPr="00A85055">
        <w:rPr>
          <w:spacing w:val="-6"/>
          <w:sz w:val="16"/>
          <w:szCs w:val="16"/>
        </w:rPr>
        <w:t xml:space="preserve"> Z podnikových statistik plyne, že ve výrobě ostatních nekovových minerálních výrobků se evidenční počet zaměstnanců meziročně snížil o 3,4</w:t>
      </w:r>
      <w:r w:rsidRPr="00A85055">
        <w:rPr>
          <w:color w:val="0D0D0D" w:themeColor="text1" w:themeTint="F2"/>
          <w:spacing w:val="-6"/>
          <w:sz w:val="16"/>
          <w:szCs w:val="16"/>
        </w:rPr>
        <w:t> </w:t>
      </w:r>
      <w:r w:rsidRPr="00A85055">
        <w:rPr>
          <w:spacing w:val="-6"/>
          <w:sz w:val="16"/>
          <w:szCs w:val="16"/>
        </w:rPr>
        <w:t>%.</w:t>
      </w:r>
      <w:r w:rsidRPr="00A85055">
        <w:rPr>
          <w:spacing w:val="-4"/>
          <w:sz w:val="16"/>
          <w:szCs w:val="16"/>
        </w:rPr>
        <w:t xml:space="preserve"> Mírnější pokles nastal i ve všech ostatních váhově významnějších průmyslových oborech, včetně výroby motorových </w:t>
      </w:r>
      <w:proofErr w:type="gramStart"/>
      <w:r w:rsidRPr="00A85055">
        <w:rPr>
          <w:spacing w:val="-4"/>
          <w:sz w:val="16"/>
          <w:szCs w:val="16"/>
        </w:rPr>
        <w:t>vozidel (–0,4</w:t>
      </w:r>
      <w:proofErr w:type="gramEnd"/>
      <w:r w:rsidRPr="00A85055">
        <w:rPr>
          <w:spacing w:val="-4"/>
          <w:sz w:val="16"/>
          <w:szCs w:val="16"/>
        </w:rPr>
        <w:t xml:space="preserve"> %).</w:t>
      </w:r>
    </w:p>
  </w:footnote>
  <w:footnote w:id="73">
    <w:p w14:paraId="50B777CA" w14:textId="77777777" w:rsidR="00BA5125" w:rsidRPr="00946AFA" w:rsidRDefault="00BA5125" w:rsidP="00582A12">
      <w:pPr>
        <w:pStyle w:val="Textpoznpodarou"/>
        <w:rPr>
          <w:sz w:val="16"/>
          <w:szCs w:val="16"/>
        </w:rPr>
      </w:pPr>
      <w:r w:rsidRPr="00946AFA">
        <w:rPr>
          <w:rStyle w:val="Znakapoznpodarou"/>
          <w:sz w:val="16"/>
          <w:szCs w:val="16"/>
        </w:rPr>
        <w:footnoteRef/>
      </w:r>
      <w:r w:rsidRPr="00946AFA">
        <w:rPr>
          <w:sz w:val="16"/>
          <w:szCs w:val="16"/>
        </w:rPr>
        <w:t xml:space="preserve"> Z detailnějších </w:t>
      </w:r>
      <w:r>
        <w:rPr>
          <w:sz w:val="16"/>
          <w:szCs w:val="16"/>
        </w:rPr>
        <w:t xml:space="preserve">údajů z VŠPS </w:t>
      </w:r>
      <w:r w:rsidRPr="00946AFA">
        <w:rPr>
          <w:sz w:val="16"/>
          <w:szCs w:val="16"/>
        </w:rPr>
        <w:t>plyne, že počet zaměstnavatel</w:t>
      </w:r>
      <w:r>
        <w:rPr>
          <w:sz w:val="16"/>
          <w:szCs w:val="16"/>
        </w:rPr>
        <w:t>ů (podnikatelů se zaměstnanci) se loni meziročně nepatrně snížil (a</w:t>
      </w:r>
      <w:r w:rsidRPr="00B6005F">
        <w:rPr>
          <w:spacing w:val="-3"/>
          <w:sz w:val="16"/>
          <w:szCs w:val="16"/>
        </w:rPr>
        <w:t> </w:t>
      </w:r>
      <w:r>
        <w:rPr>
          <w:sz w:val="16"/>
          <w:szCs w:val="16"/>
        </w:rPr>
        <w:t>pokračoval tak v nepříznivém trendu trvajícím od roku 2019). Tato početně méně významná skupina podnikatelů je v metodice národních účtů řazena do kategorie zaměstnanců.</w:t>
      </w:r>
    </w:p>
  </w:footnote>
  <w:footnote w:id="74">
    <w:p w14:paraId="297B6EFB" w14:textId="77777777" w:rsidR="00BA5125" w:rsidRPr="00650B9F" w:rsidRDefault="00BA5125" w:rsidP="00582A12">
      <w:pPr>
        <w:pStyle w:val="Textpoznpodarou"/>
        <w:rPr>
          <w:sz w:val="16"/>
          <w:szCs w:val="16"/>
        </w:rPr>
      </w:pPr>
      <w:r w:rsidRPr="00650B9F">
        <w:rPr>
          <w:rStyle w:val="Znakapoznpodarou"/>
          <w:sz w:val="16"/>
          <w:szCs w:val="16"/>
        </w:rPr>
        <w:footnoteRef/>
      </w:r>
      <w:r w:rsidRPr="00650B9F">
        <w:rPr>
          <w:sz w:val="16"/>
          <w:szCs w:val="16"/>
        </w:rPr>
        <w:t xml:space="preserve"> </w:t>
      </w:r>
      <w:r>
        <w:rPr>
          <w:color w:val="0D0D0D" w:themeColor="text1" w:themeTint="F2"/>
          <w:spacing w:val="-4"/>
          <w:sz w:val="16"/>
          <w:szCs w:val="16"/>
        </w:rPr>
        <w:t>Ve zpracovatelském průmyslu a také v odvětví o</w:t>
      </w:r>
      <w:r w:rsidRPr="00715226">
        <w:rPr>
          <w:color w:val="0D0D0D" w:themeColor="text1" w:themeTint="F2"/>
          <w:spacing w:val="-4"/>
          <w:sz w:val="16"/>
          <w:szCs w:val="16"/>
        </w:rPr>
        <w:t>bchod, doprava, ubytování a pohostinství</w:t>
      </w:r>
      <w:r>
        <w:rPr>
          <w:color w:val="0D0D0D" w:themeColor="text1" w:themeTint="F2"/>
          <w:spacing w:val="-4"/>
          <w:sz w:val="16"/>
          <w:szCs w:val="16"/>
        </w:rPr>
        <w:t xml:space="preserve"> jich za poslední čtyři roky ubyla bezmála desetina. Naopak znatelně nad svou předkrizovou úrovní se nacházely počty </w:t>
      </w:r>
      <w:proofErr w:type="spellStart"/>
      <w:r>
        <w:rPr>
          <w:color w:val="0D0D0D" w:themeColor="text1" w:themeTint="F2"/>
          <w:spacing w:val="-4"/>
          <w:sz w:val="16"/>
          <w:szCs w:val="16"/>
        </w:rPr>
        <w:t>sebezaměstnaných</w:t>
      </w:r>
      <w:proofErr w:type="spellEnd"/>
      <w:r>
        <w:rPr>
          <w:color w:val="0D0D0D" w:themeColor="text1" w:themeTint="F2"/>
          <w:spacing w:val="-4"/>
          <w:sz w:val="16"/>
          <w:szCs w:val="16"/>
        </w:rPr>
        <w:t xml:space="preserve"> pouze v informačních a komunikačních činnostech (+10</w:t>
      </w:r>
      <w:r w:rsidRPr="00B6005F">
        <w:rPr>
          <w:spacing w:val="-3"/>
          <w:sz w:val="16"/>
          <w:szCs w:val="16"/>
        </w:rPr>
        <w:t> </w:t>
      </w:r>
      <w:r>
        <w:rPr>
          <w:color w:val="0D0D0D" w:themeColor="text1" w:themeTint="F2"/>
          <w:spacing w:val="-4"/>
          <w:sz w:val="16"/>
          <w:szCs w:val="16"/>
        </w:rPr>
        <w:t>%), mírně (do 2 %) potom ve stavebnictví a v oblasti nemovitostí.</w:t>
      </w:r>
    </w:p>
  </w:footnote>
  <w:footnote w:id="75">
    <w:p w14:paraId="7F5D4A8D" w14:textId="77777777" w:rsidR="00BA5125" w:rsidRPr="00536DA1" w:rsidRDefault="00BA5125" w:rsidP="00582A12">
      <w:pPr>
        <w:pStyle w:val="Textpoznpodarou"/>
        <w:rPr>
          <w:sz w:val="16"/>
          <w:szCs w:val="16"/>
        </w:rPr>
      </w:pPr>
      <w:r w:rsidRPr="00536DA1">
        <w:rPr>
          <w:rStyle w:val="Znakapoznpodarou"/>
          <w:sz w:val="16"/>
          <w:szCs w:val="16"/>
        </w:rPr>
        <w:footnoteRef/>
      </w:r>
      <w:r w:rsidRPr="00536DA1">
        <w:rPr>
          <w:sz w:val="16"/>
          <w:szCs w:val="16"/>
        </w:rPr>
        <w:t xml:space="preserve"> Mezi nimi se ve srovnání s cizinci v zaměstnaneckém postavení častěji vyskytují lidé v Česku dlouhodobě usazení</w:t>
      </w:r>
      <w:r>
        <w:rPr>
          <w:sz w:val="16"/>
          <w:szCs w:val="16"/>
        </w:rPr>
        <w:t xml:space="preserve"> (např. Vietnamci).</w:t>
      </w:r>
    </w:p>
  </w:footnote>
  <w:footnote w:id="76">
    <w:p w14:paraId="39020C58" w14:textId="77777777" w:rsidR="00BA5125" w:rsidRPr="00096AE5" w:rsidRDefault="00BA5125" w:rsidP="00582A12">
      <w:pPr>
        <w:pStyle w:val="Textpoznpodarou"/>
        <w:rPr>
          <w:sz w:val="16"/>
          <w:szCs w:val="16"/>
        </w:rPr>
      </w:pPr>
      <w:r w:rsidRPr="00096AE5">
        <w:rPr>
          <w:rStyle w:val="Znakapoznpodarou"/>
          <w:sz w:val="16"/>
          <w:szCs w:val="16"/>
        </w:rPr>
        <w:footnoteRef/>
      </w:r>
      <w:r w:rsidRPr="00096AE5">
        <w:rPr>
          <w:sz w:val="16"/>
          <w:szCs w:val="16"/>
        </w:rPr>
        <w:t xml:space="preserve"> Po odečtení všech ukrajinských občanů se </w:t>
      </w:r>
      <w:r>
        <w:rPr>
          <w:sz w:val="16"/>
          <w:szCs w:val="16"/>
        </w:rPr>
        <w:t xml:space="preserve">za </w:t>
      </w:r>
      <w:r w:rsidRPr="00096AE5">
        <w:rPr>
          <w:sz w:val="16"/>
          <w:szCs w:val="16"/>
        </w:rPr>
        <w:t>loňský rok zvýšil počet cizinců v postavení zaměstnan</w:t>
      </w:r>
      <w:r>
        <w:rPr>
          <w:sz w:val="16"/>
          <w:szCs w:val="16"/>
        </w:rPr>
        <w:t>ců o 15,0 tis. (v letech 2022 a</w:t>
      </w:r>
      <w:r w:rsidRPr="00B6005F">
        <w:rPr>
          <w:spacing w:val="-3"/>
          <w:sz w:val="16"/>
          <w:szCs w:val="16"/>
        </w:rPr>
        <w:t> </w:t>
      </w:r>
      <w:r w:rsidRPr="00096AE5">
        <w:rPr>
          <w:sz w:val="16"/>
          <w:szCs w:val="16"/>
        </w:rPr>
        <w:t>2021 pak o 16,7 tis., resp. 22,0 tis.).</w:t>
      </w:r>
      <w:r>
        <w:rPr>
          <w:sz w:val="16"/>
          <w:szCs w:val="16"/>
        </w:rPr>
        <w:t xml:space="preserve"> Růst u živnostníků činil za rok 2023 analogicky 3,2 tis. a rovněž v předchozích dvou letech se pohyboval mezi 3 a 4 tisíci.</w:t>
      </w:r>
    </w:p>
  </w:footnote>
  <w:footnote w:id="77">
    <w:p w14:paraId="1EA04F08" w14:textId="77777777" w:rsidR="00BA5125" w:rsidRPr="004F321F" w:rsidRDefault="00BA5125" w:rsidP="00582A12">
      <w:pPr>
        <w:pStyle w:val="Textpoznpodarou"/>
        <w:rPr>
          <w:sz w:val="16"/>
          <w:szCs w:val="16"/>
        </w:rPr>
      </w:pPr>
      <w:r w:rsidRPr="004F321F">
        <w:rPr>
          <w:rStyle w:val="Znakapoznpodarou"/>
          <w:sz w:val="16"/>
          <w:szCs w:val="16"/>
        </w:rPr>
        <w:footnoteRef/>
      </w:r>
      <w:r>
        <w:rPr>
          <w:sz w:val="16"/>
          <w:szCs w:val="16"/>
        </w:rPr>
        <w:t xml:space="preserve"> D</w:t>
      </w:r>
      <w:r w:rsidRPr="004F321F">
        <w:rPr>
          <w:sz w:val="16"/>
          <w:szCs w:val="16"/>
        </w:rPr>
        <w:t>le údajů</w:t>
      </w:r>
      <w:r w:rsidRPr="00B04E9B">
        <w:rPr>
          <w:sz w:val="16"/>
          <w:szCs w:val="16"/>
        </w:rPr>
        <w:t xml:space="preserve"> z</w:t>
      </w:r>
      <w:r>
        <w:rPr>
          <w:sz w:val="16"/>
          <w:szCs w:val="16"/>
        </w:rPr>
        <w:t xml:space="preserve"> VŠPS za 4. čtvrtletí 2023 pracovalo v ČR mezi ženami ve věku 15 a více let na zkrácené úvazky rekordních 13,7 %. To je meziročně o 1,7 p. b. </w:t>
      </w:r>
      <w:proofErr w:type="gramStart"/>
      <w:r>
        <w:rPr>
          <w:sz w:val="16"/>
          <w:szCs w:val="16"/>
        </w:rPr>
        <w:t>více</w:t>
      </w:r>
      <w:proofErr w:type="gramEnd"/>
      <w:r>
        <w:rPr>
          <w:sz w:val="16"/>
          <w:szCs w:val="16"/>
        </w:rPr>
        <w:t xml:space="preserve"> (spolu se Slovenskem jde o nejvýraznější nárůst v rámci EU). Zastoupení těchto úvazků v ČR je ovšem stále v evropském kontextu nízké. V EU dosahovalo (29,6 %), z toho v eurozóně (34,4 %).</w:t>
      </w:r>
    </w:p>
  </w:footnote>
  <w:footnote w:id="78">
    <w:p w14:paraId="0704AF31" w14:textId="77777777" w:rsidR="00BA5125" w:rsidRPr="002377B1" w:rsidRDefault="00BA5125" w:rsidP="00582A12">
      <w:pPr>
        <w:pStyle w:val="Textpoznpodarou"/>
        <w:rPr>
          <w:sz w:val="16"/>
          <w:szCs w:val="16"/>
        </w:rPr>
      </w:pPr>
      <w:r w:rsidRPr="002377B1">
        <w:rPr>
          <w:rStyle w:val="Znakapoznpodarou"/>
          <w:sz w:val="16"/>
          <w:szCs w:val="16"/>
        </w:rPr>
        <w:footnoteRef/>
      </w:r>
      <w:r w:rsidRPr="002377B1">
        <w:rPr>
          <w:sz w:val="16"/>
          <w:szCs w:val="16"/>
        </w:rPr>
        <w:t xml:space="preserve"> Jde o hrubý domácí produkt (ve stálých cenách roku 2015) na 1 hodinu </w:t>
      </w:r>
      <w:r>
        <w:rPr>
          <w:sz w:val="16"/>
          <w:szCs w:val="16"/>
        </w:rPr>
        <w:t>od</w:t>
      </w:r>
      <w:r w:rsidRPr="002377B1">
        <w:rPr>
          <w:sz w:val="16"/>
          <w:szCs w:val="16"/>
        </w:rPr>
        <w:t>pracovanou zaměstnanými osobami v celé ekonomice. Na úrovn</w:t>
      </w:r>
      <w:r>
        <w:rPr>
          <w:sz w:val="16"/>
          <w:szCs w:val="16"/>
        </w:rPr>
        <w:t>i</w:t>
      </w:r>
      <w:r w:rsidRPr="002377B1">
        <w:rPr>
          <w:sz w:val="16"/>
          <w:szCs w:val="16"/>
        </w:rPr>
        <w:t xml:space="preserve"> hlavních odvětví je místo HDP použita hrubá přidaná hodnota. </w:t>
      </w:r>
    </w:p>
  </w:footnote>
  <w:footnote w:id="79">
    <w:p w14:paraId="59C190A3" w14:textId="77777777" w:rsidR="00BA5125" w:rsidRPr="00A20936" w:rsidRDefault="00BA5125" w:rsidP="00582A12">
      <w:pPr>
        <w:pStyle w:val="Textpoznpodarou"/>
        <w:rPr>
          <w:color w:val="0D0D0D" w:themeColor="text1" w:themeTint="F2"/>
          <w:spacing w:val="-4"/>
          <w:sz w:val="16"/>
          <w:szCs w:val="16"/>
        </w:rPr>
      </w:pPr>
      <w:r w:rsidRPr="00A20936">
        <w:rPr>
          <w:rStyle w:val="Znakapoznpodarou"/>
          <w:color w:val="0D0D0D" w:themeColor="text1" w:themeTint="F2"/>
          <w:spacing w:val="-2"/>
          <w:sz w:val="16"/>
          <w:szCs w:val="16"/>
        </w:rPr>
        <w:footnoteRef/>
      </w:r>
      <w:r w:rsidRPr="00A20936">
        <w:rPr>
          <w:color w:val="0D0D0D" w:themeColor="text1" w:themeTint="F2"/>
          <w:spacing w:val="-2"/>
          <w:sz w:val="16"/>
          <w:szCs w:val="16"/>
        </w:rPr>
        <w:t xml:space="preserve"> </w:t>
      </w:r>
      <w:r>
        <w:rPr>
          <w:color w:val="0D0D0D" w:themeColor="text1" w:themeTint="F2"/>
          <w:spacing w:val="-2"/>
          <w:sz w:val="16"/>
          <w:szCs w:val="16"/>
        </w:rPr>
        <w:t xml:space="preserve">Převažující negativní očekávání zaměstnanosti vyjádřily (dle šetření z února 2024) podniky ve dvou třetinách </w:t>
      </w:r>
      <w:r w:rsidRPr="00A20936">
        <w:rPr>
          <w:color w:val="0D0D0D" w:themeColor="text1" w:themeTint="F2"/>
          <w:spacing w:val="-2"/>
          <w:sz w:val="16"/>
          <w:szCs w:val="16"/>
        </w:rPr>
        <w:t xml:space="preserve">průmyslových oborů – jak </w:t>
      </w:r>
      <w:r>
        <w:rPr>
          <w:color w:val="0D0D0D" w:themeColor="text1" w:themeTint="F2"/>
          <w:spacing w:val="-2"/>
          <w:sz w:val="16"/>
          <w:szCs w:val="16"/>
        </w:rPr>
        <w:t>v</w:t>
      </w:r>
      <w:r w:rsidRPr="002377B1">
        <w:rPr>
          <w:sz w:val="16"/>
          <w:szCs w:val="16"/>
        </w:rPr>
        <w:t> </w:t>
      </w:r>
      <w:r w:rsidRPr="00A20936">
        <w:rPr>
          <w:color w:val="0D0D0D" w:themeColor="text1" w:themeTint="F2"/>
          <w:spacing w:val="-2"/>
          <w:sz w:val="16"/>
          <w:szCs w:val="16"/>
        </w:rPr>
        <w:t>energeticky ná</w:t>
      </w:r>
      <w:r>
        <w:rPr>
          <w:color w:val="0D0D0D" w:themeColor="text1" w:themeTint="F2"/>
          <w:spacing w:val="-2"/>
          <w:sz w:val="16"/>
          <w:szCs w:val="16"/>
        </w:rPr>
        <w:t xml:space="preserve">ročných (hutnictví, </w:t>
      </w:r>
      <w:r w:rsidRPr="00A20936">
        <w:rPr>
          <w:color w:val="0D0D0D" w:themeColor="text1" w:themeTint="F2"/>
          <w:spacing w:val="-2"/>
          <w:sz w:val="16"/>
          <w:szCs w:val="16"/>
        </w:rPr>
        <w:t xml:space="preserve">výroba stavebních materiálů, </w:t>
      </w:r>
      <w:r>
        <w:rPr>
          <w:color w:val="0D0D0D" w:themeColor="text1" w:themeTint="F2"/>
          <w:spacing w:val="-2"/>
          <w:sz w:val="16"/>
          <w:szCs w:val="16"/>
        </w:rPr>
        <w:t xml:space="preserve">kovodělný, </w:t>
      </w:r>
      <w:r w:rsidRPr="00A20936">
        <w:rPr>
          <w:color w:val="0D0D0D" w:themeColor="text1" w:themeTint="F2"/>
          <w:spacing w:val="-2"/>
          <w:sz w:val="16"/>
          <w:szCs w:val="16"/>
        </w:rPr>
        <w:t>ch</w:t>
      </w:r>
      <w:r>
        <w:rPr>
          <w:color w:val="0D0D0D" w:themeColor="text1" w:themeTint="F2"/>
          <w:spacing w:val="-2"/>
          <w:sz w:val="16"/>
          <w:szCs w:val="16"/>
        </w:rPr>
        <w:t xml:space="preserve">emický a papírenský průmysl), tak ve strojírenství </w:t>
      </w:r>
      <w:r>
        <w:rPr>
          <w:color w:val="0D0D0D" w:themeColor="text1" w:themeTint="F2"/>
          <w:spacing w:val="-2"/>
          <w:sz w:val="16"/>
          <w:szCs w:val="16"/>
        </w:rPr>
        <w:br/>
        <w:t xml:space="preserve">a subdodavatelských oborech pro automobilový průmysl (elektrotechnika, gumárenství, </w:t>
      </w:r>
      <w:proofErr w:type="spellStart"/>
      <w:r>
        <w:rPr>
          <w:color w:val="0D0D0D" w:themeColor="text1" w:themeTint="F2"/>
          <w:spacing w:val="-2"/>
          <w:sz w:val="16"/>
          <w:szCs w:val="16"/>
        </w:rPr>
        <w:t>plastikářství</w:t>
      </w:r>
      <w:proofErr w:type="spellEnd"/>
      <w:r>
        <w:rPr>
          <w:color w:val="0D0D0D" w:themeColor="text1" w:themeTint="F2"/>
          <w:spacing w:val="-2"/>
          <w:sz w:val="16"/>
          <w:szCs w:val="16"/>
        </w:rPr>
        <w:t>) či v řadě</w:t>
      </w:r>
      <w:r w:rsidRPr="00A20936">
        <w:rPr>
          <w:color w:val="0D0D0D" w:themeColor="text1" w:themeTint="F2"/>
          <w:spacing w:val="-2"/>
          <w:sz w:val="16"/>
          <w:szCs w:val="16"/>
        </w:rPr>
        <w:t xml:space="preserve"> </w:t>
      </w:r>
      <w:r>
        <w:rPr>
          <w:color w:val="0D0D0D" w:themeColor="text1" w:themeTint="F2"/>
          <w:spacing w:val="-2"/>
          <w:sz w:val="16"/>
          <w:szCs w:val="16"/>
        </w:rPr>
        <w:t xml:space="preserve">vesměs menších oborů, jejichž odbyt závisí z velké části na spotřebě domácností (nábytkářský, oděvní, nápojový a potravinářský </w:t>
      </w:r>
      <w:r w:rsidRPr="00A20936">
        <w:rPr>
          <w:color w:val="0D0D0D" w:themeColor="text1" w:themeTint="F2"/>
          <w:spacing w:val="-2"/>
          <w:sz w:val="16"/>
          <w:szCs w:val="16"/>
        </w:rPr>
        <w:t xml:space="preserve">průmysl). Naopak mírně pozitivní výhledy přetrvávaly ve výrobě dopravních </w:t>
      </w:r>
      <w:r>
        <w:rPr>
          <w:color w:val="0D0D0D" w:themeColor="text1" w:themeTint="F2"/>
          <w:spacing w:val="-4"/>
          <w:sz w:val="16"/>
          <w:szCs w:val="16"/>
        </w:rPr>
        <w:t>prostředků, dále ve farmacii, ostatním průmyslu či opravě a instalaci</w:t>
      </w:r>
      <w:r w:rsidRPr="007B0645">
        <w:rPr>
          <w:color w:val="0D0D0D" w:themeColor="text1" w:themeTint="F2"/>
          <w:spacing w:val="-4"/>
          <w:sz w:val="16"/>
          <w:szCs w:val="16"/>
        </w:rPr>
        <w:t xml:space="preserve"> strojů a zařízení</w:t>
      </w:r>
      <w:r>
        <w:rPr>
          <w:color w:val="0D0D0D" w:themeColor="text1" w:themeTint="F2"/>
          <w:spacing w:val="-4"/>
          <w:sz w:val="16"/>
          <w:szCs w:val="16"/>
        </w:rPr>
        <w:t>.</w:t>
      </w:r>
    </w:p>
    <w:p w14:paraId="71D6B300" w14:textId="77777777" w:rsidR="00BA5125" w:rsidRPr="0046167D" w:rsidRDefault="00BA5125" w:rsidP="00582A12">
      <w:pPr>
        <w:pStyle w:val="Textpoznpodarou"/>
        <w:rPr>
          <w:color w:val="0D0D0D" w:themeColor="text1" w:themeTint="F2"/>
          <w:spacing w:val="-5"/>
          <w:sz w:val="16"/>
          <w:szCs w:val="16"/>
        </w:rPr>
      </w:pPr>
      <w:r w:rsidRPr="0046167D">
        <w:rPr>
          <w:color w:val="0D0D0D" w:themeColor="text1" w:themeTint="F2"/>
          <w:spacing w:val="-5"/>
          <w:sz w:val="16"/>
          <w:szCs w:val="16"/>
        </w:rPr>
        <w:t xml:space="preserve">Ve službách převažovala negativní očekávání v polovině dílčích odvětví. Nejvíce byla patrná v peněžnictví, telekomunikacích a pozemní dopravě, dále ve většině administrativních a podpůrných činností, ve vydavatelských činnostech či v reklamě. Naopak u řady jiných podnikových služeb (právní a účetnické činnosti, architektonické a inženýrské činnosti, </w:t>
      </w:r>
      <w:r>
        <w:rPr>
          <w:color w:val="0D0D0D" w:themeColor="text1" w:themeTint="F2"/>
          <w:spacing w:val="-5"/>
          <w:sz w:val="16"/>
          <w:szCs w:val="16"/>
        </w:rPr>
        <w:t>pracovní</w:t>
      </w:r>
      <w:r w:rsidRPr="0046167D">
        <w:rPr>
          <w:color w:val="0D0D0D" w:themeColor="text1" w:themeTint="F2"/>
          <w:spacing w:val="-5"/>
          <w:sz w:val="16"/>
          <w:szCs w:val="16"/>
        </w:rPr>
        <w:t xml:space="preserve"> agentur</w:t>
      </w:r>
      <w:r>
        <w:rPr>
          <w:color w:val="0D0D0D" w:themeColor="text1" w:themeTint="F2"/>
          <w:spacing w:val="-5"/>
          <w:sz w:val="16"/>
          <w:szCs w:val="16"/>
        </w:rPr>
        <w:t>y</w:t>
      </w:r>
      <w:r w:rsidRPr="0046167D">
        <w:rPr>
          <w:color w:val="0D0D0D" w:themeColor="text1" w:themeTint="F2"/>
          <w:spacing w:val="-5"/>
          <w:sz w:val="16"/>
          <w:szCs w:val="16"/>
        </w:rPr>
        <w:t>) či v oblasti programování, pojišťovnictví a ostatních finančních činnostech, kurýrních činnostech, pohostinství, ubytování, letecké dopravy a sk</w:t>
      </w:r>
      <w:r>
        <w:rPr>
          <w:color w:val="0D0D0D" w:themeColor="text1" w:themeTint="F2"/>
          <w:spacing w:val="-5"/>
          <w:sz w:val="16"/>
          <w:szCs w:val="16"/>
        </w:rPr>
        <w:t>ladování podniky očekávaly</w:t>
      </w:r>
      <w:r w:rsidRPr="0046167D">
        <w:rPr>
          <w:color w:val="0D0D0D" w:themeColor="text1" w:themeTint="F2"/>
          <w:spacing w:val="-5"/>
          <w:sz w:val="16"/>
          <w:szCs w:val="16"/>
        </w:rPr>
        <w:t xml:space="preserve"> spíše vyšší zaměstnanost.</w:t>
      </w:r>
    </w:p>
  </w:footnote>
  <w:footnote w:id="80">
    <w:p w14:paraId="549DF585" w14:textId="77777777" w:rsidR="00BA5125" w:rsidRPr="004E68B1" w:rsidRDefault="00BA5125" w:rsidP="00582A12">
      <w:pPr>
        <w:pStyle w:val="Textpoznpodarou"/>
        <w:rPr>
          <w:spacing w:val="-3"/>
          <w:sz w:val="16"/>
          <w:szCs w:val="16"/>
        </w:rPr>
      </w:pPr>
      <w:r w:rsidRPr="004E68B1">
        <w:rPr>
          <w:rStyle w:val="Znakapoznpodarou"/>
          <w:spacing w:val="-3"/>
          <w:sz w:val="16"/>
          <w:szCs w:val="16"/>
        </w:rPr>
        <w:footnoteRef/>
      </w:r>
      <w:r>
        <w:rPr>
          <w:spacing w:val="-3"/>
          <w:sz w:val="16"/>
          <w:szCs w:val="16"/>
        </w:rPr>
        <w:t xml:space="preserve"> Není-li uvedeno jinak, vycházejí v</w:t>
      </w:r>
      <w:r w:rsidRPr="004E68B1">
        <w:rPr>
          <w:spacing w:val="-3"/>
          <w:sz w:val="16"/>
          <w:szCs w:val="16"/>
        </w:rPr>
        <w:t>šechny údaje o </w:t>
      </w:r>
      <w:r>
        <w:rPr>
          <w:spacing w:val="-3"/>
          <w:sz w:val="16"/>
          <w:szCs w:val="16"/>
        </w:rPr>
        <w:t xml:space="preserve">mírách </w:t>
      </w:r>
      <w:r w:rsidRPr="004E68B1">
        <w:rPr>
          <w:spacing w:val="-3"/>
          <w:sz w:val="16"/>
          <w:szCs w:val="16"/>
        </w:rPr>
        <w:t>nezaměstnanosti z</w:t>
      </w:r>
      <w:r>
        <w:rPr>
          <w:spacing w:val="-3"/>
          <w:sz w:val="16"/>
          <w:szCs w:val="16"/>
        </w:rPr>
        <w:t> VŠPS (dle metodiky ILO) a jsou očištěny o sezónní vlivy.</w:t>
      </w:r>
    </w:p>
  </w:footnote>
  <w:footnote w:id="81">
    <w:p w14:paraId="4AE0C628" w14:textId="77777777" w:rsidR="00BA5125" w:rsidRPr="0046167D" w:rsidRDefault="00BA5125" w:rsidP="00582A12">
      <w:pPr>
        <w:pStyle w:val="paragraph"/>
        <w:spacing w:before="0" w:beforeAutospacing="0" w:after="0" w:afterAutospacing="0"/>
        <w:jc w:val="both"/>
        <w:textAlignment w:val="baseline"/>
        <w:rPr>
          <w:rFonts w:ascii="Arial" w:eastAsia="Calibri" w:hAnsi="Arial"/>
          <w:color w:val="0D0D0D" w:themeColor="text1" w:themeTint="F2"/>
          <w:spacing w:val="-5"/>
          <w:sz w:val="16"/>
          <w:szCs w:val="16"/>
        </w:rPr>
      </w:pPr>
      <w:r w:rsidRPr="0046167D">
        <w:rPr>
          <w:rFonts w:ascii="Arial" w:eastAsia="Calibri" w:hAnsi="Arial"/>
          <w:color w:val="0D0D0D" w:themeColor="text1" w:themeTint="F2"/>
          <w:spacing w:val="-5"/>
          <w:sz w:val="16"/>
          <w:szCs w:val="16"/>
          <w:vertAlign w:val="superscript"/>
        </w:rPr>
        <w:footnoteRef/>
      </w:r>
      <w:r w:rsidRPr="0046167D">
        <w:rPr>
          <w:rFonts w:ascii="Arial" w:eastAsia="Calibri" w:hAnsi="Arial"/>
          <w:color w:val="0D0D0D" w:themeColor="text1" w:themeTint="F2"/>
          <w:spacing w:val="-5"/>
          <w:sz w:val="16"/>
          <w:szCs w:val="16"/>
        </w:rPr>
        <w:t xml:space="preserve"> Nižší celkovou míru nezaměstnanost</w:t>
      </w:r>
      <w:r>
        <w:rPr>
          <w:rFonts w:ascii="Arial" w:eastAsia="Calibri" w:hAnsi="Arial"/>
          <w:color w:val="0D0D0D" w:themeColor="text1" w:themeTint="F2"/>
          <w:spacing w:val="-5"/>
          <w:sz w:val="16"/>
          <w:szCs w:val="16"/>
        </w:rPr>
        <w:t>i</w:t>
      </w:r>
      <w:r w:rsidRPr="0046167D">
        <w:rPr>
          <w:rFonts w:ascii="Arial" w:eastAsia="Calibri" w:hAnsi="Arial"/>
          <w:color w:val="0D0D0D" w:themeColor="text1" w:themeTint="F2"/>
          <w:spacing w:val="-5"/>
          <w:sz w:val="16"/>
          <w:szCs w:val="16"/>
        </w:rPr>
        <w:t xml:space="preserve"> (osob ve věku 15</w:t>
      </w:r>
      <w:r>
        <w:rPr>
          <w:rFonts w:ascii="Arial" w:eastAsia="Calibri" w:hAnsi="Arial"/>
          <w:color w:val="0D0D0D" w:themeColor="text1" w:themeTint="F2"/>
          <w:spacing w:val="-5"/>
          <w:sz w:val="16"/>
          <w:szCs w:val="16"/>
        </w:rPr>
        <w:t>–</w:t>
      </w:r>
      <w:r w:rsidRPr="0046167D">
        <w:rPr>
          <w:rFonts w:ascii="Arial" w:eastAsia="Calibri" w:hAnsi="Arial"/>
          <w:color w:val="0D0D0D" w:themeColor="text1" w:themeTint="F2"/>
          <w:spacing w:val="-5"/>
          <w:sz w:val="16"/>
          <w:szCs w:val="16"/>
        </w:rPr>
        <w:t xml:space="preserve">74 let) než v tuzemsku (3,0 %) vykázala v lednu 2024 jen Malta (2,6 %), srovnatelnou Polsko (2,9 %) a Německo (3,1 %). Nezaměstnanost meziročně vzrostla ve dvou třetinách členských států – nejvíce v Estonsku (z 5,2 na 7,0 %), dále </w:t>
      </w:r>
      <w:r>
        <w:rPr>
          <w:rFonts w:ascii="Arial" w:eastAsia="Calibri" w:hAnsi="Arial"/>
          <w:color w:val="0D0D0D" w:themeColor="text1" w:themeTint="F2"/>
          <w:spacing w:val="-5"/>
          <w:sz w:val="16"/>
          <w:szCs w:val="16"/>
        </w:rPr>
        <w:t xml:space="preserve">v </w:t>
      </w:r>
      <w:r w:rsidRPr="0046167D">
        <w:rPr>
          <w:rFonts w:ascii="Arial" w:eastAsia="Calibri" w:hAnsi="Arial"/>
          <w:color w:val="0D0D0D" w:themeColor="text1" w:themeTint="F2"/>
          <w:spacing w:val="-5"/>
          <w:sz w:val="16"/>
          <w:szCs w:val="16"/>
        </w:rPr>
        <w:t xml:space="preserve">Dánsku, Litvě a Švédsku (shodně zhruba o 1 p. b.). Naopak pokles nastal hlavně v zemích s tradičně vyšší nezaměstnaností – </w:t>
      </w:r>
      <w:r>
        <w:rPr>
          <w:rFonts w:ascii="Arial" w:eastAsia="Calibri" w:hAnsi="Arial"/>
          <w:color w:val="0D0D0D" w:themeColor="text1" w:themeTint="F2"/>
          <w:spacing w:val="-5"/>
          <w:sz w:val="16"/>
          <w:szCs w:val="16"/>
        </w:rPr>
        <w:t xml:space="preserve">ve </w:t>
      </w:r>
      <w:r w:rsidRPr="0046167D">
        <w:rPr>
          <w:rFonts w:ascii="Arial" w:eastAsia="Calibri" w:hAnsi="Arial"/>
          <w:color w:val="0D0D0D" w:themeColor="text1" w:themeTint="F2"/>
          <w:spacing w:val="-5"/>
          <w:sz w:val="16"/>
          <w:szCs w:val="16"/>
        </w:rPr>
        <w:t>Španělsku (</w:t>
      </w:r>
      <w:r>
        <w:rPr>
          <w:rFonts w:ascii="Arial" w:eastAsia="Calibri" w:hAnsi="Arial"/>
          <w:color w:val="0D0D0D" w:themeColor="text1" w:themeTint="F2"/>
          <w:spacing w:val="-5"/>
          <w:sz w:val="16"/>
          <w:szCs w:val="16"/>
        </w:rPr>
        <w:t>z</w:t>
      </w:r>
      <w:r w:rsidRPr="0046167D">
        <w:rPr>
          <w:color w:val="0D0D0D" w:themeColor="text1" w:themeTint="F2"/>
          <w:spacing w:val="-5"/>
          <w:sz w:val="16"/>
          <w:szCs w:val="16"/>
        </w:rPr>
        <w:t> </w:t>
      </w:r>
      <w:r w:rsidRPr="0046167D">
        <w:rPr>
          <w:rFonts w:ascii="Arial" w:eastAsia="Calibri" w:hAnsi="Arial"/>
          <w:color w:val="0D0D0D" w:themeColor="text1" w:themeTint="F2"/>
          <w:spacing w:val="-5"/>
          <w:sz w:val="16"/>
          <w:szCs w:val="16"/>
        </w:rPr>
        <w:t>13,0 na 11</w:t>
      </w:r>
      <w:r>
        <w:rPr>
          <w:rFonts w:ascii="Arial" w:eastAsia="Calibri" w:hAnsi="Arial"/>
          <w:color w:val="0D0D0D" w:themeColor="text1" w:themeTint="F2"/>
          <w:spacing w:val="-5"/>
          <w:sz w:val="16"/>
          <w:szCs w:val="16"/>
        </w:rPr>
        <w:t xml:space="preserve">,6 %), v Řecku (z 11,3 na 10,4 %) a </w:t>
      </w:r>
      <w:r w:rsidRPr="0046167D">
        <w:rPr>
          <w:rFonts w:ascii="Arial" w:eastAsia="Calibri" w:hAnsi="Arial"/>
          <w:color w:val="0D0D0D" w:themeColor="text1" w:themeTint="F2"/>
          <w:spacing w:val="-5"/>
          <w:sz w:val="16"/>
          <w:szCs w:val="16"/>
        </w:rPr>
        <w:t>Itálii (z</w:t>
      </w:r>
      <w:r>
        <w:rPr>
          <w:rFonts w:ascii="Arial" w:eastAsia="Calibri" w:hAnsi="Arial"/>
          <w:color w:val="0D0D0D" w:themeColor="text1" w:themeTint="F2"/>
          <w:spacing w:val="-5"/>
          <w:sz w:val="16"/>
          <w:szCs w:val="16"/>
        </w:rPr>
        <w:t>e</w:t>
      </w:r>
      <w:r w:rsidRPr="0046167D">
        <w:rPr>
          <w:rFonts w:ascii="Arial" w:eastAsia="Calibri" w:hAnsi="Arial"/>
          <w:color w:val="0D0D0D" w:themeColor="text1" w:themeTint="F2"/>
          <w:spacing w:val="-5"/>
          <w:sz w:val="16"/>
          <w:szCs w:val="16"/>
        </w:rPr>
        <w:t xml:space="preserve"> 7,9 na 7,2 %), mírněji (o 0,5 p. b.) se snížila v Portugalsku, Chorvatsku a </w:t>
      </w:r>
      <w:r>
        <w:rPr>
          <w:rFonts w:ascii="Arial" w:eastAsia="Calibri" w:hAnsi="Arial"/>
          <w:color w:val="0D0D0D" w:themeColor="text1" w:themeTint="F2"/>
          <w:spacing w:val="-5"/>
          <w:sz w:val="16"/>
          <w:szCs w:val="16"/>
        </w:rPr>
        <w:t xml:space="preserve">na </w:t>
      </w:r>
      <w:r w:rsidRPr="0046167D">
        <w:rPr>
          <w:rFonts w:ascii="Arial" w:eastAsia="Calibri" w:hAnsi="Arial"/>
          <w:color w:val="0D0D0D" w:themeColor="text1" w:themeTint="F2"/>
          <w:spacing w:val="-5"/>
          <w:sz w:val="16"/>
          <w:szCs w:val="16"/>
        </w:rPr>
        <w:t>Slovensku.</w:t>
      </w:r>
      <w:r>
        <w:rPr>
          <w:rFonts w:ascii="Arial" w:eastAsia="Calibri" w:hAnsi="Arial"/>
          <w:color w:val="0D0D0D" w:themeColor="text1" w:themeTint="F2"/>
          <w:spacing w:val="-5"/>
          <w:sz w:val="16"/>
          <w:szCs w:val="16"/>
        </w:rPr>
        <w:t xml:space="preserve"> </w:t>
      </w:r>
      <w:r w:rsidRPr="0046167D">
        <w:rPr>
          <w:rFonts w:ascii="Arial" w:eastAsia="Calibri" w:hAnsi="Arial"/>
          <w:color w:val="0D0D0D" w:themeColor="text1" w:themeTint="F2"/>
          <w:spacing w:val="-5"/>
          <w:sz w:val="16"/>
          <w:szCs w:val="16"/>
        </w:rPr>
        <w:t>Míra nezaměstnanosti mladých (do 25 let) v EU měla loni od jara spíše mírně vzestupný trend, na konci roku pak kolísala. V lednu 2024 čítala v Unii 14,9</w:t>
      </w:r>
      <w:r w:rsidRPr="0046167D">
        <w:rPr>
          <w:color w:val="0D0D0D" w:themeColor="text1" w:themeTint="F2"/>
          <w:spacing w:val="-5"/>
          <w:sz w:val="16"/>
          <w:szCs w:val="16"/>
        </w:rPr>
        <w:t> </w:t>
      </w:r>
      <w:r w:rsidRPr="0046167D">
        <w:rPr>
          <w:rFonts w:ascii="Arial" w:eastAsia="Calibri" w:hAnsi="Arial"/>
          <w:color w:val="0D0D0D" w:themeColor="text1" w:themeTint="F2"/>
          <w:spacing w:val="-5"/>
          <w:sz w:val="16"/>
          <w:szCs w:val="16"/>
        </w:rPr>
        <w:t xml:space="preserve">% (meziročně +0,8 p. b.), v Česku 8,1 %, což byla třetí nejnižší hodnota po Německu (5,7 %), Maltě (7,8 %). </w:t>
      </w:r>
      <w:r>
        <w:rPr>
          <w:rFonts w:ascii="Arial" w:eastAsia="Calibri" w:hAnsi="Arial"/>
          <w:color w:val="0D0D0D" w:themeColor="text1" w:themeTint="F2"/>
          <w:spacing w:val="-5"/>
          <w:sz w:val="16"/>
          <w:szCs w:val="16"/>
        </w:rPr>
        <w:t xml:space="preserve">Opačně tomu bylo ve </w:t>
      </w:r>
      <w:r w:rsidRPr="0046167D">
        <w:rPr>
          <w:rFonts w:ascii="Arial" w:eastAsia="Calibri" w:hAnsi="Arial"/>
          <w:color w:val="0D0D0D" w:themeColor="text1" w:themeTint="F2"/>
          <w:spacing w:val="-5"/>
          <w:sz w:val="16"/>
          <w:szCs w:val="16"/>
        </w:rPr>
        <w:t>Španělsk</w:t>
      </w:r>
      <w:r>
        <w:rPr>
          <w:rFonts w:ascii="Arial" w:eastAsia="Calibri" w:hAnsi="Arial"/>
          <w:color w:val="0D0D0D" w:themeColor="text1" w:themeTint="F2"/>
          <w:spacing w:val="-5"/>
          <w:sz w:val="16"/>
          <w:szCs w:val="16"/>
        </w:rPr>
        <w:t>u</w:t>
      </w:r>
      <w:r w:rsidRPr="0046167D">
        <w:rPr>
          <w:rFonts w:ascii="Arial" w:eastAsia="Calibri" w:hAnsi="Arial"/>
          <w:color w:val="0D0D0D" w:themeColor="text1" w:themeTint="F2"/>
          <w:spacing w:val="-5"/>
          <w:sz w:val="16"/>
          <w:szCs w:val="16"/>
        </w:rPr>
        <w:t xml:space="preserve"> (28,6 %), přes 20 % nezaměstnaných mezi mladými hlásily Švédsko, Portugalsko, Řecko, Itálie a Lucembursko. Meziročně se situace mírně zlepšila zejména v Řecku (pokles o 4 p. b.), zhoršila pak hlavně v Bulharsku (+7 p. b.), Litvě (+4 p. b.) či Švédsku a Finsku.</w:t>
      </w:r>
    </w:p>
  </w:footnote>
  <w:footnote w:id="82">
    <w:p w14:paraId="2C1EDA61" w14:textId="77777777" w:rsidR="00BA5125" w:rsidRPr="00874CB3" w:rsidRDefault="00BA5125" w:rsidP="00582A12">
      <w:pPr>
        <w:pStyle w:val="Textpoznpodarou"/>
        <w:rPr>
          <w:spacing w:val="-3"/>
          <w:sz w:val="16"/>
          <w:szCs w:val="16"/>
        </w:rPr>
      </w:pPr>
      <w:r w:rsidRPr="00EC5D23">
        <w:rPr>
          <w:rStyle w:val="Znakapoznpodarou"/>
          <w:sz w:val="16"/>
          <w:szCs w:val="16"/>
        </w:rPr>
        <w:footnoteRef/>
      </w:r>
      <w:r w:rsidRPr="00EC5D23">
        <w:rPr>
          <w:sz w:val="16"/>
          <w:szCs w:val="16"/>
        </w:rPr>
        <w:t xml:space="preserve"> </w:t>
      </w:r>
      <w:r w:rsidRPr="00EC5D23">
        <w:rPr>
          <w:spacing w:val="-3"/>
          <w:sz w:val="16"/>
          <w:szCs w:val="16"/>
        </w:rPr>
        <w:t xml:space="preserve">Dle údajů MPSV činil </w:t>
      </w:r>
      <w:r>
        <w:rPr>
          <w:spacing w:val="-3"/>
          <w:sz w:val="16"/>
          <w:szCs w:val="16"/>
        </w:rPr>
        <w:t xml:space="preserve">letos na konci února </w:t>
      </w:r>
      <w:r w:rsidRPr="00EC5D23">
        <w:rPr>
          <w:spacing w:val="-3"/>
          <w:sz w:val="16"/>
          <w:szCs w:val="16"/>
        </w:rPr>
        <w:t>sezonně neočištěný podíl dosažitelných uchazečů o zaměstnání ve věku 15 až 64 let</w:t>
      </w:r>
      <w:r>
        <w:rPr>
          <w:spacing w:val="-3"/>
          <w:sz w:val="16"/>
          <w:szCs w:val="16"/>
        </w:rPr>
        <w:t xml:space="preserve"> na obyvatelstvu stejného věku</w:t>
      </w:r>
      <w:r w:rsidRPr="00CF280D">
        <w:rPr>
          <w:spacing w:val="-3"/>
          <w:sz w:val="16"/>
          <w:szCs w:val="16"/>
        </w:rPr>
        <w:t xml:space="preserve"> 4,0 % (muži 3,7 %, ženy 4,2 %). Lednová nezaměstnanos</w:t>
      </w:r>
      <w:r>
        <w:rPr>
          <w:spacing w:val="-3"/>
          <w:sz w:val="16"/>
          <w:szCs w:val="16"/>
        </w:rPr>
        <w:t>t se sice nachází na tříletém maximu</w:t>
      </w:r>
      <w:r w:rsidRPr="00CF280D">
        <w:rPr>
          <w:spacing w:val="-3"/>
          <w:sz w:val="16"/>
          <w:szCs w:val="16"/>
        </w:rPr>
        <w:t>, nárůst je však jen velmi mírný (v kumulaci +0,4 p. b.).</w:t>
      </w:r>
      <w:r>
        <w:rPr>
          <w:spacing w:val="-3"/>
          <w:sz w:val="16"/>
          <w:szCs w:val="16"/>
        </w:rPr>
        <w:t xml:space="preserve"> Nejvyšší nezaměstnanost sužovala okresy Karviná (8,2 %), vysoká byla též na Bruntálsku (7,9 %) a také Mostecku (7,6 %), kde meziročně vzrostla ze všech okresů nejvíce (+0,7 p. b.).</w:t>
      </w:r>
    </w:p>
  </w:footnote>
  <w:footnote w:id="83">
    <w:p w14:paraId="36AC79A8" w14:textId="77777777" w:rsidR="00BA5125" w:rsidRPr="004A5CB3" w:rsidRDefault="00BA5125" w:rsidP="00582A12">
      <w:pPr>
        <w:pStyle w:val="Textpoznpodarou"/>
        <w:rPr>
          <w:sz w:val="16"/>
          <w:szCs w:val="16"/>
        </w:rPr>
      </w:pPr>
      <w:r w:rsidRPr="004A5CB3">
        <w:rPr>
          <w:rStyle w:val="Znakapoznpodarou"/>
          <w:sz w:val="16"/>
          <w:szCs w:val="16"/>
        </w:rPr>
        <w:footnoteRef/>
      </w:r>
      <w:r>
        <w:rPr>
          <w:sz w:val="16"/>
          <w:szCs w:val="16"/>
        </w:rPr>
        <w:t xml:space="preserve"> Pouze necelá pětina z tohoto počtu je ovšem schop</w:t>
      </w:r>
      <w:r w:rsidRPr="004A5CB3">
        <w:rPr>
          <w:sz w:val="16"/>
          <w:szCs w:val="16"/>
        </w:rPr>
        <w:t>n</w:t>
      </w:r>
      <w:r>
        <w:rPr>
          <w:sz w:val="16"/>
          <w:szCs w:val="16"/>
        </w:rPr>
        <w:t>a</w:t>
      </w:r>
      <w:r w:rsidRPr="004A5CB3">
        <w:rPr>
          <w:sz w:val="16"/>
          <w:szCs w:val="16"/>
        </w:rPr>
        <w:t xml:space="preserve"> bezprostředně do práce nastoupit. Významnou část pracovních rezerv totiž tvoří studenti a ženy na rodičovské dovolené.</w:t>
      </w:r>
    </w:p>
  </w:footnote>
  <w:footnote w:id="84">
    <w:p w14:paraId="11C3E146" w14:textId="77777777" w:rsidR="00BA5125" w:rsidRPr="00184274" w:rsidRDefault="00BA5125" w:rsidP="00582A12">
      <w:pPr>
        <w:pStyle w:val="Textpoznpodarou"/>
        <w:rPr>
          <w:sz w:val="16"/>
          <w:szCs w:val="16"/>
        </w:rPr>
      </w:pPr>
      <w:r w:rsidRPr="00184274">
        <w:rPr>
          <w:rStyle w:val="Znakapoznpodarou"/>
          <w:sz w:val="16"/>
          <w:szCs w:val="16"/>
        </w:rPr>
        <w:footnoteRef/>
      </w:r>
      <w:r w:rsidRPr="00184274">
        <w:rPr>
          <w:sz w:val="16"/>
          <w:szCs w:val="16"/>
        </w:rPr>
        <w:t xml:space="preserve"> N</w:t>
      </w:r>
      <w:r>
        <w:rPr>
          <w:sz w:val="16"/>
          <w:szCs w:val="16"/>
        </w:rPr>
        <w:t>e všechny</w:t>
      </w:r>
      <w:r w:rsidRPr="00184274">
        <w:rPr>
          <w:sz w:val="16"/>
          <w:szCs w:val="16"/>
        </w:rPr>
        <w:t xml:space="preserve"> nabídky volných pracovních pozic v evidenci ÚP lze ovšem považovat za a</w:t>
      </w:r>
      <w:r>
        <w:rPr>
          <w:sz w:val="16"/>
          <w:szCs w:val="16"/>
        </w:rPr>
        <w:t>ktuální. Pouze 45</w:t>
      </w:r>
      <w:r w:rsidRPr="00184274">
        <w:rPr>
          <w:sz w:val="16"/>
          <w:szCs w:val="16"/>
        </w:rPr>
        <w:t xml:space="preserve"> % z celkového počtu</w:t>
      </w:r>
      <w:r>
        <w:rPr>
          <w:sz w:val="16"/>
          <w:szCs w:val="16"/>
        </w:rPr>
        <w:t xml:space="preserve"> míst (272 tis.) bylo na konci 4</w:t>
      </w:r>
      <w:r w:rsidRPr="00184274">
        <w:rPr>
          <w:sz w:val="16"/>
          <w:szCs w:val="16"/>
        </w:rPr>
        <w:t>.</w:t>
      </w:r>
      <w:r>
        <w:rPr>
          <w:sz w:val="16"/>
          <w:szCs w:val="16"/>
        </w:rPr>
        <w:t xml:space="preserve"> čtvrtletí 2023 inzerováno méně </w:t>
      </w:r>
      <w:r w:rsidRPr="00184274">
        <w:rPr>
          <w:sz w:val="16"/>
          <w:szCs w:val="16"/>
        </w:rPr>
        <w:t>než půl roku.</w:t>
      </w:r>
      <w:r>
        <w:rPr>
          <w:sz w:val="16"/>
          <w:szCs w:val="16"/>
        </w:rPr>
        <w:t xml:space="preserve"> Počet volných pracovních míst (na základě šetření v podnicích) na experimentální bázi zjišťuje od roku 2020 i ČSÚ. Ve 4. čtvrtletí 2023 byl takto odhadnut počet volných míst v ČR na 91,5 tis. Jejich počet se meziročně snížil o 6 %, když klesl třetí kvartál v řadě. Na tomto poklesu se nejvíce podílel zpracovatelský průmysl.</w:t>
      </w:r>
    </w:p>
  </w:footnote>
  <w:footnote w:id="85">
    <w:p w14:paraId="22A5F999" w14:textId="77777777" w:rsidR="00BA5125" w:rsidRPr="00B6005F" w:rsidRDefault="00BA5125" w:rsidP="00582A12">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Výjimkou bylo odvětví veřejné správy, obrany a sociálního zabezpečení. Od 1. září 2022 došlo k 10%</w:t>
      </w:r>
      <w:r>
        <w:rPr>
          <w:spacing w:val="-3"/>
          <w:sz w:val="16"/>
          <w:szCs w:val="16"/>
        </w:rPr>
        <w:t xml:space="preserve"> navýšení platových tarifů </w:t>
      </w:r>
      <w:r w:rsidRPr="00477E4D">
        <w:rPr>
          <w:spacing w:val="-4"/>
          <w:sz w:val="16"/>
          <w:szCs w:val="16"/>
        </w:rPr>
        <w:t>u zaměstnanců spadajících po</w:t>
      </w:r>
      <w:r>
        <w:rPr>
          <w:spacing w:val="-4"/>
          <w:sz w:val="16"/>
          <w:szCs w:val="16"/>
        </w:rPr>
        <w:t>d</w:t>
      </w:r>
      <w:r w:rsidRPr="00477E4D">
        <w:rPr>
          <w:spacing w:val="-4"/>
          <w:sz w:val="16"/>
          <w:szCs w:val="16"/>
        </w:rPr>
        <w:t xml:space="preserve"> služební zákon. Od ledna 2023 se zvýšily i platové tarify u vojáků a příslušníků bezpečnostních sborů (o 10 %).</w:t>
      </w:r>
    </w:p>
  </w:footnote>
  <w:footnote w:id="86">
    <w:p w14:paraId="54651AC7" w14:textId="77777777" w:rsidR="00BA5125" w:rsidRPr="00B6005F" w:rsidRDefault="00BA5125" w:rsidP="00582A12">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Od ledna 2023 došlo k navýšení minimální mzdy o 6,8 </w:t>
      </w:r>
      <w:r>
        <w:rPr>
          <w:spacing w:val="-3"/>
          <w:sz w:val="16"/>
          <w:szCs w:val="16"/>
        </w:rPr>
        <w:t>% (srovnatelně jako v předchozím roce</w:t>
      </w:r>
      <w:r w:rsidRPr="00B6005F">
        <w:rPr>
          <w:spacing w:val="-3"/>
          <w:sz w:val="16"/>
          <w:szCs w:val="16"/>
        </w:rPr>
        <w:t xml:space="preserve">). Na rozdíl od praxe z minulých let </w:t>
      </w:r>
      <w:r>
        <w:rPr>
          <w:spacing w:val="-3"/>
          <w:sz w:val="16"/>
          <w:szCs w:val="16"/>
        </w:rPr>
        <w:t xml:space="preserve">však </w:t>
      </w:r>
      <w:r w:rsidRPr="00B6005F">
        <w:rPr>
          <w:spacing w:val="-3"/>
          <w:sz w:val="16"/>
          <w:szCs w:val="16"/>
        </w:rPr>
        <w:t>neby</w:t>
      </w:r>
      <w:r>
        <w:rPr>
          <w:spacing w:val="-3"/>
          <w:sz w:val="16"/>
          <w:szCs w:val="16"/>
        </w:rPr>
        <w:t xml:space="preserve">l posun minimální mzdy </w:t>
      </w:r>
      <w:r w:rsidRPr="00B6005F">
        <w:rPr>
          <w:spacing w:val="-3"/>
          <w:sz w:val="16"/>
          <w:szCs w:val="16"/>
        </w:rPr>
        <w:t xml:space="preserve">doprovázen zvýšením hranice </w:t>
      </w:r>
      <w:r>
        <w:rPr>
          <w:spacing w:val="-3"/>
          <w:sz w:val="16"/>
          <w:szCs w:val="16"/>
        </w:rPr>
        <w:t>u tzv. zaručených mezd (ta loni</w:t>
      </w:r>
      <w:r w:rsidRPr="00B6005F">
        <w:rPr>
          <w:spacing w:val="-3"/>
          <w:sz w:val="16"/>
          <w:szCs w:val="16"/>
        </w:rPr>
        <w:t xml:space="preserve"> vzrostla jen v</w:t>
      </w:r>
      <w:r>
        <w:rPr>
          <w:spacing w:val="-3"/>
          <w:sz w:val="16"/>
          <w:szCs w:val="16"/>
        </w:rPr>
        <w:t xml:space="preserve"> osmé, </w:t>
      </w:r>
      <w:r w:rsidRPr="00B6005F">
        <w:rPr>
          <w:spacing w:val="-3"/>
          <w:sz w:val="16"/>
          <w:szCs w:val="16"/>
        </w:rPr>
        <w:t>kvalifi</w:t>
      </w:r>
      <w:r>
        <w:rPr>
          <w:spacing w:val="-3"/>
          <w:sz w:val="16"/>
          <w:szCs w:val="16"/>
        </w:rPr>
        <w:t>kačně nejvyšší kategorii prací, v</w:t>
      </w:r>
      <w:r w:rsidRPr="00B6005F">
        <w:rPr>
          <w:spacing w:val="-3"/>
          <w:sz w:val="16"/>
          <w:szCs w:val="16"/>
        </w:rPr>
        <w:t> níž ale minimální mzdu patrně pobírá jen zlomek zaměstnanců).</w:t>
      </w:r>
    </w:p>
  </w:footnote>
  <w:footnote w:id="87">
    <w:p w14:paraId="45C126F9" w14:textId="77777777" w:rsidR="00BA5125" w:rsidRPr="00663B5E" w:rsidRDefault="00BA5125" w:rsidP="00582A12">
      <w:pPr>
        <w:pStyle w:val="Textpoznpodarou"/>
        <w:rPr>
          <w:spacing w:val="-2"/>
          <w:sz w:val="16"/>
          <w:szCs w:val="16"/>
        </w:rPr>
      </w:pPr>
      <w:r w:rsidRPr="00663B5E">
        <w:rPr>
          <w:rStyle w:val="Znakapoznpodarou"/>
          <w:spacing w:val="-2"/>
          <w:sz w:val="16"/>
          <w:szCs w:val="16"/>
        </w:rPr>
        <w:footnoteRef/>
      </w:r>
      <w:r w:rsidRPr="00663B5E">
        <w:rPr>
          <w:spacing w:val="-2"/>
          <w:sz w:val="16"/>
          <w:szCs w:val="16"/>
        </w:rPr>
        <w:t xml:space="preserve"> Reálná produktivita práce na 1 pracovníka v celé ekonomice byla na konci roku 2023 ve srovnání s 1. čtvrtletím 2018 vyšší jen o 3,3 %.</w:t>
      </w:r>
    </w:p>
  </w:footnote>
  <w:footnote w:id="88">
    <w:p w14:paraId="1E0100C4" w14:textId="77777777" w:rsidR="00BA5125" w:rsidRPr="00B6005F" w:rsidRDefault="00BA5125" w:rsidP="00582A12">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Hrubý disponibilní důchod (HDD) domác</w:t>
      </w:r>
      <w:r>
        <w:rPr>
          <w:spacing w:val="-3"/>
          <w:sz w:val="16"/>
          <w:szCs w:val="16"/>
        </w:rPr>
        <w:t>ností v reálném vyjádření se dle aktuálních údajů v 1</w:t>
      </w:r>
      <w:r w:rsidRPr="00B6005F">
        <w:rPr>
          <w:spacing w:val="-3"/>
          <w:sz w:val="16"/>
          <w:szCs w:val="16"/>
        </w:rPr>
        <w:t>. čtvrt</w:t>
      </w:r>
      <w:r>
        <w:rPr>
          <w:spacing w:val="-3"/>
          <w:sz w:val="16"/>
          <w:szCs w:val="16"/>
        </w:rPr>
        <w:t xml:space="preserve">letí 2023 meziročně snížil o 2,8 %, v následujícím čtvrtletí již jen o 0,2 % a ve 3. čtvrtletí o 0,9 %. Z toho </w:t>
      </w:r>
      <w:r w:rsidRPr="00B6005F">
        <w:rPr>
          <w:spacing w:val="-3"/>
          <w:sz w:val="16"/>
          <w:szCs w:val="16"/>
        </w:rPr>
        <w:t>objem mezd a platů</w:t>
      </w:r>
      <w:r>
        <w:rPr>
          <w:spacing w:val="-3"/>
          <w:sz w:val="16"/>
          <w:szCs w:val="16"/>
        </w:rPr>
        <w:t xml:space="preserve"> (v pojetí národních účtů) analogicky reálně klesal o</w:t>
      </w:r>
      <w:r w:rsidRPr="00B6005F">
        <w:rPr>
          <w:spacing w:val="-3"/>
          <w:sz w:val="16"/>
          <w:szCs w:val="16"/>
        </w:rPr>
        <w:t> </w:t>
      </w:r>
      <w:r>
        <w:rPr>
          <w:spacing w:val="-3"/>
          <w:sz w:val="16"/>
          <w:szCs w:val="16"/>
        </w:rPr>
        <w:t>3,7 % a 1,8 %, ve 3. čtvrtletí pak stagnoval. Ve 4. čtvrtletí (dle předběžných údajů) tento objem již nepatrně vzrostl (+0,7 %) š</w:t>
      </w:r>
      <w:r w:rsidRPr="006B7CE8">
        <w:rPr>
          <w:spacing w:val="-3"/>
          <w:sz w:val="16"/>
          <w:szCs w:val="16"/>
        </w:rPr>
        <w:t xml:space="preserve">lo o první </w:t>
      </w:r>
      <w:r>
        <w:rPr>
          <w:spacing w:val="-3"/>
          <w:sz w:val="16"/>
          <w:szCs w:val="16"/>
        </w:rPr>
        <w:t xml:space="preserve">meziroční </w:t>
      </w:r>
      <w:r w:rsidRPr="006B7CE8">
        <w:rPr>
          <w:spacing w:val="-3"/>
          <w:sz w:val="16"/>
          <w:szCs w:val="16"/>
        </w:rPr>
        <w:t>přírů</w:t>
      </w:r>
      <w:r>
        <w:rPr>
          <w:spacing w:val="-3"/>
          <w:sz w:val="16"/>
          <w:szCs w:val="16"/>
        </w:rPr>
        <w:t>stek za posledních sedm čtvrtletí.</w:t>
      </w:r>
      <w:r w:rsidRPr="00B6005F">
        <w:rPr>
          <w:spacing w:val="-3"/>
          <w:sz w:val="16"/>
          <w:szCs w:val="16"/>
        </w:rPr>
        <w:t xml:space="preserve"> Mzdy a platy zohledňují (na rozdíl od podnikové statistiky) i další faktory, např. šedou ekonomiku, možné zvýšení ekonomické aktivity obyvatel, např. formou druhých zaměstnání či dohod o provedení práce. HDD zahrnuje vedle mezd a platů i p</w:t>
      </w:r>
      <w:r>
        <w:rPr>
          <w:spacing w:val="-3"/>
          <w:sz w:val="16"/>
          <w:szCs w:val="16"/>
        </w:rPr>
        <w:t>říjmy plynoucí z podnikání či z</w:t>
      </w:r>
      <w:r w:rsidRPr="001D108A">
        <w:rPr>
          <w:sz w:val="16"/>
          <w:szCs w:val="16"/>
        </w:rPr>
        <w:t> </w:t>
      </w:r>
      <w:r w:rsidRPr="00B6005F">
        <w:rPr>
          <w:spacing w:val="-3"/>
          <w:sz w:val="16"/>
          <w:szCs w:val="16"/>
        </w:rPr>
        <w:t xml:space="preserve">vlastnictví kapitálu a také sociální transfery od státu, vč. donedávna plně valorizovaných starobních důchodů (efekt úpravy valorizačního schématu z důvodu úsporných opatření se poprvé projevil v červnu 2023). </w:t>
      </w:r>
    </w:p>
  </w:footnote>
  <w:footnote w:id="89">
    <w:p w14:paraId="27871EAB" w14:textId="77777777" w:rsidR="00BA5125" w:rsidRPr="00B43E19" w:rsidRDefault="00BA5125" w:rsidP="00582A12">
      <w:pPr>
        <w:pStyle w:val="Textpoznpodarou"/>
        <w:rPr>
          <w:sz w:val="16"/>
          <w:szCs w:val="16"/>
        </w:rPr>
      </w:pPr>
      <w:r w:rsidRPr="00B6005F">
        <w:rPr>
          <w:rStyle w:val="Znakapoznpodarou"/>
          <w:spacing w:val="-3"/>
          <w:sz w:val="16"/>
          <w:szCs w:val="16"/>
        </w:rPr>
        <w:footnoteRef/>
      </w:r>
      <w:r w:rsidRPr="00B6005F">
        <w:rPr>
          <w:spacing w:val="-3"/>
          <w:sz w:val="16"/>
          <w:szCs w:val="16"/>
        </w:rPr>
        <w:t xml:space="preserve"> Zahrnuje výrobu a rozvod elektřiny, plynu, tepla a klimatizovaného vzduchu.</w:t>
      </w:r>
    </w:p>
  </w:footnote>
  <w:footnote w:id="90">
    <w:p w14:paraId="05B05A32" w14:textId="77777777" w:rsidR="00BA5125" w:rsidRPr="00F7747C" w:rsidRDefault="00BA5125" w:rsidP="00582A12">
      <w:pPr>
        <w:pStyle w:val="Textpoznpodarou"/>
        <w:rPr>
          <w:sz w:val="16"/>
          <w:szCs w:val="16"/>
        </w:rPr>
      </w:pPr>
      <w:r w:rsidRPr="00F7747C">
        <w:rPr>
          <w:rStyle w:val="Znakapoznpodarou"/>
          <w:sz w:val="16"/>
          <w:szCs w:val="16"/>
        </w:rPr>
        <w:footnoteRef/>
      </w:r>
      <w:r w:rsidRPr="00F7747C">
        <w:rPr>
          <w:sz w:val="16"/>
          <w:szCs w:val="16"/>
        </w:rPr>
        <w:t xml:space="preserve"> </w:t>
      </w:r>
      <w:r>
        <w:rPr>
          <w:rFonts w:cs="Arial"/>
          <w:color w:val="0D0D0D" w:themeColor="text1" w:themeTint="F2"/>
          <w:spacing w:val="-4"/>
          <w:sz w:val="16"/>
          <w:szCs w:val="16"/>
        </w:rPr>
        <w:t xml:space="preserve">Ve vysokém </w:t>
      </w:r>
      <w:r w:rsidRPr="00F7747C">
        <w:rPr>
          <w:rFonts w:cs="Arial"/>
          <w:color w:val="0D0D0D" w:themeColor="text1" w:themeTint="F2"/>
          <w:spacing w:val="-4"/>
          <w:sz w:val="16"/>
          <w:szCs w:val="16"/>
        </w:rPr>
        <w:t xml:space="preserve">tempu </w:t>
      </w:r>
      <w:r>
        <w:rPr>
          <w:rFonts w:cs="Arial"/>
          <w:color w:val="0D0D0D" w:themeColor="text1" w:themeTint="F2"/>
          <w:spacing w:val="-4"/>
          <w:sz w:val="16"/>
          <w:szCs w:val="16"/>
        </w:rPr>
        <w:t xml:space="preserve">růstu mezd </w:t>
      </w:r>
      <w:r w:rsidRPr="00F7747C">
        <w:rPr>
          <w:rFonts w:cs="Arial"/>
          <w:color w:val="0D0D0D" w:themeColor="text1" w:themeTint="F2"/>
          <w:spacing w:val="-4"/>
          <w:sz w:val="16"/>
          <w:szCs w:val="16"/>
        </w:rPr>
        <w:t>se zde promítly zejména mimořádné odměny vyplacené na počátku roku.</w:t>
      </w:r>
    </w:p>
  </w:footnote>
  <w:footnote w:id="91">
    <w:p w14:paraId="5980DBFF" w14:textId="77777777" w:rsidR="00BA5125" w:rsidRPr="00D16130" w:rsidRDefault="00BA5125" w:rsidP="00582A12">
      <w:pPr>
        <w:pStyle w:val="Textpoznpodarou"/>
        <w:rPr>
          <w:sz w:val="16"/>
          <w:szCs w:val="16"/>
        </w:rPr>
      </w:pPr>
      <w:r w:rsidRPr="00D16130">
        <w:rPr>
          <w:rStyle w:val="Znakapoznpodarou"/>
          <w:sz w:val="16"/>
          <w:szCs w:val="16"/>
        </w:rPr>
        <w:footnoteRef/>
      </w:r>
      <w:r w:rsidRPr="00D16130">
        <w:rPr>
          <w:sz w:val="16"/>
          <w:szCs w:val="16"/>
        </w:rPr>
        <w:t xml:space="preserve"> Pro zjednodušení zahrnuje odvětví </w:t>
      </w:r>
      <w:r w:rsidRPr="00D16130">
        <w:rPr>
          <w:rFonts w:cs="Arial"/>
          <w:color w:val="0D0D0D" w:themeColor="text1" w:themeTint="F2"/>
          <w:spacing w:val="-4"/>
          <w:sz w:val="16"/>
          <w:szCs w:val="16"/>
        </w:rPr>
        <w:t>Veřejná správa a obrana, povinné sociální zabezpečení; Vzdělávání; Zdravotní a sociální péče; Kulturní, zábavní a rekreační činnosti.</w:t>
      </w:r>
    </w:p>
  </w:footnote>
  <w:footnote w:id="92">
    <w:p w14:paraId="3F84A971" w14:textId="77777777" w:rsidR="00BA5125" w:rsidRPr="00E228BC" w:rsidRDefault="00BA5125" w:rsidP="00582A12">
      <w:pPr>
        <w:pStyle w:val="Textpoznpodarou"/>
        <w:rPr>
          <w:sz w:val="16"/>
          <w:szCs w:val="16"/>
        </w:rPr>
      </w:pPr>
      <w:r w:rsidRPr="00E228BC">
        <w:rPr>
          <w:rStyle w:val="Znakapoznpodarou"/>
          <w:sz w:val="16"/>
          <w:szCs w:val="16"/>
        </w:rPr>
        <w:footnoteRef/>
      </w:r>
      <w:r w:rsidRPr="00E228BC">
        <w:rPr>
          <w:sz w:val="16"/>
          <w:szCs w:val="16"/>
        </w:rPr>
        <w:t xml:space="preserve"> </w:t>
      </w:r>
      <w:r>
        <w:rPr>
          <w:sz w:val="16"/>
          <w:szCs w:val="16"/>
        </w:rPr>
        <w:t>Dle údajů MŠMT dosahoval loni v regionálním školství (v zařízeních zřizovaných kraji či obcemi) průměrný měsíční plat učitelů (včetně vedoucích pracovníků) 49,9 tis. korun a meziročně se zvýšil o 3,5 % (v roce 2022 o 0,8 %). Z toho pedagogové (včetně asistentů či školních psychologů) pobírali 46,5 tis. (meziročně +3,0 %), nepedagogičtí pracovníci pak 29,1 tis. korun (+9,7 %).</w:t>
      </w:r>
    </w:p>
  </w:footnote>
  <w:footnote w:id="93">
    <w:p w14:paraId="5F652BCA" w14:textId="77777777" w:rsidR="00BA5125" w:rsidRPr="008E7AE5" w:rsidRDefault="00BA5125" w:rsidP="00582A12">
      <w:pPr>
        <w:pStyle w:val="Textpoznpodarou"/>
        <w:rPr>
          <w:sz w:val="16"/>
          <w:szCs w:val="16"/>
        </w:rPr>
      </w:pPr>
      <w:r w:rsidRPr="008E7AE5">
        <w:rPr>
          <w:rStyle w:val="Znakapoznpodarou"/>
          <w:sz w:val="16"/>
          <w:szCs w:val="16"/>
        </w:rPr>
        <w:footnoteRef/>
      </w:r>
      <w:r w:rsidRPr="008E7AE5">
        <w:rPr>
          <w:sz w:val="16"/>
          <w:szCs w:val="16"/>
        </w:rPr>
        <w:t xml:space="preserve"> </w:t>
      </w:r>
      <w:r w:rsidRPr="008E7AE5">
        <w:rPr>
          <w:rFonts w:cs="Arial"/>
          <w:color w:val="0D0D0D" w:themeColor="text1" w:themeTint="F2"/>
          <w:spacing w:val="-4"/>
          <w:sz w:val="16"/>
          <w:szCs w:val="16"/>
        </w:rPr>
        <w:t xml:space="preserve">Dosažená </w:t>
      </w:r>
      <w:r w:rsidRPr="008E7AE5">
        <w:rPr>
          <w:rStyle w:val="normaltextrun"/>
          <w:rFonts w:eastAsia="MS Gothic" w:cs="Arial"/>
          <w:sz w:val="16"/>
          <w:szCs w:val="16"/>
        </w:rPr>
        <w:t>mediánová výše výdělku žen byla ve 4. čtvrtletí 2023 proti mužům o</w:t>
      </w:r>
      <w:r w:rsidRPr="008E7AE5">
        <w:rPr>
          <w:rFonts w:cs="Arial"/>
          <w:color w:val="0D0D0D" w:themeColor="text1" w:themeTint="F2"/>
          <w:spacing w:val="-4"/>
          <w:sz w:val="16"/>
          <w:szCs w:val="16"/>
        </w:rPr>
        <w:t> </w:t>
      </w:r>
      <w:r w:rsidRPr="008E7AE5">
        <w:rPr>
          <w:rStyle w:val="normaltextrun"/>
          <w:rFonts w:eastAsia="MS Gothic" w:cs="Arial"/>
          <w:sz w:val="16"/>
          <w:szCs w:val="16"/>
        </w:rPr>
        <w:t>13 % (resp. 5,5 tis. korun měsíčně) nižší.</w:t>
      </w:r>
    </w:p>
  </w:footnote>
  <w:footnote w:id="94">
    <w:p w14:paraId="0BBB8405" w14:textId="77777777" w:rsidR="00BA5125" w:rsidRDefault="00BA5125" w:rsidP="00137F06">
      <w:pPr>
        <w:pStyle w:val="Textpoznpodarou"/>
        <w:rPr>
          <w:sz w:val="16"/>
          <w:szCs w:val="16"/>
        </w:rPr>
      </w:pPr>
      <w:r>
        <w:rPr>
          <w:rStyle w:val="Znakapoznpodarou"/>
          <w:sz w:val="16"/>
          <w:szCs w:val="16"/>
        </w:rPr>
        <w:footnoteRef/>
      </w:r>
      <w:r>
        <w:rPr>
          <w:sz w:val="16"/>
          <w:szCs w:val="16"/>
        </w:rPr>
        <w:t xml:space="preserve"> Není-li uvedeno jinak, je zdrojem údajů v této kapitole databáze ARAD České národní banky. Hodnoty směnných kurzů jsou rovněž převzaty od ČNB.</w:t>
      </w:r>
    </w:p>
  </w:footnote>
  <w:footnote w:id="95">
    <w:p w14:paraId="33C45DA1" w14:textId="77777777" w:rsidR="00BA5125" w:rsidRPr="001F5F82" w:rsidRDefault="00BA5125" w:rsidP="00137F06">
      <w:pPr>
        <w:pStyle w:val="Textpoznpodarou"/>
        <w:rPr>
          <w:sz w:val="16"/>
          <w:szCs w:val="16"/>
        </w:rPr>
      </w:pPr>
      <w:r w:rsidRPr="001F5F82">
        <w:rPr>
          <w:rStyle w:val="Znakapoznpodarou"/>
          <w:sz w:val="16"/>
          <w:szCs w:val="16"/>
        </w:rPr>
        <w:footnoteRef/>
      </w:r>
      <w:r w:rsidRPr="001F5F82">
        <w:rPr>
          <w:sz w:val="16"/>
          <w:szCs w:val="16"/>
        </w:rPr>
        <w:t xml:space="preserve"> Není</w:t>
      </w:r>
      <w:r>
        <w:rPr>
          <w:sz w:val="16"/>
          <w:szCs w:val="16"/>
        </w:rPr>
        <w:t>-</w:t>
      </w:r>
      <w:r w:rsidRPr="001F5F82">
        <w:rPr>
          <w:sz w:val="16"/>
          <w:szCs w:val="16"/>
        </w:rPr>
        <w:t>li uvedeno jinak, je změnou úrokových sazeb myšlen rozdíl mezi hodnotou ke dni 3</w:t>
      </w:r>
      <w:r>
        <w:rPr>
          <w:sz w:val="16"/>
          <w:szCs w:val="16"/>
        </w:rPr>
        <w:t>1. 12</w:t>
      </w:r>
      <w:r w:rsidRPr="001F5F82">
        <w:rPr>
          <w:sz w:val="16"/>
          <w:szCs w:val="16"/>
        </w:rPr>
        <w:t>.</w:t>
      </w:r>
      <w:r>
        <w:rPr>
          <w:sz w:val="16"/>
          <w:szCs w:val="16"/>
        </w:rPr>
        <w:t xml:space="preserve"> 2023</w:t>
      </w:r>
      <w:r w:rsidRPr="001F5F82">
        <w:rPr>
          <w:sz w:val="16"/>
          <w:szCs w:val="16"/>
        </w:rPr>
        <w:t xml:space="preserve"> a</w:t>
      </w:r>
      <w:r>
        <w:rPr>
          <w:sz w:val="16"/>
          <w:szCs w:val="16"/>
        </w:rPr>
        <w:t> </w:t>
      </w:r>
      <w:r w:rsidRPr="001F5F82">
        <w:rPr>
          <w:sz w:val="16"/>
          <w:szCs w:val="16"/>
        </w:rPr>
        <w:t>3</w:t>
      </w:r>
      <w:r>
        <w:rPr>
          <w:sz w:val="16"/>
          <w:szCs w:val="16"/>
        </w:rPr>
        <w:t>0. 9</w:t>
      </w:r>
      <w:r w:rsidRPr="001F5F82">
        <w:rPr>
          <w:sz w:val="16"/>
          <w:szCs w:val="16"/>
        </w:rPr>
        <w:t>.</w:t>
      </w:r>
      <w:r>
        <w:rPr>
          <w:sz w:val="16"/>
          <w:szCs w:val="16"/>
        </w:rPr>
        <w:t xml:space="preserve"> 2023.</w:t>
      </w:r>
    </w:p>
  </w:footnote>
  <w:footnote w:id="96">
    <w:p w14:paraId="0F48AA9B" w14:textId="77777777" w:rsidR="00BA5125" w:rsidRPr="00651A71" w:rsidRDefault="00BA5125" w:rsidP="00137F06">
      <w:pPr>
        <w:pStyle w:val="Textpoznpodarou"/>
        <w:rPr>
          <w:sz w:val="16"/>
          <w:szCs w:val="16"/>
        </w:rPr>
      </w:pPr>
      <w:r w:rsidRPr="00651A71">
        <w:rPr>
          <w:rStyle w:val="Znakapoznpodarou"/>
          <w:sz w:val="16"/>
          <w:szCs w:val="16"/>
        </w:rPr>
        <w:footnoteRef/>
      </w:r>
      <w:r w:rsidRPr="00651A71">
        <w:rPr>
          <w:sz w:val="16"/>
          <w:szCs w:val="16"/>
        </w:rPr>
        <w:t xml:space="preserve"> O</w:t>
      </w:r>
      <w:r w:rsidRPr="00651A71">
        <w:rPr>
          <w:spacing w:val="-3"/>
          <w:sz w:val="16"/>
          <w:szCs w:val="16"/>
          <w:lang w:eastAsia="en-US"/>
        </w:rPr>
        <w:t>byvatelstvo</w:t>
      </w:r>
      <w:r>
        <w:rPr>
          <w:spacing w:val="-3"/>
          <w:sz w:val="16"/>
          <w:szCs w:val="16"/>
          <w:lang w:eastAsia="en-US"/>
        </w:rPr>
        <w:t xml:space="preserve"> včetně </w:t>
      </w:r>
      <w:r w:rsidRPr="00651A71">
        <w:rPr>
          <w:spacing w:val="-3"/>
          <w:sz w:val="16"/>
          <w:szCs w:val="16"/>
          <w:lang w:eastAsia="en-US"/>
        </w:rPr>
        <w:t>živnostníků.</w:t>
      </w:r>
    </w:p>
  </w:footnote>
  <w:footnote w:id="97">
    <w:p w14:paraId="71C5A9DD" w14:textId="77777777" w:rsidR="00BA5125" w:rsidRDefault="00BA5125" w:rsidP="00137F06">
      <w:pPr>
        <w:pStyle w:val="Textpoznpodarou"/>
      </w:pPr>
      <w:r w:rsidRPr="00FE4E1A">
        <w:rPr>
          <w:rStyle w:val="Znakapoznpodarou"/>
          <w:sz w:val="16"/>
          <w:szCs w:val="16"/>
        </w:rPr>
        <w:footnoteRef/>
      </w:r>
      <w:r w:rsidRPr="00FE4E1A">
        <w:rPr>
          <w:sz w:val="16"/>
          <w:szCs w:val="16"/>
        </w:rPr>
        <w:t xml:space="preserve"> Dvouciferným tempem narůstaly úvěry ze stavebních spoření od konce roku 2022. Díky výraznému </w:t>
      </w:r>
      <w:r>
        <w:rPr>
          <w:sz w:val="16"/>
          <w:szCs w:val="16"/>
        </w:rPr>
        <w:t>zvýšení</w:t>
      </w:r>
      <w:r w:rsidRPr="00FE4E1A">
        <w:rPr>
          <w:sz w:val="16"/>
          <w:szCs w:val="16"/>
        </w:rPr>
        <w:t xml:space="preserve"> úroků hypoték se staly úvěry ze stavebního spoření, u kterých je maximální úročení zákonem omezeno, pro dlužníky výhodnějším nástrojem financování</w:t>
      </w:r>
      <w:r>
        <w:t xml:space="preserve">. </w:t>
      </w:r>
    </w:p>
  </w:footnote>
  <w:footnote w:id="98">
    <w:p w14:paraId="47126DE8" w14:textId="77777777" w:rsidR="00BA5125" w:rsidRPr="00284DA5" w:rsidRDefault="00BA5125" w:rsidP="00137F06">
      <w:pPr>
        <w:pStyle w:val="Textpoznpodarou"/>
        <w:rPr>
          <w:sz w:val="16"/>
          <w:szCs w:val="16"/>
        </w:rPr>
      </w:pPr>
      <w:r w:rsidRPr="00284DA5">
        <w:rPr>
          <w:rStyle w:val="Znakapoznpodarou"/>
          <w:sz w:val="16"/>
          <w:szCs w:val="16"/>
        </w:rPr>
        <w:footnoteRef/>
      </w:r>
      <w:r w:rsidRPr="00284DA5">
        <w:rPr>
          <w:sz w:val="16"/>
          <w:szCs w:val="16"/>
        </w:rPr>
        <w:t xml:space="preserve"> V nových smlouvách jsou zahrnuty i</w:t>
      </w:r>
      <w:r>
        <w:rPr>
          <w:sz w:val="16"/>
          <w:szCs w:val="16"/>
        </w:rPr>
        <w:t> </w:t>
      </w:r>
      <w:r w:rsidRPr="00284DA5">
        <w:rPr>
          <w:sz w:val="16"/>
          <w:szCs w:val="16"/>
        </w:rPr>
        <w:t>refinancované úvěry a</w:t>
      </w:r>
      <w:r>
        <w:rPr>
          <w:sz w:val="16"/>
          <w:szCs w:val="16"/>
        </w:rPr>
        <w:t> </w:t>
      </w:r>
      <w:r w:rsidRPr="00284DA5">
        <w:rPr>
          <w:sz w:val="16"/>
          <w:szCs w:val="16"/>
        </w:rPr>
        <w:t>ostatní ujednání.</w:t>
      </w:r>
      <w:r>
        <w:rPr>
          <w:sz w:val="16"/>
          <w:szCs w:val="16"/>
        </w:rPr>
        <w:t xml:space="preserve"> Refinancované úvěry zahrnují stávající smlouvy sjednané nově u jiné banky, zatímco ostatní nová ujednání jsou stávající smlouvy sjednané s novými podmínkami u stejné banky.</w:t>
      </w:r>
    </w:p>
  </w:footnote>
  <w:footnote w:id="99">
    <w:p w14:paraId="290F4968" w14:textId="77777777" w:rsidR="00BA5125" w:rsidRPr="00724B7B" w:rsidRDefault="00BA5125" w:rsidP="00137F06">
      <w:pPr>
        <w:pStyle w:val="Textpoznpodarou"/>
        <w:rPr>
          <w:sz w:val="16"/>
          <w:szCs w:val="16"/>
        </w:rPr>
      </w:pPr>
      <w:r w:rsidRPr="00724B7B">
        <w:rPr>
          <w:rStyle w:val="Znakapoznpodarou"/>
          <w:sz w:val="16"/>
          <w:szCs w:val="16"/>
        </w:rPr>
        <w:footnoteRef/>
      </w:r>
      <w:r w:rsidRPr="00724B7B">
        <w:rPr>
          <w:sz w:val="16"/>
          <w:szCs w:val="16"/>
        </w:rPr>
        <w:t xml:space="preserve"> Úvěry v cizí měně začaly prudce</w:t>
      </w:r>
      <w:r>
        <w:rPr>
          <w:sz w:val="16"/>
          <w:szCs w:val="16"/>
        </w:rPr>
        <w:t xml:space="preserve"> růst</w:t>
      </w:r>
      <w:r w:rsidRPr="00724B7B">
        <w:rPr>
          <w:sz w:val="16"/>
          <w:szCs w:val="16"/>
        </w:rPr>
        <w:t xml:space="preserve"> po začátku opětovného zvyšování </w:t>
      </w:r>
      <w:proofErr w:type="spellStart"/>
      <w:r w:rsidRPr="00724B7B">
        <w:rPr>
          <w:sz w:val="16"/>
          <w:szCs w:val="16"/>
        </w:rPr>
        <w:t>měnověpolitických</w:t>
      </w:r>
      <w:proofErr w:type="spellEnd"/>
      <w:r w:rsidRPr="00724B7B">
        <w:rPr>
          <w:sz w:val="16"/>
          <w:szCs w:val="16"/>
        </w:rPr>
        <w:t xml:space="preserve"> sazeb v červnu 2021.</w:t>
      </w:r>
    </w:p>
  </w:footnote>
  <w:footnote w:id="100">
    <w:p w14:paraId="218512E7" w14:textId="77777777" w:rsidR="00BA5125" w:rsidRPr="008534DA" w:rsidRDefault="00BA5125" w:rsidP="0011055D">
      <w:pPr>
        <w:pStyle w:val="Textpoznpodarou"/>
        <w:jc w:val="both"/>
        <w:rPr>
          <w:spacing w:val="-2"/>
          <w:sz w:val="16"/>
          <w:szCs w:val="16"/>
        </w:rPr>
      </w:pPr>
      <w:r w:rsidRPr="008534DA">
        <w:rPr>
          <w:rStyle w:val="Znakapoznpodarou"/>
          <w:spacing w:val="-2"/>
          <w:sz w:val="16"/>
          <w:szCs w:val="16"/>
        </w:rPr>
        <w:footnoteRef/>
      </w:r>
      <w:r w:rsidRPr="008534DA">
        <w:rPr>
          <w:spacing w:val="-2"/>
          <w:sz w:val="16"/>
          <w:szCs w:val="16"/>
        </w:rPr>
        <w:t xml:space="preserve"> </w:t>
      </w:r>
      <w:r w:rsidRPr="008534DA">
        <w:rPr>
          <w:color w:val="0D0D0D" w:themeColor="text1" w:themeTint="F2"/>
          <w:spacing w:val="-2"/>
          <w:sz w:val="16"/>
          <w:szCs w:val="16"/>
        </w:rPr>
        <w:t xml:space="preserve">Pokud není uvedeno jinak, vycházejí všechny údaje týkající se státního rozpočtu </w:t>
      </w:r>
      <w:r w:rsidRPr="008534DA">
        <w:rPr>
          <w:rFonts w:cs="Arial"/>
          <w:color w:val="0D0D0D" w:themeColor="text1" w:themeTint="F2"/>
          <w:spacing w:val="-2"/>
          <w:sz w:val="16"/>
          <w:szCs w:val="16"/>
        </w:rPr>
        <w:t>z dat Ministerstva financí ČR o pokladním plnění.</w:t>
      </w:r>
    </w:p>
  </w:footnote>
  <w:footnote w:id="101">
    <w:p w14:paraId="0932F52C" w14:textId="77777777" w:rsidR="00BA5125" w:rsidRPr="008534DA" w:rsidRDefault="00BA5125" w:rsidP="0011055D">
      <w:pPr>
        <w:pStyle w:val="Textpoznpodarou"/>
        <w:rPr>
          <w:spacing w:val="-2"/>
          <w:sz w:val="16"/>
          <w:szCs w:val="16"/>
        </w:rPr>
      </w:pPr>
      <w:r w:rsidRPr="008534DA">
        <w:rPr>
          <w:rStyle w:val="Znakapoznpodarou"/>
          <w:spacing w:val="-2"/>
          <w:sz w:val="16"/>
          <w:szCs w:val="16"/>
        </w:rPr>
        <w:footnoteRef/>
      </w:r>
      <w:r w:rsidRPr="008534DA">
        <w:rPr>
          <w:spacing w:val="-2"/>
          <w:sz w:val="16"/>
          <w:szCs w:val="16"/>
        </w:rPr>
        <w:t xml:space="preserve"> Dle zákona č. 449/2023 Sb., o státní</w:t>
      </w:r>
      <w:r>
        <w:rPr>
          <w:spacing w:val="-2"/>
          <w:sz w:val="16"/>
          <w:szCs w:val="16"/>
        </w:rPr>
        <w:t>m rozpočtu na rok 2023 (z 30. listopadu 2022) očekávajícího pro loňský rok schodek</w:t>
      </w:r>
      <w:r w:rsidRPr="008534DA">
        <w:rPr>
          <w:spacing w:val="-2"/>
          <w:sz w:val="16"/>
          <w:szCs w:val="16"/>
        </w:rPr>
        <w:t xml:space="preserve"> 295 mld. korun. </w:t>
      </w:r>
    </w:p>
  </w:footnote>
  <w:footnote w:id="102">
    <w:p w14:paraId="02F456E1" w14:textId="77777777" w:rsidR="00BA5125" w:rsidRPr="008534DA" w:rsidRDefault="00BA5125" w:rsidP="0011055D">
      <w:pPr>
        <w:autoSpaceDE w:val="0"/>
        <w:autoSpaceDN w:val="0"/>
        <w:adjustRightInd w:val="0"/>
        <w:spacing w:after="0" w:line="240" w:lineRule="auto"/>
        <w:jc w:val="left"/>
        <w:rPr>
          <w:rFonts w:eastAsia="Calibri" w:cs="Arial"/>
          <w:spacing w:val="-2"/>
          <w:sz w:val="16"/>
          <w:szCs w:val="16"/>
          <w:lang w:eastAsia="en-US"/>
        </w:rPr>
      </w:pPr>
      <w:r w:rsidRPr="008534DA">
        <w:rPr>
          <w:rStyle w:val="Znakapoznpodarou"/>
          <w:spacing w:val="-2"/>
          <w:sz w:val="16"/>
          <w:szCs w:val="16"/>
        </w:rPr>
        <w:footnoteRef/>
      </w:r>
      <w:r w:rsidRPr="008534DA">
        <w:rPr>
          <w:spacing w:val="-2"/>
          <w:sz w:val="16"/>
          <w:szCs w:val="16"/>
        </w:rPr>
        <w:t xml:space="preserve"> Jde o prostředky na programy/</w:t>
      </w:r>
      <w:r w:rsidRPr="008534DA">
        <w:rPr>
          <w:rFonts w:cs="Arial"/>
          <w:spacing w:val="-2"/>
          <w:sz w:val="16"/>
          <w:szCs w:val="16"/>
        </w:rPr>
        <w:t>projekty z rozpočtu EU a FM, které byly předfinancovány ze SR a následně postupně proplaceny z</w:t>
      </w:r>
      <w:r w:rsidRPr="008534DA">
        <w:rPr>
          <w:spacing w:val="-2"/>
          <w:sz w:val="16"/>
          <w:szCs w:val="16"/>
        </w:rPr>
        <w:t> </w:t>
      </w:r>
      <w:r w:rsidRPr="008534DA">
        <w:rPr>
          <w:rFonts w:cs="Arial"/>
          <w:spacing w:val="-2"/>
          <w:sz w:val="16"/>
          <w:szCs w:val="16"/>
        </w:rPr>
        <w:t xml:space="preserve">rozpočtu EU a FM. </w:t>
      </w:r>
      <w:r w:rsidRPr="008534DA">
        <w:rPr>
          <w:rFonts w:eastAsia="Calibri" w:cs="Arial"/>
          <w:spacing w:val="-2"/>
          <w:sz w:val="16"/>
          <w:szCs w:val="16"/>
          <w:lang w:eastAsia="en-US"/>
        </w:rPr>
        <w:t xml:space="preserve">Bez těchto prostředků, které jsou ve schváleném SR zahrnuty s neutrálním dopadem, </w:t>
      </w:r>
      <w:r w:rsidRPr="008534DA">
        <w:rPr>
          <w:rFonts w:cs="Arial"/>
          <w:spacing w:val="-2"/>
          <w:sz w:val="16"/>
          <w:szCs w:val="16"/>
          <w:lang w:eastAsia="en-US"/>
        </w:rPr>
        <w:t xml:space="preserve">činil loňský </w:t>
      </w:r>
      <w:r w:rsidRPr="008534DA">
        <w:rPr>
          <w:rFonts w:eastAsia="Calibri" w:cs="Arial"/>
          <w:spacing w:val="-2"/>
          <w:sz w:val="16"/>
          <w:szCs w:val="16"/>
          <w:lang w:eastAsia="en-US"/>
        </w:rPr>
        <w:t xml:space="preserve">schodek </w:t>
      </w:r>
      <w:r w:rsidRPr="008534DA">
        <w:rPr>
          <w:rFonts w:cs="Arial"/>
          <w:spacing w:val="-2"/>
          <w:sz w:val="16"/>
          <w:szCs w:val="16"/>
          <w:lang w:eastAsia="en-US"/>
        </w:rPr>
        <w:t>299,4</w:t>
      </w:r>
      <w:r w:rsidRPr="008534DA">
        <w:rPr>
          <w:rFonts w:eastAsia="Calibri" w:cs="Arial"/>
          <w:spacing w:val="-2"/>
          <w:sz w:val="16"/>
          <w:szCs w:val="16"/>
          <w:lang w:eastAsia="en-US"/>
        </w:rPr>
        <w:t xml:space="preserve"> mld. korun (meziročně o 17,3 mld. méně).</w:t>
      </w:r>
    </w:p>
  </w:footnote>
  <w:footnote w:id="103">
    <w:p w14:paraId="72B5AA8F" w14:textId="77777777" w:rsidR="00BA5125" w:rsidRPr="008534DA" w:rsidRDefault="00BA5125" w:rsidP="0011055D">
      <w:pPr>
        <w:pStyle w:val="Textpoznpodarou"/>
        <w:rPr>
          <w:spacing w:val="-2"/>
          <w:sz w:val="16"/>
          <w:szCs w:val="16"/>
        </w:rPr>
      </w:pPr>
      <w:r w:rsidRPr="008534DA">
        <w:rPr>
          <w:rStyle w:val="Znakapoznpodarou"/>
          <w:spacing w:val="-2"/>
          <w:sz w:val="16"/>
          <w:szCs w:val="16"/>
        </w:rPr>
        <w:footnoteRef/>
      </w:r>
      <w:r w:rsidRPr="008534DA">
        <w:rPr>
          <w:spacing w:val="-2"/>
          <w:sz w:val="16"/>
          <w:szCs w:val="16"/>
        </w:rPr>
        <w:t xml:space="preserve"> Od ledna do května byl v úhrnu vykázán rekordní schodek 271,4 mld. korun. Naopak od června do září dosahoval přebytek 90,6 mld.</w:t>
      </w:r>
    </w:p>
  </w:footnote>
  <w:footnote w:id="104">
    <w:p w14:paraId="3E5D3254" w14:textId="77777777" w:rsidR="00BA5125" w:rsidRPr="008534DA" w:rsidRDefault="00BA5125" w:rsidP="0011055D">
      <w:pPr>
        <w:pStyle w:val="Textpoznpodarou"/>
        <w:rPr>
          <w:spacing w:val="-2"/>
          <w:sz w:val="16"/>
          <w:szCs w:val="16"/>
        </w:rPr>
      </w:pPr>
      <w:r w:rsidRPr="008534DA">
        <w:rPr>
          <w:rStyle w:val="Znakapoznpodarou"/>
          <w:spacing w:val="-2"/>
          <w:sz w:val="16"/>
          <w:szCs w:val="16"/>
        </w:rPr>
        <w:footnoteRef/>
      </w:r>
      <w:r w:rsidRPr="008534DA">
        <w:rPr>
          <w:spacing w:val="-2"/>
          <w:sz w:val="16"/>
          <w:szCs w:val="16"/>
        </w:rPr>
        <w:t xml:space="preserve"> Jde o pojistné na sociální zabezpečení a aktivní politiku zaměstnanosti.</w:t>
      </w:r>
    </w:p>
  </w:footnote>
  <w:footnote w:id="105">
    <w:p w14:paraId="18608D2C" w14:textId="77777777" w:rsidR="00BA5125" w:rsidRPr="008534DA" w:rsidRDefault="00BA5125" w:rsidP="0011055D">
      <w:pPr>
        <w:pStyle w:val="Textpoznpodarou"/>
        <w:rPr>
          <w:spacing w:val="-2"/>
          <w:sz w:val="16"/>
          <w:szCs w:val="16"/>
        </w:rPr>
      </w:pPr>
      <w:r w:rsidRPr="008534DA">
        <w:rPr>
          <w:rStyle w:val="Znakapoznpodarou"/>
          <w:spacing w:val="-2"/>
          <w:sz w:val="16"/>
          <w:szCs w:val="16"/>
        </w:rPr>
        <w:footnoteRef/>
      </w:r>
      <w:r w:rsidRPr="008534DA">
        <w:rPr>
          <w:spacing w:val="-2"/>
          <w:sz w:val="16"/>
          <w:szCs w:val="16"/>
        </w:rPr>
        <w:t xml:space="preserve"> To se projevovalo slábnoucím růstovým tempem u zaměstnanosti i nominálních průměrných mezd. </w:t>
      </w:r>
      <w:r>
        <w:rPr>
          <w:spacing w:val="-2"/>
          <w:sz w:val="16"/>
          <w:szCs w:val="16"/>
        </w:rPr>
        <w:t xml:space="preserve">Vedle toho působilo na výběr pojistného i </w:t>
      </w:r>
      <w:r w:rsidRPr="002C56E1">
        <w:rPr>
          <w:spacing w:val="-2"/>
          <w:sz w:val="16"/>
          <w:szCs w:val="16"/>
        </w:rPr>
        <w:t>z</w:t>
      </w:r>
      <w:r>
        <w:rPr>
          <w:spacing w:val="-2"/>
          <w:sz w:val="16"/>
          <w:szCs w:val="16"/>
        </w:rPr>
        <w:t>avedení slevy p</w:t>
      </w:r>
      <w:r w:rsidRPr="00F7046D">
        <w:rPr>
          <w:sz w:val="16"/>
          <w:szCs w:val="16"/>
        </w:rPr>
        <w:t xml:space="preserve">ro zaměstnavatele poskytující kratší úvazky </w:t>
      </w:r>
      <w:r>
        <w:rPr>
          <w:sz w:val="16"/>
          <w:szCs w:val="16"/>
        </w:rPr>
        <w:t xml:space="preserve">vybraným skupinám zaměstnanců (např. </w:t>
      </w:r>
      <w:r w:rsidRPr="00F7046D">
        <w:rPr>
          <w:sz w:val="16"/>
          <w:szCs w:val="16"/>
        </w:rPr>
        <w:t>rodičům m</w:t>
      </w:r>
      <w:r>
        <w:rPr>
          <w:sz w:val="16"/>
          <w:szCs w:val="16"/>
        </w:rPr>
        <w:t>enších dětí, osobám pečujícím o</w:t>
      </w:r>
      <w:r w:rsidRPr="00F7046D">
        <w:rPr>
          <w:sz w:val="16"/>
          <w:szCs w:val="16"/>
        </w:rPr>
        <w:t xml:space="preserve"> své blízké či lidem nad 55 let</w:t>
      </w:r>
      <w:r>
        <w:rPr>
          <w:sz w:val="16"/>
          <w:szCs w:val="16"/>
        </w:rPr>
        <w:t xml:space="preserve">) nebo zvýšení sazeb odvodů u rizikových profesí. </w:t>
      </w:r>
    </w:p>
  </w:footnote>
  <w:footnote w:id="106">
    <w:p w14:paraId="4B147D7E" w14:textId="77777777" w:rsidR="00BA5125" w:rsidRPr="008534DA" w:rsidRDefault="00BA5125" w:rsidP="0011055D">
      <w:pPr>
        <w:pStyle w:val="Textpoznpodarou"/>
        <w:rPr>
          <w:spacing w:val="-2"/>
        </w:rPr>
      </w:pPr>
      <w:r w:rsidRPr="008534DA">
        <w:rPr>
          <w:rStyle w:val="Znakapoznpodarou"/>
          <w:spacing w:val="-2"/>
          <w:sz w:val="16"/>
          <w:szCs w:val="16"/>
        </w:rPr>
        <w:footnoteRef/>
      </w:r>
      <w:r w:rsidRPr="008534DA">
        <w:rPr>
          <w:spacing w:val="-2"/>
        </w:rPr>
        <w:t xml:space="preserve"> </w:t>
      </w:r>
      <w:r w:rsidRPr="008534DA">
        <w:rPr>
          <w:spacing w:val="-2"/>
          <w:sz w:val="16"/>
          <w:szCs w:val="16"/>
        </w:rPr>
        <w:t>Celoroční výnos těchto dočasně zavedených „sektorových“ daní u podniků z neočekávaných zisků a odvodů z nadměrných příjmů se prvotně odhadoval na 100 mld. korun. U jeho klíčové složky – daně z neočekávaných zisků – byl původní rozpočtový od</w:t>
      </w:r>
      <w:r>
        <w:rPr>
          <w:spacing w:val="-2"/>
          <w:sz w:val="16"/>
          <w:szCs w:val="16"/>
        </w:rPr>
        <w:t>had celoročního inkasa již loni</w:t>
      </w:r>
      <w:r w:rsidRPr="008534DA">
        <w:rPr>
          <w:spacing w:val="-2"/>
          <w:sz w:val="16"/>
          <w:szCs w:val="16"/>
        </w:rPr>
        <w:t xml:space="preserve"> v dubnu revidován (z 85 mld. korun na 28 mld.), v srpnu došlo k dílčí korekci očekáv</w:t>
      </w:r>
      <w:r>
        <w:rPr>
          <w:spacing w:val="-2"/>
          <w:sz w:val="16"/>
          <w:szCs w:val="16"/>
        </w:rPr>
        <w:t>a</w:t>
      </w:r>
      <w:r w:rsidRPr="008534DA">
        <w:rPr>
          <w:spacing w:val="-2"/>
          <w:sz w:val="16"/>
          <w:szCs w:val="16"/>
        </w:rPr>
        <w:t>ného výnosu (na 46 mld. korun).</w:t>
      </w:r>
    </w:p>
  </w:footnote>
  <w:footnote w:id="107">
    <w:p w14:paraId="6C1F2090" w14:textId="77777777" w:rsidR="00BA5125" w:rsidRPr="008534DA" w:rsidRDefault="00BA5125" w:rsidP="0011055D">
      <w:pPr>
        <w:pStyle w:val="Textpoznpodarou"/>
        <w:rPr>
          <w:spacing w:val="-2"/>
          <w:sz w:val="16"/>
          <w:szCs w:val="16"/>
        </w:rPr>
      </w:pPr>
      <w:r w:rsidRPr="008534DA">
        <w:rPr>
          <w:rStyle w:val="Znakapoznpodarou"/>
          <w:spacing w:val="-2"/>
          <w:sz w:val="16"/>
          <w:szCs w:val="16"/>
        </w:rPr>
        <w:footnoteRef/>
      </w:r>
      <w:r w:rsidRPr="008534DA">
        <w:rPr>
          <w:spacing w:val="-2"/>
          <w:sz w:val="16"/>
          <w:szCs w:val="16"/>
        </w:rPr>
        <w:t xml:space="preserve"> Ta se týká energetických, petrochemických a těžebních firem a zahrnuje rovněž velké banky. Drtivá většina inkasa této daně (88 %) </w:t>
      </w:r>
      <w:r>
        <w:rPr>
          <w:spacing w:val="-2"/>
          <w:sz w:val="16"/>
          <w:szCs w:val="16"/>
        </w:rPr>
        <w:t xml:space="preserve">ovšem </w:t>
      </w:r>
      <w:r w:rsidRPr="008534DA">
        <w:rPr>
          <w:spacing w:val="-2"/>
          <w:sz w:val="16"/>
          <w:szCs w:val="16"/>
        </w:rPr>
        <w:t xml:space="preserve">plynula do SR </w:t>
      </w:r>
      <w:r>
        <w:rPr>
          <w:spacing w:val="-2"/>
          <w:sz w:val="16"/>
          <w:szCs w:val="16"/>
        </w:rPr>
        <w:t xml:space="preserve">jen </w:t>
      </w:r>
      <w:r w:rsidRPr="008534DA">
        <w:rPr>
          <w:spacing w:val="-2"/>
          <w:sz w:val="16"/>
          <w:szCs w:val="16"/>
        </w:rPr>
        <w:t xml:space="preserve">z odvětví energetiky. </w:t>
      </w:r>
    </w:p>
  </w:footnote>
  <w:footnote w:id="108">
    <w:p w14:paraId="013133B2" w14:textId="77777777" w:rsidR="00BA5125" w:rsidRPr="008B3D4E" w:rsidRDefault="00BA5125" w:rsidP="0011055D">
      <w:pPr>
        <w:pStyle w:val="Textpoznpodarou"/>
        <w:rPr>
          <w:sz w:val="16"/>
          <w:szCs w:val="16"/>
        </w:rPr>
      </w:pPr>
      <w:r w:rsidRPr="008534DA">
        <w:rPr>
          <w:rStyle w:val="Znakapoznpodarou"/>
          <w:spacing w:val="-2"/>
          <w:sz w:val="16"/>
          <w:szCs w:val="16"/>
        </w:rPr>
        <w:footnoteRef/>
      </w:r>
      <w:r w:rsidRPr="008534DA">
        <w:rPr>
          <w:spacing w:val="-2"/>
          <w:sz w:val="16"/>
          <w:szCs w:val="16"/>
        </w:rPr>
        <w:t xml:space="preserve"> Tento odvod (zdaněný 90% sazbou) představuje rozdíl mezi skutečným příjmem a stropem tržního příjmu z prodeje elektřiny nad stanovenou hranici (za období od 1. prosince 2022 do konce roku 2023).</w:t>
      </w:r>
    </w:p>
  </w:footnote>
  <w:footnote w:id="109">
    <w:p w14:paraId="5798DF0C" w14:textId="77777777" w:rsidR="00BA5125" w:rsidRPr="00734FD6" w:rsidRDefault="00BA5125" w:rsidP="0011055D">
      <w:pPr>
        <w:pStyle w:val="Textpoznpodarou"/>
        <w:rPr>
          <w:sz w:val="16"/>
          <w:szCs w:val="16"/>
        </w:rPr>
      </w:pPr>
      <w:r w:rsidRPr="00734FD6">
        <w:rPr>
          <w:rStyle w:val="Znakapoznpodarou"/>
          <w:sz w:val="16"/>
          <w:szCs w:val="16"/>
        </w:rPr>
        <w:footnoteRef/>
      </w:r>
      <w:r w:rsidRPr="00734FD6">
        <w:rPr>
          <w:sz w:val="16"/>
          <w:szCs w:val="16"/>
        </w:rPr>
        <w:t xml:space="preserve"> </w:t>
      </w:r>
      <w:r w:rsidRPr="008534DA">
        <w:rPr>
          <w:spacing w:val="-4"/>
          <w:sz w:val="16"/>
          <w:szCs w:val="16"/>
        </w:rPr>
        <w:t xml:space="preserve">Hrubý provozní přebytek nefinančních podniků se v roce 2022 meziročně zvýšil o 16 % (obdobně vzrostl také v 1. až 3. čtvrtletí 2023), míra zisku těchto podniků činila v roce 2022 rovných 47 %, v 1. až 3. čtvrtletí </w:t>
      </w:r>
      <w:r>
        <w:rPr>
          <w:spacing w:val="-4"/>
          <w:sz w:val="16"/>
          <w:szCs w:val="16"/>
        </w:rPr>
        <w:t xml:space="preserve">2023 pak </w:t>
      </w:r>
      <w:r w:rsidRPr="008534DA">
        <w:rPr>
          <w:spacing w:val="-4"/>
          <w:sz w:val="16"/>
          <w:szCs w:val="16"/>
        </w:rPr>
        <w:t>48,7 %.</w:t>
      </w:r>
    </w:p>
  </w:footnote>
  <w:footnote w:id="110">
    <w:p w14:paraId="1EB1AFB8" w14:textId="77777777" w:rsidR="00BA5125" w:rsidRPr="008534DA" w:rsidRDefault="00BA5125" w:rsidP="0011055D">
      <w:pPr>
        <w:pStyle w:val="Textpoznpodarou"/>
        <w:rPr>
          <w:spacing w:val="-6"/>
          <w:sz w:val="16"/>
          <w:szCs w:val="16"/>
        </w:rPr>
      </w:pPr>
      <w:r w:rsidRPr="008534DA">
        <w:rPr>
          <w:rStyle w:val="Znakapoznpodarou"/>
          <w:spacing w:val="-6"/>
          <w:sz w:val="16"/>
          <w:szCs w:val="16"/>
        </w:rPr>
        <w:footnoteRef/>
      </w:r>
      <w:r w:rsidRPr="008534DA">
        <w:rPr>
          <w:spacing w:val="-6"/>
          <w:sz w:val="16"/>
          <w:szCs w:val="16"/>
        </w:rPr>
        <w:t xml:space="preserve"> Celostátní inkaso DPFO ze závislé činnosti (na úrovni všech veřejných rozpočtů) se loni nacházelo jen mírně nad úrovní roku 2017 a za rekordní výší z roku 2019 zaostávalo o 18 %. Klíčovou roli zde sehrálo snížení daňového zatížení práce od roku 2021 (zrušení tzv. </w:t>
      </w:r>
      <w:proofErr w:type="spellStart"/>
      <w:r w:rsidRPr="008534DA">
        <w:rPr>
          <w:spacing w:val="-6"/>
          <w:sz w:val="16"/>
          <w:szCs w:val="16"/>
        </w:rPr>
        <w:t>superhrubé</w:t>
      </w:r>
      <w:proofErr w:type="spellEnd"/>
      <w:r w:rsidRPr="008534DA">
        <w:rPr>
          <w:spacing w:val="-6"/>
          <w:sz w:val="16"/>
          <w:szCs w:val="16"/>
        </w:rPr>
        <w:t xml:space="preserve"> mzdy).</w:t>
      </w:r>
    </w:p>
  </w:footnote>
  <w:footnote w:id="111">
    <w:p w14:paraId="21AEFB6A" w14:textId="77777777" w:rsidR="00BA5125" w:rsidRPr="00855CAD" w:rsidRDefault="00BA5125" w:rsidP="0011055D">
      <w:pPr>
        <w:pStyle w:val="Textpoznpodarou"/>
        <w:rPr>
          <w:sz w:val="16"/>
          <w:szCs w:val="16"/>
        </w:rPr>
      </w:pPr>
      <w:r w:rsidRPr="00855CAD">
        <w:rPr>
          <w:rStyle w:val="Znakapoznpodarou"/>
          <w:sz w:val="16"/>
          <w:szCs w:val="16"/>
        </w:rPr>
        <w:footnoteRef/>
      </w:r>
      <w:r w:rsidRPr="00855CAD">
        <w:rPr>
          <w:sz w:val="16"/>
          <w:szCs w:val="16"/>
        </w:rPr>
        <w:t xml:space="preserve"> Reálné výdaje na konečnou spotřebu tuzemských domácností se na konci loňského roku oproti 3. čtvrtletí mírně zvýšily a pokles výdajů v meziročním srovnání (trvající nepřetržitě takřka dva roky) se fakticky zastavil.</w:t>
      </w:r>
    </w:p>
  </w:footnote>
  <w:footnote w:id="112">
    <w:p w14:paraId="50EFD59E" w14:textId="77777777" w:rsidR="00BA5125" w:rsidRPr="00694B41" w:rsidRDefault="00BA5125" w:rsidP="0011055D">
      <w:pPr>
        <w:pStyle w:val="Textpoznpodarou"/>
        <w:rPr>
          <w:sz w:val="16"/>
          <w:szCs w:val="16"/>
        </w:rPr>
      </w:pPr>
      <w:r w:rsidRPr="00694B41">
        <w:rPr>
          <w:rStyle w:val="Znakapoznpodarou"/>
          <w:sz w:val="16"/>
          <w:szCs w:val="16"/>
        </w:rPr>
        <w:footnoteRef/>
      </w:r>
      <w:r w:rsidRPr="00694B41">
        <w:rPr>
          <w:sz w:val="16"/>
          <w:szCs w:val="16"/>
        </w:rPr>
        <w:t xml:space="preserve"> Jde o zvýšení </w:t>
      </w:r>
      <w:r>
        <w:rPr>
          <w:sz w:val="16"/>
          <w:szCs w:val="16"/>
        </w:rPr>
        <w:t>z</w:t>
      </w:r>
      <w:r w:rsidRPr="00694B41">
        <w:rPr>
          <w:sz w:val="16"/>
          <w:szCs w:val="16"/>
        </w:rPr>
        <w:t> 1 na 2 mil. korun, které vstoupilo v platnost od ledna 2023.</w:t>
      </w:r>
      <w:r>
        <w:rPr>
          <w:sz w:val="16"/>
          <w:szCs w:val="16"/>
        </w:rPr>
        <w:t xml:space="preserve"> To se spolu s rozšířením paušálního režimu odrazilo v meziročním poklesu počtu plátců DPH.</w:t>
      </w:r>
    </w:p>
  </w:footnote>
  <w:footnote w:id="113">
    <w:p w14:paraId="1BE2EC83" w14:textId="77777777" w:rsidR="00BA5125" w:rsidRPr="002F5A4D" w:rsidRDefault="00BA5125" w:rsidP="0011055D">
      <w:pPr>
        <w:pStyle w:val="Textpoznpodarou"/>
        <w:rPr>
          <w:sz w:val="16"/>
          <w:szCs w:val="16"/>
        </w:rPr>
      </w:pPr>
      <w:r w:rsidRPr="002F5A4D">
        <w:rPr>
          <w:rStyle w:val="Znakapoznpodarou"/>
          <w:sz w:val="16"/>
          <w:szCs w:val="16"/>
        </w:rPr>
        <w:footnoteRef/>
      </w:r>
      <w:r w:rsidRPr="002F5A4D">
        <w:rPr>
          <w:sz w:val="16"/>
          <w:szCs w:val="16"/>
        </w:rPr>
        <w:t xml:space="preserve"> Ta zahrnuje i </w:t>
      </w:r>
      <w:r w:rsidRPr="002F5A4D">
        <w:rPr>
          <w:color w:val="0D0D0D" w:themeColor="text1" w:themeTint="F2"/>
          <w:spacing w:val="-4"/>
          <w:sz w:val="16"/>
          <w:szCs w:val="16"/>
        </w:rPr>
        <w:t>energetické daně a daň z digitálních služeb.</w:t>
      </w:r>
    </w:p>
  </w:footnote>
  <w:footnote w:id="114">
    <w:p w14:paraId="6B981675" w14:textId="77777777" w:rsidR="00BA5125" w:rsidRPr="00586349" w:rsidRDefault="00BA5125" w:rsidP="0011055D">
      <w:pPr>
        <w:pStyle w:val="Textpoznpodarou"/>
        <w:rPr>
          <w:sz w:val="16"/>
          <w:szCs w:val="16"/>
        </w:rPr>
      </w:pPr>
      <w:r w:rsidRPr="00586349">
        <w:rPr>
          <w:rStyle w:val="Znakapoznpodarou"/>
          <w:sz w:val="16"/>
          <w:szCs w:val="16"/>
        </w:rPr>
        <w:footnoteRef/>
      </w:r>
      <w:r w:rsidRPr="00586349">
        <w:rPr>
          <w:sz w:val="16"/>
          <w:szCs w:val="16"/>
        </w:rPr>
        <w:t xml:space="preserve"> Výběr spotřební daně ze zahř</w:t>
      </w:r>
      <w:r>
        <w:rPr>
          <w:sz w:val="16"/>
          <w:szCs w:val="16"/>
        </w:rPr>
        <w:t>ívaných tabákových výrobků loni</w:t>
      </w:r>
      <w:r w:rsidRPr="00586349">
        <w:rPr>
          <w:sz w:val="16"/>
          <w:szCs w:val="16"/>
        </w:rPr>
        <w:t xml:space="preserve"> za tři čtvrtletí meziročně stoupl o 8,3 %.</w:t>
      </w:r>
    </w:p>
  </w:footnote>
  <w:footnote w:id="115">
    <w:p w14:paraId="44A28189" w14:textId="77777777" w:rsidR="00BA5125" w:rsidRDefault="00BA5125" w:rsidP="0011055D">
      <w:pPr>
        <w:pStyle w:val="Textpoznpodarou"/>
      </w:pPr>
      <w:r w:rsidRPr="00441D45">
        <w:rPr>
          <w:rStyle w:val="Znakapoznpodarou"/>
          <w:sz w:val="16"/>
          <w:szCs w:val="16"/>
        </w:rPr>
        <w:footnoteRef/>
      </w:r>
      <w:r w:rsidRPr="00441D45">
        <w:rPr>
          <w:sz w:val="16"/>
          <w:szCs w:val="16"/>
        </w:rPr>
        <w:t xml:space="preserve"> K t</w:t>
      </w:r>
      <w:r>
        <w:rPr>
          <w:sz w:val="16"/>
          <w:szCs w:val="16"/>
        </w:rPr>
        <w:t>omuto zvýšení došlo loni od</w:t>
      </w:r>
      <w:r w:rsidRPr="00441D45">
        <w:rPr>
          <w:sz w:val="16"/>
          <w:szCs w:val="16"/>
        </w:rPr>
        <w:t xml:space="preserve"> srpna (o 1,5 korun na litr). Sazba spotřební daně z motorové nafty se tak vrátila na původní výši </w:t>
      </w:r>
      <w:r>
        <w:rPr>
          <w:sz w:val="16"/>
          <w:szCs w:val="16"/>
        </w:rPr>
        <w:br/>
      </w:r>
      <w:r w:rsidRPr="00441D45">
        <w:rPr>
          <w:sz w:val="16"/>
          <w:szCs w:val="16"/>
        </w:rPr>
        <w:t>(9,95 korun/l) platnou do května 2022.</w:t>
      </w:r>
      <w:r>
        <w:rPr>
          <w:sz w:val="16"/>
          <w:szCs w:val="16"/>
        </w:rPr>
        <w:t xml:space="preserve"> O</w:t>
      </w:r>
      <w:r w:rsidRPr="00C2781C">
        <w:rPr>
          <w:sz w:val="16"/>
          <w:szCs w:val="16"/>
        </w:rPr>
        <w:t>d 1. června 2022 do 30. září 2022 byla také snížena i spotřební daň z bezolovnatého benzínu.</w:t>
      </w:r>
    </w:p>
  </w:footnote>
  <w:footnote w:id="116">
    <w:p w14:paraId="29504880" w14:textId="77777777" w:rsidR="00BA5125" w:rsidRPr="003579AA" w:rsidRDefault="00BA5125" w:rsidP="0011055D">
      <w:pPr>
        <w:spacing w:after="0" w:line="240" w:lineRule="auto"/>
        <w:rPr>
          <w:spacing w:val="-4"/>
        </w:rPr>
      </w:pPr>
      <w:r w:rsidRPr="003579AA">
        <w:rPr>
          <w:rStyle w:val="Znakapoznpodarou"/>
          <w:spacing w:val="-4"/>
          <w:sz w:val="16"/>
          <w:szCs w:val="16"/>
        </w:rPr>
        <w:footnoteRef/>
      </w:r>
      <w:r w:rsidRPr="003579AA">
        <w:rPr>
          <w:spacing w:val="-4"/>
          <w:sz w:val="16"/>
          <w:szCs w:val="16"/>
        </w:rPr>
        <w:t xml:space="preserve"> </w:t>
      </w:r>
      <w:r w:rsidRPr="003579AA">
        <w:rPr>
          <w:rFonts w:eastAsia="Calibri"/>
          <w:spacing w:val="-4"/>
          <w:sz w:val="16"/>
          <w:szCs w:val="16"/>
        </w:rPr>
        <w:t>Dle údajů ČSÚ vzrostla od ledna do listopadu 2023 spotřeba motorové nafty o 1,3 %, motorového benzínu o 6,0</w:t>
      </w:r>
      <w:r>
        <w:rPr>
          <w:rFonts w:eastAsia="Calibri"/>
          <w:spacing w:val="-4"/>
          <w:sz w:val="16"/>
          <w:szCs w:val="16"/>
        </w:rPr>
        <w:t xml:space="preserve"> % a leteckého petroleje </w:t>
      </w:r>
      <w:r>
        <w:rPr>
          <w:rFonts w:eastAsia="Calibri"/>
          <w:spacing w:val="-4"/>
          <w:sz w:val="16"/>
          <w:szCs w:val="16"/>
        </w:rPr>
        <w:br/>
        <w:t>o</w:t>
      </w:r>
      <w:r w:rsidRPr="008D661B">
        <w:rPr>
          <w:sz w:val="16"/>
          <w:szCs w:val="16"/>
        </w:rPr>
        <w:t> </w:t>
      </w:r>
      <w:r w:rsidRPr="003579AA">
        <w:rPr>
          <w:rFonts w:eastAsia="Calibri"/>
          <w:spacing w:val="-4"/>
          <w:sz w:val="16"/>
          <w:szCs w:val="16"/>
        </w:rPr>
        <w:t>25</w:t>
      </w:r>
      <w:r>
        <w:rPr>
          <w:rFonts w:eastAsia="Calibri"/>
          <w:spacing w:val="-4"/>
          <w:sz w:val="16"/>
          <w:szCs w:val="16"/>
        </w:rPr>
        <w:t xml:space="preserve"> </w:t>
      </w:r>
      <w:r w:rsidRPr="008D661B">
        <w:rPr>
          <w:sz w:val="16"/>
          <w:szCs w:val="16"/>
        </w:rPr>
        <w:t> </w:t>
      </w:r>
      <w:r w:rsidRPr="003579AA">
        <w:rPr>
          <w:rFonts w:eastAsia="Calibri"/>
          <w:spacing w:val="-4"/>
          <w:sz w:val="16"/>
          <w:szCs w:val="16"/>
        </w:rPr>
        <w:t>%. Pokles nastal u ostatních ropných produktů (zahrnujících např. rafinérský plyn, letecký, technický benzin, parafín a vosky, ropný koks).</w:t>
      </w:r>
    </w:p>
  </w:footnote>
  <w:footnote w:id="117">
    <w:p w14:paraId="07FA2747" w14:textId="4CC5BF40" w:rsidR="00BA5125" w:rsidRPr="00FE73A1" w:rsidRDefault="00BA5125" w:rsidP="0011055D">
      <w:pPr>
        <w:pStyle w:val="Textpoznpodarou"/>
        <w:rPr>
          <w:sz w:val="16"/>
          <w:szCs w:val="16"/>
        </w:rPr>
      </w:pPr>
      <w:r w:rsidRPr="00FE73A1">
        <w:rPr>
          <w:rStyle w:val="Znakapoznpodarou"/>
          <w:sz w:val="16"/>
          <w:szCs w:val="16"/>
        </w:rPr>
        <w:footnoteRef/>
      </w:r>
      <w:r w:rsidRPr="00FE73A1">
        <w:rPr>
          <w:sz w:val="16"/>
          <w:szCs w:val="16"/>
        </w:rPr>
        <w:t xml:space="preserve"> Drtivá většina loňskýc</w:t>
      </w:r>
      <w:r>
        <w:rPr>
          <w:sz w:val="16"/>
          <w:szCs w:val="16"/>
        </w:rPr>
        <w:t>h příjmů se vztahovala k předchozí</w:t>
      </w:r>
      <w:r w:rsidRPr="00FE73A1">
        <w:rPr>
          <w:sz w:val="16"/>
          <w:szCs w:val="16"/>
        </w:rPr>
        <w:t>mu programovému období (2014+). Váhově nejvýznamnější příjmy ze strukturálních fondů dosáhly 51,0 mld. korun (meziročně klesly potřetí v řadě, naposledy o 18,6 %). O více než desetinu se snížily prostředky na rozvoj venkova</w:t>
      </w:r>
      <w:r>
        <w:rPr>
          <w:sz w:val="16"/>
          <w:szCs w:val="16"/>
        </w:rPr>
        <w:t xml:space="preserve"> (na 7,2 mld.)</w:t>
      </w:r>
      <w:r w:rsidRPr="00FE73A1">
        <w:rPr>
          <w:sz w:val="16"/>
          <w:szCs w:val="16"/>
        </w:rPr>
        <w:t>, naopak přímé platy v zemědělství zůstávaly tr</w:t>
      </w:r>
      <w:r>
        <w:rPr>
          <w:sz w:val="16"/>
          <w:szCs w:val="16"/>
        </w:rPr>
        <w:t>adičně stabilní (20,5 mld.</w:t>
      </w:r>
      <w:r w:rsidRPr="00FE73A1">
        <w:rPr>
          <w:sz w:val="16"/>
          <w:szCs w:val="16"/>
        </w:rPr>
        <w:t xml:space="preserve">). Z fondu soudržnosti získala ČR loni 30 mld. korun, meziročně téměř o polovinu více. </w:t>
      </w:r>
    </w:p>
  </w:footnote>
  <w:footnote w:id="118">
    <w:p w14:paraId="22C17AEE" w14:textId="77777777" w:rsidR="00BA5125" w:rsidRPr="008D661B" w:rsidRDefault="00BA5125" w:rsidP="0011055D">
      <w:pPr>
        <w:pStyle w:val="Textpoznpodarou"/>
        <w:rPr>
          <w:sz w:val="16"/>
          <w:szCs w:val="16"/>
        </w:rPr>
      </w:pPr>
      <w:r w:rsidRPr="008D661B">
        <w:rPr>
          <w:rStyle w:val="Znakapoznpodarou"/>
          <w:sz w:val="16"/>
          <w:szCs w:val="16"/>
        </w:rPr>
        <w:footnoteRef/>
      </w:r>
      <w:r>
        <w:rPr>
          <w:sz w:val="16"/>
          <w:szCs w:val="16"/>
        </w:rPr>
        <w:t xml:space="preserve"> Loni</w:t>
      </w:r>
      <w:r w:rsidRPr="008D661B">
        <w:rPr>
          <w:sz w:val="16"/>
          <w:szCs w:val="16"/>
        </w:rPr>
        <w:t xml:space="preserve"> v lednu se průměrný starobní důchod při řádné valorizaci zvýšil o 4,7 %, v červnu při mimořádném zvýšení </w:t>
      </w:r>
      <w:r w:rsidRPr="008D661B">
        <w:rPr>
          <w:color w:val="0D0D0D" w:themeColor="text1" w:themeTint="F2"/>
          <w:spacing w:val="-4"/>
          <w:sz w:val="16"/>
          <w:szCs w:val="16"/>
        </w:rPr>
        <w:t>(za již upravených legislativních podmínek</w:t>
      </w:r>
      <w:r>
        <w:rPr>
          <w:color w:val="0D0D0D" w:themeColor="text1" w:themeTint="F2"/>
          <w:spacing w:val="-4"/>
          <w:sz w:val="16"/>
          <w:szCs w:val="16"/>
        </w:rPr>
        <w:t xml:space="preserve"> zmírňujících tempo valorizace</w:t>
      </w:r>
      <w:r w:rsidRPr="008D661B">
        <w:rPr>
          <w:color w:val="0D0D0D" w:themeColor="text1" w:themeTint="F2"/>
          <w:spacing w:val="-4"/>
          <w:sz w:val="16"/>
          <w:szCs w:val="16"/>
        </w:rPr>
        <w:t>) o</w:t>
      </w:r>
      <w:r w:rsidRPr="008D661B">
        <w:rPr>
          <w:color w:val="0D0D0D" w:themeColor="text1" w:themeTint="F2"/>
          <w:spacing w:val="-5"/>
          <w:sz w:val="16"/>
          <w:szCs w:val="16"/>
        </w:rPr>
        <w:t> </w:t>
      </w:r>
      <w:r w:rsidRPr="008D661B">
        <w:rPr>
          <w:color w:val="0D0D0D" w:themeColor="text1" w:themeTint="F2"/>
          <w:spacing w:val="-4"/>
          <w:sz w:val="16"/>
          <w:szCs w:val="16"/>
        </w:rPr>
        <w:t>3,9</w:t>
      </w:r>
      <w:r w:rsidRPr="008D661B">
        <w:rPr>
          <w:color w:val="0D0D0D" w:themeColor="text1" w:themeTint="F2"/>
          <w:spacing w:val="-5"/>
          <w:sz w:val="16"/>
          <w:szCs w:val="16"/>
        </w:rPr>
        <w:t> </w:t>
      </w:r>
      <w:r>
        <w:rPr>
          <w:color w:val="0D0D0D" w:themeColor="text1" w:themeTint="F2"/>
          <w:spacing w:val="-4"/>
          <w:sz w:val="16"/>
          <w:szCs w:val="16"/>
        </w:rPr>
        <w:t>%. Úroveň důchodů (zejména žen) zved</w:t>
      </w:r>
      <w:r w:rsidRPr="008D661B">
        <w:rPr>
          <w:color w:val="0D0D0D" w:themeColor="text1" w:themeTint="F2"/>
          <w:spacing w:val="-4"/>
          <w:sz w:val="16"/>
          <w:szCs w:val="16"/>
        </w:rPr>
        <w:t>l také nově zavedený pravidelný příspěvek za každé vychované dítě (500 korun).</w:t>
      </w:r>
      <w:r w:rsidRPr="00EA726B">
        <w:rPr>
          <w:sz w:val="16"/>
          <w:szCs w:val="16"/>
        </w:rPr>
        <w:t xml:space="preserve"> </w:t>
      </w:r>
      <w:r>
        <w:rPr>
          <w:sz w:val="16"/>
          <w:szCs w:val="16"/>
        </w:rPr>
        <w:t>Průměrný měsíční starobní důchod (bez souběhu s ostatními důchody) činil loni v prosinci u mužů 21 454 korun, u žen 19 063 korun. Díky zavedení „výchovného“ se významně snížil rozdíl v úrovni důchodů mezi muži a ženami.</w:t>
      </w:r>
    </w:p>
  </w:footnote>
  <w:footnote w:id="119">
    <w:p w14:paraId="7395AF69" w14:textId="77777777" w:rsidR="00BA5125" w:rsidRPr="004A6934" w:rsidRDefault="00BA5125" w:rsidP="0011055D">
      <w:pPr>
        <w:pStyle w:val="Textpoznpodarou"/>
        <w:rPr>
          <w:sz w:val="16"/>
          <w:szCs w:val="16"/>
        </w:rPr>
      </w:pPr>
      <w:r w:rsidRPr="004A6934">
        <w:rPr>
          <w:rStyle w:val="Znakapoznpodarou"/>
          <w:sz w:val="16"/>
          <w:szCs w:val="16"/>
        </w:rPr>
        <w:footnoteRef/>
      </w:r>
      <w:r w:rsidRPr="004A6934">
        <w:rPr>
          <w:sz w:val="16"/>
          <w:szCs w:val="16"/>
        </w:rPr>
        <w:t xml:space="preserve"> Růst počtu všech příjemců trvale krácených starobníc</w:t>
      </w:r>
      <w:r>
        <w:rPr>
          <w:sz w:val="16"/>
          <w:szCs w:val="16"/>
        </w:rPr>
        <w:t>h důchodů (KSD) loni zrychloval (ve 4</w:t>
      </w:r>
      <w:r w:rsidRPr="004A6934">
        <w:rPr>
          <w:sz w:val="16"/>
          <w:szCs w:val="16"/>
        </w:rPr>
        <w:t>. čtvrtlet</w:t>
      </w:r>
      <w:r>
        <w:rPr>
          <w:sz w:val="16"/>
          <w:szCs w:val="16"/>
        </w:rPr>
        <w:t>í na 7,7</w:t>
      </w:r>
      <w:r w:rsidRPr="004A6934">
        <w:rPr>
          <w:sz w:val="16"/>
          <w:szCs w:val="16"/>
        </w:rPr>
        <w:t xml:space="preserve"> % meziročně</w:t>
      </w:r>
      <w:r>
        <w:rPr>
          <w:sz w:val="16"/>
          <w:szCs w:val="16"/>
        </w:rPr>
        <w:t xml:space="preserve">, nejvíce od roku 2012) a jejich podíl na všech příjemcích starobních důchodů překročil hranici 30 %. Do </w:t>
      </w:r>
      <w:r w:rsidRPr="004A6934">
        <w:rPr>
          <w:sz w:val="16"/>
          <w:szCs w:val="16"/>
        </w:rPr>
        <w:t xml:space="preserve">počtu </w:t>
      </w:r>
      <w:r>
        <w:rPr>
          <w:sz w:val="16"/>
          <w:szCs w:val="16"/>
        </w:rPr>
        <w:t xml:space="preserve">KSD </w:t>
      </w:r>
      <w:r w:rsidRPr="004A6934">
        <w:rPr>
          <w:sz w:val="16"/>
          <w:szCs w:val="16"/>
        </w:rPr>
        <w:t>nejsou zahrnuty osoby, které podaly žádost o předčasný důchod, ale zah</w:t>
      </w:r>
      <w:r>
        <w:rPr>
          <w:sz w:val="16"/>
          <w:szCs w:val="16"/>
        </w:rPr>
        <w:t>ájení jeho výplaty si odložily.</w:t>
      </w:r>
    </w:p>
  </w:footnote>
  <w:footnote w:id="120">
    <w:p w14:paraId="50773CC4" w14:textId="77777777" w:rsidR="00BA5125" w:rsidRPr="00777350" w:rsidRDefault="00BA5125" w:rsidP="0011055D">
      <w:pPr>
        <w:pStyle w:val="Textpoznpodarou"/>
        <w:jc w:val="both"/>
        <w:rPr>
          <w:rFonts w:cs="Arial"/>
          <w:color w:val="000000" w:themeColor="text1"/>
          <w:spacing w:val="-4"/>
          <w:sz w:val="16"/>
          <w:szCs w:val="16"/>
        </w:rPr>
      </w:pPr>
      <w:r w:rsidRPr="00777350">
        <w:rPr>
          <w:rStyle w:val="Znakapoznpodarou"/>
          <w:spacing w:val="-4"/>
          <w:sz w:val="16"/>
          <w:szCs w:val="16"/>
        </w:rPr>
        <w:footnoteRef/>
      </w:r>
      <w:r w:rsidRPr="00777350">
        <w:rPr>
          <w:spacing w:val="-4"/>
          <w:sz w:val="16"/>
          <w:szCs w:val="16"/>
        </w:rPr>
        <w:t xml:space="preserve"> To vyjadřuje r</w:t>
      </w:r>
      <w:r w:rsidRPr="00777350">
        <w:rPr>
          <w:rFonts w:cs="Arial"/>
          <w:color w:val="000000" w:themeColor="text1"/>
          <w:spacing w:val="-4"/>
          <w:sz w:val="16"/>
          <w:szCs w:val="16"/>
        </w:rPr>
        <w:t>ozdíl mezi příjmy z pojistného na důchodové pojištění</w:t>
      </w:r>
      <w:r w:rsidRPr="00777350">
        <w:rPr>
          <w:rFonts w:ascii="Segoe UI" w:eastAsia="Times New Roman" w:hAnsi="Segoe UI" w:cs="Segoe UI"/>
          <w:b/>
          <w:bCs/>
          <w:color w:val="000000"/>
          <w:spacing w:val="-4"/>
          <w:sz w:val="16"/>
          <w:szCs w:val="16"/>
        </w:rPr>
        <w:t xml:space="preserve"> </w:t>
      </w:r>
      <w:r w:rsidRPr="00777350">
        <w:rPr>
          <w:rFonts w:cs="Arial"/>
          <w:color w:val="000000" w:themeColor="text1"/>
          <w:spacing w:val="-4"/>
          <w:sz w:val="16"/>
          <w:szCs w:val="16"/>
        </w:rPr>
        <w:t xml:space="preserve">a výdaji na dávky důchodového </w:t>
      </w:r>
      <w:r w:rsidRPr="00777350">
        <w:rPr>
          <w:rFonts w:cs="Arial"/>
          <w:color w:val="0D0D0D" w:themeColor="text1" w:themeTint="F2"/>
          <w:spacing w:val="-4"/>
          <w:sz w:val="16"/>
          <w:szCs w:val="16"/>
        </w:rPr>
        <w:t>pojištění</w:t>
      </w:r>
      <w:r w:rsidRPr="00777350">
        <w:rPr>
          <w:rFonts w:cs="Arial"/>
          <w:color w:val="000000" w:themeColor="text1"/>
          <w:spacing w:val="-4"/>
          <w:sz w:val="16"/>
          <w:szCs w:val="16"/>
        </w:rPr>
        <w:t xml:space="preserve"> (včetně nákladů na jeho správu).</w:t>
      </w:r>
    </w:p>
  </w:footnote>
  <w:footnote w:id="121">
    <w:p w14:paraId="0962FB28" w14:textId="77777777" w:rsidR="00BA5125" w:rsidRPr="00777350" w:rsidRDefault="00BA5125" w:rsidP="0011055D">
      <w:pPr>
        <w:pStyle w:val="Textpoznpodarou"/>
        <w:rPr>
          <w:spacing w:val="-4"/>
          <w:sz w:val="16"/>
          <w:szCs w:val="16"/>
        </w:rPr>
      </w:pPr>
      <w:r w:rsidRPr="00777350">
        <w:rPr>
          <w:rStyle w:val="Znakapoznpodarou"/>
          <w:spacing w:val="-4"/>
          <w:sz w:val="16"/>
          <w:szCs w:val="16"/>
        </w:rPr>
        <w:footnoteRef/>
      </w:r>
      <w:r w:rsidRPr="00777350">
        <w:rPr>
          <w:spacing w:val="-4"/>
          <w:sz w:val="16"/>
          <w:szCs w:val="16"/>
        </w:rPr>
        <w:t xml:space="preserve"> Od července 2023 jsou při výpočtu výše dávky zohledňovány započitatelné náklady na bydlení (stanovené vládním nařízením), jejichž výše je odvislá od počtu osob a typu bydlení.</w:t>
      </w:r>
    </w:p>
  </w:footnote>
  <w:footnote w:id="122">
    <w:p w14:paraId="3549D9BD" w14:textId="311E6610" w:rsidR="00BA5125" w:rsidRPr="006B28DE" w:rsidRDefault="00BA5125" w:rsidP="0011055D">
      <w:pPr>
        <w:pStyle w:val="Textpoznpodarou"/>
        <w:rPr>
          <w:sz w:val="16"/>
          <w:szCs w:val="16"/>
        </w:rPr>
      </w:pPr>
      <w:r w:rsidRPr="00777350">
        <w:rPr>
          <w:rStyle w:val="Znakapoznpodarou"/>
          <w:spacing w:val="-4"/>
          <w:sz w:val="16"/>
          <w:szCs w:val="16"/>
        </w:rPr>
        <w:footnoteRef/>
      </w:r>
      <w:r w:rsidRPr="00777350">
        <w:rPr>
          <w:spacing w:val="-4"/>
          <w:sz w:val="16"/>
          <w:szCs w:val="16"/>
        </w:rPr>
        <w:t xml:space="preserve"> Výdaje na tyto dávky i loni </w:t>
      </w:r>
      <w:r>
        <w:rPr>
          <w:spacing w:val="-4"/>
          <w:sz w:val="16"/>
          <w:szCs w:val="16"/>
        </w:rPr>
        <w:t xml:space="preserve">převyšovaly </w:t>
      </w:r>
      <w:r w:rsidRPr="00777350">
        <w:rPr>
          <w:spacing w:val="-4"/>
          <w:sz w:val="16"/>
          <w:szCs w:val="16"/>
        </w:rPr>
        <w:t>příjmy z pojistného (</w:t>
      </w:r>
      <w:r>
        <w:rPr>
          <w:spacing w:val="-4"/>
          <w:sz w:val="16"/>
          <w:szCs w:val="16"/>
        </w:rPr>
        <w:t>navzdory jejich svižnému růstu</w:t>
      </w:r>
      <w:r w:rsidRPr="00777350">
        <w:rPr>
          <w:spacing w:val="-4"/>
          <w:sz w:val="16"/>
          <w:szCs w:val="16"/>
        </w:rPr>
        <w:t xml:space="preserve">), tento schodek se nicméně snížil z 8,0 </w:t>
      </w:r>
      <w:r>
        <w:rPr>
          <w:spacing w:val="-4"/>
          <w:sz w:val="16"/>
          <w:szCs w:val="16"/>
        </w:rPr>
        <w:t xml:space="preserve">mld. korun </w:t>
      </w:r>
      <w:r w:rsidRPr="00777350">
        <w:rPr>
          <w:spacing w:val="-4"/>
          <w:sz w:val="16"/>
          <w:szCs w:val="16"/>
        </w:rPr>
        <w:t>v roce</w:t>
      </w:r>
      <w:r>
        <w:rPr>
          <w:spacing w:val="-4"/>
          <w:sz w:val="16"/>
          <w:szCs w:val="16"/>
        </w:rPr>
        <w:t xml:space="preserve"> 2022 na loňských 2,7 mld</w:t>
      </w:r>
      <w:r w:rsidRPr="00777350">
        <w:rPr>
          <w:spacing w:val="-4"/>
          <w:sz w:val="16"/>
          <w:szCs w:val="16"/>
        </w:rPr>
        <w:t>.</w:t>
      </w:r>
    </w:p>
  </w:footnote>
  <w:footnote w:id="123">
    <w:p w14:paraId="6D3307F1" w14:textId="77777777" w:rsidR="00BA5125" w:rsidRPr="00777350" w:rsidRDefault="00BA5125" w:rsidP="0011055D">
      <w:pPr>
        <w:pStyle w:val="Textpoznpodarou"/>
        <w:rPr>
          <w:spacing w:val="-6"/>
          <w:sz w:val="16"/>
          <w:szCs w:val="16"/>
        </w:rPr>
      </w:pPr>
      <w:r w:rsidRPr="00777350">
        <w:rPr>
          <w:rStyle w:val="Znakapoznpodarou"/>
          <w:spacing w:val="-6"/>
          <w:sz w:val="16"/>
          <w:szCs w:val="16"/>
        </w:rPr>
        <w:footnoteRef/>
      </w:r>
      <w:r w:rsidRPr="00777350">
        <w:rPr>
          <w:spacing w:val="-6"/>
          <w:sz w:val="16"/>
          <w:szCs w:val="16"/>
        </w:rPr>
        <w:t xml:space="preserve"> Vysoký růst souvisí se zvýšením limitu příspěvků na zvláštní pomůcku a na mobilitu. Počet příjemců těchto dávek byl meziročně vyšší jen o 2 %.</w:t>
      </w:r>
    </w:p>
  </w:footnote>
  <w:footnote w:id="124">
    <w:p w14:paraId="59C4920C" w14:textId="77777777" w:rsidR="00BA5125" w:rsidRPr="00777350" w:rsidRDefault="00BA5125" w:rsidP="0011055D">
      <w:pPr>
        <w:pStyle w:val="Textpoznpodarou"/>
        <w:rPr>
          <w:spacing w:val="-4"/>
          <w:sz w:val="16"/>
          <w:szCs w:val="16"/>
        </w:rPr>
      </w:pPr>
      <w:r w:rsidRPr="00777350">
        <w:rPr>
          <w:rStyle w:val="Znakapoznpodarou"/>
          <w:spacing w:val="-4"/>
          <w:sz w:val="16"/>
          <w:szCs w:val="16"/>
        </w:rPr>
        <w:footnoteRef/>
      </w:r>
      <w:r w:rsidRPr="00777350">
        <w:rPr>
          <w:spacing w:val="-4"/>
          <w:sz w:val="16"/>
          <w:szCs w:val="16"/>
        </w:rPr>
        <w:t xml:space="preserve"> Nárok na podporu v nezaměstnanosti mělo loni v prosinci 86 tis. registrovaných uchazečů o práci (30,9 % z jejich celkového počtu).</w:t>
      </w:r>
    </w:p>
  </w:footnote>
  <w:footnote w:id="125">
    <w:p w14:paraId="6523CCF8" w14:textId="77777777" w:rsidR="00BA5125" w:rsidRPr="00777350" w:rsidRDefault="00BA5125" w:rsidP="0011055D">
      <w:pPr>
        <w:pStyle w:val="Textpoznpodarou"/>
        <w:rPr>
          <w:spacing w:val="-4"/>
          <w:sz w:val="16"/>
          <w:szCs w:val="16"/>
        </w:rPr>
      </w:pPr>
      <w:r w:rsidRPr="00777350">
        <w:rPr>
          <w:rStyle w:val="Znakapoznpodarou"/>
          <w:spacing w:val="-4"/>
          <w:sz w:val="16"/>
          <w:szCs w:val="16"/>
        </w:rPr>
        <w:footnoteRef/>
      </w:r>
      <w:r w:rsidRPr="00777350">
        <w:rPr>
          <w:spacing w:val="-4"/>
          <w:sz w:val="16"/>
          <w:szCs w:val="16"/>
        </w:rPr>
        <w:t xml:space="preserve"> Tím o desetinu překonaly donedávna rekordní transfery z roku 2021, jež obsahovaly zejména podpůrné programy pro podnikatel</w:t>
      </w:r>
      <w:r>
        <w:rPr>
          <w:spacing w:val="-4"/>
          <w:sz w:val="16"/>
          <w:szCs w:val="16"/>
        </w:rPr>
        <w:t>e ve vrcholném období pandemie covidu−19.</w:t>
      </w:r>
    </w:p>
  </w:footnote>
  <w:footnote w:id="126">
    <w:p w14:paraId="297B348A" w14:textId="77777777" w:rsidR="00BA5125" w:rsidRPr="00777350" w:rsidRDefault="00BA5125" w:rsidP="0011055D">
      <w:pPr>
        <w:pStyle w:val="Textpoznpodarou"/>
        <w:rPr>
          <w:spacing w:val="-4"/>
          <w:sz w:val="16"/>
          <w:szCs w:val="16"/>
        </w:rPr>
      </w:pPr>
      <w:r w:rsidRPr="00777350">
        <w:rPr>
          <w:rStyle w:val="Znakapoznpodarou"/>
          <w:spacing w:val="-4"/>
          <w:sz w:val="16"/>
          <w:szCs w:val="16"/>
        </w:rPr>
        <w:footnoteRef/>
      </w:r>
      <w:r w:rsidRPr="00777350">
        <w:rPr>
          <w:spacing w:val="-4"/>
          <w:sz w:val="16"/>
          <w:szCs w:val="16"/>
        </w:rPr>
        <w:t xml:space="preserve"> Od ledna 2023 vzrostl objem prostředků na platy pedagogů o 4 %, u nepedagogických </w:t>
      </w:r>
      <w:r>
        <w:rPr>
          <w:spacing w:val="-4"/>
          <w:sz w:val="16"/>
          <w:szCs w:val="16"/>
        </w:rPr>
        <w:t xml:space="preserve">pracovníků došlo k navýšení již od </w:t>
      </w:r>
      <w:r w:rsidRPr="00777350">
        <w:rPr>
          <w:spacing w:val="-4"/>
          <w:sz w:val="16"/>
          <w:szCs w:val="16"/>
        </w:rPr>
        <w:t xml:space="preserve">září </w:t>
      </w:r>
      <w:r>
        <w:rPr>
          <w:spacing w:val="-4"/>
          <w:sz w:val="16"/>
          <w:szCs w:val="16"/>
        </w:rPr>
        <w:t xml:space="preserve">2022 </w:t>
      </w:r>
      <w:r w:rsidRPr="00777350">
        <w:rPr>
          <w:spacing w:val="-4"/>
          <w:sz w:val="16"/>
          <w:szCs w:val="16"/>
        </w:rPr>
        <w:t xml:space="preserve">(+8 %). </w:t>
      </w:r>
    </w:p>
  </w:footnote>
  <w:footnote w:id="127">
    <w:p w14:paraId="769B61EE" w14:textId="77777777" w:rsidR="00BA5125" w:rsidRPr="00777350" w:rsidRDefault="00BA5125" w:rsidP="0011055D">
      <w:pPr>
        <w:pStyle w:val="Textpoznpodarou"/>
        <w:rPr>
          <w:spacing w:val="-4"/>
          <w:sz w:val="16"/>
          <w:szCs w:val="16"/>
        </w:rPr>
      </w:pPr>
      <w:r w:rsidRPr="00777350">
        <w:rPr>
          <w:rStyle w:val="Znakapoznpodarou"/>
          <w:spacing w:val="-4"/>
          <w:sz w:val="16"/>
          <w:szCs w:val="16"/>
        </w:rPr>
        <w:footnoteRef/>
      </w:r>
      <w:r w:rsidRPr="00777350">
        <w:rPr>
          <w:spacing w:val="-4"/>
          <w:sz w:val="16"/>
          <w:szCs w:val="16"/>
        </w:rPr>
        <w:t xml:space="preserve"> Čisté výdaje odpovídají saldu rozpočtové kapitoly Státní dluh (č. 396). </w:t>
      </w:r>
      <w:r w:rsidRPr="00777350">
        <w:rPr>
          <w:color w:val="0D0D0D" w:themeColor="text1" w:themeTint="F2"/>
          <w:spacing w:val="-4"/>
          <w:sz w:val="16"/>
          <w:szCs w:val="16"/>
        </w:rPr>
        <w:t xml:space="preserve">Zásadní vliv na růst výdajů zde měly výplaty protiinflačních státních dluhopisů občanům, dílčí roli pak rostoucí úrokové sazby u dalších instrumentů dluhového financování a celkový trend růstu zadlužení z předchozích let. </w:t>
      </w:r>
    </w:p>
  </w:footnote>
  <w:footnote w:id="128">
    <w:p w14:paraId="4208D275" w14:textId="77777777" w:rsidR="00BA5125" w:rsidRPr="00996C93" w:rsidRDefault="00BA5125" w:rsidP="0011055D">
      <w:pPr>
        <w:pStyle w:val="Textpoznpodarou"/>
        <w:rPr>
          <w:sz w:val="16"/>
          <w:szCs w:val="16"/>
        </w:rPr>
      </w:pPr>
      <w:r w:rsidRPr="00777350">
        <w:rPr>
          <w:rStyle w:val="Znakapoznpodarou"/>
          <w:spacing w:val="-4"/>
          <w:sz w:val="16"/>
          <w:szCs w:val="16"/>
        </w:rPr>
        <w:footnoteRef/>
      </w:r>
      <w:r w:rsidRPr="00777350">
        <w:rPr>
          <w:spacing w:val="-4"/>
          <w:sz w:val="16"/>
          <w:szCs w:val="16"/>
        </w:rPr>
        <w:t xml:space="preserve"> Šlo o nejvyšší růst za poslední pětiletí. I tak loňské zvýšení </w:t>
      </w:r>
      <w:r>
        <w:rPr>
          <w:spacing w:val="-4"/>
          <w:sz w:val="16"/>
          <w:szCs w:val="16"/>
        </w:rPr>
        <w:t xml:space="preserve">mírně zaostalo </w:t>
      </w:r>
      <w:r w:rsidRPr="00777350">
        <w:rPr>
          <w:spacing w:val="-4"/>
          <w:sz w:val="16"/>
          <w:szCs w:val="16"/>
        </w:rPr>
        <w:t>za objemem vyplacených mezd a platů v celé ekonomice</w:t>
      </w:r>
      <w:r>
        <w:rPr>
          <w:spacing w:val="-4"/>
          <w:sz w:val="16"/>
          <w:szCs w:val="16"/>
        </w:rPr>
        <w:t>.</w:t>
      </w:r>
      <w:r w:rsidRPr="00777350">
        <w:rPr>
          <w:spacing w:val="-4"/>
          <w:sz w:val="16"/>
          <w:szCs w:val="16"/>
        </w:rPr>
        <w:t xml:space="preserve"> </w:t>
      </w:r>
    </w:p>
  </w:footnote>
  <w:footnote w:id="129">
    <w:p w14:paraId="677EBB07" w14:textId="77777777" w:rsidR="00BA5125" w:rsidRPr="00B770DF" w:rsidRDefault="00BA5125" w:rsidP="0011055D">
      <w:pPr>
        <w:pStyle w:val="Textpoznpodarou"/>
        <w:rPr>
          <w:sz w:val="16"/>
          <w:szCs w:val="16"/>
        </w:rPr>
      </w:pPr>
      <w:r w:rsidRPr="00B770DF">
        <w:rPr>
          <w:rStyle w:val="Znakapoznpodarou"/>
          <w:sz w:val="16"/>
          <w:szCs w:val="16"/>
        </w:rPr>
        <w:footnoteRef/>
      </w:r>
      <w:r w:rsidRPr="00B770DF">
        <w:rPr>
          <w:sz w:val="16"/>
          <w:szCs w:val="16"/>
        </w:rPr>
        <w:t xml:space="preserve"> Schválený rozpočet Státního fondu dopravní infrastruktury počítal v roce 2023 díky </w:t>
      </w:r>
      <w:r w:rsidRPr="00B770DF">
        <w:rPr>
          <w:color w:val="0D0D0D" w:themeColor="text1" w:themeTint="F2"/>
          <w:spacing w:val="-2"/>
          <w:sz w:val="16"/>
          <w:szCs w:val="16"/>
        </w:rPr>
        <w:t>posílení principu vícezdrojového financování</w:t>
      </w:r>
      <w:r w:rsidRPr="00B770DF">
        <w:rPr>
          <w:sz w:val="16"/>
          <w:szCs w:val="16"/>
        </w:rPr>
        <w:t xml:space="preserve"> (včetně nových nástrojů dluhového financování) s rekordními příjmy ve výši 150,9 mld. korun.</w:t>
      </w:r>
    </w:p>
  </w:footnote>
  <w:footnote w:id="130">
    <w:p w14:paraId="03D9E44C" w14:textId="77777777" w:rsidR="00BA5125" w:rsidRPr="00E74176" w:rsidRDefault="00BA5125" w:rsidP="0011055D">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Údaje o hospodaření sektoru vládních institucí za 4. čtvrtletí i za celý rok 2023 zveřejní ČSÚ 2. dubna 2024, </w:t>
      </w:r>
      <w:proofErr w:type="spellStart"/>
      <w:r w:rsidRPr="00E74176">
        <w:rPr>
          <w:spacing w:val="-4"/>
          <w:sz w:val="16"/>
          <w:szCs w:val="16"/>
        </w:rPr>
        <w:t>Eurostat</w:t>
      </w:r>
      <w:proofErr w:type="spellEnd"/>
      <w:r w:rsidRPr="00E74176">
        <w:rPr>
          <w:spacing w:val="-4"/>
          <w:sz w:val="16"/>
          <w:szCs w:val="16"/>
        </w:rPr>
        <w:t xml:space="preserve"> pak 22. dubna. Detailnější zhodnocení tuzemského vývoje za 3. čtvrtletí 2023 je obsaženo v publikaci </w:t>
      </w:r>
      <w:hyperlink r:id="rId3" w:history="1">
        <w:r w:rsidRPr="00E82AB6">
          <w:rPr>
            <w:rStyle w:val="Hypertextovodkaz"/>
            <w:spacing w:val="-4"/>
            <w:sz w:val="16"/>
            <w:szCs w:val="16"/>
          </w:rPr>
          <w:t>Analýza sektorových účtů:</w:t>
        </w:r>
      </w:hyperlink>
    </w:p>
  </w:footnote>
  <w:footnote w:id="131">
    <w:p w14:paraId="5917E889" w14:textId="77777777" w:rsidR="00BA5125" w:rsidRPr="00E74176" w:rsidRDefault="00BA5125" w:rsidP="0011055D">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Není</w:t>
      </w:r>
      <w:r>
        <w:rPr>
          <w:spacing w:val="-4"/>
          <w:sz w:val="16"/>
          <w:szCs w:val="16"/>
        </w:rPr>
        <w:t>−</w:t>
      </w:r>
      <w:r w:rsidRPr="00E74176">
        <w:rPr>
          <w:spacing w:val="-4"/>
          <w:sz w:val="16"/>
          <w:szCs w:val="16"/>
        </w:rPr>
        <w:t>li uvedeno jinak, jsou údaje o hospodaření sektoru VI v ČR vyjádřeny bez sezónního očištění.</w:t>
      </w:r>
    </w:p>
  </w:footnote>
  <w:footnote w:id="132">
    <w:p w14:paraId="0540C111" w14:textId="77777777" w:rsidR="00BA5125" w:rsidRPr="00E74176" w:rsidRDefault="00BA5125" w:rsidP="0011055D">
      <w:pPr>
        <w:pStyle w:val="Textpoznpodarou"/>
        <w:rPr>
          <w:rFonts w:cs="Arial"/>
          <w:spacing w:val="-7"/>
          <w:sz w:val="16"/>
          <w:szCs w:val="16"/>
        </w:rPr>
      </w:pPr>
      <w:r w:rsidRPr="00E74176">
        <w:rPr>
          <w:rStyle w:val="Znakapoznpodarou"/>
          <w:rFonts w:cs="Arial"/>
          <w:spacing w:val="-7"/>
          <w:sz w:val="16"/>
          <w:szCs w:val="16"/>
        </w:rPr>
        <w:footnoteRef/>
      </w:r>
      <w:r w:rsidRPr="00E74176">
        <w:rPr>
          <w:rFonts w:cs="Arial"/>
          <w:spacing w:val="-7"/>
          <w:sz w:val="16"/>
          <w:szCs w:val="16"/>
        </w:rPr>
        <w:t xml:space="preserve"> Svižně rostoucí nominální HDP přispěl ve 3. čtvrtletí k meziročnímu poklesu zadlužení </w:t>
      </w:r>
      <w:r>
        <w:rPr>
          <w:rFonts w:cs="Arial"/>
          <w:spacing w:val="-7"/>
          <w:sz w:val="16"/>
          <w:szCs w:val="16"/>
        </w:rPr>
        <w:t>−</w:t>
      </w:r>
      <w:r w:rsidRPr="00E74176">
        <w:rPr>
          <w:rFonts w:cs="Arial"/>
          <w:spacing w:val="-7"/>
          <w:sz w:val="16"/>
          <w:szCs w:val="16"/>
        </w:rPr>
        <w:t xml:space="preserve">3,9 p. b., naopak </w:t>
      </w:r>
      <w:r w:rsidRPr="00E74176">
        <w:rPr>
          <w:rFonts w:cs="Arial"/>
          <w:color w:val="333333"/>
          <w:spacing w:val="-7"/>
          <w:sz w:val="16"/>
          <w:szCs w:val="16"/>
          <w:shd w:val="clear" w:color="auto" w:fill="FFFFFF"/>
        </w:rPr>
        <w:t xml:space="preserve">vliv </w:t>
      </w:r>
      <w:r w:rsidRPr="00E74176">
        <w:rPr>
          <w:rFonts w:cs="Arial"/>
          <w:spacing w:val="-7"/>
          <w:sz w:val="16"/>
          <w:szCs w:val="16"/>
        </w:rPr>
        <w:t>nominální změny dluhu činil + 3,2 p.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BA5125" w14:paraId="3D57519A" w14:textId="77777777" w:rsidTr="7059F910">
      <w:trPr>
        <w:trHeight w:val="300"/>
      </w:trPr>
      <w:tc>
        <w:tcPr>
          <w:tcW w:w="3210" w:type="dxa"/>
        </w:tcPr>
        <w:p w14:paraId="7811EB53" w14:textId="4DDFCD4B" w:rsidR="00BA5125" w:rsidRDefault="00BA5125" w:rsidP="7059F910">
          <w:pPr>
            <w:pStyle w:val="Zhlav"/>
            <w:ind w:left="-115"/>
          </w:pPr>
        </w:p>
      </w:tc>
      <w:tc>
        <w:tcPr>
          <w:tcW w:w="3210" w:type="dxa"/>
        </w:tcPr>
        <w:p w14:paraId="5B18E2FB" w14:textId="699852E7" w:rsidR="00BA5125" w:rsidRDefault="00BA5125" w:rsidP="7059F910">
          <w:pPr>
            <w:pStyle w:val="Zhlav"/>
            <w:jc w:val="center"/>
          </w:pPr>
        </w:p>
      </w:tc>
      <w:tc>
        <w:tcPr>
          <w:tcW w:w="3210" w:type="dxa"/>
        </w:tcPr>
        <w:p w14:paraId="1759E02E" w14:textId="10B800EB" w:rsidR="00BA5125" w:rsidRDefault="00BA5125" w:rsidP="7059F910">
          <w:pPr>
            <w:pStyle w:val="Zhlav"/>
            <w:ind w:right="-115"/>
            <w:jc w:val="right"/>
          </w:pPr>
        </w:p>
      </w:tc>
    </w:tr>
  </w:tbl>
  <w:p w14:paraId="757EF678" w14:textId="58C73B80" w:rsidR="00BA5125" w:rsidRDefault="00BA5125" w:rsidP="7059F9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BA5125" w14:paraId="0DBEFC73" w14:textId="77777777" w:rsidTr="7059F910">
      <w:trPr>
        <w:trHeight w:val="300"/>
      </w:trPr>
      <w:tc>
        <w:tcPr>
          <w:tcW w:w="3210" w:type="dxa"/>
        </w:tcPr>
        <w:p w14:paraId="2A6581A2" w14:textId="561A369A" w:rsidR="00BA5125" w:rsidRDefault="00BA5125" w:rsidP="7059F910">
          <w:pPr>
            <w:pStyle w:val="Zhlav"/>
            <w:ind w:left="-115"/>
          </w:pPr>
        </w:p>
      </w:tc>
      <w:tc>
        <w:tcPr>
          <w:tcW w:w="3210" w:type="dxa"/>
        </w:tcPr>
        <w:p w14:paraId="3D3E0A0E" w14:textId="2B32CF54" w:rsidR="00BA5125" w:rsidRDefault="00BA5125" w:rsidP="7059F910">
          <w:pPr>
            <w:pStyle w:val="Zhlav"/>
            <w:jc w:val="center"/>
          </w:pPr>
        </w:p>
      </w:tc>
      <w:tc>
        <w:tcPr>
          <w:tcW w:w="3210" w:type="dxa"/>
        </w:tcPr>
        <w:p w14:paraId="64BF241E" w14:textId="61DF3F23" w:rsidR="00BA5125" w:rsidRDefault="00BA5125" w:rsidP="7059F910">
          <w:pPr>
            <w:pStyle w:val="Zhlav"/>
            <w:ind w:right="-115"/>
            <w:jc w:val="right"/>
          </w:pPr>
        </w:p>
      </w:tc>
    </w:tr>
  </w:tbl>
  <w:p w14:paraId="7626C104" w14:textId="012EE53B" w:rsidR="00BA5125" w:rsidRDefault="00BA5125" w:rsidP="7059F9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BA5125" w:rsidRDefault="00BA5125" w:rsidP="00937AE2">
    <w:pPr>
      <w:pStyle w:val="Zhlav"/>
    </w:pPr>
    <w:r>
      <w:t>Vývoj ekonomiky České republiky</w:t>
    </w:r>
  </w:p>
  <w:p w14:paraId="3E881AB3" w14:textId="77777777" w:rsidR="00BA5125" w:rsidRPr="006F5416" w:rsidRDefault="00BA5125" w:rsidP="00937AE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BA5125" w:rsidRDefault="00BA5125" w:rsidP="00937AE2">
    <w:pPr>
      <w:pStyle w:val="Zhlav"/>
    </w:pPr>
    <w:r>
      <w:t>Vývoj ekonomiky České republiky</w:t>
    </w:r>
  </w:p>
  <w:p w14:paraId="57266714" w14:textId="77777777" w:rsidR="00BA5125" w:rsidRPr="006F5416" w:rsidRDefault="00BA5125"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AFB96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1B2A5724"/>
    <w:multiLevelType w:val="hybridMultilevel"/>
    <w:tmpl w:val="0EA8A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5C59E0"/>
    <w:multiLevelType w:val="multilevel"/>
    <w:tmpl w:val="74A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AB4B86"/>
    <w:multiLevelType w:val="multilevel"/>
    <w:tmpl w:val="52D0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5280B15"/>
    <w:multiLevelType w:val="hybridMultilevel"/>
    <w:tmpl w:val="5156A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6C06F7"/>
    <w:multiLevelType w:val="multilevel"/>
    <w:tmpl w:val="AF4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841503"/>
    <w:multiLevelType w:val="hybridMultilevel"/>
    <w:tmpl w:val="322E8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23EC3"/>
    <w:multiLevelType w:val="hybridMultilevel"/>
    <w:tmpl w:val="B65A48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5236EE"/>
    <w:multiLevelType w:val="hybridMultilevel"/>
    <w:tmpl w:val="CC2A1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3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4077D1"/>
    <w:multiLevelType w:val="multilevel"/>
    <w:tmpl w:val="B70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9A0FF0"/>
    <w:multiLevelType w:val="hybridMultilevel"/>
    <w:tmpl w:val="3D88D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7F0B9"/>
    <w:multiLevelType w:val="hybridMultilevel"/>
    <w:tmpl w:val="9B0C99B6"/>
    <w:lvl w:ilvl="0" w:tplc="5FC8F242">
      <w:start w:val="1"/>
      <w:numFmt w:val="bullet"/>
      <w:lvlText w:val=""/>
      <w:lvlJc w:val="left"/>
      <w:pPr>
        <w:ind w:left="720" w:hanging="360"/>
      </w:pPr>
      <w:rPr>
        <w:rFonts w:ascii="Symbol" w:hAnsi="Symbol" w:hint="default"/>
      </w:rPr>
    </w:lvl>
    <w:lvl w:ilvl="1" w:tplc="5E7298D6">
      <w:start w:val="1"/>
      <w:numFmt w:val="bullet"/>
      <w:lvlText w:val="o"/>
      <w:lvlJc w:val="left"/>
      <w:pPr>
        <w:ind w:left="1440" w:hanging="360"/>
      </w:pPr>
      <w:rPr>
        <w:rFonts w:ascii="Courier New" w:hAnsi="Courier New" w:hint="default"/>
      </w:rPr>
    </w:lvl>
    <w:lvl w:ilvl="2" w:tplc="F418EABE">
      <w:start w:val="1"/>
      <w:numFmt w:val="bullet"/>
      <w:lvlText w:val=""/>
      <w:lvlJc w:val="left"/>
      <w:pPr>
        <w:ind w:left="2160" w:hanging="360"/>
      </w:pPr>
      <w:rPr>
        <w:rFonts w:ascii="Wingdings" w:hAnsi="Wingdings" w:hint="default"/>
      </w:rPr>
    </w:lvl>
    <w:lvl w:ilvl="3" w:tplc="0F78DB5E">
      <w:start w:val="1"/>
      <w:numFmt w:val="bullet"/>
      <w:lvlText w:val=""/>
      <w:lvlJc w:val="left"/>
      <w:pPr>
        <w:ind w:left="2880" w:hanging="360"/>
      </w:pPr>
      <w:rPr>
        <w:rFonts w:ascii="Symbol" w:hAnsi="Symbol" w:hint="default"/>
      </w:rPr>
    </w:lvl>
    <w:lvl w:ilvl="4" w:tplc="29062F28">
      <w:start w:val="1"/>
      <w:numFmt w:val="bullet"/>
      <w:lvlText w:val="o"/>
      <w:lvlJc w:val="left"/>
      <w:pPr>
        <w:ind w:left="3600" w:hanging="360"/>
      </w:pPr>
      <w:rPr>
        <w:rFonts w:ascii="Courier New" w:hAnsi="Courier New" w:hint="default"/>
      </w:rPr>
    </w:lvl>
    <w:lvl w:ilvl="5" w:tplc="A1920AAC">
      <w:start w:val="1"/>
      <w:numFmt w:val="bullet"/>
      <w:lvlText w:val=""/>
      <w:lvlJc w:val="left"/>
      <w:pPr>
        <w:ind w:left="4320" w:hanging="360"/>
      </w:pPr>
      <w:rPr>
        <w:rFonts w:ascii="Wingdings" w:hAnsi="Wingdings" w:hint="default"/>
      </w:rPr>
    </w:lvl>
    <w:lvl w:ilvl="6" w:tplc="E4A63608">
      <w:start w:val="1"/>
      <w:numFmt w:val="bullet"/>
      <w:lvlText w:val=""/>
      <w:lvlJc w:val="left"/>
      <w:pPr>
        <w:ind w:left="5040" w:hanging="360"/>
      </w:pPr>
      <w:rPr>
        <w:rFonts w:ascii="Symbol" w:hAnsi="Symbol" w:hint="default"/>
      </w:rPr>
    </w:lvl>
    <w:lvl w:ilvl="7" w:tplc="320420C0">
      <w:start w:val="1"/>
      <w:numFmt w:val="bullet"/>
      <w:lvlText w:val="o"/>
      <w:lvlJc w:val="left"/>
      <w:pPr>
        <w:ind w:left="5760" w:hanging="360"/>
      </w:pPr>
      <w:rPr>
        <w:rFonts w:ascii="Courier New" w:hAnsi="Courier New" w:hint="default"/>
      </w:rPr>
    </w:lvl>
    <w:lvl w:ilvl="8" w:tplc="F24CCE7A">
      <w:start w:val="1"/>
      <w:numFmt w:val="bullet"/>
      <w:lvlText w:val=""/>
      <w:lvlJc w:val="left"/>
      <w:pPr>
        <w:ind w:left="6480" w:hanging="360"/>
      </w:pPr>
      <w:rPr>
        <w:rFonts w:ascii="Wingdings" w:hAnsi="Wingdings" w:hint="default"/>
      </w:rPr>
    </w:lvl>
  </w:abstractNum>
  <w:abstractNum w:abstractNumId="43" w15:restartNumberingAfterBreak="0">
    <w:nsid w:val="71CC6022"/>
    <w:multiLevelType w:val="multilevel"/>
    <w:tmpl w:val="70CA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819D0"/>
    <w:multiLevelType w:val="multilevel"/>
    <w:tmpl w:val="DBA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37"/>
  </w:num>
  <w:num w:numId="14">
    <w:abstractNumId w:val="14"/>
  </w:num>
  <w:num w:numId="15">
    <w:abstractNumId w:val="23"/>
  </w:num>
  <w:num w:numId="16">
    <w:abstractNumId w:val="18"/>
  </w:num>
  <w:num w:numId="17">
    <w:abstractNumId w:val="38"/>
  </w:num>
  <w:num w:numId="18">
    <w:abstractNumId w:val="29"/>
  </w:num>
  <w:num w:numId="19">
    <w:abstractNumId w:val="41"/>
  </w:num>
  <w:num w:numId="20">
    <w:abstractNumId w:val="44"/>
  </w:num>
  <w:num w:numId="21">
    <w:abstractNumId w:val="36"/>
  </w:num>
  <w:num w:numId="22">
    <w:abstractNumId w:val="22"/>
  </w:num>
  <w:num w:numId="23">
    <w:abstractNumId w:val="19"/>
  </w:num>
  <w:num w:numId="24">
    <w:abstractNumId w:val="20"/>
  </w:num>
  <w:num w:numId="25">
    <w:abstractNumId w:val="13"/>
  </w:num>
  <w:num w:numId="26">
    <w:abstractNumId w:val="31"/>
  </w:num>
  <w:num w:numId="27">
    <w:abstractNumId w:val="30"/>
  </w:num>
  <w:num w:numId="28">
    <w:abstractNumId w:val="10"/>
  </w:num>
  <w:num w:numId="29">
    <w:abstractNumId w:val="44"/>
  </w:num>
  <w:num w:numId="30">
    <w:abstractNumId w:val="32"/>
  </w:num>
  <w:num w:numId="31">
    <w:abstractNumId w:val="12"/>
  </w:num>
  <w:num w:numId="32">
    <w:abstractNumId w:val="46"/>
  </w:num>
  <w:num w:numId="33">
    <w:abstractNumId w:val="44"/>
  </w:num>
  <w:num w:numId="34">
    <w:abstractNumId w:val="11"/>
  </w:num>
  <w:num w:numId="35">
    <w:abstractNumId w:val="39"/>
  </w:num>
  <w:num w:numId="36">
    <w:abstractNumId w:val="33"/>
  </w:num>
  <w:num w:numId="37">
    <w:abstractNumId w:val="24"/>
  </w:num>
  <w:num w:numId="38">
    <w:abstractNumId w:val="28"/>
  </w:num>
  <w:num w:numId="39">
    <w:abstractNumId w:val="15"/>
  </w:num>
  <w:num w:numId="40">
    <w:abstractNumId w:val="26"/>
  </w:num>
  <w:num w:numId="41">
    <w:abstractNumId w:val="27"/>
  </w:num>
  <w:num w:numId="42">
    <w:abstractNumId w:val="45"/>
  </w:num>
  <w:num w:numId="43">
    <w:abstractNumId w:val="25"/>
  </w:num>
  <w:num w:numId="44">
    <w:abstractNumId w:val="16"/>
  </w:num>
  <w:num w:numId="45">
    <w:abstractNumId w:val="21"/>
  </w:num>
  <w:num w:numId="46">
    <w:abstractNumId w:val="35"/>
  </w:num>
  <w:num w:numId="47">
    <w:abstractNumId w:val="43"/>
  </w:num>
  <w:num w:numId="48">
    <w:abstractNumId w:val="4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2B5"/>
    <w:rsid w:val="00026389"/>
    <w:rsid w:val="0002669F"/>
    <w:rsid w:val="000279E5"/>
    <w:rsid w:val="000305E0"/>
    <w:rsid w:val="00031AE0"/>
    <w:rsid w:val="00031BB2"/>
    <w:rsid w:val="000322EF"/>
    <w:rsid w:val="00032C3C"/>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2CA"/>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363"/>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2FC"/>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D7C6F"/>
    <w:rsid w:val="000E04FD"/>
    <w:rsid w:val="000E0E96"/>
    <w:rsid w:val="000E298B"/>
    <w:rsid w:val="000E2C7D"/>
    <w:rsid w:val="000E3E56"/>
    <w:rsid w:val="000E440D"/>
    <w:rsid w:val="000E4AC5"/>
    <w:rsid w:val="000E6253"/>
    <w:rsid w:val="000E6AC4"/>
    <w:rsid w:val="000E6E4D"/>
    <w:rsid w:val="000E6FBD"/>
    <w:rsid w:val="000E6FCB"/>
    <w:rsid w:val="000F0848"/>
    <w:rsid w:val="000F090B"/>
    <w:rsid w:val="000F0E42"/>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6BCC"/>
    <w:rsid w:val="00107124"/>
    <w:rsid w:val="0011038E"/>
    <w:rsid w:val="0011055D"/>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1F9"/>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5376"/>
    <w:rsid w:val="00136A6F"/>
    <w:rsid w:val="00136C1A"/>
    <w:rsid w:val="00137812"/>
    <w:rsid w:val="00137F06"/>
    <w:rsid w:val="001405FA"/>
    <w:rsid w:val="00140D1A"/>
    <w:rsid w:val="00141184"/>
    <w:rsid w:val="00141315"/>
    <w:rsid w:val="0014152B"/>
    <w:rsid w:val="00141AA0"/>
    <w:rsid w:val="001425C3"/>
    <w:rsid w:val="0014262D"/>
    <w:rsid w:val="00142B29"/>
    <w:rsid w:val="00143EED"/>
    <w:rsid w:val="00144108"/>
    <w:rsid w:val="00144588"/>
    <w:rsid w:val="001447DD"/>
    <w:rsid w:val="00145358"/>
    <w:rsid w:val="001459BC"/>
    <w:rsid w:val="0014779E"/>
    <w:rsid w:val="00147B13"/>
    <w:rsid w:val="00150ECA"/>
    <w:rsid w:val="0015108F"/>
    <w:rsid w:val="00151707"/>
    <w:rsid w:val="00152C86"/>
    <w:rsid w:val="00152EBC"/>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4ED1"/>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23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1AF1"/>
    <w:rsid w:val="001E3306"/>
    <w:rsid w:val="001E504C"/>
    <w:rsid w:val="001E56AC"/>
    <w:rsid w:val="001E5A17"/>
    <w:rsid w:val="001E6441"/>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0ED"/>
    <w:rsid w:val="002A3209"/>
    <w:rsid w:val="002A34B5"/>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0D42"/>
    <w:rsid w:val="00301294"/>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A8B"/>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375E0"/>
    <w:rsid w:val="00340BF3"/>
    <w:rsid w:val="00341C6C"/>
    <w:rsid w:val="00341D26"/>
    <w:rsid w:val="00341F05"/>
    <w:rsid w:val="0034335E"/>
    <w:rsid w:val="00344668"/>
    <w:rsid w:val="00344940"/>
    <w:rsid w:val="0034506D"/>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5EBF"/>
    <w:rsid w:val="003D6920"/>
    <w:rsid w:val="003D6982"/>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07B"/>
    <w:rsid w:val="00425352"/>
    <w:rsid w:val="00426C99"/>
    <w:rsid w:val="004272BE"/>
    <w:rsid w:val="00430C96"/>
    <w:rsid w:val="0043174F"/>
    <w:rsid w:val="00431BFF"/>
    <w:rsid w:val="00432199"/>
    <w:rsid w:val="00432A58"/>
    <w:rsid w:val="00432FC7"/>
    <w:rsid w:val="004331C3"/>
    <w:rsid w:val="00433C17"/>
    <w:rsid w:val="00434617"/>
    <w:rsid w:val="00434DE9"/>
    <w:rsid w:val="00435051"/>
    <w:rsid w:val="00435C69"/>
    <w:rsid w:val="004360FB"/>
    <w:rsid w:val="00437CED"/>
    <w:rsid w:val="004407BF"/>
    <w:rsid w:val="00440900"/>
    <w:rsid w:val="00440D2A"/>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6AEE"/>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389"/>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CE4"/>
    <w:rsid w:val="004C3DB0"/>
    <w:rsid w:val="004C439A"/>
    <w:rsid w:val="004C4720"/>
    <w:rsid w:val="004C4CD0"/>
    <w:rsid w:val="004C5060"/>
    <w:rsid w:val="004C5165"/>
    <w:rsid w:val="004C589C"/>
    <w:rsid w:val="004C5AE8"/>
    <w:rsid w:val="004C6E0E"/>
    <w:rsid w:val="004C70DC"/>
    <w:rsid w:val="004D0211"/>
    <w:rsid w:val="004D0794"/>
    <w:rsid w:val="004D17A6"/>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2A12"/>
    <w:rsid w:val="00583BDD"/>
    <w:rsid w:val="00583E52"/>
    <w:rsid w:val="00583FFD"/>
    <w:rsid w:val="00584252"/>
    <w:rsid w:val="005848DD"/>
    <w:rsid w:val="0058519A"/>
    <w:rsid w:val="005856BD"/>
    <w:rsid w:val="00585983"/>
    <w:rsid w:val="00586BCA"/>
    <w:rsid w:val="00587038"/>
    <w:rsid w:val="00587319"/>
    <w:rsid w:val="00590608"/>
    <w:rsid w:val="00590B28"/>
    <w:rsid w:val="005911BE"/>
    <w:rsid w:val="00591273"/>
    <w:rsid w:val="00591E9E"/>
    <w:rsid w:val="005927A4"/>
    <w:rsid w:val="00593152"/>
    <w:rsid w:val="00593389"/>
    <w:rsid w:val="00593FE6"/>
    <w:rsid w:val="005956A3"/>
    <w:rsid w:val="00595958"/>
    <w:rsid w:val="00595CAB"/>
    <w:rsid w:val="0059622E"/>
    <w:rsid w:val="0059684D"/>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1B24"/>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5B60"/>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53DC"/>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5F7B79"/>
    <w:rsid w:val="0060120D"/>
    <w:rsid w:val="006017C1"/>
    <w:rsid w:val="00601ADE"/>
    <w:rsid w:val="00601EEF"/>
    <w:rsid w:val="0060255A"/>
    <w:rsid w:val="00602998"/>
    <w:rsid w:val="00602EB3"/>
    <w:rsid w:val="00604307"/>
    <w:rsid w:val="0060487F"/>
    <w:rsid w:val="00604EAD"/>
    <w:rsid w:val="0060513F"/>
    <w:rsid w:val="006065E2"/>
    <w:rsid w:val="0060694B"/>
    <w:rsid w:val="00607E1D"/>
    <w:rsid w:val="006104FB"/>
    <w:rsid w:val="006116FF"/>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6B8F"/>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4938"/>
    <w:rsid w:val="00645160"/>
    <w:rsid w:val="006451E4"/>
    <w:rsid w:val="0064574B"/>
    <w:rsid w:val="00645B33"/>
    <w:rsid w:val="00650FFC"/>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748"/>
    <w:rsid w:val="00667856"/>
    <w:rsid w:val="00667AF2"/>
    <w:rsid w:val="00670489"/>
    <w:rsid w:val="006710C9"/>
    <w:rsid w:val="00671D85"/>
    <w:rsid w:val="00672586"/>
    <w:rsid w:val="006727BC"/>
    <w:rsid w:val="006741CD"/>
    <w:rsid w:val="006745DF"/>
    <w:rsid w:val="00674BAC"/>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9F8"/>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3CAF"/>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8A4"/>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4A6"/>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4FB0"/>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23"/>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3810"/>
    <w:rsid w:val="00784980"/>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551"/>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1E3F"/>
    <w:rsid w:val="007B2011"/>
    <w:rsid w:val="007B2CFE"/>
    <w:rsid w:val="007B309B"/>
    <w:rsid w:val="007B37A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D7F4F"/>
    <w:rsid w:val="007E0535"/>
    <w:rsid w:val="007E07F2"/>
    <w:rsid w:val="007E0D4A"/>
    <w:rsid w:val="007E1788"/>
    <w:rsid w:val="007E1EE3"/>
    <w:rsid w:val="007E29B4"/>
    <w:rsid w:val="007E2F12"/>
    <w:rsid w:val="007E3627"/>
    <w:rsid w:val="007E435A"/>
    <w:rsid w:val="007E445C"/>
    <w:rsid w:val="007E49F7"/>
    <w:rsid w:val="007E4C70"/>
    <w:rsid w:val="007E5149"/>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3E08"/>
    <w:rsid w:val="00804155"/>
    <w:rsid w:val="00804C9F"/>
    <w:rsid w:val="0080559E"/>
    <w:rsid w:val="00805AF3"/>
    <w:rsid w:val="00806C9C"/>
    <w:rsid w:val="008071B1"/>
    <w:rsid w:val="0080734C"/>
    <w:rsid w:val="00807C82"/>
    <w:rsid w:val="008107EE"/>
    <w:rsid w:val="008117CC"/>
    <w:rsid w:val="00811FF8"/>
    <w:rsid w:val="0081249F"/>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95"/>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AA1"/>
    <w:rsid w:val="00856D65"/>
    <w:rsid w:val="00856FA4"/>
    <w:rsid w:val="00860D79"/>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2254"/>
    <w:rsid w:val="008A37E2"/>
    <w:rsid w:val="008A388E"/>
    <w:rsid w:val="008A394E"/>
    <w:rsid w:val="008A3CBA"/>
    <w:rsid w:val="008A4B59"/>
    <w:rsid w:val="008A63E1"/>
    <w:rsid w:val="008A66B7"/>
    <w:rsid w:val="008A68BB"/>
    <w:rsid w:val="008A6AA5"/>
    <w:rsid w:val="008A7127"/>
    <w:rsid w:val="008B02E7"/>
    <w:rsid w:val="008B0CBA"/>
    <w:rsid w:val="008B1850"/>
    <w:rsid w:val="008B2639"/>
    <w:rsid w:val="008B3537"/>
    <w:rsid w:val="008B35C1"/>
    <w:rsid w:val="008B3690"/>
    <w:rsid w:val="008B3A80"/>
    <w:rsid w:val="008B3AEC"/>
    <w:rsid w:val="008B3C07"/>
    <w:rsid w:val="008B3C6E"/>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3D21"/>
    <w:rsid w:val="008D6C3A"/>
    <w:rsid w:val="008D70E2"/>
    <w:rsid w:val="008D7F47"/>
    <w:rsid w:val="008E0001"/>
    <w:rsid w:val="008E039E"/>
    <w:rsid w:val="008E292B"/>
    <w:rsid w:val="008E2C57"/>
    <w:rsid w:val="008E31FF"/>
    <w:rsid w:val="008E3287"/>
    <w:rsid w:val="008E38E4"/>
    <w:rsid w:val="008E3DFA"/>
    <w:rsid w:val="008E419B"/>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418F"/>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B2B"/>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46FE0"/>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6B8B"/>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7C8"/>
    <w:rsid w:val="009B0CAF"/>
    <w:rsid w:val="009B1324"/>
    <w:rsid w:val="009B2558"/>
    <w:rsid w:val="009B284F"/>
    <w:rsid w:val="009B3742"/>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66F8"/>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DDB"/>
    <w:rsid w:val="009F032E"/>
    <w:rsid w:val="009F1CA6"/>
    <w:rsid w:val="009F2921"/>
    <w:rsid w:val="009F3063"/>
    <w:rsid w:val="009F42CF"/>
    <w:rsid w:val="009F4982"/>
    <w:rsid w:val="009F4CA7"/>
    <w:rsid w:val="009F4F6A"/>
    <w:rsid w:val="009F55BA"/>
    <w:rsid w:val="009F7D36"/>
    <w:rsid w:val="009F7D61"/>
    <w:rsid w:val="00A00470"/>
    <w:rsid w:val="00A00E71"/>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5FC3"/>
    <w:rsid w:val="00A2628E"/>
    <w:rsid w:val="00A266BF"/>
    <w:rsid w:val="00A26777"/>
    <w:rsid w:val="00A269AB"/>
    <w:rsid w:val="00A2731E"/>
    <w:rsid w:val="00A309AC"/>
    <w:rsid w:val="00A30EA4"/>
    <w:rsid w:val="00A30F65"/>
    <w:rsid w:val="00A315D0"/>
    <w:rsid w:val="00A3279E"/>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1A9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1EAD"/>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49E1"/>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22A"/>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C24"/>
    <w:rsid w:val="00B64E72"/>
    <w:rsid w:val="00B65CEF"/>
    <w:rsid w:val="00B6608F"/>
    <w:rsid w:val="00B674C7"/>
    <w:rsid w:val="00B67749"/>
    <w:rsid w:val="00B679FB"/>
    <w:rsid w:val="00B71FBF"/>
    <w:rsid w:val="00B734A0"/>
    <w:rsid w:val="00B73A14"/>
    <w:rsid w:val="00B73FE8"/>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3A"/>
    <w:rsid w:val="00B97FE2"/>
    <w:rsid w:val="00BA0E0B"/>
    <w:rsid w:val="00BA201A"/>
    <w:rsid w:val="00BA21DF"/>
    <w:rsid w:val="00BA361D"/>
    <w:rsid w:val="00BA3787"/>
    <w:rsid w:val="00BA403A"/>
    <w:rsid w:val="00BA46E8"/>
    <w:rsid w:val="00BA49DB"/>
    <w:rsid w:val="00BA4AE9"/>
    <w:rsid w:val="00BA4E19"/>
    <w:rsid w:val="00BA5125"/>
    <w:rsid w:val="00BA6436"/>
    <w:rsid w:val="00BA64F2"/>
    <w:rsid w:val="00BA684E"/>
    <w:rsid w:val="00BA6C2B"/>
    <w:rsid w:val="00BA7B64"/>
    <w:rsid w:val="00BB02A3"/>
    <w:rsid w:val="00BB0351"/>
    <w:rsid w:val="00BB15C3"/>
    <w:rsid w:val="00BB1AF4"/>
    <w:rsid w:val="00BB2202"/>
    <w:rsid w:val="00BB286B"/>
    <w:rsid w:val="00BB3C6B"/>
    <w:rsid w:val="00BB3FD6"/>
    <w:rsid w:val="00BB453F"/>
    <w:rsid w:val="00BB46F3"/>
    <w:rsid w:val="00BB4A71"/>
    <w:rsid w:val="00BB4CB1"/>
    <w:rsid w:val="00BB4E47"/>
    <w:rsid w:val="00BB4F98"/>
    <w:rsid w:val="00BB50C0"/>
    <w:rsid w:val="00BB5AB2"/>
    <w:rsid w:val="00BB5ABF"/>
    <w:rsid w:val="00BB5F94"/>
    <w:rsid w:val="00BB6EA2"/>
    <w:rsid w:val="00BB7142"/>
    <w:rsid w:val="00BB76F3"/>
    <w:rsid w:val="00BB7B5B"/>
    <w:rsid w:val="00BB7EB1"/>
    <w:rsid w:val="00BC003F"/>
    <w:rsid w:val="00BC06AA"/>
    <w:rsid w:val="00BC0930"/>
    <w:rsid w:val="00BC223A"/>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652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2F"/>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79B"/>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27AD"/>
    <w:rsid w:val="00C5390B"/>
    <w:rsid w:val="00C540D3"/>
    <w:rsid w:val="00C54257"/>
    <w:rsid w:val="00C54697"/>
    <w:rsid w:val="00C550CE"/>
    <w:rsid w:val="00C553A5"/>
    <w:rsid w:val="00C55402"/>
    <w:rsid w:val="00C5603B"/>
    <w:rsid w:val="00C6020C"/>
    <w:rsid w:val="00C60AE3"/>
    <w:rsid w:val="00C61F47"/>
    <w:rsid w:val="00C62828"/>
    <w:rsid w:val="00C63132"/>
    <w:rsid w:val="00C655DA"/>
    <w:rsid w:val="00C672C1"/>
    <w:rsid w:val="00C706D2"/>
    <w:rsid w:val="00C715CC"/>
    <w:rsid w:val="00C719A3"/>
    <w:rsid w:val="00C71D2F"/>
    <w:rsid w:val="00C72984"/>
    <w:rsid w:val="00C72BC7"/>
    <w:rsid w:val="00C73885"/>
    <w:rsid w:val="00C73C93"/>
    <w:rsid w:val="00C7435A"/>
    <w:rsid w:val="00C747B1"/>
    <w:rsid w:val="00C75510"/>
    <w:rsid w:val="00C755F9"/>
    <w:rsid w:val="00C75752"/>
    <w:rsid w:val="00C75B60"/>
    <w:rsid w:val="00C761EC"/>
    <w:rsid w:val="00C770C9"/>
    <w:rsid w:val="00C8019E"/>
    <w:rsid w:val="00C81070"/>
    <w:rsid w:val="00C8174E"/>
    <w:rsid w:val="00C82191"/>
    <w:rsid w:val="00C83134"/>
    <w:rsid w:val="00C831E7"/>
    <w:rsid w:val="00C832F3"/>
    <w:rsid w:val="00C84307"/>
    <w:rsid w:val="00C845A4"/>
    <w:rsid w:val="00C8504C"/>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649"/>
    <w:rsid w:val="00CA0BD5"/>
    <w:rsid w:val="00CA0DA1"/>
    <w:rsid w:val="00CA1BD6"/>
    <w:rsid w:val="00CA2D95"/>
    <w:rsid w:val="00CA37FF"/>
    <w:rsid w:val="00CA423A"/>
    <w:rsid w:val="00CA47BC"/>
    <w:rsid w:val="00CA5EAD"/>
    <w:rsid w:val="00CA6AB4"/>
    <w:rsid w:val="00CA7255"/>
    <w:rsid w:val="00CA79E2"/>
    <w:rsid w:val="00CA7E12"/>
    <w:rsid w:val="00CB111E"/>
    <w:rsid w:val="00CB18B2"/>
    <w:rsid w:val="00CB1BEE"/>
    <w:rsid w:val="00CB2351"/>
    <w:rsid w:val="00CB2BF7"/>
    <w:rsid w:val="00CB3605"/>
    <w:rsid w:val="00CB4022"/>
    <w:rsid w:val="00CB4257"/>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5EE0"/>
    <w:rsid w:val="00CD6331"/>
    <w:rsid w:val="00CD7E9E"/>
    <w:rsid w:val="00CE12FB"/>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842"/>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6E6B"/>
    <w:rsid w:val="00D27973"/>
    <w:rsid w:val="00D27F07"/>
    <w:rsid w:val="00D27F3A"/>
    <w:rsid w:val="00D31537"/>
    <w:rsid w:val="00D31E1E"/>
    <w:rsid w:val="00D322A0"/>
    <w:rsid w:val="00D32824"/>
    <w:rsid w:val="00D33297"/>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7D00"/>
    <w:rsid w:val="00DA0121"/>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2B97"/>
    <w:rsid w:val="00DE3231"/>
    <w:rsid w:val="00DE3E22"/>
    <w:rsid w:val="00DE3E5D"/>
    <w:rsid w:val="00DE450F"/>
    <w:rsid w:val="00DE4865"/>
    <w:rsid w:val="00DE5CA6"/>
    <w:rsid w:val="00DE5E55"/>
    <w:rsid w:val="00DE6209"/>
    <w:rsid w:val="00DE63AE"/>
    <w:rsid w:val="00DE7156"/>
    <w:rsid w:val="00DE7AC8"/>
    <w:rsid w:val="00DF0830"/>
    <w:rsid w:val="00DF1D57"/>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59C6"/>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C5D"/>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2AB6"/>
    <w:rsid w:val="00E84E09"/>
    <w:rsid w:val="00E87CE2"/>
    <w:rsid w:val="00E87D5B"/>
    <w:rsid w:val="00E90CA8"/>
    <w:rsid w:val="00E911C6"/>
    <w:rsid w:val="00E920DE"/>
    <w:rsid w:val="00E930A1"/>
    <w:rsid w:val="00E93820"/>
    <w:rsid w:val="00E93FD5"/>
    <w:rsid w:val="00E94A86"/>
    <w:rsid w:val="00E951AB"/>
    <w:rsid w:val="00E953F6"/>
    <w:rsid w:val="00E96143"/>
    <w:rsid w:val="00E96833"/>
    <w:rsid w:val="00E97506"/>
    <w:rsid w:val="00E97BB5"/>
    <w:rsid w:val="00E97D5B"/>
    <w:rsid w:val="00E97F14"/>
    <w:rsid w:val="00EA0B1A"/>
    <w:rsid w:val="00EA0C68"/>
    <w:rsid w:val="00EA0E39"/>
    <w:rsid w:val="00EA1D0E"/>
    <w:rsid w:val="00EA1EBB"/>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189D"/>
    <w:rsid w:val="00EC2EB6"/>
    <w:rsid w:val="00EC4FFF"/>
    <w:rsid w:val="00EC5517"/>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967"/>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1FDC"/>
    <w:rsid w:val="00F120A5"/>
    <w:rsid w:val="00F12CFB"/>
    <w:rsid w:val="00F13E60"/>
    <w:rsid w:val="00F13FDB"/>
    <w:rsid w:val="00F15AAA"/>
    <w:rsid w:val="00F15BEF"/>
    <w:rsid w:val="00F1770C"/>
    <w:rsid w:val="00F17898"/>
    <w:rsid w:val="00F204BF"/>
    <w:rsid w:val="00F207C2"/>
    <w:rsid w:val="00F21337"/>
    <w:rsid w:val="00F219A1"/>
    <w:rsid w:val="00F23927"/>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2E7"/>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2C07"/>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6667"/>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56A"/>
    <w:rsid w:val="00FF5B8C"/>
    <w:rsid w:val="00FF63E6"/>
    <w:rsid w:val="00FF72DC"/>
    <w:rsid w:val="00FF7B96"/>
    <w:rsid w:val="019CB78C"/>
    <w:rsid w:val="0241D284"/>
    <w:rsid w:val="04BD1937"/>
    <w:rsid w:val="0523CDF2"/>
    <w:rsid w:val="06B1A837"/>
    <w:rsid w:val="07FB41B9"/>
    <w:rsid w:val="08A648BF"/>
    <w:rsid w:val="08AB0269"/>
    <w:rsid w:val="0A844D4D"/>
    <w:rsid w:val="0BCD71E1"/>
    <w:rsid w:val="0EBE9DEC"/>
    <w:rsid w:val="0FBB85B6"/>
    <w:rsid w:val="12650F4E"/>
    <w:rsid w:val="1371242A"/>
    <w:rsid w:val="1394E51D"/>
    <w:rsid w:val="14DB2A87"/>
    <w:rsid w:val="15DD577B"/>
    <w:rsid w:val="16EC38E2"/>
    <w:rsid w:val="17178072"/>
    <w:rsid w:val="173F358F"/>
    <w:rsid w:val="17513AF8"/>
    <w:rsid w:val="1812CB49"/>
    <w:rsid w:val="1B53A8C8"/>
    <w:rsid w:val="1BEE6986"/>
    <w:rsid w:val="20D21749"/>
    <w:rsid w:val="2111A021"/>
    <w:rsid w:val="21BE069A"/>
    <w:rsid w:val="224238BC"/>
    <w:rsid w:val="224482AD"/>
    <w:rsid w:val="23E0530E"/>
    <w:rsid w:val="24FC0D77"/>
    <w:rsid w:val="2A0E9F3A"/>
    <w:rsid w:val="2A2A6298"/>
    <w:rsid w:val="2F72CB2D"/>
    <w:rsid w:val="3204B56C"/>
    <w:rsid w:val="36A6CB7D"/>
    <w:rsid w:val="37D604A5"/>
    <w:rsid w:val="38C72AFC"/>
    <w:rsid w:val="3A31F626"/>
    <w:rsid w:val="3AA0BED0"/>
    <w:rsid w:val="3C7646FC"/>
    <w:rsid w:val="3E4A9713"/>
    <w:rsid w:val="3E77F3B4"/>
    <w:rsid w:val="40C3BF09"/>
    <w:rsid w:val="47207A7B"/>
    <w:rsid w:val="48038D4B"/>
    <w:rsid w:val="49E8263C"/>
    <w:rsid w:val="4A567F3C"/>
    <w:rsid w:val="50A35788"/>
    <w:rsid w:val="52944939"/>
    <w:rsid w:val="53942896"/>
    <w:rsid w:val="5536E42E"/>
    <w:rsid w:val="55914544"/>
    <w:rsid w:val="581B14F9"/>
    <w:rsid w:val="58FD3BB8"/>
    <w:rsid w:val="5B145290"/>
    <w:rsid w:val="5CF587E8"/>
    <w:rsid w:val="5DD689BF"/>
    <w:rsid w:val="5E8D8646"/>
    <w:rsid w:val="60B2C930"/>
    <w:rsid w:val="64244C5C"/>
    <w:rsid w:val="64B5C10F"/>
    <w:rsid w:val="661E5011"/>
    <w:rsid w:val="67F8BB57"/>
    <w:rsid w:val="6AEA4E8B"/>
    <w:rsid w:val="6AEC8A78"/>
    <w:rsid w:val="6D951AA9"/>
    <w:rsid w:val="7059F910"/>
    <w:rsid w:val="74248E8F"/>
    <w:rsid w:val="74EA3077"/>
    <w:rsid w:val="754BB0AE"/>
    <w:rsid w:val="75B5B795"/>
    <w:rsid w:val="76D4E0D9"/>
    <w:rsid w:val="78058569"/>
    <w:rsid w:val="785B85D1"/>
    <w:rsid w:val="78E73CD1"/>
    <w:rsid w:val="78EC659F"/>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56910147-D8D0-4759-AD79-65565E20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link w:val="OdstavecseseznamemChar"/>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customStyle="1" w:styleId="scxw9398236">
    <w:name w:val="scxw9398236"/>
    <w:basedOn w:val="Standardnpsmoodstavce"/>
    <w:rsid w:val="000D7C6F"/>
  </w:style>
  <w:style w:type="character" w:customStyle="1" w:styleId="superscript">
    <w:name w:val="superscript"/>
    <w:basedOn w:val="Standardnpsmoodstavce"/>
    <w:rsid w:val="000D7C6F"/>
  </w:style>
  <w:style w:type="character" w:customStyle="1" w:styleId="OdstavecseseznamemChar">
    <w:name w:val="Odstavec se seznamem Char"/>
    <w:basedOn w:val="Standardnpsmoodstavce"/>
    <w:link w:val="Odstavecseseznamem"/>
    <w:uiPriority w:val="34"/>
    <w:rsid w:val="00A51A9B"/>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7683572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446">
          <w:marLeft w:val="0"/>
          <w:marRight w:val="0"/>
          <w:marTop w:val="0"/>
          <w:marBottom w:val="0"/>
          <w:divBdr>
            <w:top w:val="none" w:sz="0" w:space="0" w:color="auto"/>
            <w:left w:val="none" w:sz="0" w:space="0" w:color="auto"/>
            <w:bottom w:val="none" w:sz="0" w:space="0" w:color="auto"/>
            <w:right w:val="none" w:sz="0" w:space="0" w:color="auto"/>
          </w:divBdr>
        </w:div>
        <w:div w:id="1716659461">
          <w:marLeft w:val="0"/>
          <w:marRight w:val="0"/>
          <w:marTop w:val="0"/>
          <w:marBottom w:val="0"/>
          <w:divBdr>
            <w:top w:val="none" w:sz="0" w:space="0" w:color="auto"/>
            <w:left w:val="none" w:sz="0" w:space="0" w:color="auto"/>
            <w:bottom w:val="none" w:sz="0" w:space="0" w:color="auto"/>
            <w:right w:val="none" w:sz="0" w:space="0" w:color="auto"/>
          </w:divBdr>
          <w:divsChild>
            <w:div w:id="908930234">
              <w:marLeft w:val="-75"/>
              <w:marRight w:val="0"/>
              <w:marTop w:val="30"/>
              <w:marBottom w:val="30"/>
              <w:divBdr>
                <w:top w:val="none" w:sz="0" w:space="0" w:color="auto"/>
                <w:left w:val="none" w:sz="0" w:space="0" w:color="auto"/>
                <w:bottom w:val="none" w:sz="0" w:space="0" w:color="auto"/>
                <w:right w:val="none" w:sz="0" w:space="0" w:color="auto"/>
              </w:divBdr>
              <w:divsChild>
                <w:div w:id="189690384">
                  <w:marLeft w:val="0"/>
                  <w:marRight w:val="0"/>
                  <w:marTop w:val="0"/>
                  <w:marBottom w:val="0"/>
                  <w:divBdr>
                    <w:top w:val="none" w:sz="0" w:space="0" w:color="auto"/>
                    <w:left w:val="none" w:sz="0" w:space="0" w:color="auto"/>
                    <w:bottom w:val="none" w:sz="0" w:space="0" w:color="auto"/>
                    <w:right w:val="none" w:sz="0" w:space="0" w:color="auto"/>
                  </w:divBdr>
                  <w:divsChild>
                    <w:div w:id="345450649">
                      <w:marLeft w:val="0"/>
                      <w:marRight w:val="0"/>
                      <w:marTop w:val="0"/>
                      <w:marBottom w:val="0"/>
                      <w:divBdr>
                        <w:top w:val="none" w:sz="0" w:space="0" w:color="auto"/>
                        <w:left w:val="none" w:sz="0" w:space="0" w:color="auto"/>
                        <w:bottom w:val="none" w:sz="0" w:space="0" w:color="auto"/>
                        <w:right w:val="none" w:sz="0" w:space="0" w:color="auto"/>
                      </w:divBdr>
                    </w:div>
                  </w:divsChild>
                </w:div>
                <w:div w:id="2130083414">
                  <w:marLeft w:val="0"/>
                  <w:marRight w:val="0"/>
                  <w:marTop w:val="0"/>
                  <w:marBottom w:val="0"/>
                  <w:divBdr>
                    <w:top w:val="none" w:sz="0" w:space="0" w:color="auto"/>
                    <w:left w:val="none" w:sz="0" w:space="0" w:color="auto"/>
                    <w:bottom w:val="none" w:sz="0" w:space="0" w:color="auto"/>
                    <w:right w:val="none" w:sz="0" w:space="0" w:color="auto"/>
                  </w:divBdr>
                  <w:divsChild>
                    <w:div w:id="1847819293">
                      <w:marLeft w:val="0"/>
                      <w:marRight w:val="0"/>
                      <w:marTop w:val="0"/>
                      <w:marBottom w:val="0"/>
                      <w:divBdr>
                        <w:top w:val="none" w:sz="0" w:space="0" w:color="auto"/>
                        <w:left w:val="none" w:sz="0" w:space="0" w:color="auto"/>
                        <w:bottom w:val="none" w:sz="0" w:space="0" w:color="auto"/>
                        <w:right w:val="none" w:sz="0" w:space="0" w:color="auto"/>
                      </w:divBdr>
                    </w:div>
                  </w:divsChild>
                </w:div>
                <w:div w:id="141698433">
                  <w:marLeft w:val="0"/>
                  <w:marRight w:val="0"/>
                  <w:marTop w:val="0"/>
                  <w:marBottom w:val="0"/>
                  <w:divBdr>
                    <w:top w:val="none" w:sz="0" w:space="0" w:color="auto"/>
                    <w:left w:val="none" w:sz="0" w:space="0" w:color="auto"/>
                    <w:bottom w:val="none" w:sz="0" w:space="0" w:color="auto"/>
                    <w:right w:val="none" w:sz="0" w:space="0" w:color="auto"/>
                  </w:divBdr>
                  <w:divsChild>
                    <w:div w:id="1561865753">
                      <w:marLeft w:val="0"/>
                      <w:marRight w:val="0"/>
                      <w:marTop w:val="0"/>
                      <w:marBottom w:val="0"/>
                      <w:divBdr>
                        <w:top w:val="none" w:sz="0" w:space="0" w:color="auto"/>
                        <w:left w:val="none" w:sz="0" w:space="0" w:color="auto"/>
                        <w:bottom w:val="none" w:sz="0" w:space="0" w:color="auto"/>
                        <w:right w:val="none" w:sz="0" w:space="0" w:color="auto"/>
                      </w:divBdr>
                    </w:div>
                  </w:divsChild>
                </w:div>
                <w:div w:id="1168449760">
                  <w:marLeft w:val="0"/>
                  <w:marRight w:val="0"/>
                  <w:marTop w:val="0"/>
                  <w:marBottom w:val="0"/>
                  <w:divBdr>
                    <w:top w:val="none" w:sz="0" w:space="0" w:color="auto"/>
                    <w:left w:val="none" w:sz="0" w:space="0" w:color="auto"/>
                    <w:bottom w:val="none" w:sz="0" w:space="0" w:color="auto"/>
                    <w:right w:val="none" w:sz="0" w:space="0" w:color="auto"/>
                  </w:divBdr>
                  <w:divsChild>
                    <w:div w:id="1407143116">
                      <w:marLeft w:val="0"/>
                      <w:marRight w:val="0"/>
                      <w:marTop w:val="0"/>
                      <w:marBottom w:val="0"/>
                      <w:divBdr>
                        <w:top w:val="none" w:sz="0" w:space="0" w:color="auto"/>
                        <w:left w:val="none" w:sz="0" w:space="0" w:color="auto"/>
                        <w:bottom w:val="none" w:sz="0" w:space="0" w:color="auto"/>
                        <w:right w:val="none" w:sz="0" w:space="0" w:color="auto"/>
                      </w:divBdr>
                    </w:div>
                  </w:divsChild>
                </w:div>
                <w:div w:id="2124761785">
                  <w:marLeft w:val="0"/>
                  <w:marRight w:val="0"/>
                  <w:marTop w:val="0"/>
                  <w:marBottom w:val="0"/>
                  <w:divBdr>
                    <w:top w:val="none" w:sz="0" w:space="0" w:color="auto"/>
                    <w:left w:val="none" w:sz="0" w:space="0" w:color="auto"/>
                    <w:bottom w:val="none" w:sz="0" w:space="0" w:color="auto"/>
                    <w:right w:val="none" w:sz="0" w:space="0" w:color="auto"/>
                  </w:divBdr>
                  <w:divsChild>
                    <w:div w:id="1111317610">
                      <w:marLeft w:val="0"/>
                      <w:marRight w:val="0"/>
                      <w:marTop w:val="0"/>
                      <w:marBottom w:val="0"/>
                      <w:divBdr>
                        <w:top w:val="none" w:sz="0" w:space="0" w:color="auto"/>
                        <w:left w:val="none" w:sz="0" w:space="0" w:color="auto"/>
                        <w:bottom w:val="none" w:sz="0" w:space="0" w:color="auto"/>
                        <w:right w:val="none" w:sz="0" w:space="0" w:color="auto"/>
                      </w:divBdr>
                    </w:div>
                  </w:divsChild>
                </w:div>
                <w:div w:id="1016151455">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953753815">
                  <w:marLeft w:val="0"/>
                  <w:marRight w:val="0"/>
                  <w:marTop w:val="0"/>
                  <w:marBottom w:val="0"/>
                  <w:divBdr>
                    <w:top w:val="none" w:sz="0" w:space="0" w:color="auto"/>
                    <w:left w:val="none" w:sz="0" w:space="0" w:color="auto"/>
                    <w:bottom w:val="none" w:sz="0" w:space="0" w:color="auto"/>
                    <w:right w:val="none" w:sz="0" w:space="0" w:color="auto"/>
                  </w:divBdr>
                  <w:divsChild>
                    <w:div w:id="126052794">
                      <w:marLeft w:val="0"/>
                      <w:marRight w:val="0"/>
                      <w:marTop w:val="0"/>
                      <w:marBottom w:val="0"/>
                      <w:divBdr>
                        <w:top w:val="none" w:sz="0" w:space="0" w:color="auto"/>
                        <w:left w:val="none" w:sz="0" w:space="0" w:color="auto"/>
                        <w:bottom w:val="none" w:sz="0" w:space="0" w:color="auto"/>
                        <w:right w:val="none" w:sz="0" w:space="0" w:color="auto"/>
                      </w:divBdr>
                    </w:div>
                  </w:divsChild>
                </w:div>
                <w:div w:id="864711492">
                  <w:marLeft w:val="0"/>
                  <w:marRight w:val="0"/>
                  <w:marTop w:val="0"/>
                  <w:marBottom w:val="0"/>
                  <w:divBdr>
                    <w:top w:val="none" w:sz="0" w:space="0" w:color="auto"/>
                    <w:left w:val="none" w:sz="0" w:space="0" w:color="auto"/>
                    <w:bottom w:val="none" w:sz="0" w:space="0" w:color="auto"/>
                    <w:right w:val="none" w:sz="0" w:space="0" w:color="auto"/>
                  </w:divBdr>
                  <w:divsChild>
                    <w:div w:id="1959221365">
                      <w:marLeft w:val="0"/>
                      <w:marRight w:val="0"/>
                      <w:marTop w:val="0"/>
                      <w:marBottom w:val="0"/>
                      <w:divBdr>
                        <w:top w:val="none" w:sz="0" w:space="0" w:color="auto"/>
                        <w:left w:val="none" w:sz="0" w:space="0" w:color="auto"/>
                        <w:bottom w:val="none" w:sz="0" w:space="0" w:color="auto"/>
                        <w:right w:val="none" w:sz="0" w:space="0" w:color="auto"/>
                      </w:divBdr>
                    </w:div>
                  </w:divsChild>
                </w:div>
                <w:div w:id="708652465">
                  <w:marLeft w:val="0"/>
                  <w:marRight w:val="0"/>
                  <w:marTop w:val="0"/>
                  <w:marBottom w:val="0"/>
                  <w:divBdr>
                    <w:top w:val="none" w:sz="0" w:space="0" w:color="auto"/>
                    <w:left w:val="none" w:sz="0" w:space="0" w:color="auto"/>
                    <w:bottom w:val="none" w:sz="0" w:space="0" w:color="auto"/>
                    <w:right w:val="none" w:sz="0" w:space="0" w:color="auto"/>
                  </w:divBdr>
                  <w:divsChild>
                    <w:div w:id="587033635">
                      <w:marLeft w:val="0"/>
                      <w:marRight w:val="0"/>
                      <w:marTop w:val="0"/>
                      <w:marBottom w:val="0"/>
                      <w:divBdr>
                        <w:top w:val="none" w:sz="0" w:space="0" w:color="auto"/>
                        <w:left w:val="none" w:sz="0" w:space="0" w:color="auto"/>
                        <w:bottom w:val="none" w:sz="0" w:space="0" w:color="auto"/>
                        <w:right w:val="none" w:sz="0" w:space="0" w:color="auto"/>
                      </w:divBdr>
                    </w:div>
                  </w:divsChild>
                </w:div>
                <w:div w:id="970284968">
                  <w:marLeft w:val="0"/>
                  <w:marRight w:val="0"/>
                  <w:marTop w:val="0"/>
                  <w:marBottom w:val="0"/>
                  <w:divBdr>
                    <w:top w:val="none" w:sz="0" w:space="0" w:color="auto"/>
                    <w:left w:val="none" w:sz="0" w:space="0" w:color="auto"/>
                    <w:bottom w:val="none" w:sz="0" w:space="0" w:color="auto"/>
                    <w:right w:val="none" w:sz="0" w:space="0" w:color="auto"/>
                  </w:divBdr>
                  <w:divsChild>
                    <w:div w:id="1759984152">
                      <w:marLeft w:val="0"/>
                      <w:marRight w:val="0"/>
                      <w:marTop w:val="0"/>
                      <w:marBottom w:val="0"/>
                      <w:divBdr>
                        <w:top w:val="none" w:sz="0" w:space="0" w:color="auto"/>
                        <w:left w:val="none" w:sz="0" w:space="0" w:color="auto"/>
                        <w:bottom w:val="none" w:sz="0" w:space="0" w:color="auto"/>
                        <w:right w:val="none" w:sz="0" w:space="0" w:color="auto"/>
                      </w:divBdr>
                    </w:div>
                  </w:divsChild>
                </w:div>
                <w:div w:id="1041595004">
                  <w:marLeft w:val="0"/>
                  <w:marRight w:val="0"/>
                  <w:marTop w:val="0"/>
                  <w:marBottom w:val="0"/>
                  <w:divBdr>
                    <w:top w:val="none" w:sz="0" w:space="0" w:color="auto"/>
                    <w:left w:val="none" w:sz="0" w:space="0" w:color="auto"/>
                    <w:bottom w:val="none" w:sz="0" w:space="0" w:color="auto"/>
                    <w:right w:val="none" w:sz="0" w:space="0" w:color="auto"/>
                  </w:divBdr>
                  <w:divsChild>
                    <w:div w:id="1259410822">
                      <w:marLeft w:val="0"/>
                      <w:marRight w:val="0"/>
                      <w:marTop w:val="0"/>
                      <w:marBottom w:val="0"/>
                      <w:divBdr>
                        <w:top w:val="none" w:sz="0" w:space="0" w:color="auto"/>
                        <w:left w:val="none" w:sz="0" w:space="0" w:color="auto"/>
                        <w:bottom w:val="none" w:sz="0" w:space="0" w:color="auto"/>
                        <w:right w:val="none" w:sz="0" w:space="0" w:color="auto"/>
                      </w:divBdr>
                    </w:div>
                  </w:divsChild>
                </w:div>
                <w:div w:id="1384409651">
                  <w:marLeft w:val="0"/>
                  <w:marRight w:val="0"/>
                  <w:marTop w:val="0"/>
                  <w:marBottom w:val="0"/>
                  <w:divBdr>
                    <w:top w:val="none" w:sz="0" w:space="0" w:color="auto"/>
                    <w:left w:val="none" w:sz="0" w:space="0" w:color="auto"/>
                    <w:bottom w:val="none" w:sz="0" w:space="0" w:color="auto"/>
                    <w:right w:val="none" w:sz="0" w:space="0" w:color="auto"/>
                  </w:divBdr>
                  <w:divsChild>
                    <w:div w:id="73013662">
                      <w:marLeft w:val="0"/>
                      <w:marRight w:val="0"/>
                      <w:marTop w:val="0"/>
                      <w:marBottom w:val="0"/>
                      <w:divBdr>
                        <w:top w:val="none" w:sz="0" w:space="0" w:color="auto"/>
                        <w:left w:val="none" w:sz="0" w:space="0" w:color="auto"/>
                        <w:bottom w:val="none" w:sz="0" w:space="0" w:color="auto"/>
                        <w:right w:val="none" w:sz="0" w:space="0" w:color="auto"/>
                      </w:divBdr>
                    </w:div>
                  </w:divsChild>
                </w:div>
                <w:div w:id="1396856273">
                  <w:marLeft w:val="0"/>
                  <w:marRight w:val="0"/>
                  <w:marTop w:val="0"/>
                  <w:marBottom w:val="0"/>
                  <w:divBdr>
                    <w:top w:val="none" w:sz="0" w:space="0" w:color="auto"/>
                    <w:left w:val="none" w:sz="0" w:space="0" w:color="auto"/>
                    <w:bottom w:val="none" w:sz="0" w:space="0" w:color="auto"/>
                    <w:right w:val="none" w:sz="0" w:space="0" w:color="auto"/>
                  </w:divBdr>
                  <w:divsChild>
                    <w:div w:id="1129475919">
                      <w:marLeft w:val="0"/>
                      <w:marRight w:val="0"/>
                      <w:marTop w:val="0"/>
                      <w:marBottom w:val="0"/>
                      <w:divBdr>
                        <w:top w:val="none" w:sz="0" w:space="0" w:color="auto"/>
                        <w:left w:val="none" w:sz="0" w:space="0" w:color="auto"/>
                        <w:bottom w:val="none" w:sz="0" w:space="0" w:color="auto"/>
                        <w:right w:val="none" w:sz="0" w:space="0" w:color="auto"/>
                      </w:divBdr>
                    </w:div>
                  </w:divsChild>
                </w:div>
                <w:div w:id="241991679">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sChild>
                </w:div>
                <w:div w:id="87964264">
                  <w:marLeft w:val="0"/>
                  <w:marRight w:val="0"/>
                  <w:marTop w:val="0"/>
                  <w:marBottom w:val="0"/>
                  <w:divBdr>
                    <w:top w:val="none" w:sz="0" w:space="0" w:color="auto"/>
                    <w:left w:val="none" w:sz="0" w:space="0" w:color="auto"/>
                    <w:bottom w:val="none" w:sz="0" w:space="0" w:color="auto"/>
                    <w:right w:val="none" w:sz="0" w:space="0" w:color="auto"/>
                  </w:divBdr>
                  <w:divsChild>
                    <w:div w:id="297150500">
                      <w:marLeft w:val="0"/>
                      <w:marRight w:val="0"/>
                      <w:marTop w:val="0"/>
                      <w:marBottom w:val="0"/>
                      <w:divBdr>
                        <w:top w:val="none" w:sz="0" w:space="0" w:color="auto"/>
                        <w:left w:val="none" w:sz="0" w:space="0" w:color="auto"/>
                        <w:bottom w:val="none" w:sz="0" w:space="0" w:color="auto"/>
                        <w:right w:val="none" w:sz="0" w:space="0" w:color="auto"/>
                      </w:divBdr>
                    </w:div>
                  </w:divsChild>
                </w:div>
                <w:div w:id="368145167">
                  <w:marLeft w:val="0"/>
                  <w:marRight w:val="0"/>
                  <w:marTop w:val="0"/>
                  <w:marBottom w:val="0"/>
                  <w:divBdr>
                    <w:top w:val="none" w:sz="0" w:space="0" w:color="auto"/>
                    <w:left w:val="none" w:sz="0" w:space="0" w:color="auto"/>
                    <w:bottom w:val="none" w:sz="0" w:space="0" w:color="auto"/>
                    <w:right w:val="none" w:sz="0" w:space="0" w:color="auto"/>
                  </w:divBdr>
                  <w:divsChild>
                    <w:div w:id="1170104264">
                      <w:marLeft w:val="0"/>
                      <w:marRight w:val="0"/>
                      <w:marTop w:val="0"/>
                      <w:marBottom w:val="0"/>
                      <w:divBdr>
                        <w:top w:val="none" w:sz="0" w:space="0" w:color="auto"/>
                        <w:left w:val="none" w:sz="0" w:space="0" w:color="auto"/>
                        <w:bottom w:val="none" w:sz="0" w:space="0" w:color="auto"/>
                        <w:right w:val="none" w:sz="0" w:space="0" w:color="auto"/>
                      </w:divBdr>
                    </w:div>
                  </w:divsChild>
                </w:div>
                <w:div w:id="542448709">
                  <w:marLeft w:val="0"/>
                  <w:marRight w:val="0"/>
                  <w:marTop w:val="0"/>
                  <w:marBottom w:val="0"/>
                  <w:divBdr>
                    <w:top w:val="none" w:sz="0" w:space="0" w:color="auto"/>
                    <w:left w:val="none" w:sz="0" w:space="0" w:color="auto"/>
                    <w:bottom w:val="none" w:sz="0" w:space="0" w:color="auto"/>
                    <w:right w:val="none" w:sz="0" w:space="0" w:color="auto"/>
                  </w:divBdr>
                  <w:divsChild>
                    <w:div w:id="811479007">
                      <w:marLeft w:val="0"/>
                      <w:marRight w:val="0"/>
                      <w:marTop w:val="0"/>
                      <w:marBottom w:val="0"/>
                      <w:divBdr>
                        <w:top w:val="none" w:sz="0" w:space="0" w:color="auto"/>
                        <w:left w:val="none" w:sz="0" w:space="0" w:color="auto"/>
                        <w:bottom w:val="none" w:sz="0" w:space="0" w:color="auto"/>
                        <w:right w:val="none" w:sz="0" w:space="0" w:color="auto"/>
                      </w:divBdr>
                    </w:div>
                  </w:divsChild>
                </w:div>
                <w:div w:id="218828323">
                  <w:marLeft w:val="0"/>
                  <w:marRight w:val="0"/>
                  <w:marTop w:val="0"/>
                  <w:marBottom w:val="0"/>
                  <w:divBdr>
                    <w:top w:val="none" w:sz="0" w:space="0" w:color="auto"/>
                    <w:left w:val="none" w:sz="0" w:space="0" w:color="auto"/>
                    <w:bottom w:val="none" w:sz="0" w:space="0" w:color="auto"/>
                    <w:right w:val="none" w:sz="0" w:space="0" w:color="auto"/>
                  </w:divBdr>
                  <w:divsChild>
                    <w:div w:id="521748238">
                      <w:marLeft w:val="0"/>
                      <w:marRight w:val="0"/>
                      <w:marTop w:val="0"/>
                      <w:marBottom w:val="0"/>
                      <w:divBdr>
                        <w:top w:val="none" w:sz="0" w:space="0" w:color="auto"/>
                        <w:left w:val="none" w:sz="0" w:space="0" w:color="auto"/>
                        <w:bottom w:val="none" w:sz="0" w:space="0" w:color="auto"/>
                        <w:right w:val="none" w:sz="0" w:space="0" w:color="auto"/>
                      </w:divBdr>
                    </w:div>
                  </w:divsChild>
                </w:div>
                <w:div w:id="929586458">
                  <w:marLeft w:val="0"/>
                  <w:marRight w:val="0"/>
                  <w:marTop w:val="0"/>
                  <w:marBottom w:val="0"/>
                  <w:divBdr>
                    <w:top w:val="none" w:sz="0" w:space="0" w:color="auto"/>
                    <w:left w:val="none" w:sz="0" w:space="0" w:color="auto"/>
                    <w:bottom w:val="none" w:sz="0" w:space="0" w:color="auto"/>
                    <w:right w:val="none" w:sz="0" w:space="0" w:color="auto"/>
                  </w:divBdr>
                  <w:divsChild>
                    <w:div w:id="1428455051">
                      <w:marLeft w:val="0"/>
                      <w:marRight w:val="0"/>
                      <w:marTop w:val="0"/>
                      <w:marBottom w:val="0"/>
                      <w:divBdr>
                        <w:top w:val="none" w:sz="0" w:space="0" w:color="auto"/>
                        <w:left w:val="none" w:sz="0" w:space="0" w:color="auto"/>
                        <w:bottom w:val="none" w:sz="0" w:space="0" w:color="auto"/>
                        <w:right w:val="none" w:sz="0" w:space="0" w:color="auto"/>
                      </w:divBdr>
                    </w:div>
                  </w:divsChild>
                </w:div>
                <w:div w:id="118381659">
                  <w:marLeft w:val="0"/>
                  <w:marRight w:val="0"/>
                  <w:marTop w:val="0"/>
                  <w:marBottom w:val="0"/>
                  <w:divBdr>
                    <w:top w:val="none" w:sz="0" w:space="0" w:color="auto"/>
                    <w:left w:val="none" w:sz="0" w:space="0" w:color="auto"/>
                    <w:bottom w:val="none" w:sz="0" w:space="0" w:color="auto"/>
                    <w:right w:val="none" w:sz="0" w:space="0" w:color="auto"/>
                  </w:divBdr>
                  <w:divsChild>
                    <w:div w:id="1199583312">
                      <w:marLeft w:val="0"/>
                      <w:marRight w:val="0"/>
                      <w:marTop w:val="0"/>
                      <w:marBottom w:val="0"/>
                      <w:divBdr>
                        <w:top w:val="none" w:sz="0" w:space="0" w:color="auto"/>
                        <w:left w:val="none" w:sz="0" w:space="0" w:color="auto"/>
                        <w:bottom w:val="none" w:sz="0" w:space="0" w:color="auto"/>
                        <w:right w:val="none" w:sz="0" w:space="0" w:color="auto"/>
                      </w:divBdr>
                    </w:div>
                  </w:divsChild>
                </w:div>
                <w:div w:id="427849766">
                  <w:marLeft w:val="0"/>
                  <w:marRight w:val="0"/>
                  <w:marTop w:val="0"/>
                  <w:marBottom w:val="0"/>
                  <w:divBdr>
                    <w:top w:val="none" w:sz="0" w:space="0" w:color="auto"/>
                    <w:left w:val="none" w:sz="0" w:space="0" w:color="auto"/>
                    <w:bottom w:val="none" w:sz="0" w:space="0" w:color="auto"/>
                    <w:right w:val="none" w:sz="0" w:space="0" w:color="auto"/>
                  </w:divBdr>
                  <w:divsChild>
                    <w:div w:id="975451761">
                      <w:marLeft w:val="0"/>
                      <w:marRight w:val="0"/>
                      <w:marTop w:val="0"/>
                      <w:marBottom w:val="0"/>
                      <w:divBdr>
                        <w:top w:val="none" w:sz="0" w:space="0" w:color="auto"/>
                        <w:left w:val="none" w:sz="0" w:space="0" w:color="auto"/>
                        <w:bottom w:val="none" w:sz="0" w:space="0" w:color="auto"/>
                        <w:right w:val="none" w:sz="0" w:space="0" w:color="auto"/>
                      </w:divBdr>
                    </w:div>
                  </w:divsChild>
                </w:div>
                <w:div w:id="1316687618">
                  <w:marLeft w:val="0"/>
                  <w:marRight w:val="0"/>
                  <w:marTop w:val="0"/>
                  <w:marBottom w:val="0"/>
                  <w:divBdr>
                    <w:top w:val="none" w:sz="0" w:space="0" w:color="auto"/>
                    <w:left w:val="none" w:sz="0" w:space="0" w:color="auto"/>
                    <w:bottom w:val="none" w:sz="0" w:space="0" w:color="auto"/>
                    <w:right w:val="none" w:sz="0" w:space="0" w:color="auto"/>
                  </w:divBdr>
                  <w:divsChild>
                    <w:div w:id="1760709789">
                      <w:marLeft w:val="0"/>
                      <w:marRight w:val="0"/>
                      <w:marTop w:val="0"/>
                      <w:marBottom w:val="0"/>
                      <w:divBdr>
                        <w:top w:val="none" w:sz="0" w:space="0" w:color="auto"/>
                        <w:left w:val="none" w:sz="0" w:space="0" w:color="auto"/>
                        <w:bottom w:val="none" w:sz="0" w:space="0" w:color="auto"/>
                        <w:right w:val="none" w:sz="0" w:space="0" w:color="auto"/>
                      </w:divBdr>
                    </w:div>
                  </w:divsChild>
                </w:div>
                <w:div w:id="91436658">
                  <w:marLeft w:val="0"/>
                  <w:marRight w:val="0"/>
                  <w:marTop w:val="0"/>
                  <w:marBottom w:val="0"/>
                  <w:divBdr>
                    <w:top w:val="none" w:sz="0" w:space="0" w:color="auto"/>
                    <w:left w:val="none" w:sz="0" w:space="0" w:color="auto"/>
                    <w:bottom w:val="none" w:sz="0" w:space="0" w:color="auto"/>
                    <w:right w:val="none" w:sz="0" w:space="0" w:color="auto"/>
                  </w:divBdr>
                  <w:divsChild>
                    <w:div w:id="1271090708">
                      <w:marLeft w:val="0"/>
                      <w:marRight w:val="0"/>
                      <w:marTop w:val="0"/>
                      <w:marBottom w:val="0"/>
                      <w:divBdr>
                        <w:top w:val="none" w:sz="0" w:space="0" w:color="auto"/>
                        <w:left w:val="none" w:sz="0" w:space="0" w:color="auto"/>
                        <w:bottom w:val="none" w:sz="0" w:space="0" w:color="auto"/>
                        <w:right w:val="none" w:sz="0" w:space="0" w:color="auto"/>
                      </w:divBdr>
                    </w:div>
                  </w:divsChild>
                </w:div>
                <w:div w:id="251159376">
                  <w:marLeft w:val="0"/>
                  <w:marRight w:val="0"/>
                  <w:marTop w:val="0"/>
                  <w:marBottom w:val="0"/>
                  <w:divBdr>
                    <w:top w:val="none" w:sz="0" w:space="0" w:color="auto"/>
                    <w:left w:val="none" w:sz="0" w:space="0" w:color="auto"/>
                    <w:bottom w:val="none" w:sz="0" w:space="0" w:color="auto"/>
                    <w:right w:val="none" w:sz="0" w:space="0" w:color="auto"/>
                  </w:divBdr>
                  <w:divsChild>
                    <w:div w:id="1281374192">
                      <w:marLeft w:val="0"/>
                      <w:marRight w:val="0"/>
                      <w:marTop w:val="0"/>
                      <w:marBottom w:val="0"/>
                      <w:divBdr>
                        <w:top w:val="none" w:sz="0" w:space="0" w:color="auto"/>
                        <w:left w:val="none" w:sz="0" w:space="0" w:color="auto"/>
                        <w:bottom w:val="none" w:sz="0" w:space="0" w:color="auto"/>
                        <w:right w:val="none" w:sz="0" w:space="0" w:color="auto"/>
                      </w:divBdr>
                    </w:div>
                  </w:divsChild>
                </w:div>
                <w:div w:id="1298798031">
                  <w:marLeft w:val="0"/>
                  <w:marRight w:val="0"/>
                  <w:marTop w:val="0"/>
                  <w:marBottom w:val="0"/>
                  <w:divBdr>
                    <w:top w:val="none" w:sz="0" w:space="0" w:color="auto"/>
                    <w:left w:val="none" w:sz="0" w:space="0" w:color="auto"/>
                    <w:bottom w:val="none" w:sz="0" w:space="0" w:color="auto"/>
                    <w:right w:val="none" w:sz="0" w:space="0" w:color="auto"/>
                  </w:divBdr>
                  <w:divsChild>
                    <w:div w:id="739056931">
                      <w:marLeft w:val="0"/>
                      <w:marRight w:val="0"/>
                      <w:marTop w:val="0"/>
                      <w:marBottom w:val="0"/>
                      <w:divBdr>
                        <w:top w:val="none" w:sz="0" w:space="0" w:color="auto"/>
                        <w:left w:val="none" w:sz="0" w:space="0" w:color="auto"/>
                        <w:bottom w:val="none" w:sz="0" w:space="0" w:color="auto"/>
                        <w:right w:val="none" w:sz="0" w:space="0" w:color="auto"/>
                      </w:divBdr>
                    </w:div>
                  </w:divsChild>
                </w:div>
                <w:div w:id="1063525951">
                  <w:marLeft w:val="0"/>
                  <w:marRight w:val="0"/>
                  <w:marTop w:val="0"/>
                  <w:marBottom w:val="0"/>
                  <w:divBdr>
                    <w:top w:val="none" w:sz="0" w:space="0" w:color="auto"/>
                    <w:left w:val="none" w:sz="0" w:space="0" w:color="auto"/>
                    <w:bottom w:val="none" w:sz="0" w:space="0" w:color="auto"/>
                    <w:right w:val="none" w:sz="0" w:space="0" w:color="auto"/>
                  </w:divBdr>
                  <w:divsChild>
                    <w:div w:id="117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559">
          <w:marLeft w:val="0"/>
          <w:marRight w:val="0"/>
          <w:marTop w:val="0"/>
          <w:marBottom w:val="0"/>
          <w:divBdr>
            <w:top w:val="none" w:sz="0" w:space="0" w:color="auto"/>
            <w:left w:val="none" w:sz="0" w:space="0" w:color="auto"/>
            <w:bottom w:val="none" w:sz="0" w:space="0" w:color="auto"/>
            <w:right w:val="none" w:sz="0" w:space="0" w:color="auto"/>
          </w:divBdr>
        </w:div>
        <w:div w:id="1058825861">
          <w:marLeft w:val="0"/>
          <w:marRight w:val="0"/>
          <w:marTop w:val="0"/>
          <w:marBottom w:val="0"/>
          <w:divBdr>
            <w:top w:val="none" w:sz="0" w:space="0" w:color="auto"/>
            <w:left w:val="none" w:sz="0" w:space="0" w:color="auto"/>
            <w:bottom w:val="none" w:sz="0" w:space="0" w:color="auto"/>
            <w:right w:val="none" w:sz="0" w:space="0" w:color="auto"/>
          </w:divBdr>
        </w:div>
        <w:div w:id="485049849">
          <w:marLeft w:val="0"/>
          <w:marRight w:val="0"/>
          <w:marTop w:val="0"/>
          <w:marBottom w:val="0"/>
          <w:divBdr>
            <w:top w:val="none" w:sz="0" w:space="0" w:color="auto"/>
            <w:left w:val="none" w:sz="0" w:space="0" w:color="auto"/>
            <w:bottom w:val="none" w:sz="0" w:space="0" w:color="auto"/>
            <w:right w:val="none" w:sz="0" w:space="0" w:color="auto"/>
          </w:divBdr>
        </w:div>
        <w:div w:id="1856000505">
          <w:marLeft w:val="0"/>
          <w:marRight w:val="0"/>
          <w:marTop w:val="0"/>
          <w:marBottom w:val="0"/>
          <w:divBdr>
            <w:top w:val="none" w:sz="0" w:space="0" w:color="auto"/>
            <w:left w:val="none" w:sz="0" w:space="0" w:color="auto"/>
            <w:bottom w:val="none" w:sz="0" w:space="0" w:color="auto"/>
            <w:right w:val="none" w:sz="0" w:space="0" w:color="auto"/>
          </w:divBdr>
        </w:div>
        <w:div w:id="1800152014">
          <w:marLeft w:val="0"/>
          <w:marRight w:val="0"/>
          <w:marTop w:val="0"/>
          <w:marBottom w:val="0"/>
          <w:divBdr>
            <w:top w:val="none" w:sz="0" w:space="0" w:color="auto"/>
            <w:left w:val="none" w:sz="0" w:space="0" w:color="auto"/>
            <w:bottom w:val="none" w:sz="0" w:space="0" w:color="auto"/>
            <w:right w:val="none" w:sz="0" w:space="0" w:color="auto"/>
          </w:divBdr>
        </w:div>
      </w:divsChild>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6517156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651344">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footer" Target="footer4.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cri/analyza-ctvrtletnich-sektorovych-uctu-3-ctvrtleti-2023" TargetMode="External"/><Relationship Id="rId2" Type="http://schemas.openxmlformats.org/officeDocument/2006/relationships/hyperlink" Target="https://www.czso.cz/csu/czso/metodicka-poznamka-k-indexu-spotrebitelskych-cen-imputovane-najemne" TargetMode="External"/><Relationship Id="rId1" Type="http://schemas.openxmlformats.org/officeDocument/2006/relationships/hyperlink" Target="https://www.czso.cz/csu/czso/aktualizace-metody-propoctu-zahranicni-obchod-se-zbozi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zabojnikova31519.CZSO\Documents\Anal&#253;za\Q\2023Q4\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zabojnikova31519.CZSO\Documents\Anal&#253;za\Q\2023Q4\Makroanal&#253;za%20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QMakro-2023\Ceolorok-2023\Trh%20pr&#225;ce\Grafy-Trh%20pr&#225;ce%20celorok-rok-202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QMakro-2023\Ceolorok-2023\Trh%20pr&#225;ce\Grafy-Trh%20pr&#225;ce%20celorok-rok-202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Trh%20pr&#225;ce\Grafy-Trh%20pr&#225;ce%20celorok-rok-202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zabojnikova31519.CZSO\Documents\Anal&#253;za\Q\2023Q4\Makroanal&#253;za%20graf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Rozpo&#269;et\Grafy-st&#225;tn&#237;%20rozpo&#269;et-4q-202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Rozpo&#269;et\Grafy-st&#225;tn&#237;%20rozpo&#269;et-4q-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Odv&#283;tv&#237;\Odv&#283;tv&#237;_grafy_rok_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Odv&#283;tv&#237;\Odv&#283;tv&#237;_grafy_rok_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QMakro-2023\Ceolorok-2023\Odv&#283;tv&#237;\Odv&#283;tv&#237;_grafy_rok_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Odv&#283;tv&#237;\Odv&#283;tv&#237;_grafy_rok_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Odv&#283;tv&#237;\Odv&#283;tv&#237;_grafy_rok_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1'!$A$5:$B$28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1'!$C$5:$C$28</c:f>
              <c:numCache>
                <c:formatCode>0.0</c:formatCode>
                <c:ptCount val="24"/>
                <c:pt idx="0">
                  <c:v>4.7409690869492067</c:v>
                </c:pt>
                <c:pt idx="1">
                  <c:v>2.8084745992628513</c:v>
                </c:pt>
                <c:pt idx="2">
                  <c:v>2.6946757492296172</c:v>
                </c:pt>
                <c:pt idx="3">
                  <c:v>2.6327282626460686</c:v>
                </c:pt>
                <c:pt idx="4">
                  <c:v>2.9925598229108203</c:v>
                </c:pt>
                <c:pt idx="5">
                  <c:v>3.0577797411869341</c:v>
                </c:pt>
                <c:pt idx="6">
                  <c:v>3.022282133028483</c:v>
                </c:pt>
                <c:pt idx="7">
                  <c:v>2.7919398416799623</c:v>
                </c:pt>
                <c:pt idx="8">
                  <c:v>-1.4737630559722419</c:v>
                </c:pt>
                <c:pt idx="9">
                  <c:v>-10.802828827516109</c:v>
                </c:pt>
                <c:pt idx="10">
                  <c:v>-5.2166971565464166</c:v>
                </c:pt>
                <c:pt idx="11">
                  <c:v>-4.5664791785978451</c:v>
                </c:pt>
                <c:pt idx="12">
                  <c:v>-1.9186413648622107</c:v>
                </c:pt>
                <c:pt idx="13">
                  <c:v>9.1792884100474765</c:v>
                </c:pt>
                <c:pt idx="14">
                  <c:v>3.8208995035486311</c:v>
                </c:pt>
                <c:pt idx="15">
                  <c:v>3.4133294018282072</c:v>
                </c:pt>
                <c:pt idx="16">
                  <c:v>4.6716662414814749</c:v>
                </c:pt>
                <c:pt idx="17">
                  <c:v>3.3523436073729584</c:v>
                </c:pt>
                <c:pt idx="18">
                  <c:v>1.3389936645339446</c:v>
                </c:pt>
                <c:pt idx="19">
                  <c:v>0.14557645670561215</c:v>
                </c:pt>
                <c:pt idx="20">
                  <c:v>-0.31742254829522665</c:v>
                </c:pt>
                <c:pt idx="21">
                  <c:v>-0.23214678944495404</c:v>
                </c:pt>
                <c:pt idx="22" formatCode="General">
                  <c:v>-0.80311139413963417</c:v>
                </c:pt>
                <c:pt idx="23" formatCode="General">
                  <c:v>-0.21139694650983643</c:v>
                </c:pt>
              </c:numCache>
            </c:numRef>
          </c:val>
          <c:extLst>
            <c:ext xmlns:c16="http://schemas.microsoft.com/office/drawing/2014/chart" uri="{C3380CC4-5D6E-409C-BE32-E72D297353CC}">
              <c16:uniqueId val="{00000000-F7F6-4753-AA26-E459EE5018AC}"/>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1'!$A$5:$B$28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1'!$D$5:$D$28</c:f>
              <c:numCache>
                <c:formatCode>#\ ##0.##########</c:formatCode>
                <c:ptCount val="24"/>
                <c:pt idx="0">
                  <c:v>2.6</c:v>
                </c:pt>
                <c:pt idx="1">
                  <c:v>2.4</c:v>
                </c:pt>
                <c:pt idx="2">
                  <c:v>1.7</c:v>
                </c:pt>
                <c:pt idx="3">
                  <c:v>1.6</c:v>
                </c:pt>
                <c:pt idx="4">
                  <c:v>2.1</c:v>
                </c:pt>
                <c:pt idx="5">
                  <c:v>1.9</c:v>
                </c:pt>
                <c:pt idx="6" formatCode="#\ ##0.0">
                  <c:v>2</c:v>
                </c:pt>
                <c:pt idx="7">
                  <c:v>1.4</c:v>
                </c:pt>
                <c:pt idx="8">
                  <c:v>-2.2999999999999998</c:v>
                </c:pt>
                <c:pt idx="9">
                  <c:v>-13.3</c:v>
                </c:pt>
                <c:pt idx="10">
                  <c:v>-3.8</c:v>
                </c:pt>
                <c:pt idx="11">
                  <c:v>-3.7</c:v>
                </c:pt>
                <c:pt idx="12">
                  <c:v>-0.1</c:v>
                </c:pt>
                <c:pt idx="13">
                  <c:v>14.4</c:v>
                </c:pt>
                <c:pt idx="14">
                  <c:v>4.9000000000000004</c:v>
                </c:pt>
                <c:pt idx="15">
                  <c:v>5.5</c:v>
                </c:pt>
                <c:pt idx="16">
                  <c:v>5.6</c:v>
                </c:pt>
                <c:pt idx="17">
                  <c:v>4.2</c:v>
                </c:pt>
                <c:pt idx="18">
                  <c:v>2.6</c:v>
                </c:pt>
                <c:pt idx="19">
                  <c:v>1.7</c:v>
                </c:pt>
                <c:pt idx="20">
                  <c:v>1.2</c:v>
                </c:pt>
                <c:pt idx="21">
                  <c:v>0.6</c:v>
                </c:pt>
                <c:pt idx="22">
                  <c:v>0.1</c:v>
                </c:pt>
                <c:pt idx="23" formatCode="General">
                  <c:v>0.2</c:v>
                </c:pt>
              </c:numCache>
            </c:numRef>
          </c:val>
          <c:extLst>
            <c:ext xmlns:c16="http://schemas.microsoft.com/office/drawing/2014/chart" uri="{C3380CC4-5D6E-409C-BE32-E72D297353CC}">
              <c16:uniqueId val="{00000001-F7F6-4753-AA26-E459EE5018AC}"/>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1'!$A$5:$B$28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1'!$E$5:$E$28</c:f>
              <c:numCache>
                <c:formatCode>0.0</c:formatCode>
                <c:ptCount val="24"/>
                <c:pt idx="0">
                  <c:v>0.51859772519729574</c:v>
                </c:pt>
                <c:pt idx="1">
                  <c:v>0.5912374750303826</c:v>
                </c:pt>
                <c:pt idx="2">
                  <c:v>0.73257343037091971</c:v>
                </c:pt>
                <c:pt idx="3">
                  <c:v>0.76492186562109055</c:v>
                </c:pt>
                <c:pt idx="4">
                  <c:v>0.87101711877043897</c:v>
                </c:pt>
                <c:pt idx="5">
                  <c:v>0.65493675873298685</c:v>
                </c:pt>
                <c:pt idx="6">
                  <c:v>0.69787672499455766</c:v>
                </c:pt>
                <c:pt idx="7">
                  <c:v>0.53962669151388809</c:v>
                </c:pt>
                <c:pt idx="8">
                  <c:v>-3.3149705245738517</c:v>
                </c:pt>
                <c:pt idx="9">
                  <c:v>-8.8756873103285301</c:v>
                </c:pt>
                <c:pt idx="10">
                  <c:v>7.0042605595799046</c:v>
                </c:pt>
                <c:pt idx="11">
                  <c:v>1.2293333255930037</c:v>
                </c:pt>
                <c:pt idx="12">
                  <c:v>-0.63240914714887708</c:v>
                </c:pt>
                <c:pt idx="13">
                  <c:v>1.4350510102822795</c:v>
                </c:pt>
                <c:pt idx="14">
                  <c:v>1.7526194188431674</c:v>
                </c:pt>
                <c:pt idx="15">
                  <c:v>0.83193694511574279</c:v>
                </c:pt>
                <c:pt idx="16">
                  <c:v>0.57669901096760157</c:v>
                </c:pt>
                <c:pt idx="17">
                  <c:v>0.15652394087383925</c:v>
                </c:pt>
                <c:pt idx="18">
                  <c:v>-0.2295671803200463</c:v>
                </c:pt>
                <c:pt idx="19">
                  <c:v>-0.35550891651683969</c:v>
                </c:pt>
                <c:pt idx="20">
                  <c:v>0.11170681444774289</c:v>
                </c:pt>
                <c:pt idx="21">
                  <c:v>0.24220514817412209</c:v>
                </c:pt>
                <c:pt idx="22" formatCode="General">
                  <c:v>-0.80054654794142266</c:v>
                </c:pt>
                <c:pt idx="23" formatCode="General">
                  <c:v>0.23887550248531397</c:v>
                </c:pt>
              </c:numCache>
            </c:numRef>
          </c:val>
          <c:smooth val="0"/>
          <c:extLst>
            <c:ext xmlns:c16="http://schemas.microsoft.com/office/drawing/2014/chart" uri="{C3380CC4-5D6E-409C-BE32-E72D297353CC}">
              <c16:uniqueId val="{00000002-F7F6-4753-AA26-E459EE5018AC}"/>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1'!$A$5:$B$28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1'!$F$5:$F$28</c:f>
              <c:numCache>
                <c:formatCode>#\ ##0.##########</c:formatCode>
                <c:ptCount val="24"/>
                <c:pt idx="0">
                  <c:v>0.1</c:v>
                </c:pt>
                <c:pt idx="1">
                  <c:v>0.6</c:v>
                </c:pt>
                <c:pt idx="2">
                  <c:v>0.1</c:v>
                </c:pt>
                <c:pt idx="3">
                  <c:v>0.7</c:v>
                </c:pt>
                <c:pt idx="4">
                  <c:v>0.6</c:v>
                </c:pt>
                <c:pt idx="5">
                  <c:v>0.4</c:v>
                </c:pt>
                <c:pt idx="6">
                  <c:v>0.2</c:v>
                </c:pt>
                <c:pt idx="7">
                  <c:v>0.1</c:v>
                </c:pt>
                <c:pt idx="8" formatCode="#\ ##0.0">
                  <c:v>-3</c:v>
                </c:pt>
                <c:pt idx="9">
                  <c:v>-10.9</c:v>
                </c:pt>
                <c:pt idx="10">
                  <c:v>11.3</c:v>
                </c:pt>
                <c:pt idx="11">
                  <c:v>0.1</c:v>
                </c:pt>
                <c:pt idx="12">
                  <c:v>0.5</c:v>
                </c:pt>
                <c:pt idx="13">
                  <c:v>2.1</c:v>
                </c:pt>
                <c:pt idx="14" formatCode="#\ ##0.0">
                  <c:v>2</c:v>
                </c:pt>
                <c:pt idx="15">
                  <c:v>0.7</c:v>
                </c:pt>
                <c:pt idx="16">
                  <c:v>0.7</c:v>
                </c:pt>
                <c:pt idx="17">
                  <c:v>0.7</c:v>
                </c:pt>
                <c:pt idx="18">
                  <c:v>0.4</c:v>
                </c:pt>
                <c:pt idx="19">
                  <c:v>-0.1</c:v>
                </c:pt>
                <c:pt idx="20">
                  <c:v>0.1</c:v>
                </c:pt>
                <c:pt idx="21" formatCode="#\ ##0.0">
                  <c:v>0.1</c:v>
                </c:pt>
                <c:pt idx="22" formatCode="#\ ##0.0">
                  <c:v>0</c:v>
                </c:pt>
                <c:pt idx="23" formatCode="General">
                  <c:v>0</c:v>
                </c:pt>
              </c:numCache>
            </c:numRef>
          </c:val>
          <c:smooth val="0"/>
          <c:extLst>
            <c:ext xmlns:c16="http://schemas.microsoft.com/office/drawing/2014/chart" uri="{C3380CC4-5D6E-409C-BE32-E72D297353CC}">
              <c16:uniqueId val="{00000003-F7F6-4753-AA26-E459EE5018AC}"/>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511717884667392E-2"/>
          <c:y val="2.3304908251716772E-2"/>
          <c:w val="0.92378402700888496"/>
          <c:h val="0.69508533791523486"/>
        </c:manualLayout>
      </c:layout>
      <c:barChart>
        <c:barDir val="col"/>
        <c:grouping val="clustered"/>
        <c:varyColors val="0"/>
        <c:ser>
          <c:idx val="1"/>
          <c:order val="1"/>
          <c:tx>
            <c:strRef>
              <c:f>'Vnější vztahy 2'!$A$7</c:f>
              <c:strCache>
                <c:ptCount val="1"/>
                <c:pt idx="0">
                  <c:v>2022</c:v>
                </c:pt>
              </c:strCache>
            </c:strRef>
          </c:tx>
          <c:spPr>
            <a:solidFill>
              <a:schemeClr val="bg1">
                <a:lumMod val="65000"/>
              </a:schemeClr>
            </a:solidFill>
          </c:spPr>
          <c:invertIfNegative val="0"/>
          <c:cat>
            <c:strRef>
              <c:f>'Vnější vztahy 2'!$B$5:$O$5</c:f>
              <c:strCache>
                <c:ptCount val="14"/>
                <c:pt idx="0">
                  <c:v>Ropa a zemní plyn</c:v>
                </c:pt>
                <c:pt idx="1">
                  <c:v>Potravinářské výrobky</c:v>
                </c:pt>
                <c:pt idx="2">
                  <c:v>Oděvy</c:v>
                </c:pt>
                <c:pt idx="3">
                  <c:v>Koks a rafinované                                                                                  ropné produkty</c:v>
                </c:pt>
                <c:pt idx="4">
                  <c:v>Chemické látky                                                                       a přípravky</c:v>
                </c:pt>
                <c:pt idx="5">
                  <c:v>Základní farmaceutické                                                                                            výrobky a přípravky</c:v>
                </c:pt>
                <c:pt idx="6">
                  <c:v>Ostatní nekovové                                                                                   minerální výrobky</c:v>
                </c:pt>
                <c:pt idx="7">
                  <c:v>Základní kovy</c:v>
                </c:pt>
                <c:pt idx="8">
                  <c:v>Kovodělné výrobky</c:v>
                </c:pt>
                <c:pt idx="9">
                  <c:v>Počítače, elektron.                                                                                   a opt. přístroje a zařízení</c:v>
                </c:pt>
                <c:pt idx="10">
                  <c:v>Stroje a zařízení j. n.</c:v>
                </c:pt>
                <c:pt idx="11">
                  <c:v>Motorová vozidla</c:v>
                </c:pt>
                <c:pt idx="12">
                  <c:v>Elektřina, plyn,                                                                                                  pára a klim. vzduch</c:v>
                </c:pt>
                <c:pt idx="13">
                  <c:v>Služby související                                                                                    s odpady</c:v>
                </c:pt>
              </c:strCache>
            </c:strRef>
          </c:cat>
          <c:val>
            <c:numRef>
              <c:f>'Vnější vztahy 2'!$B$7:$O$7</c:f>
              <c:numCache>
                <c:formatCode>General</c:formatCode>
                <c:ptCount val="14"/>
                <c:pt idx="0">
                  <c:v>-330.88918875499979</c:v>
                </c:pt>
                <c:pt idx="1">
                  <c:v>-60.595386674000011</c:v>
                </c:pt>
                <c:pt idx="2">
                  <c:v>-46.208999618000028</c:v>
                </c:pt>
                <c:pt idx="3">
                  <c:v>-49.338081061999979</c:v>
                </c:pt>
                <c:pt idx="4">
                  <c:v>-157.77508681400002</c:v>
                </c:pt>
                <c:pt idx="5">
                  <c:v>-71.862649914000002</c:v>
                </c:pt>
                <c:pt idx="6">
                  <c:v>30.512399356000003</c:v>
                </c:pt>
                <c:pt idx="7">
                  <c:v>-184.71658844799998</c:v>
                </c:pt>
                <c:pt idx="8">
                  <c:v>75.83413523199998</c:v>
                </c:pt>
                <c:pt idx="9">
                  <c:v>-76.47097996399998</c:v>
                </c:pt>
                <c:pt idx="10">
                  <c:v>94.465779221999981</c:v>
                </c:pt>
                <c:pt idx="11">
                  <c:v>460.52346796099977</c:v>
                </c:pt>
                <c:pt idx="12">
                  <c:v>82.566028493000005</c:v>
                </c:pt>
                <c:pt idx="13">
                  <c:v>29.829011276999989</c:v>
                </c:pt>
              </c:numCache>
            </c:numRef>
          </c:val>
          <c:extLst>
            <c:ext xmlns:c16="http://schemas.microsoft.com/office/drawing/2014/chart" uri="{C3380CC4-5D6E-409C-BE32-E72D297353CC}">
              <c16:uniqueId val="{00000000-089C-4931-9336-EDD7169EA893}"/>
            </c:ext>
          </c:extLst>
        </c:ser>
        <c:ser>
          <c:idx val="2"/>
          <c:order val="2"/>
          <c:tx>
            <c:strRef>
              <c:f>'Vnější vztahy 2'!$A$8</c:f>
              <c:strCache>
                <c:ptCount val="1"/>
                <c:pt idx="0">
                  <c:v>2023</c:v>
                </c:pt>
              </c:strCache>
            </c:strRef>
          </c:tx>
          <c:spPr>
            <a:solidFill>
              <a:srgbClr val="C00000"/>
            </a:solidFill>
          </c:spPr>
          <c:invertIfNegative val="0"/>
          <c:cat>
            <c:strRef>
              <c:f>'Vnější vztahy 2'!$B$5:$O$5</c:f>
              <c:strCache>
                <c:ptCount val="14"/>
                <c:pt idx="0">
                  <c:v>Ropa a zemní plyn</c:v>
                </c:pt>
                <c:pt idx="1">
                  <c:v>Potravinářské výrobky</c:v>
                </c:pt>
                <c:pt idx="2">
                  <c:v>Oděvy</c:v>
                </c:pt>
                <c:pt idx="3">
                  <c:v>Koks a rafinované                                                                                  ropné produkty</c:v>
                </c:pt>
                <c:pt idx="4">
                  <c:v>Chemické látky                                                                       a přípravky</c:v>
                </c:pt>
                <c:pt idx="5">
                  <c:v>Základní farmaceutické                                                                                            výrobky a přípravky</c:v>
                </c:pt>
                <c:pt idx="6">
                  <c:v>Ostatní nekovové                                                                                   minerální výrobky</c:v>
                </c:pt>
                <c:pt idx="7">
                  <c:v>Základní kovy</c:v>
                </c:pt>
                <c:pt idx="8">
                  <c:v>Kovodělné výrobky</c:v>
                </c:pt>
                <c:pt idx="9">
                  <c:v>Počítače, elektron.                                                                                   a opt. přístroje a zařízení</c:v>
                </c:pt>
                <c:pt idx="10">
                  <c:v>Stroje a zařízení j. n.</c:v>
                </c:pt>
                <c:pt idx="11">
                  <c:v>Motorová vozidla</c:v>
                </c:pt>
                <c:pt idx="12">
                  <c:v>Elektřina, plyn,                                                                                                  pára a klim. vzduch</c:v>
                </c:pt>
                <c:pt idx="13">
                  <c:v>Služby související                                                                                    s odpady</c:v>
                </c:pt>
              </c:strCache>
            </c:strRef>
          </c:cat>
          <c:val>
            <c:numRef>
              <c:f>'Vnější vztahy 2'!$B$8:$O$8</c:f>
              <c:numCache>
                <c:formatCode>General</c:formatCode>
                <c:ptCount val="14"/>
                <c:pt idx="0">
                  <c:v>-182.69587203700002</c:v>
                </c:pt>
                <c:pt idx="1">
                  <c:v>-53.466054400000004</c:v>
                </c:pt>
                <c:pt idx="2">
                  <c:v>-38.682484752999997</c:v>
                </c:pt>
                <c:pt idx="3">
                  <c:v>-39.517012753000003</c:v>
                </c:pt>
                <c:pt idx="4">
                  <c:v>-138.98413868200012</c:v>
                </c:pt>
                <c:pt idx="5">
                  <c:v>-63.228412165000037</c:v>
                </c:pt>
                <c:pt idx="6">
                  <c:v>29.22750294399998</c:v>
                </c:pt>
                <c:pt idx="7">
                  <c:v>-158.34045648900013</c:v>
                </c:pt>
                <c:pt idx="8">
                  <c:v>71.845255144999982</c:v>
                </c:pt>
                <c:pt idx="9">
                  <c:v>-79.761334891000004</c:v>
                </c:pt>
                <c:pt idx="10">
                  <c:v>119.12331264299989</c:v>
                </c:pt>
                <c:pt idx="11">
                  <c:v>573.14303008100001</c:v>
                </c:pt>
                <c:pt idx="12">
                  <c:v>30.638105398000015</c:v>
                </c:pt>
                <c:pt idx="13">
                  <c:v>25.606370879</c:v>
                </c:pt>
              </c:numCache>
            </c:numRef>
          </c:val>
          <c:extLst>
            <c:ext xmlns:c16="http://schemas.microsoft.com/office/drawing/2014/chart" uri="{C3380CC4-5D6E-409C-BE32-E72D297353CC}">
              <c16:uniqueId val="{00000001-089C-4931-9336-EDD7169EA893}"/>
            </c:ext>
          </c:extLst>
        </c:ser>
        <c:dLbls>
          <c:showLegendKey val="0"/>
          <c:showVal val="0"/>
          <c:showCatName val="0"/>
          <c:showSerName val="0"/>
          <c:showPercent val="0"/>
          <c:showBubbleSize val="0"/>
        </c:dLbls>
        <c:gapWidth val="97"/>
        <c:axId val="194621824"/>
        <c:axId val="194623744"/>
        <c:extLst>
          <c:ext xmlns:c15="http://schemas.microsoft.com/office/drawing/2012/chart" uri="{02D57815-91ED-43cb-92C2-25804820EDAC}">
            <c15:filteredBarSeries>
              <c15:ser>
                <c:idx val="0"/>
                <c:order val="0"/>
                <c:tx>
                  <c:strRef>
                    <c:extLst>
                      <c:ext uri="{02D57815-91ED-43cb-92C2-25804820EDAC}">
                        <c15:formulaRef>
                          <c15:sqref>'Vnější vztahy 2'!$A$6</c15:sqref>
                        </c15:formulaRef>
                      </c:ext>
                    </c:extLst>
                    <c:strCache>
                      <c:ptCount val="1"/>
                      <c:pt idx="0">
                        <c:v>2021</c:v>
                      </c:pt>
                    </c:strCache>
                  </c:strRef>
                </c:tx>
                <c:spPr>
                  <a:solidFill>
                    <a:schemeClr val="tx1">
                      <a:lumMod val="50000"/>
                      <a:lumOff val="50000"/>
                    </a:schemeClr>
                  </a:solidFill>
                  <a:ln>
                    <a:noFill/>
                  </a:ln>
                </c:spPr>
                <c:invertIfNegative val="0"/>
                <c:cat>
                  <c:strRef>
                    <c:extLst>
                      <c:ext uri="{02D57815-91ED-43cb-92C2-25804820EDAC}">
                        <c15:formulaRef>
                          <c15:sqref>'Vnější vztahy 2'!$B$5:$O$5</c15:sqref>
                        </c15:formulaRef>
                      </c:ext>
                    </c:extLst>
                    <c:strCache>
                      <c:ptCount val="14"/>
                      <c:pt idx="0">
                        <c:v>Ropa a zemní plyn</c:v>
                      </c:pt>
                      <c:pt idx="1">
                        <c:v>Potravinářské výrobky</c:v>
                      </c:pt>
                      <c:pt idx="2">
                        <c:v>Oděvy</c:v>
                      </c:pt>
                      <c:pt idx="3">
                        <c:v>Koks a rafinované                                                                                  ropné produkty</c:v>
                      </c:pt>
                      <c:pt idx="4">
                        <c:v>Chemické látky                                                                       a přípravky</c:v>
                      </c:pt>
                      <c:pt idx="5">
                        <c:v>Základní farmaceutické                                                                                            výrobky a přípravky</c:v>
                      </c:pt>
                      <c:pt idx="6">
                        <c:v>Ostatní nekovové                                                                                   minerální výrobky</c:v>
                      </c:pt>
                      <c:pt idx="7">
                        <c:v>Základní kovy</c:v>
                      </c:pt>
                      <c:pt idx="8">
                        <c:v>Kovodělné výrobky</c:v>
                      </c:pt>
                      <c:pt idx="9">
                        <c:v>Počítače, elektron.                                                                                   a opt. přístroje a zařízení</c:v>
                      </c:pt>
                      <c:pt idx="10">
                        <c:v>Stroje a zařízení j. n.</c:v>
                      </c:pt>
                      <c:pt idx="11">
                        <c:v>Motorová vozidla</c:v>
                      </c:pt>
                      <c:pt idx="12">
                        <c:v>Elektřina, plyn,                                                                                                  pára a klim. vzduch</c:v>
                      </c:pt>
                      <c:pt idx="13">
                        <c:v>Služby související                                                                                    s odpady</c:v>
                      </c:pt>
                    </c:strCache>
                  </c:strRef>
                </c:cat>
                <c:val>
                  <c:numRef>
                    <c:extLst>
                      <c:ext uri="{02D57815-91ED-43cb-92C2-25804820EDAC}">
                        <c15:formulaRef>
                          <c15:sqref>'Vnější vztahy 2'!$B$6:$O$6</c15:sqref>
                        </c15:formulaRef>
                      </c:ext>
                    </c:extLst>
                    <c:numCache>
                      <c:formatCode>General</c:formatCode>
                      <c:ptCount val="14"/>
                      <c:pt idx="0">
                        <c:v>-153.86668029099999</c:v>
                      </c:pt>
                      <c:pt idx="1">
                        <c:v>-54.645038548999999</c:v>
                      </c:pt>
                      <c:pt idx="2">
                        <c:v>-36.171383530999996</c:v>
                      </c:pt>
                      <c:pt idx="3">
                        <c:v>-26.521202938000002</c:v>
                      </c:pt>
                      <c:pt idx="4">
                        <c:v>-141.32686977699998</c:v>
                      </c:pt>
                      <c:pt idx="5">
                        <c:v>-74.679230379999993</c:v>
                      </c:pt>
                      <c:pt idx="6">
                        <c:v>26.090102950000002</c:v>
                      </c:pt>
                      <c:pt idx="7">
                        <c:v>-155.29868747500001</c:v>
                      </c:pt>
                      <c:pt idx="8">
                        <c:v>66.780931019999983</c:v>
                      </c:pt>
                      <c:pt idx="9">
                        <c:v>-64.711664618</c:v>
                      </c:pt>
                      <c:pt idx="10">
                        <c:v>91.675185939999992</c:v>
                      </c:pt>
                      <c:pt idx="11">
                        <c:v>426.56033102399999</c:v>
                      </c:pt>
                      <c:pt idx="12">
                        <c:v>35.950508102999997</c:v>
                      </c:pt>
                      <c:pt idx="13">
                        <c:v>31.311461763000001</c:v>
                      </c:pt>
                    </c:numCache>
                  </c:numRef>
                </c:val>
                <c:extLst>
                  <c:ext xmlns:c16="http://schemas.microsoft.com/office/drawing/2014/chart" uri="{C3380CC4-5D6E-409C-BE32-E72D297353CC}">
                    <c16:uniqueId val="{00000002-089C-4931-9336-EDD7169EA893}"/>
                  </c:ext>
                </c:extLst>
              </c15:ser>
            </c15:filteredBarSeries>
          </c:ext>
        </c:extLst>
      </c:barChart>
      <c:catAx>
        <c:axId val="194621824"/>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94623744"/>
        <c:crosses val="autoZero"/>
        <c:auto val="1"/>
        <c:lblAlgn val="ctr"/>
        <c:lblOffset val="100"/>
        <c:noMultiLvlLbl val="0"/>
      </c:catAx>
      <c:valAx>
        <c:axId val="194623744"/>
        <c:scaling>
          <c:orientation val="minMax"/>
          <c:max val="60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94621824"/>
        <c:crosses val="autoZero"/>
        <c:crossBetween val="between"/>
      </c:valAx>
      <c:spPr>
        <a:ln>
          <a:solidFill>
            <a:schemeClr val="tx1"/>
          </a:solidFill>
        </a:ln>
      </c:spPr>
    </c:plotArea>
    <c:legend>
      <c:legendPos val="t"/>
      <c:layout>
        <c:manualLayout>
          <c:xMode val="edge"/>
          <c:yMode val="edge"/>
          <c:x val="0.13000383320266073"/>
          <c:y val="3.6368843069874028E-2"/>
          <c:w val="0.26887915184156158"/>
          <c:h val="5.3991695303550982E-2"/>
        </c:manualLayout>
      </c:layout>
      <c:overlay val="0"/>
      <c:spPr>
        <a:ln w="6350">
          <a:no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327E-2"/>
          <c:w val="0.92237743255066085"/>
          <c:h val="0.7147157521300419"/>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2'!$A$30:$B$53</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2'!$C$30:$C$53</c:f>
              <c:numCache>
                <c:formatCode>0.0</c:formatCode>
                <c:ptCount val="24"/>
                <c:pt idx="0">
                  <c:v>1.9000000000000001</c:v>
                </c:pt>
                <c:pt idx="1">
                  <c:v>2.2999999999999998</c:v>
                </c:pt>
                <c:pt idx="2">
                  <c:v>2.4</c:v>
                </c:pt>
                <c:pt idx="3">
                  <c:v>2.1</c:v>
                </c:pt>
                <c:pt idx="4">
                  <c:v>2.7</c:v>
                </c:pt>
                <c:pt idx="5">
                  <c:v>2.8</c:v>
                </c:pt>
                <c:pt idx="6">
                  <c:v>2.8</c:v>
                </c:pt>
                <c:pt idx="7">
                  <c:v>3</c:v>
                </c:pt>
                <c:pt idx="8">
                  <c:v>3.6</c:v>
                </c:pt>
                <c:pt idx="9">
                  <c:v>3.1</c:v>
                </c:pt>
                <c:pt idx="10">
                  <c:v>3.3</c:v>
                </c:pt>
                <c:pt idx="11">
                  <c:v>2.6</c:v>
                </c:pt>
                <c:pt idx="12">
                  <c:v>2.2000000000000002</c:v>
                </c:pt>
                <c:pt idx="13">
                  <c:v>2.9</c:v>
                </c:pt>
                <c:pt idx="14">
                  <c:v>4.0999999999999996</c:v>
                </c:pt>
                <c:pt idx="15">
                  <c:v>6.1</c:v>
                </c:pt>
                <c:pt idx="16">
                  <c:v>11.2</c:v>
                </c:pt>
                <c:pt idx="17">
                  <c:v>15.8</c:v>
                </c:pt>
                <c:pt idx="18">
                  <c:v>17.600000000000001</c:v>
                </c:pt>
                <c:pt idx="19">
                  <c:v>15.7</c:v>
                </c:pt>
                <c:pt idx="20">
                  <c:v>16.399999999999999</c:v>
                </c:pt>
                <c:pt idx="21">
                  <c:v>11.1</c:v>
                </c:pt>
                <c:pt idx="22">
                  <c:v>8</c:v>
                </c:pt>
                <c:pt idx="23">
                  <c:v>7.6</c:v>
                </c:pt>
              </c:numCache>
            </c:numRef>
          </c:val>
          <c:extLst>
            <c:ext xmlns:c16="http://schemas.microsoft.com/office/drawing/2014/chart" uri="{C3380CC4-5D6E-409C-BE32-E72D297353CC}">
              <c16:uniqueId val="{00000000-43F9-4589-AA60-B6610FB7AB68}"/>
            </c:ext>
          </c:extLst>
        </c:ser>
        <c:dLbls>
          <c:showLegendKey val="0"/>
          <c:showVal val="0"/>
          <c:showCatName val="0"/>
          <c:showSerName val="0"/>
          <c:showPercent val="0"/>
          <c:showBubbleSize val="0"/>
        </c:dLbls>
        <c:gapWidth val="95"/>
        <c:axId val="113584768"/>
        <c:axId val="113787264"/>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2'!$A$30:$B$53</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2'!$D$30:$D$53</c:f>
              <c:numCache>
                <c:formatCode>#\ ##0.0_ ;\-#\ ##0.0\ </c:formatCode>
                <c:ptCount val="24"/>
                <c:pt idx="0" formatCode="0.0">
                  <c:v>2.9</c:v>
                </c:pt>
                <c:pt idx="1">
                  <c:v>2.2999999999999998</c:v>
                </c:pt>
                <c:pt idx="2" formatCode="0.0">
                  <c:v>0.6000000000000002</c:v>
                </c:pt>
                <c:pt idx="3" formatCode="0.0">
                  <c:v>-0.5</c:v>
                </c:pt>
                <c:pt idx="4" formatCode="0.0">
                  <c:v>1</c:v>
                </c:pt>
                <c:pt idx="5" formatCode="0.0">
                  <c:v>2.5</c:v>
                </c:pt>
                <c:pt idx="6" formatCode="0.0">
                  <c:v>3.5</c:v>
                </c:pt>
                <c:pt idx="7" formatCode="0.0">
                  <c:v>4.3</c:v>
                </c:pt>
                <c:pt idx="8" formatCode="0.0">
                  <c:v>6.1</c:v>
                </c:pt>
                <c:pt idx="9" formatCode="0.0">
                  <c:v>6.5</c:v>
                </c:pt>
                <c:pt idx="10" formatCode="0.0">
                  <c:v>4</c:v>
                </c:pt>
                <c:pt idx="11" formatCode="0.0">
                  <c:v>1.7000000000000002</c:v>
                </c:pt>
                <c:pt idx="12" formatCode="0.0">
                  <c:v>0.3000000000000001</c:v>
                </c:pt>
                <c:pt idx="13" formatCode="0.0">
                  <c:v>-0.8</c:v>
                </c:pt>
                <c:pt idx="14" formatCode="0.0">
                  <c:v>1.4</c:v>
                </c:pt>
                <c:pt idx="15" formatCode="0.0">
                  <c:v>2.2999999999999998</c:v>
                </c:pt>
                <c:pt idx="16" formatCode="0.0">
                  <c:v>6.7</c:v>
                </c:pt>
                <c:pt idx="17" formatCode="0.0">
                  <c:v>14.6</c:v>
                </c:pt>
                <c:pt idx="18" formatCode="0.0">
                  <c:v>20</c:v>
                </c:pt>
                <c:pt idx="19" formatCode="0.0">
                  <c:v>25.5</c:v>
                </c:pt>
                <c:pt idx="20" formatCode="0.0">
                  <c:v>24.1</c:v>
                </c:pt>
                <c:pt idx="21" formatCode="0.0">
                  <c:v>14.6</c:v>
                </c:pt>
                <c:pt idx="22" formatCode="0.0">
                  <c:v>7.8</c:v>
                </c:pt>
                <c:pt idx="23" formatCode="0.0">
                  <c:v>1.6</c:v>
                </c:pt>
              </c:numCache>
            </c:numRef>
          </c:val>
          <c:smooth val="0"/>
          <c:extLst>
            <c:ext xmlns:c16="http://schemas.microsoft.com/office/drawing/2014/chart" uri="{C3380CC4-5D6E-409C-BE32-E72D297353CC}">
              <c16:uniqueId val="{00000001-43F9-4589-AA60-B6610FB7AB68}"/>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2'!$A$30:$B$53</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2'!$F$30:$F$53</c:f>
              <c:numCache>
                <c:formatCode>0.0</c:formatCode>
                <c:ptCount val="24"/>
                <c:pt idx="0">
                  <c:v>2.2999999999999998</c:v>
                </c:pt>
                <c:pt idx="1">
                  <c:v>2.6</c:v>
                </c:pt>
                <c:pt idx="2">
                  <c:v>3.2</c:v>
                </c:pt>
                <c:pt idx="3">
                  <c:v>3.8</c:v>
                </c:pt>
                <c:pt idx="4">
                  <c:v>5.4</c:v>
                </c:pt>
                <c:pt idx="5">
                  <c:v>5.7</c:v>
                </c:pt>
                <c:pt idx="6">
                  <c:v>5.2</c:v>
                </c:pt>
                <c:pt idx="7">
                  <c:v>5</c:v>
                </c:pt>
                <c:pt idx="8">
                  <c:v>4.2</c:v>
                </c:pt>
                <c:pt idx="9">
                  <c:v>3.2</c:v>
                </c:pt>
                <c:pt idx="10">
                  <c:v>2.7</c:v>
                </c:pt>
                <c:pt idx="11">
                  <c:v>1.4</c:v>
                </c:pt>
                <c:pt idx="12">
                  <c:v>0.6000000000000002</c:v>
                </c:pt>
                <c:pt idx="13">
                  <c:v>1.3</c:v>
                </c:pt>
                <c:pt idx="14">
                  <c:v>3.6</c:v>
                </c:pt>
                <c:pt idx="15">
                  <c:v>5.6</c:v>
                </c:pt>
                <c:pt idx="16">
                  <c:v>16</c:v>
                </c:pt>
                <c:pt idx="17">
                  <c:v>21.4</c:v>
                </c:pt>
                <c:pt idx="18">
                  <c:v>23.6</c:v>
                </c:pt>
                <c:pt idx="19">
                  <c:v>14.9</c:v>
                </c:pt>
                <c:pt idx="20">
                  <c:v>22.2</c:v>
                </c:pt>
                <c:pt idx="21">
                  <c:v>16</c:v>
                </c:pt>
                <c:pt idx="22">
                  <c:v>11.6</c:v>
                </c:pt>
                <c:pt idx="23">
                  <c:v>17.8</c:v>
                </c:pt>
              </c:numCache>
            </c:numRef>
          </c:val>
          <c:smooth val="0"/>
          <c:extLst>
            <c:ext xmlns:c16="http://schemas.microsoft.com/office/drawing/2014/chart" uri="{C3380CC4-5D6E-409C-BE32-E72D297353CC}">
              <c16:uniqueId val="{00000002-43F9-4589-AA60-B6610FB7AB68}"/>
            </c:ext>
          </c:extLst>
        </c:ser>
        <c:ser>
          <c:idx val="4"/>
          <c:order val="3"/>
          <c:tx>
            <c:strRef>
              <c:f>'Ceny 2'!$G$5</c:f>
              <c:strCache>
                <c:ptCount val="1"/>
                <c:pt idx="0">
                  <c:v>Doprava</c:v>
                </c:pt>
              </c:strCache>
            </c:strRef>
          </c:tx>
          <c:spPr>
            <a:ln w="19050">
              <a:solidFill>
                <a:srgbClr val="FFC000"/>
              </a:solidFill>
            </a:ln>
          </c:spPr>
          <c:marker>
            <c:symbol val="none"/>
          </c:marker>
          <c:cat>
            <c:multiLvlStrRef>
              <c:f>'Ceny 2'!$A$30:$B$53</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2'!$G$30:$G$53</c:f>
              <c:numCache>
                <c:formatCode>0.0</c:formatCode>
                <c:ptCount val="24"/>
                <c:pt idx="0">
                  <c:v>1</c:v>
                </c:pt>
                <c:pt idx="1">
                  <c:v>3</c:v>
                </c:pt>
                <c:pt idx="2">
                  <c:v>4.5</c:v>
                </c:pt>
                <c:pt idx="3">
                  <c:v>2.6</c:v>
                </c:pt>
                <c:pt idx="4">
                  <c:v>0.6000000000000002</c:v>
                </c:pt>
                <c:pt idx="5">
                  <c:v>0.8</c:v>
                </c:pt>
                <c:pt idx="6">
                  <c:v>-0.2</c:v>
                </c:pt>
                <c:pt idx="7">
                  <c:v>0.5</c:v>
                </c:pt>
                <c:pt idx="8" formatCode="General">
                  <c:v>1.7000000000000002</c:v>
                </c:pt>
                <c:pt idx="9">
                  <c:v>-3.4</c:v>
                </c:pt>
                <c:pt idx="10">
                  <c:v>-0.2</c:v>
                </c:pt>
                <c:pt idx="11">
                  <c:v>0.6000000000000002</c:v>
                </c:pt>
                <c:pt idx="12">
                  <c:v>2.4</c:v>
                </c:pt>
                <c:pt idx="13">
                  <c:v>9.1</c:v>
                </c:pt>
                <c:pt idx="14">
                  <c:v>8.8000000000000007</c:v>
                </c:pt>
                <c:pt idx="15">
                  <c:v>13.1</c:v>
                </c:pt>
                <c:pt idx="16">
                  <c:v>17.2</c:v>
                </c:pt>
                <c:pt idx="17">
                  <c:v>22.7</c:v>
                </c:pt>
                <c:pt idx="18">
                  <c:v>19.7</c:v>
                </c:pt>
                <c:pt idx="19">
                  <c:v>13.1</c:v>
                </c:pt>
                <c:pt idx="20">
                  <c:v>4.5</c:v>
                </c:pt>
                <c:pt idx="21">
                  <c:v>-4</c:v>
                </c:pt>
                <c:pt idx="22">
                  <c:v>-2.4</c:v>
                </c:pt>
                <c:pt idx="23">
                  <c:v>-1.6</c:v>
                </c:pt>
              </c:numCache>
            </c:numRef>
          </c:val>
          <c:smooth val="0"/>
          <c:extLst>
            <c:ext xmlns:c16="http://schemas.microsoft.com/office/drawing/2014/chart" uri="{C3380CC4-5D6E-409C-BE32-E72D297353CC}">
              <c16:uniqueId val="{00000003-43F9-4589-AA60-B6610FB7AB68}"/>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2'!$A$30:$B$53</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2'!$H$30:$H$53</c:f>
              <c:numCache>
                <c:formatCode>0.0</c:formatCode>
                <c:ptCount val="24"/>
                <c:pt idx="0">
                  <c:v>3.5</c:v>
                </c:pt>
                <c:pt idx="1">
                  <c:v>3.6</c:v>
                </c:pt>
                <c:pt idx="2">
                  <c:v>3.5</c:v>
                </c:pt>
                <c:pt idx="3">
                  <c:v>3.7</c:v>
                </c:pt>
                <c:pt idx="4">
                  <c:v>3.8</c:v>
                </c:pt>
                <c:pt idx="5">
                  <c:v>4</c:v>
                </c:pt>
                <c:pt idx="6">
                  <c:v>4.5</c:v>
                </c:pt>
                <c:pt idx="7">
                  <c:v>4.5999999999999996</c:v>
                </c:pt>
                <c:pt idx="8">
                  <c:v>5.5</c:v>
                </c:pt>
                <c:pt idx="9">
                  <c:v>5.0999999999999996</c:v>
                </c:pt>
                <c:pt idx="10">
                  <c:v>4.9000000000000004</c:v>
                </c:pt>
                <c:pt idx="11">
                  <c:v>4.3</c:v>
                </c:pt>
                <c:pt idx="12">
                  <c:v>3</c:v>
                </c:pt>
                <c:pt idx="13">
                  <c:v>2.9</c:v>
                </c:pt>
                <c:pt idx="14">
                  <c:v>4.5999999999999996</c:v>
                </c:pt>
                <c:pt idx="15">
                  <c:v>6.8</c:v>
                </c:pt>
                <c:pt idx="16">
                  <c:v>12.3</c:v>
                </c:pt>
                <c:pt idx="17">
                  <c:v>21.4</c:v>
                </c:pt>
                <c:pt idx="18">
                  <c:v>24.3</c:v>
                </c:pt>
                <c:pt idx="19">
                  <c:v>25.6</c:v>
                </c:pt>
                <c:pt idx="20">
                  <c:v>22.4</c:v>
                </c:pt>
                <c:pt idx="21">
                  <c:v>15.4</c:v>
                </c:pt>
                <c:pt idx="22">
                  <c:v>11.6</c:v>
                </c:pt>
                <c:pt idx="23">
                  <c:v>8.8000000000000007</c:v>
                </c:pt>
              </c:numCache>
            </c:numRef>
          </c:val>
          <c:smooth val="0"/>
          <c:extLst>
            <c:ext xmlns:c16="http://schemas.microsoft.com/office/drawing/2014/chart" uri="{C3380CC4-5D6E-409C-BE32-E72D297353CC}">
              <c16:uniqueId val="{00000004-43F9-4589-AA60-B6610FB7AB68}"/>
            </c:ext>
          </c:extLst>
        </c:ser>
        <c:ser>
          <c:idx val="6"/>
          <c:order val="6"/>
          <c:tx>
            <c:strRef>
              <c:f>'Ceny 2'!$I$5</c:f>
              <c:strCache>
                <c:ptCount val="1"/>
                <c:pt idx="0">
                  <c:v>Rekreace a kultura</c:v>
                </c:pt>
              </c:strCache>
            </c:strRef>
          </c:tx>
          <c:spPr>
            <a:ln w="19050">
              <a:solidFill>
                <a:srgbClr val="FF0000"/>
              </a:solidFill>
            </a:ln>
          </c:spPr>
          <c:marker>
            <c:symbol val="none"/>
          </c:marker>
          <c:cat>
            <c:multiLvlStrRef>
              <c:f>'Ceny 2'!$A$30:$B$53</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2'!$I$30:$I$53</c:f>
              <c:numCache>
                <c:formatCode>General</c:formatCode>
                <c:ptCount val="24"/>
                <c:pt idx="0">
                  <c:v>0.5</c:v>
                </c:pt>
                <c:pt idx="1">
                  <c:v>0.59999999999999443</c:v>
                </c:pt>
                <c:pt idx="2">
                  <c:v>2.2000000000000037</c:v>
                </c:pt>
                <c:pt idx="3">
                  <c:v>0.5</c:v>
                </c:pt>
                <c:pt idx="4">
                  <c:v>1.7000000000000031</c:v>
                </c:pt>
                <c:pt idx="5">
                  <c:v>1</c:v>
                </c:pt>
                <c:pt idx="6">
                  <c:v>1.7000000000000031</c:v>
                </c:pt>
                <c:pt idx="7">
                  <c:v>2.0999999999999943</c:v>
                </c:pt>
                <c:pt idx="8">
                  <c:v>2.0999999999999943</c:v>
                </c:pt>
                <c:pt idx="9">
                  <c:v>2</c:v>
                </c:pt>
                <c:pt idx="10">
                  <c:v>2.2000000000000037</c:v>
                </c:pt>
                <c:pt idx="11">
                  <c:v>2.5</c:v>
                </c:pt>
                <c:pt idx="12">
                  <c:v>1.4000000000000057</c:v>
                </c:pt>
                <c:pt idx="13">
                  <c:v>2</c:v>
                </c:pt>
                <c:pt idx="14">
                  <c:v>3.0999999999999943</c:v>
                </c:pt>
                <c:pt idx="15">
                  <c:v>5.2999999999999972</c:v>
                </c:pt>
                <c:pt idx="16">
                  <c:v>8.5</c:v>
                </c:pt>
                <c:pt idx="17">
                  <c:v>11.3</c:v>
                </c:pt>
                <c:pt idx="18">
                  <c:v>12.599999999999998</c:v>
                </c:pt>
                <c:pt idx="19" formatCode="0.0">
                  <c:v>13.2</c:v>
                </c:pt>
                <c:pt idx="20" formatCode="0.0">
                  <c:v>14</c:v>
                </c:pt>
                <c:pt idx="21" formatCode="0.0">
                  <c:v>11.7</c:v>
                </c:pt>
                <c:pt idx="22" formatCode="0.0">
                  <c:v>9.7000000000000011</c:v>
                </c:pt>
                <c:pt idx="23" formatCode="0.0">
                  <c:v>6.9</c:v>
                </c:pt>
              </c:numCache>
            </c:numRef>
          </c:val>
          <c:smooth val="0"/>
          <c:extLst>
            <c:ext xmlns:c16="http://schemas.microsoft.com/office/drawing/2014/chart" uri="{C3380CC4-5D6E-409C-BE32-E72D297353CC}">
              <c16:uniqueId val="{00000005-43F9-4589-AA60-B6610FB7AB68}"/>
            </c:ext>
          </c:extLst>
        </c:ser>
        <c:dLbls>
          <c:showLegendKey val="0"/>
          <c:showVal val="0"/>
          <c:showCatName val="0"/>
          <c:showSerName val="0"/>
          <c:showPercent val="0"/>
          <c:showBubbleSize val="0"/>
        </c:dLbls>
        <c:marker val="1"/>
        <c:smooth val="0"/>
        <c:axId val="113584768"/>
        <c:axId val="113787264"/>
        <c:extLst>
          <c:ext xmlns:c15="http://schemas.microsoft.com/office/drawing/2012/chart" uri="{02D57815-91ED-43cb-92C2-25804820EDAC}">
            <c15:filteredLineSeries>
              <c15:ser>
                <c:idx val="2"/>
                <c:order val="4"/>
                <c:tx>
                  <c:strRef>
                    <c:extLst>
                      <c:ext uri="{02D57815-91ED-43cb-92C2-25804820EDAC}">
                        <c15:formulaRef>
                          <c15:sqref>'Ceny 2'!$E$5</c15:sqref>
                        </c15:formulaRef>
                      </c:ext>
                    </c:extLst>
                    <c:strCache>
                      <c:ptCount val="1"/>
                      <c:pt idx="0">
                        <c:v>Alkoholické nápoje a tabák</c:v>
                      </c:pt>
                    </c:strCache>
                  </c:strRef>
                </c:tx>
                <c:spPr>
                  <a:ln w="19050">
                    <a:solidFill>
                      <a:schemeClr val="accent2"/>
                    </a:solidFill>
                  </a:ln>
                </c:spPr>
                <c:marker>
                  <c:symbol val="none"/>
                </c:marker>
                <c:cat>
                  <c:multiLvlStrRef>
                    <c:extLst>
                      <c:ext uri="{02D57815-91ED-43cb-92C2-25804820EDAC}">
                        <c15:formulaRef>
                          <c15:sqref>'Ceny 2'!$A$30:$B$53</c15:sqref>
                        </c15:formulaRef>
                      </c:ext>
                    </c:extLst>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extLst>
                      <c:ext uri="{02D57815-91ED-43cb-92C2-25804820EDAC}">
                        <c15:formulaRef>
                          <c15:sqref>'Ceny 2'!$E$26:$E$48</c15:sqref>
                        </c15:formulaRef>
                      </c:ext>
                    </c:extLst>
                    <c:numCache>
                      <c:formatCode>General</c:formatCode>
                      <c:ptCount val="23"/>
                      <c:pt idx="0">
                        <c:v>3.4000000000000057</c:v>
                      </c:pt>
                      <c:pt idx="1">
                        <c:v>0.79999999999999716</c:v>
                      </c:pt>
                      <c:pt idx="2" formatCode="0.0">
                        <c:v>1.3</c:v>
                      </c:pt>
                      <c:pt idx="3" formatCode="0.0">
                        <c:v>1.5</c:v>
                      </c:pt>
                      <c:pt idx="4" formatCode="0.0">
                        <c:v>2.5</c:v>
                      </c:pt>
                      <c:pt idx="5" formatCode="0.0">
                        <c:v>3.6</c:v>
                      </c:pt>
                      <c:pt idx="6" formatCode="0.0">
                        <c:v>2.8</c:v>
                      </c:pt>
                      <c:pt idx="7" formatCode="0.0">
                        <c:v>3.1</c:v>
                      </c:pt>
                      <c:pt idx="8" formatCode="0.0">
                        <c:v>3.3</c:v>
                      </c:pt>
                      <c:pt idx="9" formatCode="0.0">
                        <c:v>1.7</c:v>
                      </c:pt>
                      <c:pt idx="10" formatCode="0.0">
                        <c:v>1.9</c:v>
                      </c:pt>
                      <c:pt idx="11" formatCode="0.0">
                        <c:v>1.8</c:v>
                      </c:pt>
                      <c:pt idx="12">
                        <c:v>3.5</c:v>
                      </c:pt>
                      <c:pt idx="13" formatCode="0.0">
                        <c:v>6.6</c:v>
                      </c:pt>
                      <c:pt idx="14" formatCode="0.0">
                        <c:v>10.3</c:v>
                      </c:pt>
                      <c:pt idx="15" formatCode="0.0">
                        <c:v>9.9</c:v>
                      </c:pt>
                      <c:pt idx="16" formatCode="0.0">
                        <c:v>9.9</c:v>
                      </c:pt>
                      <c:pt idx="17" formatCode="0.0">
                        <c:v>9.8000000000000007</c:v>
                      </c:pt>
                      <c:pt idx="18" formatCode="0.0">
                        <c:v>6.5</c:v>
                      </c:pt>
                      <c:pt idx="19" formatCode="0.0">
                        <c:v>7.7</c:v>
                      </c:pt>
                      <c:pt idx="20" formatCode="0.0">
                        <c:v>7.1</c:v>
                      </c:pt>
                      <c:pt idx="21" formatCode="0.0">
                        <c:v>5.6</c:v>
                      </c:pt>
                      <c:pt idx="22" formatCode="0.0">
                        <c:v>6.3</c:v>
                      </c:pt>
                    </c:numCache>
                  </c:numRef>
                </c:val>
                <c:smooth val="0"/>
                <c:extLst>
                  <c:ext xmlns:c16="http://schemas.microsoft.com/office/drawing/2014/chart" uri="{C3380CC4-5D6E-409C-BE32-E72D297353CC}">
                    <c16:uniqueId val="{00000006-43F9-4589-AA60-B6610FB7AB68}"/>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'Ceny 2'!$J$5</c15:sqref>
                        </c15:formulaRef>
                      </c:ext>
                    </c:extLst>
                    <c:strCache>
                      <c:ptCount val="1"/>
                      <c:pt idx="0">
                        <c:v>Odívání a obuv</c:v>
                      </c:pt>
                    </c:strCache>
                  </c:strRef>
                </c:tx>
                <c:spPr>
                  <a:ln w="19050">
                    <a:solidFill>
                      <a:srgbClr val="E8AFB2"/>
                    </a:solidFill>
                  </a:ln>
                </c:spPr>
                <c:marker>
                  <c:symbol val="none"/>
                </c:marker>
                <c:cat>
                  <c:multiLvlStrRef>
                    <c:extLst xmlns:c15="http://schemas.microsoft.com/office/drawing/2012/chart">
                      <c:ext xmlns:c15="http://schemas.microsoft.com/office/drawing/2012/chart" uri="{02D57815-91ED-43cb-92C2-25804820EDAC}">
                        <c15:formulaRef>
                          <c15:sqref>'Ceny 2'!$A$30:$B$53</c15:sqref>
                        </c15:formulaRef>
                      </c:ext>
                    </c:extLst>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extLst xmlns:c15="http://schemas.microsoft.com/office/drawing/2012/chart">
                      <c:ext xmlns:c15="http://schemas.microsoft.com/office/drawing/2012/chart" uri="{02D57815-91ED-43cb-92C2-25804820EDAC}">
                        <c15:formulaRef>
                          <c15:sqref>'Ceny 2'!$J$26:$J$48</c15:sqref>
                        </c15:formulaRef>
                      </c:ext>
                    </c:extLst>
                    <c:numCache>
                      <c:formatCode>General</c:formatCode>
                      <c:ptCount val="23"/>
                      <c:pt idx="0">
                        <c:v>0.5</c:v>
                      </c:pt>
                      <c:pt idx="1">
                        <c:v>1</c:v>
                      </c:pt>
                      <c:pt idx="2" formatCode="0.0">
                        <c:v>0.5</c:v>
                      </c:pt>
                      <c:pt idx="3" formatCode="0.0">
                        <c:v>-0.8</c:v>
                      </c:pt>
                      <c:pt idx="4">
                        <c:v>-0.29999999999999716</c:v>
                      </c:pt>
                      <c:pt idx="5">
                        <c:v>-1</c:v>
                      </c:pt>
                      <c:pt idx="6">
                        <c:v>-1.4000000000000057</c:v>
                      </c:pt>
                      <c:pt idx="7">
                        <c:v>-1.7000000000000028</c:v>
                      </c:pt>
                      <c:pt idx="8">
                        <c:v>-1.0999999999999943</c:v>
                      </c:pt>
                      <c:pt idx="9">
                        <c:v>-1.9000000000000057</c:v>
                      </c:pt>
                      <c:pt idx="10">
                        <c:v>-1.5</c:v>
                      </c:pt>
                      <c:pt idx="11">
                        <c:v>-0.29999999999999716</c:v>
                      </c:pt>
                      <c:pt idx="12">
                        <c:v>3.5</c:v>
                      </c:pt>
                      <c:pt idx="13">
                        <c:v>3.4000000000000057</c:v>
                      </c:pt>
                      <c:pt idx="14">
                        <c:v>4.5</c:v>
                      </c:pt>
                      <c:pt idx="15">
                        <c:v>3.4000000000000057</c:v>
                      </c:pt>
                      <c:pt idx="16">
                        <c:v>2.7000000000000028</c:v>
                      </c:pt>
                      <c:pt idx="17">
                        <c:v>2.9000000000000057</c:v>
                      </c:pt>
                      <c:pt idx="18">
                        <c:v>7.7999999999999972</c:v>
                      </c:pt>
                      <c:pt idx="19">
                        <c:v>12.599999999999994</c:v>
                      </c:pt>
                      <c:pt idx="20">
                        <c:v>16.900000000000006</c:v>
                      </c:pt>
                      <c:pt idx="21">
                        <c:v>20</c:v>
                      </c:pt>
                      <c:pt idx="22">
                        <c:v>19</c:v>
                      </c:pt>
                    </c:numCache>
                  </c:numRef>
                </c:val>
                <c:smooth val="0"/>
                <c:extLst xmlns:c15="http://schemas.microsoft.com/office/drawing/2012/chart">
                  <c:ext xmlns:c16="http://schemas.microsoft.com/office/drawing/2014/chart" uri="{C3380CC4-5D6E-409C-BE32-E72D297353CC}">
                    <c16:uniqueId val="{00000007-43F9-4589-AA60-B6610FB7AB68}"/>
                  </c:ext>
                </c:extLst>
              </c15:ser>
            </c15:filteredLineSeries>
          </c:ext>
        </c:extLst>
      </c:lineChart>
      <c:catAx>
        <c:axId val="113584768"/>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3787264"/>
        <c:crosses val="autoZero"/>
        <c:auto val="1"/>
        <c:lblAlgn val="ctr"/>
        <c:lblOffset val="100"/>
        <c:noMultiLvlLbl val="0"/>
      </c:catAx>
      <c:valAx>
        <c:axId val="113787264"/>
        <c:scaling>
          <c:orientation val="minMax"/>
          <c:max val="27"/>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3584768"/>
        <c:crosses val="autoZero"/>
        <c:crossBetween val="between"/>
        <c:majorUnit val="3"/>
      </c:valAx>
      <c:spPr>
        <a:ln>
          <a:solidFill>
            <a:schemeClr val="tx1"/>
          </a:solidFill>
        </a:ln>
      </c:spPr>
    </c:plotArea>
    <c:legend>
      <c:legendPos val="b"/>
      <c:layout>
        <c:manualLayout>
          <c:xMode val="edge"/>
          <c:yMode val="edge"/>
          <c:x val="5.3882134414049342E-2"/>
          <c:y val="0.85802375323651958"/>
          <c:w val="0.92470364741641364"/>
          <c:h val="0.131253517955645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919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1'!$C$6:$C$29</c:f>
              <c:numCache>
                <c:formatCode>General</c:formatCode>
                <c:ptCount val="24"/>
                <c:pt idx="0">
                  <c:v>9.2000000000000011</c:v>
                </c:pt>
                <c:pt idx="1">
                  <c:v>8</c:v>
                </c:pt>
                <c:pt idx="2">
                  <c:v>9.4000000000000057</c:v>
                </c:pt>
                <c:pt idx="3">
                  <c:v>11.400000000000006</c:v>
                </c:pt>
                <c:pt idx="4">
                  <c:v>11.3</c:v>
                </c:pt>
                <c:pt idx="5">
                  <c:v>10.599999999999998</c:v>
                </c:pt>
                <c:pt idx="6">
                  <c:v>9.5</c:v>
                </c:pt>
                <c:pt idx="7">
                  <c:v>9.4000000000000057</c:v>
                </c:pt>
                <c:pt idx="8">
                  <c:v>10.599999999999998</c:v>
                </c:pt>
                <c:pt idx="9">
                  <c:v>10.200000000000003</c:v>
                </c:pt>
                <c:pt idx="10">
                  <c:v>11.200000000000003</c:v>
                </c:pt>
                <c:pt idx="11">
                  <c:v>13.3</c:v>
                </c:pt>
                <c:pt idx="12">
                  <c:v>15.200000000000003</c:v>
                </c:pt>
                <c:pt idx="13">
                  <c:v>17.900000000000006</c:v>
                </c:pt>
                <c:pt idx="14">
                  <c:v>21.29999999999999</c:v>
                </c:pt>
                <c:pt idx="15">
                  <c:v>25.200000000000003</c:v>
                </c:pt>
                <c:pt idx="16">
                  <c:v>27.29999999999999</c:v>
                </c:pt>
                <c:pt idx="17">
                  <c:v>27.599999999999987</c:v>
                </c:pt>
                <c:pt idx="18">
                  <c:v>23.400000000000006</c:v>
                </c:pt>
                <c:pt idx="19">
                  <c:v>13.8</c:v>
                </c:pt>
                <c:pt idx="20">
                  <c:v>3.7000000000000037</c:v>
                </c:pt>
                <c:pt idx="21">
                  <c:v>-4.0999999999999943</c:v>
                </c:pt>
                <c:pt idx="22">
                  <c:v>-7</c:v>
                </c:pt>
                <c:pt idx="23">
                  <c:v>-5.5999999999999943</c:v>
                </c:pt>
              </c:numCache>
            </c:numRef>
          </c:val>
          <c:extLst>
            <c:ext xmlns:c16="http://schemas.microsoft.com/office/drawing/2014/chart" uri="{C3380CC4-5D6E-409C-BE32-E72D297353CC}">
              <c16:uniqueId val="{00000000-F0DF-4BBB-AF27-DF5895EF601D}"/>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1'!$D$6:$D$29</c:f>
              <c:numCache>
                <c:formatCode>General</c:formatCode>
                <c:ptCount val="24"/>
                <c:pt idx="0">
                  <c:v>8.3000000000000025</c:v>
                </c:pt>
                <c:pt idx="1">
                  <c:v>4</c:v>
                </c:pt>
                <c:pt idx="2">
                  <c:v>6</c:v>
                </c:pt>
                <c:pt idx="3">
                  <c:v>8.7000000000000011</c:v>
                </c:pt>
                <c:pt idx="4">
                  <c:v>9.4000000000000057</c:v>
                </c:pt>
                <c:pt idx="5">
                  <c:v>8.7000000000000011</c:v>
                </c:pt>
                <c:pt idx="6">
                  <c:v>6.5</c:v>
                </c:pt>
                <c:pt idx="7">
                  <c:v>7.0999999999999943</c:v>
                </c:pt>
                <c:pt idx="8">
                  <c:v>6.2000000000000028</c:v>
                </c:pt>
                <c:pt idx="9">
                  <c:v>8</c:v>
                </c:pt>
                <c:pt idx="10">
                  <c:v>9.4000000000000057</c:v>
                </c:pt>
                <c:pt idx="11">
                  <c:v>10.599999999999998</c:v>
                </c:pt>
                <c:pt idx="12">
                  <c:v>14.3</c:v>
                </c:pt>
                <c:pt idx="13">
                  <c:v>15.8</c:v>
                </c:pt>
                <c:pt idx="14">
                  <c:v>16.599999999999987</c:v>
                </c:pt>
                <c:pt idx="15">
                  <c:v>20</c:v>
                </c:pt>
                <c:pt idx="16">
                  <c:v>19</c:v>
                </c:pt>
                <c:pt idx="17">
                  <c:v>16.700000000000003</c:v>
                </c:pt>
                <c:pt idx="18">
                  <c:v>15.599999999999998</c:v>
                </c:pt>
                <c:pt idx="19">
                  <c:v>8.4000000000000057</c:v>
                </c:pt>
                <c:pt idx="20">
                  <c:v>1.2000000000000028</c:v>
                </c:pt>
                <c:pt idx="21">
                  <c:v>-3.5999999999999943</c:v>
                </c:pt>
                <c:pt idx="22">
                  <c:v>-5.2999999999999972</c:v>
                </c:pt>
                <c:pt idx="23">
                  <c:v>-2.5999999999999943</c:v>
                </c:pt>
              </c:numCache>
            </c:numRef>
          </c:val>
          <c:extLst>
            <c:ext xmlns:c16="http://schemas.microsoft.com/office/drawing/2014/chart" uri="{C3380CC4-5D6E-409C-BE32-E72D297353CC}">
              <c16:uniqueId val="{00000001-F0DF-4BBB-AF27-DF5895EF601D}"/>
            </c:ext>
          </c:extLst>
        </c:ser>
        <c:dLbls>
          <c:showLegendKey val="0"/>
          <c:showVal val="0"/>
          <c:showCatName val="0"/>
          <c:showSerName val="0"/>
          <c:showPercent val="0"/>
          <c:showBubbleSize val="0"/>
        </c:dLbls>
        <c:gapWidth val="95"/>
        <c:axId val="114066176"/>
        <c:axId val="114067712"/>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1'!$E$6:$E$29</c:f>
              <c:numCache>
                <c:formatCode>0.0</c:formatCode>
                <c:ptCount val="24"/>
                <c:pt idx="0">
                  <c:v>12.801932367149751</c:v>
                </c:pt>
                <c:pt idx="1">
                  <c:v>12.22570532915358</c:v>
                </c:pt>
                <c:pt idx="2">
                  <c:v>9.4988780852655257</c:v>
                </c:pt>
                <c:pt idx="3">
                  <c:v>8.4609773887673203</c:v>
                </c:pt>
                <c:pt idx="4">
                  <c:v>7.4232690935046488</c:v>
                </c:pt>
                <c:pt idx="5">
                  <c:v>5.7262569832402352</c:v>
                </c:pt>
                <c:pt idx="6">
                  <c:v>5.1912568306010893</c:v>
                </c:pt>
                <c:pt idx="7">
                  <c:v>5.5144586415601955</c:v>
                </c:pt>
                <c:pt idx="8">
                  <c:v>6.0465116279069644</c:v>
                </c:pt>
                <c:pt idx="9">
                  <c:v>7.1334214002641847</c:v>
                </c:pt>
                <c:pt idx="10">
                  <c:v>7.9870129870129887</c:v>
                </c:pt>
                <c:pt idx="11">
                  <c:v>7.6481835564053533</c:v>
                </c:pt>
                <c:pt idx="12">
                  <c:v>7.6441102756892256</c:v>
                </c:pt>
                <c:pt idx="13">
                  <c:v>7.9531442663378558</c:v>
                </c:pt>
                <c:pt idx="14">
                  <c:v>9.3205051112447475</c:v>
                </c:pt>
                <c:pt idx="15">
                  <c:v>12.433392539964474</c:v>
                </c:pt>
                <c:pt idx="16">
                  <c:v>16.8800931315483</c:v>
                </c:pt>
                <c:pt idx="17">
                  <c:v>24.671616219303267</c:v>
                </c:pt>
                <c:pt idx="18">
                  <c:v>22.937293729372925</c:v>
                </c:pt>
                <c:pt idx="19">
                  <c:v>18.325434439178501</c:v>
                </c:pt>
                <c:pt idx="20">
                  <c:v>9.8107569721115624</c:v>
                </c:pt>
                <c:pt idx="21" formatCode="General">
                  <c:v>-0.7329363261566757</c:v>
                </c:pt>
                <c:pt idx="22" formatCode="General">
                  <c:v>-3.3109619686800897</c:v>
                </c:pt>
                <c:pt idx="23" formatCode="General">
                  <c:v>-4.1833555852247324</c:v>
                </c:pt>
              </c:numCache>
            </c:numRef>
          </c:val>
          <c:smooth val="0"/>
          <c:extLst>
            <c:ext xmlns:c16="http://schemas.microsoft.com/office/drawing/2014/chart" uri="{C3380CC4-5D6E-409C-BE32-E72D297353CC}">
              <c16:uniqueId val="{00000002-F0DF-4BBB-AF27-DF5895EF601D}"/>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1'!$F$6:$F$29</c:f>
              <c:numCache>
                <c:formatCode>0.0</c:formatCode>
                <c:ptCount val="24"/>
                <c:pt idx="0">
                  <c:v>15.071428571428555</c:v>
                </c:pt>
                <c:pt idx="1">
                  <c:v>14.246386785960068</c:v>
                </c:pt>
                <c:pt idx="2">
                  <c:v>10.732984293193699</c:v>
                </c:pt>
                <c:pt idx="3">
                  <c:v>8.7531486146095574</c:v>
                </c:pt>
                <c:pt idx="4">
                  <c:v>8.3178150217256377</c:v>
                </c:pt>
                <c:pt idx="5">
                  <c:v>4.9397590361445687</c:v>
                </c:pt>
                <c:pt idx="6">
                  <c:v>3.3096926713947985</c:v>
                </c:pt>
                <c:pt idx="7">
                  <c:v>2.9530978575564593</c:v>
                </c:pt>
                <c:pt idx="8">
                  <c:v>3.5530085959885289</c:v>
                </c:pt>
                <c:pt idx="9">
                  <c:v>5.2812858783008068</c:v>
                </c:pt>
                <c:pt idx="10">
                  <c:v>6.2356979405034298</c:v>
                </c:pt>
                <c:pt idx="11">
                  <c:v>5.1743532058492718</c:v>
                </c:pt>
                <c:pt idx="12">
                  <c:v>4.7592695074709628</c:v>
                </c:pt>
                <c:pt idx="13">
                  <c:v>4.5256270447110012</c:v>
                </c:pt>
                <c:pt idx="14">
                  <c:v>6.2466343564889808</c:v>
                </c:pt>
                <c:pt idx="15">
                  <c:v>9.1443850267379485</c:v>
                </c:pt>
                <c:pt idx="16">
                  <c:v>12.255678816693077</c:v>
                </c:pt>
                <c:pt idx="17">
                  <c:v>19.718309859154935</c:v>
                </c:pt>
                <c:pt idx="18">
                  <c:v>18.49974657881398</c:v>
                </c:pt>
                <c:pt idx="19">
                  <c:v>16.903478686918177</c:v>
                </c:pt>
                <c:pt idx="20">
                  <c:v>10.305882352941186</c:v>
                </c:pt>
                <c:pt idx="21" formatCode="General">
                  <c:v>0.30501089324617692</c:v>
                </c:pt>
                <c:pt idx="22" formatCode="General">
                  <c:v>-1.5825491873396085</c:v>
                </c:pt>
                <c:pt idx="23" formatCode="General">
                  <c:v>-3.5624476110645409</c:v>
                </c:pt>
              </c:numCache>
            </c:numRef>
          </c:val>
          <c:smooth val="0"/>
          <c:extLst>
            <c:ext xmlns:c16="http://schemas.microsoft.com/office/drawing/2014/chart" uri="{C3380CC4-5D6E-409C-BE32-E72D297353CC}">
              <c16:uniqueId val="{00000003-F0DF-4BBB-AF27-DF5895EF601D}"/>
            </c:ext>
          </c:extLst>
        </c:ser>
        <c:dLbls>
          <c:showLegendKey val="0"/>
          <c:showVal val="0"/>
          <c:showCatName val="0"/>
          <c:showSerName val="0"/>
          <c:showPercent val="0"/>
          <c:showBubbleSize val="0"/>
        </c:dLbls>
        <c:marker val="1"/>
        <c:smooth val="0"/>
        <c:axId val="114066176"/>
        <c:axId val="114067712"/>
      </c:lineChart>
      <c:catAx>
        <c:axId val="11406617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4067712"/>
        <c:crosses val="autoZero"/>
        <c:auto val="1"/>
        <c:lblAlgn val="ctr"/>
        <c:lblOffset val="100"/>
        <c:noMultiLvlLbl val="0"/>
      </c:catAx>
      <c:valAx>
        <c:axId val="114067712"/>
        <c:scaling>
          <c:orientation val="minMax"/>
          <c:max val="28"/>
          <c:min val="-8"/>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4066176"/>
        <c:crosses val="autoZero"/>
        <c:crossBetween val="between"/>
        <c:majorUnit val="4"/>
      </c:valAx>
      <c:spPr>
        <a:ln>
          <a:solidFill>
            <a:schemeClr val="tx1"/>
          </a:solidFill>
        </a:ln>
      </c:spPr>
    </c:plotArea>
    <c:legend>
      <c:legendPos val="b"/>
      <c:layout>
        <c:manualLayout>
          <c:xMode val="edge"/>
          <c:yMode val="edge"/>
          <c:x val="7.3334810874704504E-2"/>
          <c:y val="0.88817854328492629"/>
          <c:w val="0.89999282337048314"/>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10469436001386E-2"/>
          <c:y val="2.1811315924220448E-2"/>
          <c:w val="0.90860161263086836"/>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4'!$C$6:$C$29</c:f>
              <c:numCache>
                <c:formatCode>General</c:formatCode>
                <c:ptCount val="24"/>
                <c:pt idx="0">
                  <c:v>9.9999999999994357E-2</c:v>
                </c:pt>
                <c:pt idx="1">
                  <c:v>1.5</c:v>
                </c:pt>
                <c:pt idx="2">
                  <c:v>3.2999999999999972</c:v>
                </c:pt>
                <c:pt idx="3">
                  <c:v>3.4000000000000057</c:v>
                </c:pt>
                <c:pt idx="4">
                  <c:v>3.5</c:v>
                </c:pt>
                <c:pt idx="5">
                  <c:v>3.5</c:v>
                </c:pt>
                <c:pt idx="6">
                  <c:v>2</c:v>
                </c:pt>
                <c:pt idx="7">
                  <c:v>1.2999999999999965</c:v>
                </c:pt>
                <c:pt idx="8">
                  <c:v>1.4000000000000057</c:v>
                </c:pt>
                <c:pt idx="9">
                  <c:v>-0.59999999999999432</c:v>
                </c:pt>
                <c:pt idx="10">
                  <c:v>-0.29999999999999738</c:v>
                </c:pt>
                <c:pt idx="11">
                  <c:v>9.9999999999994357E-2</c:v>
                </c:pt>
                <c:pt idx="12">
                  <c:v>1.5</c:v>
                </c:pt>
                <c:pt idx="13">
                  <c:v>5.2999999999999972</c:v>
                </c:pt>
                <c:pt idx="14">
                  <c:v>9</c:v>
                </c:pt>
                <c:pt idx="15">
                  <c:v>12.8</c:v>
                </c:pt>
                <c:pt idx="16">
                  <c:v>21.79999999999999</c:v>
                </c:pt>
                <c:pt idx="17">
                  <c:v>27.700000000000003</c:v>
                </c:pt>
                <c:pt idx="18">
                  <c:v>25.900000000000006</c:v>
                </c:pt>
                <c:pt idx="19">
                  <c:v>21.79999999999999</c:v>
                </c:pt>
                <c:pt idx="20">
                  <c:v>15</c:v>
                </c:pt>
                <c:pt idx="21">
                  <c:v>3.9000000000000057</c:v>
                </c:pt>
                <c:pt idx="22">
                  <c:v>1.3</c:v>
                </c:pt>
                <c:pt idx="23">
                  <c:v>0.8</c:v>
                </c:pt>
              </c:numCache>
            </c:numRef>
          </c:val>
          <c:extLst>
            <c:ext xmlns:c16="http://schemas.microsoft.com/office/drawing/2014/chart" uri="{C3380CC4-5D6E-409C-BE32-E72D297353CC}">
              <c16:uniqueId val="{00000000-F2ED-4B2B-AD2A-DB41E36B9572}"/>
            </c:ext>
          </c:extLst>
        </c:ser>
        <c:dLbls>
          <c:showLegendKey val="0"/>
          <c:showVal val="0"/>
          <c:showCatName val="0"/>
          <c:showSerName val="0"/>
          <c:showPercent val="0"/>
          <c:showBubbleSize val="0"/>
        </c:dLbls>
        <c:gapWidth val="96"/>
        <c:axId val="116047872"/>
        <c:axId val="116049408"/>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4'!$D$6:$D$29</c:f>
              <c:numCache>
                <c:formatCode>General</c:formatCode>
                <c:ptCount val="24"/>
                <c:pt idx="0">
                  <c:v>5.4000000000000075</c:v>
                </c:pt>
                <c:pt idx="1">
                  <c:v>6.7000000000000028</c:v>
                </c:pt>
                <c:pt idx="2">
                  <c:v>9.4000000000000057</c:v>
                </c:pt>
                <c:pt idx="3">
                  <c:v>8.8000000000000025</c:v>
                </c:pt>
                <c:pt idx="4">
                  <c:v>7.7000000000000028</c:v>
                </c:pt>
                <c:pt idx="5">
                  <c:v>7.7000000000000028</c:v>
                </c:pt>
                <c:pt idx="6">
                  <c:v>6.7000000000000028</c:v>
                </c:pt>
                <c:pt idx="7">
                  <c:v>3.7000000000000037</c:v>
                </c:pt>
                <c:pt idx="8">
                  <c:v>-2.0999999999999943</c:v>
                </c:pt>
                <c:pt idx="9">
                  <c:v>-3.5</c:v>
                </c:pt>
                <c:pt idx="10">
                  <c:v>-3.5999999999999943</c:v>
                </c:pt>
                <c:pt idx="11">
                  <c:v>-2</c:v>
                </c:pt>
                <c:pt idx="12">
                  <c:v>-0.5</c:v>
                </c:pt>
                <c:pt idx="13">
                  <c:v>0.79999999999999738</c:v>
                </c:pt>
                <c:pt idx="14">
                  <c:v>3.2999999999999972</c:v>
                </c:pt>
                <c:pt idx="15">
                  <c:v>13.8</c:v>
                </c:pt>
                <c:pt idx="16">
                  <c:v>25.200000000000003</c:v>
                </c:pt>
                <c:pt idx="17">
                  <c:v>31.900000000000006</c:v>
                </c:pt>
                <c:pt idx="18">
                  <c:v>30.199999999999992</c:v>
                </c:pt>
                <c:pt idx="19">
                  <c:v>23.29999999999999</c:v>
                </c:pt>
                <c:pt idx="20">
                  <c:v>54</c:v>
                </c:pt>
                <c:pt idx="21">
                  <c:v>47.600000000000009</c:v>
                </c:pt>
                <c:pt idx="22">
                  <c:v>44.5</c:v>
                </c:pt>
                <c:pt idx="23">
                  <c:v>40.200000000000003</c:v>
                </c:pt>
              </c:numCache>
            </c:numRef>
          </c:val>
          <c:smooth val="0"/>
          <c:extLst>
            <c:ext xmlns:c16="http://schemas.microsoft.com/office/drawing/2014/chart" uri="{C3380CC4-5D6E-409C-BE32-E72D297353CC}">
              <c16:uniqueId val="{00000001-F2ED-4B2B-AD2A-DB41E36B9572}"/>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4'!$E$6:$E$29</c:f>
              <c:numCache>
                <c:formatCode>General</c:formatCode>
                <c:ptCount val="24"/>
                <c:pt idx="0">
                  <c:v>-0.40000000000000568</c:v>
                </c:pt>
                <c:pt idx="1">
                  <c:v>1.2000000000000028</c:v>
                </c:pt>
                <c:pt idx="2">
                  <c:v>3.2000000000000037</c:v>
                </c:pt>
                <c:pt idx="3">
                  <c:v>3.2999999999999972</c:v>
                </c:pt>
                <c:pt idx="4">
                  <c:v>2.5999999999999943</c:v>
                </c:pt>
                <c:pt idx="5">
                  <c:v>2.5999999999999943</c:v>
                </c:pt>
                <c:pt idx="6">
                  <c:v>0.79999999999999738</c:v>
                </c:pt>
                <c:pt idx="7">
                  <c:v>-9.9999999999994357E-2</c:v>
                </c:pt>
                <c:pt idx="8">
                  <c:v>0</c:v>
                </c:pt>
                <c:pt idx="9">
                  <c:v>-2.2999999999999972</c:v>
                </c:pt>
                <c:pt idx="10">
                  <c:v>-1.7999999999999965</c:v>
                </c:pt>
                <c:pt idx="11">
                  <c:v>-1.2000000000000028</c:v>
                </c:pt>
                <c:pt idx="12">
                  <c:v>1.7999999999999965</c:v>
                </c:pt>
                <c:pt idx="13">
                  <c:v>6.5</c:v>
                </c:pt>
                <c:pt idx="14">
                  <c:v>11</c:v>
                </c:pt>
                <c:pt idx="15">
                  <c:v>14.5</c:v>
                </c:pt>
                <c:pt idx="16">
                  <c:v>17.5</c:v>
                </c:pt>
                <c:pt idx="17">
                  <c:v>24.200000000000003</c:v>
                </c:pt>
                <c:pt idx="18">
                  <c:v>20.5</c:v>
                </c:pt>
                <c:pt idx="19">
                  <c:v>16</c:v>
                </c:pt>
                <c:pt idx="20">
                  <c:v>10.3</c:v>
                </c:pt>
                <c:pt idx="21">
                  <c:v>-0.90000000000000568</c:v>
                </c:pt>
                <c:pt idx="22">
                  <c:v>-2.4</c:v>
                </c:pt>
                <c:pt idx="23">
                  <c:v>-2.2999999999999998</c:v>
                </c:pt>
              </c:numCache>
            </c:numRef>
          </c:val>
          <c:smooth val="0"/>
          <c:extLst>
            <c:ext xmlns:c16="http://schemas.microsoft.com/office/drawing/2014/chart" uri="{C3380CC4-5D6E-409C-BE32-E72D297353CC}">
              <c16:uniqueId val="{00000002-F2ED-4B2B-AD2A-DB41E36B9572}"/>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4'!$F$6:$F$29</c:f>
              <c:numCache>
                <c:formatCode>General</c:formatCode>
                <c:ptCount val="24"/>
                <c:pt idx="0">
                  <c:v>1.5</c:v>
                </c:pt>
                <c:pt idx="1">
                  <c:v>1.9000000000000061</c:v>
                </c:pt>
                <c:pt idx="2">
                  <c:v>2.5999999999999943</c:v>
                </c:pt>
                <c:pt idx="3">
                  <c:v>2.7999999999999972</c:v>
                </c:pt>
                <c:pt idx="4">
                  <c:v>7.7000000000000028</c:v>
                </c:pt>
                <c:pt idx="5">
                  <c:v>8.3000000000000025</c:v>
                </c:pt>
                <c:pt idx="6">
                  <c:v>7.7999999999999972</c:v>
                </c:pt>
                <c:pt idx="7">
                  <c:v>8.3000000000000025</c:v>
                </c:pt>
                <c:pt idx="8">
                  <c:v>8.9000000000000057</c:v>
                </c:pt>
                <c:pt idx="9">
                  <c:v>8.2000000000000011</c:v>
                </c:pt>
                <c:pt idx="10">
                  <c:v>7.7999999999999972</c:v>
                </c:pt>
                <c:pt idx="11">
                  <c:v>6.0999999999999943</c:v>
                </c:pt>
                <c:pt idx="12">
                  <c:v>0.29999999999999738</c:v>
                </c:pt>
                <c:pt idx="13">
                  <c:v>9.9999999999994357E-2</c:v>
                </c:pt>
                <c:pt idx="14">
                  <c:v>0.79999999999999738</c:v>
                </c:pt>
                <c:pt idx="15">
                  <c:v>5.5</c:v>
                </c:pt>
                <c:pt idx="16">
                  <c:v>45</c:v>
                </c:pt>
                <c:pt idx="17">
                  <c:v>47.20000000000001</c:v>
                </c:pt>
                <c:pt idx="18">
                  <c:v>56</c:v>
                </c:pt>
                <c:pt idx="19">
                  <c:v>54.300000000000004</c:v>
                </c:pt>
                <c:pt idx="20">
                  <c:v>28.400000000000006</c:v>
                </c:pt>
                <c:pt idx="21">
                  <c:v>18.400000000000006</c:v>
                </c:pt>
                <c:pt idx="22">
                  <c:v>10.5</c:v>
                </c:pt>
                <c:pt idx="23">
                  <c:v>7.1</c:v>
                </c:pt>
              </c:numCache>
            </c:numRef>
          </c:val>
          <c:smooth val="0"/>
          <c:extLst>
            <c:ext xmlns:c16="http://schemas.microsoft.com/office/drawing/2014/chart" uri="{C3380CC4-5D6E-409C-BE32-E72D297353CC}">
              <c16:uniqueId val="{00000003-F2ED-4B2B-AD2A-DB41E36B9572}"/>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'Ceny 4'!$G$6:$G$29</c:f>
              <c:numCache>
                <c:formatCode>General</c:formatCode>
                <c:ptCount val="24"/>
                <c:pt idx="0">
                  <c:v>1.9000000000000061</c:v>
                </c:pt>
                <c:pt idx="1">
                  <c:v>1.9000000000000061</c:v>
                </c:pt>
                <c:pt idx="2">
                  <c:v>1.9000000000000061</c:v>
                </c:pt>
                <c:pt idx="3">
                  <c:v>1.9000000000000061</c:v>
                </c:pt>
                <c:pt idx="4">
                  <c:v>2.9000000000000057</c:v>
                </c:pt>
                <c:pt idx="5">
                  <c:v>2.9000000000000057</c:v>
                </c:pt>
                <c:pt idx="6">
                  <c:v>2.9000000000000057</c:v>
                </c:pt>
                <c:pt idx="7">
                  <c:v>2.9000000000000057</c:v>
                </c:pt>
                <c:pt idx="8">
                  <c:v>5.4000000000000075</c:v>
                </c:pt>
                <c:pt idx="9">
                  <c:v>6.0999999999999943</c:v>
                </c:pt>
                <c:pt idx="10">
                  <c:v>6.4000000000000075</c:v>
                </c:pt>
                <c:pt idx="11">
                  <c:v>6.4000000000000075</c:v>
                </c:pt>
                <c:pt idx="12">
                  <c:v>6.9000000000000075</c:v>
                </c:pt>
                <c:pt idx="13">
                  <c:v>6.2000000000000028</c:v>
                </c:pt>
                <c:pt idx="14">
                  <c:v>5.9000000000000075</c:v>
                </c:pt>
                <c:pt idx="15">
                  <c:v>5.9000000000000075</c:v>
                </c:pt>
                <c:pt idx="16">
                  <c:v>5.2999999999999972</c:v>
                </c:pt>
                <c:pt idx="17">
                  <c:v>5.2999999999999972</c:v>
                </c:pt>
                <c:pt idx="18">
                  <c:v>5.2999999999999972</c:v>
                </c:pt>
                <c:pt idx="19">
                  <c:v>5.2999999999999972</c:v>
                </c:pt>
                <c:pt idx="20">
                  <c:v>16.29999999999999</c:v>
                </c:pt>
                <c:pt idx="21">
                  <c:v>16.29999999999999</c:v>
                </c:pt>
                <c:pt idx="22">
                  <c:v>16.3</c:v>
                </c:pt>
                <c:pt idx="23">
                  <c:v>16.3</c:v>
                </c:pt>
              </c:numCache>
            </c:numRef>
          </c:val>
          <c:smooth val="0"/>
          <c:extLst>
            <c:ext xmlns:c16="http://schemas.microsoft.com/office/drawing/2014/chart" uri="{C3380CC4-5D6E-409C-BE32-E72D297353CC}">
              <c16:uniqueId val="{00000004-F2ED-4B2B-AD2A-DB41E36B9572}"/>
            </c:ext>
          </c:extLst>
        </c:ser>
        <c:dLbls>
          <c:showLegendKey val="0"/>
          <c:showVal val="0"/>
          <c:showCatName val="0"/>
          <c:showSerName val="0"/>
          <c:showPercent val="0"/>
          <c:showBubbleSize val="0"/>
        </c:dLbls>
        <c:marker val="1"/>
        <c:smooth val="0"/>
        <c:axId val="116047872"/>
        <c:axId val="116049408"/>
      </c:lineChart>
      <c:catAx>
        <c:axId val="116047872"/>
        <c:scaling>
          <c:orientation val="minMax"/>
        </c:scaling>
        <c:delete val="0"/>
        <c:axPos val="b"/>
        <c:numFmt formatCode="General" sourceLinked="0"/>
        <c:majorTickMark val="out"/>
        <c:minorTickMark val="none"/>
        <c:tickLblPos val="low"/>
        <c:spPr>
          <a:ln>
            <a:solidFill>
              <a:schemeClr val="tx1"/>
            </a:solidFill>
          </a:ln>
        </c:spPr>
        <c:crossAx val="116049408"/>
        <c:crosses val="autoZero"/>
        <c:auto val="1"/>
        <c:lblAlgn val="ctr"/>
        <c:lblOffset val="100"/>
        <c:noMultiLvlLbl val="0"/>
      </c:catAx>
      <c:valAx>
        <c:axId val="116049408"/>
        <c:scaling>
          <c:orientation val="minMax"/>
          <c:min val="-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6047872"/>
        <c:crosses val="autoZero"/>
        <c:crossBetween val="between"/>
        <c:majorUnit val="5"/>
      </c:valAx>
      <c:spPr>
        <a:ln>
          <a:solidFill>
            <a:schemeClr val="tx1"/>
          </a:solidFill>
        </a:ln>
      </c:spPr>
    </c:plotArea>
    <c:legend>
      <c:legendPos val="b"/>
      <c:layout>
        <c:manualLayout>
          <c:xMode val="edge"/>
          <c:yMode val="edge"/>
          <c:x val="6.1319022289766968E-2"/>
          <c:y val="0.86223931272106069"/>
          <c:w val="0.90901046943600139"/>
          <c:h val="0.12109402425765231"/>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1923E-2"/>
          <c:y val="1.452205106022466E-2"/>
          <c:w val="0.84495121574960952"/>
          <c:h val="0.67557130739459648"/>
        </c:manualLayout>
      </c:layout>
      <c:barChart>
        <c:barDir val="col"/>
        <c:grouping val="stacked"/>
        <c:varyColors val="0"/>
        <c:ser>
          <c:idx val="0"/>
          <c:order val="0"/>
          <c:tx>
            <c:strRef>
              <c:f>'Trh práce 1-SNÚ'!$AC$7</c:f>
              <c:strCache>
                <c:ptCount val="1"/>
                <c:pt idx="0">
                  <c:v>Zemědělství, lesnictví a rybářství</c:v>
                </c:pt>
              </c:strCache>
            </c:strRef>
          </c:tx>
          <c:spPr>
            <a:solidFill>
              <a:srgbClr val="7DBB2D"/>
            </a:solidFill>
            <a:ln>
              <a:noFill/>
            </a:ln>
          </c:spPr>
          <c:invertIfNegative val="0"/>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1-SNÚ'!$AC$28:$AC$64</c:f>
              <c:numCache>
                <c:formatCode>#\ ##0.0</c:formatCode>
                <c:ptCount val="37"/>
                <c:pt idx="0">
                  <c:v>-5.6828505791380483E-2</c:v>
                </c:pt>
                <c:pt idx="1">
                  <c:v>-5.3414002474862207E-2</c:v>
                </c:pt>
                <c:pt idx="2">
                  <c:v>-6.9742710596297483E-2</c:v>
                </c:pt>
                <c:pt idx="3">
                  <c:v>-0.13971969588082001</c:v>
                </c:pt>
                <c:pt idx="4">
                  <c:v>-0.12487960810120249</c:v>
                </c:pt>
                <c:pt idx="5">
                  <c:v>-3.2190093204688588E-2</c:v>
                </c:pt>
                <c:pt idx="6">
                  <c:v>-4.495117850766725E-2</c:v>
                </c:pt>
                <c:pt idx="7">
                  <c:v>5.8087184963969883E-2</c:v>
                </c:pt>
                <c:pt idx="8">
                  <c:v>9.8469969335167482E-2</c:v>
                </c:pt>
                <c:pt idx="9">
                  <c:v>3.525689638197723E-2</c:v>
                </c:pt>
                <c:pt idx="10">
                  <c:v>1.9943614652896621E-2</c:v>
                </c:pt>
                <c:pt idx="11">
                  <c:v>-9.3018884588644907E-2</c:v>
                </c:pt>
                <c:pt idx="12">
                  <c:v>2.8401707115870724E-2</c:v>
                </c:pt>
                <c:pt idx="13">
                  <c:v>3.0424969757692683E-2</c:v>
                </c:pt>
                <c:pt idx="14">
                  <c:v>1.721394210079398E-2</c:v>
                </c:pt>
                <c:pt idx="15">
                  <c:v>8.3528120512972676E-2</c:v>
                </c:pt>
                <c:pt idx="16">
                  <c:v>-3.1494865390982861E-2</c:v>
                </c:pt>
                <c:pt idx="17">
                  <c:v>-9.3480094872355909E-2</c:v>
                </c:pt>
                <c:pt idx="18">
                  <c:v>-0.12508397994816237</c:v>
                </c:pt>
                <c:pt idx="19">
                  <c:v>-0.13226896814548544</c:v>
                </c:pt>
                <c:pt idx="20">
                  <c:v>-7.8919822387198829E-2</c:v>
                </c:pt>
                <c:pt idx="21">
                  <c:v>-1.5977001932115317E-3</c:v>
                </c:pt>
                <c:pt idx="22">
                  <c:v>9.3748963565408974E-2</c:v>
                </c:pt>
                <c:pt idx="23">
                  <c:v>7.772100709712601E-2</c:v>
                </c:pt>
                <c:pt idx="24">
                  <c:v>4.0304610198826939E-2</c:v>
                </c:pt>
                <c:pt idx="25">
                  <c:v>-4.2078229095876024E-2</c:v>
                </c:pt>
                <c:pt idx="26">
                  <c:v>-6.3204140368347289E-2</c:v>
                </c:pt>
                <c:pt idx="27">
                  <c:v>-1.9871976866903441E-2</c:v>
                </c:pt>
                <c:pt idx="28">
                  <c:v>-6.7858193110616749E-2</c:v>
                </c:pt>
                <c:pt idx="29">
                  <c:v>3.2150994971479802E-2</c:v>
                </c:pt>
                <c:pt idx="30">
                  <c:v>-1.5470823458751911E-2</c:v>
                </c:pt>
                <c:pt idx="31">
                  <c:v>-0.10814649725202051</c:v>
                </c:pt>
                <c:pt idx="32">
                  <c:v>4.5977643278109576E-2</c:v>
                </c:pt>
                <c:pt idx="33">
                  <c:v>2.1780539937939113E-2</c:v>
                </c:pt>
                <c:pt idx="34">
                  <c:v>6.3655276774792968E-3</c:v>
                </c:pt>
                <c:pt idx="35">
                  <c:v>2.6625080127719986E-2</c:v>
                </c:pt>
              </c:numCache>
            </c:numRef>
          </c:val>
          <c:extLst>
            <c:ext xmlns:c16="http://schemas.microsoft.com/office/drawing/2014/chart" uri="{C3380CC4-5D6E-409C-BE32-E72D297353CC}">
              <c16:uniqueId val="{00000000-2585-40B3-B25D-18D31ACCBBCC}"/>
            </c:ext>
          </c:extLst>
        </c:ser>
        <c:ser>
          <c:idx val="1"/>
          <c:order val="1"/>
          <c:tx>
            <c:strRef>
              <c:f>'Trh práce 1-SNÚ'!$AD$7</c:f>
              <c:strCache>
                <c:ptCount val="1"/>
                <c:pt idx="0">
                  <c:v>Zpracovatelský průmysl</c:v>
                </c:pt>
              </c:strCache>
            </c:strRef>
          </c:tx>
          <c:spPr>
            <a:solidFill>
              <a:srgbClr val="A6CDE8"/>
            </a:solidFill>
            <a:ln>
              <a:noFill/>
            </a:ln>
          </c:spPr>
          <c:invertIfNegative val="0"/>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1-SNÚ'!$AD$28:$AD$64</c:f>
              <c:numCache>
                <c:formatCode>#\ ##0.0</c:formatCode>
                <c:ptCount val="37"/>
                <c:pt idx="0">
                  <c:v>0.89949329716318993</c:v>
                </c:pt>
                <c:pt idx="1">
                  <c:v>0.93127175953417085</c:v>
                </c:pt>
                <c:pt idx="2">
                  <c:v>0.78437575581487662</c:v>
                </c:pt>
                <c:pt idx="3">
                  <c:v>0.92631003282458291</c:v>
                </c:pt>
                <c:pt idx="4">
                  <c:v>0.87287644021507216</c:v>
                </c:pt>
                <c:pt idx="5">
                  <c:v>0.63654993177204455</c:v>
                </c:pt>
                <c:pt idx="6">
                  <c:v>0.66873314812908025</c:v>
                </c:pt>
                <c:pt idx="7">
                  <c:v>0.5180001099102538</c:v>
                </c:pt>
                <c:pt idx="8">
                  <c:v>0.25448906088853906</c:v>
                </c:pt>
                <c:pt idx="9">
                  <c:v>0.40500765768385588</c:v>
                </c:pt>
                <c:pt idx="10">
                  <c:v>0.49291118462601918</c:v>
                </c:pt>
                <c:pt idx="11">
                  <c:v>0.47964454670419909</c:v>
                </c:pt>
                <c:pt idx="12">
                  <c:v>0.34488863442030787</c:v>
                </c:pt>
                <c:pt idx="13">
                  <c:v>0.29136030152194398</c:v>
                </c:pt>
                <c:pt idx="14">
                  <c:v>9.8868388234755161E-2</c:v>
                </c:pt>
                <c:pt idx="15">
                  <c:v>9.055089068099019E-2</c:v>
                </c:pt>
                <c:pt idx="16">
                  <c:v>0.14484299401542142</c:v>
                </c:pt>
                <c:pt idx="17">
                  <c:v>-1.8858080604667569E-2</c:v>
                </c:pt>
                <c:pt idx="18">
                  <c:v>-0.16365938471305239</c:v>
                </c:pt>
                <c:pt idx="19">
                  <c:v>-0.54941077591471033</c:v>
                </c:pt>
                <c:pt idx="20">
                  <c:v>-0.82546861976528951</c:v>
                </c:pt>
                <c:pt idx="21">
                  <c:v>-1.0955999520322597</c:v>
                </c:pt>
                <c:pt idx="22">
                  <c:v>-1.080397843479032</c:v>
                </c:pt>
                <c:pt idx="23">
                  <c:v>-0.90789746373281621</c:v>
                </c:pt>
                <c:pt idx="24">
                  <c:v>-0.49316165113626681</c:v>
                </c:pt>
                <c:pt idx="25">
                  <c:v>-7.4509620655944658E-2</c:v>
                </c:pt>
                <c:pt idx="26">
                  <c:v>0.18158292508911653</c:v>
                </c:pt>
                <c:pt idx="27">
                  <c:v>0.3223340430198105</c:v>
                </c:pt>
                <c:pt idx="28">
                  <c:v>3.8225465944550785E-2</c:v>
                </c:pt>
                <c:pt idx="29">
                  <c:v>0.35386644203937845</c:v>
                </c:pt>
                <c:pt idx="30">
                  <c:v>0.17343313749973452</c:v>
                </c:pt>
                <c:pt idx="31">
                  <c:v>8.8561203763424454E-2</c:v>
                </c:pt>
                <c:pt idx="32">
                  <c:v>4.8447363211869078E-2</c:v>
                </c:pt>
                <c:pt idx="33">
                  <c:v>-0.20013957101662938</c:v>
                </c:pt>
                <c:pt idx="34">
                  <c:v>-0.41926263708584888</c:v>
                </c:pt>
                <c:pt idx="35">
                  <c:v>-0.33991964367196703</c:v>
                </c:pt>
              </c:numCache>
            </c:numRef>
          </c:val>
          <c:extLst>
            <c:ext xmlns:c16="http://schemas.microsoft.com/office/drawing/2014/chart" uri="{C3380CC4-5D6E-409C-BE32-E72D297353CC}">
              <c16:uniqueId val="{00000001-2585-40B3-B25D-18D31ACCBBCC}"/>
            </c:ext>
          </c:extLst>
        </c:ser>
        <c:ser>
          <c:idx val="2"/>
          <c:order val="2"/>
          <c:tx>
            <c:strRef>
              <c:f>'Trh práce 1-SNÚ'!$AE$7</c:f>
              <c:strCache>
                <c:ptCount val="1"/>
                <c:pt idx="0">
                  <c:v>Stavebnictví</c:v>
                </c:pt>
              </c:strCache>
            </c:strRef>
          </c:tx>
          <c:spPr>
            <a:solidFill>
              <a:srgbClr val="48AEE7"/>
            </a:solidFill>
            <a:ln w="19050">
              <a:noFill/>
            </a:ln>
          </c:spPr>
          <c:invertIfNegative val="0"/>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1-SNÚ'!$AE$28:$AE$64</c:f>
              <c:numCache>
                <c:formatCode>#\ ##0.0</c:formatCode>
                <c:ptCount val="37"/>
                <c:pt idx="0">
                  <c:v>-0.11446239310279097</c:v>
                </c:pt>
                <c:pt idx="1">
                  <c:v>-0.10158864467757592</c:v>
                </c:pt>
                <c:pt idx="2">
                  <c:v>-0.15723882215178694</c:v>
                </c:pt>
                <c:pt idx="3">
                  <c:v>-0.18194332296049914</c:v>
                </c:pt>
                <c:pt idx="4">
                  <c:v>-0.11325522810856539</c:v>
                </c:pt>
                <c:pt idx="5">
                  <c:v>-0.12563587006311638</c:v>
                </c:pt>
                <c:pt idx="6">
                  <c:v>-2.3912252831191489E-2</c:v>
                </c:pt>
                <c:pt idx="7">
                  <c:v>9.7996904835013724E-3</c:v>
                </c:pt>
                <c:pt idx="8">
                  <c:v>-1.3015925682695845E-2</c:v>
                </c:pt>
                <c:pt idx="9">
                  <c:v>1.663061150093266E-2</c:v>
                </c:pt>
                <c:pt idx="10">
                  <c:v>7.5842717437158341E-2</c:v>
                </c:pt>
                <c:pt idx="11">
                  <c:v>-7.0108572985760911E-2</c:v>
                </c:pt>
                <c:pt idx="12">
                  <c:v>0.10624272535850574</c:v>
                </c:pt>
                <c:pt idx="13">
                  <c:v>6.6114358543656077E-2</c:v>
                </c:pt>
                <c:pt idx="14">
                  <c:v>6.2149037714554899E-2</c:v>
                </c:pt>
                <c:pt idx="15">
                  <c:v>0.11396633392024222</c:v>
                </c:pt>
                <c:pt idx="16">
                  <c:v>4.082461644614449E-2</c:v>
                </c:pt>
                <c:pt idx="17">
                  <c:v>7.0404728663714888E-2</c:v>
                </c:pt>
                <c:pt idx="18">
                  <c:v>9.977925270765331E-2</c:v>
                </c:pt>
                <c:pt idx="19">
                  <c:v>0.13486608895157276</c:v>
                </c:pt>
                <c:pt idx="20">
                  <c:v>2.9339864088043205E-2</c:v>
                </c:pt>
                <c:pt idx="21">
                  <c:v>-0.22182322567588586</c:v>
                </c:pt>
                <c:pt idx="22">
                  <c:v>-0.10380928866499864</c:v>
                </c:pt>
                <c:pt idx="23">
                  <c:v>-5.7292436011891962E-2</c:v>
                </c:pt>
                <c:pt idx="24">
                  <c:v>-7.078786710782474E-2</c:v>
                </c:pt>
                <c:pt idx="25">
                  <c:v>0.1427694418966679</c:v>
                </c:pt>
                <c:pt idx="26">
                  <c:v>-1.9848613983292209E-2</c:v>
                </c:pt>
                <c:pt idx="27">
                  <c:v>5.8388099330416922E-2</c:v>
                </c:pt>
                <c:pt idx="28">
                  <c:v>0.23211676197023084</c:v>
                </c:pt>
                <c:pt idx="29">
                  <c:v>0.2775895608839154</c:v>
                </c:pt>
                <c:pt idx="30">
                  <c:v>0.27910704340849279</c:v>
                </c:pt>
                <c:pt idx="31">
                  <c:v>0.25014916598053255</c:v>
                </c:pt>
                <c:pt idx="32">
                  <c:v>0.25347125635952983</c:v>
                </c:pt>
                <c:pt idx="33">
                  <c:v>0.20527838858385108</c:v>
                </c:pt>
                <c:pt idx="34">
                  <c:v>0.15840441353035692</c:v>
                </c:pt>
                <c:pt idx="35">
                  <c:v>2.4678694959762493E-2</c:v>
                </c:pt>
              </c:numCache>
            </c:numRef>
          </c:val>
          <c:extLst>
            <c:ext xmlns:c16="http://schemas.microsoft.com/office/drawing/2014/chart" uri="{C3380CC4-5D6E-409C-BE32-E72D297353CC}">
              <c16:uniqueId val="{00000002-2585-40B3-B25D-18D31ACCBBCC}"/>
            </c:ext>
          </c:extLst>
        </c:ser>
        <c:ser>
          <c:idx val="3"/>
          <c:order val="3"/>
          <c:tx>
            <c:strRef>
              <c:f>'Trh práce 1-SNÚ'!$AF$7</c:f>
              <c:strCache>
                <c:ptCount val="1"/>
                <c:pt idx="0">
                  <c:v>Obchod, doprava, ubytování a pohost.</c:v>
                </c:pt>
              </c:strCache>
            </c:strRef>
          </c:tx>
          <c:spPr>
            <a:solidFill>
              <a:srgbClr val="FDDEB3"/>
            </a:solidFill>
            <a:ln w="19050">
              <a:noFill/>
            </a:ln>
          </c:spPr>
          <c:invertIfNegative val="0"/>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1-SNÚ'!$AF$28:$AF$64</c:f>
              <c:numCache>
                <c:formatCode>#\ ##0.0</c:formatCode>
                <c:ptCount val="37"/>
                <c:pt idx="0">
                  <c:v>0.22921943798120303</c:v>
                </c:pt>
                <c:pt idx="1">
                  <c:v>0.48955640475490941</c:v>
                </c:pt>
                <c:pt idx="2">
                  <c:v>0.32927866250413407</c:v>
                </c:pt>
                <c:pt idx="3">
                  <c:v>0.16612893864836825</c:v>
                </c:pt>
                <c:pt idx="4">
                  <c:v>8.137065994846028E-2</c:v>
                </c:pt>
                <c:pt idx="5">
                  <c:v>0.23250543653835901</c:v>
                </c:pt>
                <c:pt idx="6">
                  <c:v>-6.9229828761272118E-3</c:v>
                </c:pt>
                <c:pt idx="7">
                  <c:v>7.0307975449277485E-2</c:v>
                </c:pt>
                <c:pt idx="8">
                  <c:v>0.16752509340503544</c:v>
                </c:pt>
                <c:pt idx="9">
                  <c:v>4.8846481779882198E-3</c:v>
                </c:pt>
                <c:pt idx="10">
                  <c:v>0.35735158674247353</c:v>
                </c:pt>
                <c:pt idx="11">
                  <c:v>0.18418833710391036</c:v>
                </c:pt>
                <c:pt idx="12">
                  <c:v>0.15244258448001169</c:v>
                </c:pt>
                <c:pt idx="13">
                  <c:v>0.40230652744870238</c:v>
                </c:pt>
                <c:pt idx="14">
                  <c:v>0.21159735322599382</c:v>
                </c:pt>
                <c:pt idx="15">
                  <c:v>0.22968370337309341</c:v>
                </c:pt>
                <c:pt idx="16">
                  <c:v>0.43610558013709622</c:v>
                </c:pt>
                <c:pt idx="17">
                  <c:v>0.11493484477903346</c:v>
                </c:pt>
                <c:pt idx="18">
                  <c:v>-1.6666789714208475E-2</c:v>
                </c:pt>
                <c:pt idx="19">
                  <c:v>-4.3580055512076075E-2</c:v>
                </c:pt>
                <c:pt idx="20">
                  <c:v>-0.11338864767860299</c:v>
                </c:pt>
                <c:pt idx="21">
                  <c:v>-0.5701218677959996</c:v>
                </c:pt>
                <c:pt idx="22">
                  <c:v>-0.41759561915220661</c:v>
                </c:pt>
                <c:pt idx="23">
                  <c:v>-0.99268065558520002</c:v>
                </c:pt>
                <c:pt idx="24">
                  <c:v>-0.85371650200457738</c:v>
                </c:pt>
                <c:pt idx="25">
                  <c:v>-0.15752122069655988</c:v>
                </c:pt>
                <c:pt idx="26">
                  <c:v>0.24002189726109691</c:v>
                </c:pt>
                <c:pt idx="27">
                  <c:v>0.7407978296476736</c:v>
                </c:pt>
                <c:pt idx="28">
                  <c:v>0.53515652322371077</c:v>
                </c:pt>
                <c:pt idx="29">
                  <c:v>0.98687301589970389</c:v>
                </c:pt>
                <c:pt idx="30">
                  <c:v>0.46477551965324987</c:v>
                </c:pt>
                <c:pt idx="31">
                  <c:v>0.261651344983797</c:v>
                </c:pt>
                <c:pt idx="32">
                  <c:v>8.5734563414794948E-2</c:v>
                </c:pt>
                <c:pt idx="33">
                  <c:v>5.146132610021889E-2</c:v>
                </c:pt>
                <c:pt idx="34">
                  <c:v>7.1543394646020983E-2</c:v>
                </c:pt>
                <c:pt idx="35">
                  <c:v>8.380473496752687E-2</c:v>
                </c:pt>
              </c:numCache>
            </c:numRef>
          </c:val>
          <c:extLst>
            <c:ext xmlns:c16="http://schemas.microsoft.com/office/drawing/2014/chart" uri="{C3380CC4-5D6E-409C-BE32-E72D297353CC}">
              <c16:uniqueId val="{00000003-2585-40B3-B25D-18D31ACCBBCC}"/>
            </c:ext>
          </c:extLst>
        </c:ser>
        <c:ser>
          <c:idx val="4"/>
          <c:order val="4"/>
          <c:tx>
            <c:strRef>
              <c:f>'Trh práce 1-SNÚ'!$AG$7</c:f>
              <c:strCache>
                <c:ptCount val="1"/>
                <c:pt idx="0">
                  <c:v>Informační a komunikač. čin.</c:v>
                </c:pt>
              </c:strCache>
            </c:strRef>
          </c:tx>
          <c:spPr>
            <a:solidFill>
              <a:srgbClr val="F8A124"/>
            </a:solidFill>
            <a:ln w="19050">
              <a:noFill/>
            </a:ln>
          </c:spPr>
          <c:invertIfNegative val="0"/>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1-SNÚ'!$AG$28:$AG$64</c:f>
              <c:numCache>
                <c:formatCode>#\ ##0.0</c:formatCode>
                <c:ptCount val="37"/>
                <c:pt idx="0">
                  <c:v>1.6421925627927481E-2</c:v>
                </c:pt>
                <c:pt idx="1">
                  <c:v>5.8810347324453387E-2</c:v>
                </c:pt>
                <c:pt idx="2">
                  <c:v>6.8432712948427635E-2</c:v>
                </c:pt>
                <c:pt idx="3">
                  <c:v>9.7009172732417617E-2</c:v>
                </c:pt>
                <c:pt idx="4">
                  <c:v>0.1202414998904507</c:v>
                </c:pt>
                <c:pt idx="5">
                  <c:v>0.11261710858129224</c:v>
                </c:pt>
                <c:pt idx="6">
                  <c:v>0.12964683530975837</c:v>
                </c:pt>
                <c:pt idx="7">
                  <c:v>0.16713276044214689</c:v>
                </c:pt>
                <c:pt idx="8">
                  <c:v>0.12903159219365573</c:v>
                </c:pt>
                <c:pt idx="9">
                  <c:v>0.1338051485332182</c:v>
                </c:pt>
                <c:pt idx="10">
                  <c:v>0.13863661271570693</c:v>
                </c:pt>
                <c:pt idx="11">
                  <c:v>0.12829019627380961</c:v>
                </c:pt>
                <c:pt idx="12">
                  <c:v>0.11921936740282588</c:v>
                </c:pt>
                <c:pt idx="13">
                  <c:v>0.14348820404813328</c:v>
                </c:pt>
                <c:pt idx="14">
                  <c:v>0.12461478215607261</c:v>
                </c:pt>
                <c:pt idx="15">
                  <c:v>0.14222506693054082</c:v>
                </c:pt>
                <c:pt idx="16">
                  <c:v>0.15100100067608449</c:v>
                </c:pt>
                <c:pt idx="17">
                  <c:v>8.7586944683397366E-2</c:v>
                </c:pt>
                <c:pt idx="18">
                  <c:v>0.1334819747653993</c:v>
                </c:pt>
                <c:pt idx="19">
                  <c:v>0.1358423116659177</c:v>
                </c:pt>
                <c:pt idx="20">
                  <c:v>0.12945571610776943</c:v>
                </c:pt>
                <c:pt idx="21">
                  <c:v>8.7230757675342149E-2</c:v>
                </c:pt>
                <c:pt idx="22">
                  <c:v>0.10732855989947056</c:v>
                </c:pt>
                <c:pt idx="23">
                  <c:v>7.317310801389737E-2</c:v>
                </c:pt>
                <c:pt idx="24">
                  <c:v>6.8471510199846153E-2</c:v>
                </c:pt>
                <c:pt idx="25">
                  <c:v>0.13165868738071818</c:v>
                </c:pt>
                <c:pt idx="26">
                  <c:v>0.10412080114108865</c:v>
                </c:pt>
                <c:pt idx="27">
                  <c:v>3.9101703530884151E-2</c:v>
                </c:pt>
                <c:pt idx="28">
                  <c:v>9.9089132084497142E-2</c:v>
                </c:pt>
                <c:pt idx="29">
                  <c:v>0.10416847644449227</c:v>
                </c:pt>
                <c:pt idx="30">
                  <c:v>0.11043415928068227</c:v>
                </c:pt>
                <c:pt idx="31">
                  <c:v>0.19349303709369248</c:v>
                </c:pt>
                <c:pt idx="32">
                  <c:v>0.16942650132046538</c:v>
                </c:pt>
                <c:pt idx="33">
                  <c:v>8.699414650275103E-2</c:v>
                </c:pt>
                <c:pt idx="34">
                  <c:v>3.8761844330010835E-2</c:v>
                </c:pt>
                <c:pt idx="35">
                  <c:v>3.4373896551097786E-2</c:v>
                </c:pt>
              </c:numCache>
            </c:numRef>
          </c:val>
          <c:extLst>
            <c:ext xmlns:c16="http://schemas.microsoft.com/office/drawing/2014/chart" uri="{C3380CC4-5D6E-409C-BE32-E72D297353CC}">
              <c16:uniqueId val="{00000004-2585-40B3-B25D-18D31ACCBBCC}"/>
            </c:ext>
          </c:extLst>
        </c:ser>
        <c:ser>
          <c:idx val="5"/>
          <c:order val="5"/>
          <c:tx>
            <c:strRef>
              <c:f>'Trh práce 1-SNÚ'!$AH$7</c:f>
              <c:strCache>
                <c:ptCount val="1"/>
                <c:pt idx="0">
                  <c:v>Profesní, vědec., techn. a admin. čin.</c:v>
                </c:pt>
              </c:strCache>
            </c:strRef>
          </c:tx>
          <c:spPr>
            <a:solidFill>
              <a:srgbClr val="E8C0BE"/>
            </a:solidFill>
            <a:ln w="19050">
              <a:noFill/>
            </a:ln>
          </c:spPr>
          <c:invertIfNegative val="0"/>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1-SNÚ'!$AH$28:$AH$64</c:f>
              <c:numCache>
                <c:formatCode>#\ ##0.0</c:formatCode>
                <c:ptCount val="37"/>
                <c:pt idx="0">
                  <c:v>0.10308883456383168</c:v>
                </c:pt>
                <c:pt idx="1">
                  <c:v>0.12282080877669461</c:v>
                </c:pt>
                <c:pt idx="2">
                  <c:v>0.25097208668743332</c:v>
                </c:pt>
                <c:pt idx="3">
                  <c:v>0.35868659590703411</c:v>
                </c:pt>
                <c:pt idx="4">
                  <c:v>0.23811542989926274</c:v>
                </c:pt>
                <c:pt idx="5">
                  <c:v>0.24004667467079344</c:v>
                </c:pt>
                <c:pt idx="6">
                  <c:v>0.25800163760363776</c:v>
                </c:pt>
                <c:pt idx="7">
                  <c:v>0.26365010416494572</c:v>
                </c:pt>
                <c:pt idx="8">
                  <c:v>0.41654784776603976</c:v>
                </c:pt>
                <c:pt idx="9">
                  <c:v>0.35593309894624658</c:v>
                </c:pt>
                <c:pt idx="10">
                  <c:v>0.30977182035627732</c:v>
                </c:pt>
                <c:pt idx="11">
                  <c:v>0.13772607419921484</c:v>
                </c:pt>
                <c:pt idx="12">
                  <c:v>0.14343992134911879</c:v>
                </c:pt>
                <c:pt idx="13">
                  <c:v>0.13539486233919026</c:v>
                </c:pt>
                <c:pt idx="14">
                  <c:v>0.10628305160717502</c:v>
                </c:pt>
                <c:pt idx="15">
                  <c:v>0.2182460882983914</c:v>
                </c:pt>
                <c:pt idx="16">
                  <c:v>-9.1442689268283559E-3</c:v>
                </c:pt>
                <c:pt idx="17">
                  <c:v>-3.3296298567616171E-2</c:v>
                </c:pt>
                <c:pt idx="18">
                  <c:v>-2.6633640706093933E-2</c:v>
                </c:pt>
                <c:pt idx="19">
                  <c:v>-0.20614876639524751</c:v>
                </c:pt>
                <c:pt idx="20">
                  <c:v>-0.13657008164791523</c:v>
                </c:pt>
                <c:pt idx="21">
                  <c:v>-0.27353729169983632</c:v>
                </c:pt>
                <c:pt idx="22">
                  <c:v>-0.43694239818987962</c:v>
                </c:pt>
                <c:pt idx="23">
                  <c:v>-0.20909243346063169</c:v>
                </c:pt>
                <c:pt idx="24">
                  <c:v>-0.1713918803351494</c:v>
                </c:pt>
                <c:pt idx="25">
                  <c:v>0.10134809862521423</c:v>
                </c:pt>
                <c:pt idx="26">
                  <c:v>0.19100069845358966</c:v>
                </c:pt>
                <c:pt idx="27">
                  <c:v>7.1176434253319584E-2</c:v>
                </c:pt>
                <c:pt idx="28">
                  <c:v>-2.0682741042304916E-3</c:v>
                </c:pt>
                <c:pt idx="29">
                  <c:v>-4.55083229230243E-2</c:v>
                </c:pt>
                <c:pt idx="30">
                  <c:v>1.7441865870564063E-2</c:v>
                </c:pt>
                <c:pt idx="31">
                  <c:v>5.8718716721028366E-2</c:v>
                </c:pt>
                <c:pt idx="32">
                  <c:v>0.17237902364729063</c:v>
                </c:pt>
                <c:pt idx="33">
                  <c:v>0.13830917174696358</c:v>
                </c:pt>
                <c:pt idx="34">
                  <c:v>0.23247934367923692</c:v>
                </c:pt>
                <c:pt idx="35">
                  <c:v>0.21869289953182408</c:v>
                </c:pt>
              </c:numCache>
            </c:numRef>
          </c:val>
          <c:extLst>
            <c:ext xmlns:c16="http://schemas.microsoft.com/office/drawing/2014/chart" uri="{C3380CC4-5D6E-409C-BE32-E72D297353CC}">
              <c16:uniqueId val="{00000005-2585-40B3-B25D-18D31ACCBBCC}"/>
            </c:ext>
          </c:extLst>
        </c:ser>
        <c:ser>
          <c:idx val="6"/>
          <c:order val="6"/>
          <c:tx>
            <c:strRef>
              <c:f>'Trh práce 1-SNÚ'!$AI$7</c:f>
              <c:strCache>
                <c:ptCount val="1"/>
                <c:pt idx="0">
                  <c:v>Veř.spr.,obrana, vzděl.,zdrav.a soc.péče</c:v>
                </c:pt>
              </c:strCache>
            </c:strRef>
          </c:tx>
          <c:spPr>
            <a:solidFill>
              <a:srgbClr val="D58D8B"/>
            </a:solidFill>
            <a:ln>
              <a:noFill/>
            </a:ln>
          </c:spPr>
          <c:invertIfNegative val="0"/>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1-SNÚ'!$AI$28:$AI$64</c:f>
              <c:numCache>
                <c:formatCode>#\ ##0.0</c:formatCode>
                <c:ptCount val="37"/>
                <c:pt idx="0">
                  <c:v>0.2031525775646241</c:v>
                </c:pt>
                <c:pt idx="1">
                  <c:v>0.21991576992497472</c:v>
                </c:pt>
                <c:pt idx="2">
                  <c:v>0.13142991326837997</c:v>
                </c:pt>
                <c:pt idx="3">
                  <c:v>0.14149199757097264</c:v>
                </c:pt>
                <c:pt idx="4">
                  <c:v>0.325463233483336</c:v>
                </c:pt>
                <c:pt idx="5">
                  <c:v>0.34066723563476037</c:v>
                </c:pt>
                <c:pt idx="6">
                  <c:v>0.44607921975090492</c:v>
                </c:pt>
                <c:pt idx="7">
                  <c:v>0.55251039247568279</c:v>
                </c:pt>
                <c:pt idx="8">
                  <c:v>0.46255274221280807</c:v>
                </c:pt>
                <c:pt idx="9">
                  <c:v>0.49230411325389473</c:v>
                </c:pt>
                <c:pt idx="10">
                  <c:v>0.52626450589314866</c:v>
                </c:pt>
                <c:pt idx="11">
                  <c:v>0.51878456833877995</c:v>
                </c:pt>
                <c:pt idx="12">
                  <c:v>0.44244887504378938</c:v>
                </c:pt>
                <c:pt idx="13">
                  <c:v>0.45935334574437608</c:v>
                </c:pt>
                <c:pt idx="14">
                  <c:v>0.30172836175807344</c:v>
                </c:pt>
                <c:pt idx="15">
                  <c:v>0.24009677638084359</c:v>
                </c:pt>
                <c:pt idx="16">
                  <c:v>0.20061747000522431</c:v>
                </c:pt>
                <c:pt idx="17">
                  <c:v>0.13283528847799542</c:v>
                </c:pt>
                <c:pt idx="18">
                  <c:v>0.15144076368225956</c:v>
                </c:pt>
                <c:pt idx="19">
                  <c:v>0.17428338345531044</c:v>
                </c:pt>
                <c:pt idx="20">
                  <c:v>0.34198589701119508</c:v>
                </c:pt>
                <c:pt idx="21">
                  <c:v>0.27678778519636987</c:v>
                </c:pt>
                <c:pt idx="22">
                  <c:v>0.37818346642689021</c:v>
                </c:pt>
                <c:pt idx="23">
                  <c:v>0.32123696939097601</c:v>
                </c:pt>
                <c:pt idx="24">
                  <c:v>0.17763677855905952</c:v>
                </c:pt>
                <c:pt idx="25">
                  <c:v>0.30954336863438131</c:v>
                </c:pt>
                <c:pt idx="26">
                  <c:v>0.28418412534868692</c:v>
                </c:pt>
                <c:pt idx="27">
                  <c:v>0.35355873670896537</c:v>
                </c:pt>
                <c:pt idx="28">
                  <c:v>0.44014753187210476</c:v>
                </c:pt>
                <c:pt idx="29">
                  <c:v>0.4145068427816348</c:v>
                </c:pt>
                <c:pt idx="30">
                  <c:v>0.41676390165986388</c:v>
                </c:pt>
                <c:pt idx="31">
                  <c:v>0.50271397537047469</c:v>
                </c:pt>
                <c:pt idx="32">
                  <c:v>0.52222506539187263</c:v>
                </c:pt>
                <c:pt idx="33">
                  <c:v>0.41869476228305313</c:v>
                </c:pt>
                <c:pt idx="34">
                  <c:v>0.26331638121768891</c:v>
                </c:pt>
                <c:pt idx="35">
                  <c:v>0.28573301508100013</c:v>
                </c:pt>
              </c:numCache>
            </c:numRef>
          </c:val>
          <c:extLst>
            <c:ext xmlns:c16="http://schemas.microsoft.com/office/drawing/2014/chart" uri="{C3380CC4-5D6E-409C-BE32-E72D297353CC}">
              <c16:uniqueId val="{00000006-2585-40B3-B25D-18D31ACCBBCC}"/>
            </c:ext>
          </c:extLst>
        </c:ser>
        <c:ser>
          <c:idx val="7"/>
          <c:order val="7"/>
          <c:tx>
            <c:strRef>
              <c:f>'Trh práce 1-SNÚ'!$AJ$7</c:f>
              <c:strCache>
                <c:ptCount val="1"/>
                <c:pt idx="0">
                  <c:v>Ostatní odvětví*</c:v>
                </c:pt>
              </c:strCache>
            </c:strRef>
          </c:tx>
          <c:spPr>
            <a:solidFill>
              <a:schemeClr val="bg1">
                <a:lumMod val="85000"/>
              </a:schemeClr>
            </a:solidFill>
            <a:ln>
              <a:noFill/>
            </a:ln>
          </c:spPr>
          <c:invertIfNegative val="0"/>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1-SNÚ'!$AJ$28:$AJ$64</c:f>
              <c:numCache>
                <c:formatCode>#\ ##0.0</c:formatCode>
                <c:ptCount val="37"/>
                <c:pt idx="0">
                  <c:v>-5.8105330152403663E-2</c:v>
                </c:pt>
                <c:pt idx="1">
                  <c:v>7.4822774223603894E-2</c:v>
                </c:pt>
                <c:pt idx="2">
                  <c:v>5.2908263210984297E-2</c:v>
                </c:pt>
                <c:pt idx="3">
                  <c:v>-1.0886996096651559E-2</c:v>
                </c:pt>
                <c:pt idx="4">
                  <c:v>0.13489326432190499</c:v>
                </c:pt>
                <c:pt idx="5">
                  <c:v>7.1998572758000354E-2</c:v>
                </c:pt>
                <c:pt idx="6">
                  <c:v>0.10095213191232859</c:v>
                </c:pt>
                <c:pt idx="7">
                  <c:v>0.17975706759442231</c:v>
                </c:pt>
                <c:pt idx="8">
                  <c:v>-3.4575344434650213E-2</c:v>
                </c:pt>
                <c:pt idx="9">
                  <c:v>7.1083985158272222E-3</c:v>
                </c:pt>
                <c:pt idx="10">
                  <c:v>3.3733199641470868E-2</c:v>
                </c:pt>
                <c:pt idx="11">
                  <c:v>2.2834824579480689E-2</c:v>
                </c:pt>
                <c:pt idx="12">
                  <c:v>0.20382180000527356</c:v>
                </c:pt>
                <c:pt idx="13">
                  <c:v>0.20098465243874819</c:v>
                </c:pt>
                <c:pt idx="14">
                  <c:v>1.3096754650279419E-2</c:v>
                </c:pt>
                <c:pt idx="15">
                  <c:v>1.49769422150825E-2</c:v>
                </c:pt>
                <c:pt idx="16">
                  <c:v>-3.6076273960813747E-2</c:v>
                </c:pt>
                <c:pt idx="17">
                  <c:v>2.1528414284039402E-2</c:v>
                </c:pt>
                <c:pt idx="18">
                  <c:v>0.11899312656423253</c:v>
                </c:pt>
                <c:pt idx="19">
                  <c:v>0.11806769054624172</c:v>
                </c:pt>
                <c:pt idx="20">
                  <c:v>-0.14230569417640501</c:v>
                </c:pt>
                <c:pt idx="21">
                  <c:v>-0.35283464151923138</c:v>
                </c:pt>
                <c:pt idx="22">
                  <c:v>-0.32618669457516397</c:v>
                </c:pt>
                <c:pt idx="23">
                  <c:v>-0.43498990865563242</c:v>
                </c:pt>
                <c:pt idx="24">
                  <c:v>-0.14203900559724536</c:v>
                </c:pt>
                <c:pt idx="25">
                  <c:v>5.2288111624045751E-2</c:v>
                </c:pt>
                <c:pt idx="26">
                  <c:v>-2.6396030127119236E-2</c:v>
                </c:pt>
                <c:pt idx="27">
                  <c:v>9.1180639103177613E-2</c:v>
                </c:pt>
                <c:pt idx="28">
                  <c:v>-1.9140936710060376E-2</c:v>
                </c:pt>
                <c:pt idx="29">
                  <c:v>3.0656468767111159E-2</c:v>
                </c:pt>
                <c:pt idx="30">
                  <c:v>-8.2151560145151459E-2</c:v>
                </c:pt>
                <c:pt idx="31">
                  <c:v>-5.0394037894755966E-2</c:v>
                </c:pt>
                <c:pt idx="32">
                  <c:v>3.0267996180661824E-2</c:v>
                </c:pt>
                <c:pt idx="33">
                  <c:v>0.10467826247251354</c:v>
                </c:pt>
                <c:pt idx="34">
                  <c:v>8.9887854811667361E-2</c:v>
                </c:pt>
                <c:pt idx="35">
                  <c:v>0.10633506139284565</c:v>
                </c:pt>
              </c:numCache>
            </c:numRef>
          </c:val>
          <c:extLst>
            <c:ext xmlns:c16="http://schemas.microsoft.com/office/drawing/2014/chart" uri="{C3380CC4-5D6E-409C-BE32-E72D297353CC}">
              <c16:uniqueId val="{00000007-2585-40B3-B25D-18D31ACCBBCC}"/>
            </c:ext>
          </c:extLst>
        </c:ser>
        <c:dLbls>
          <c:showLegendKey val="0"/>
          <c:showVal val="0"/>
          <c:showCatName val="0"/>
          <c:showSerName val="0"/>
          <c:showPercent val="0"/>
          <c:showBubbleSize val="0"/>
        </c:dLbls>
        <c:gapWidth val="47"/>
        <c:overlap val="100"/>
        <c:axId val="95825920"/>
        <c:axId val="95827456"/>
      </c:barChart>
      <c:lineChart>
        <c:grouping val="standard"/>
        <c:varyColors val="0"/>
        <c:ser>
          <c:idx val="8"/>
          <c:order val="8"/>
          <c:tx>
            <c:strRef>
              <c:f>'Trh práce 1-SNÚ'!$AK$7</c:f>
              <c:strCache>
                <c:ptCount val="1"/>
                <c:pt idx="0">
                  <c:v>Zaměstnanost celkem</c:v>
                </c:pt>
              </c:strCache>
            </c:strRef>
          </c:tx>
          <c:spPr>
            <a:ln w="19050">
              <a:solidFill>
                <a:schemeClr val="tx1">
                  <a:lumMod val="95000"/>
                  <a:lumOff val="5000"/>
                </a:schemeClr>
              </a:solidFill>
            </a:ln>
          </c:spPr>
          <c:marker>
            <c:symbol val="none"/>
          </c:marker>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1-SNÚ'!$AK$28:$AK$64</c:f>
              <c:numCache>
                <c:formatCode>#\ ##0.0</c:formatCode>
                <c:ptCount val="37"/>
                <c:pt idx="0">
                  <c:v>1.2219798438541989</c:v>
                </c:pt>
                <c:pt idx="1">
                  <c:v>1.7421952173863668</c:v>
                </c:pt>
                <c:pt idx="2">
                  <c:v>1.3904158616861526</c:v>
                </c:pt>
                <c:pt idx="3">
                  <c:v>1.3570767227454039</c:v>
                </c:pt>
                <c:pt idx="4">
                  <c:v>1.5348256915487184</c:v>
                </c:pt>
                <c:pt idx="5">
                  <c:v>1.4765589966874444</c:v>
                </c:pt>
                <c:pt idx="6">
                  <c:v>1.5276265584907236</c:v>
                </c:pt>
                <c:pt idx="7">
                  <c:v>1.8192452854841994</c:v>
                </c:pt>
                <c:pt idx="8">
                  <c:v>1.4810250356838992</c:v>
                </c:pt>
                <c:pt idx="9">
                  <c:v>1.4509305729939399</c:v>
                </c:pt>
                <c:pt idx="10">
                  <c:v>1.9544552420651509</c:v>
                </c:pt>
                <c:pt idx="11">
                  <c:v>1.3083410896249879</c:v>
                </c:pt>
                <c:pt idx="12">
                  <c:v>1.5409056151757028</c:v>
                </c:pt>
                <c:pt idx="13">
                  <c:v>1.729427221842442</c:v>
                </c:pt>
                <c:pt idx="14">
                  <c:v>0.93555167144769769</c:v>
                </c:pt>
                <c:pt idx="15">
                  <c:v>1.1332739223121564</c:v>
                </c:pt>
                <c:pt idx="16">
                  <c:v>0.89667625300134579</c:v>
                </c:pt>
                <c:pt idx="17">
                  <c:v>0.28165574684354056</c:v>
                </c:pt>
                <c:pt idx="18">
                  <c:v>0.17165132263802718</c:v>
                </c:pt>
                <c:pt idx="19">
                  <c:v>-0.36834909134847788</c:v>
                </c:pt>
                <c:pt idx="20">
                  <c:v>-0.79587138844840455</c:v>
                </c:pt>
                <c:pt idx="21">
                  <c:v>-2.1514961360447127</c:v>
                </c:pt>
                <c:pt idx="22">
                  <c:v>-1.7856708541695099</c:v>
                </c:pt>
                <c:pt idx="23">
                  <c:v>-2.1298218129441739</c:v>
                </c:pt>
                <c:pt idx="24">
                  <c:v>-1.4446840072233298</c:v>
                </c:pt>
                <c:pt idx="25">
                  <c:v>0.46349863771264704</c:v>
                </c:pt>
                <c:pt idx="26">
                  <c:v>0.89146166281481953</c:v>
                </c:pt>
                <c:pt idx="27">
                  <c:v>1.6566655087273441</c:v>
                </c:pt>
                <c:pt idx="28">
                  <c:v>1.2556680111701854</c:v>
                </c:pt>
                <c:pt idx="29">
                  <c:v>2.1543034788646906</c:v>
                </c:pt>
                <c:pt idx="30">
                  <c:v>1.3643332437686837</c:v>
                </c:pt>
                <c:pt idx="31">
                  <c:v>1.1967469087661735</c:v>
                </c:pt>
                <c:pt idx="32">
                  <c:v>1.3279294128045915</c:v>
                </c:pt>
                <c:pt idx="33">
                  <c:v>0.82705702661066061</c:v>
                </c:pt>
                <c:pt idx="34">
                  <c:v>0.44149612280661177</c:v>
                </c:pt>
                <c:pt idx="35">
                  <c:v>0.44032373893981047</c:v>
                </c:pt>
              </c:numCache>
            </c:numRef>
          </c:val>
          <c:smooth val="0"/>
          <c:extLst>
            <c:ext xmlns:c16="http://schemas.microsoft.com/office/drawing/2014/chart" uri="{C3380CC4-5D6E-409C-BE32-E72D297353CC}">
              <c16:uniqueId val="{00000008-2585-40B3-B25D-18D31ACCBBCC}"/>
            </c:ext>
          </c:extLst>
        </c:ser>
        <c:dLbls>
          <c:showLegendKey val="0"/>
          <c:showVal val="0"/>
          <c:showCatName val="0"/>
          <c:showSerName val="0"/>
          <c:showPercent val="0"/>
          <c:showBubbleSize val="0"/>
        </c:dLbls>
        <c:marker val="1"/>
        <c:smooth val="0"/>
        <c:axId val="95825920"/>
        <c:axId val="95827456"/>
      </c:lineChart>
      <c:lineChart>
        <c:grouping val="standard"/>
        <c:varyColors val="0"/>
        <c:ser>
          <c:idx val="9"/>
          <c:order val="9"/>
          <c:tx>
            <c:strRef>
              <c:f>'Trh práce 1-SNÚ'!$AL$7</c:f>
              <c:strCache>
                <c:ptCount val="1"/>
              </c:strCache>
            </c:strRef>
          </c:tx>
          <c:spPr>
            <a:ln>
              <a:noFill/>
            </a:ln>
          </c:spPr>
          <c:marker>
            <c:symbol val="none"/>
          </c:marker>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1-SNÚ'!$AL$28:$AL$64</c:f>
              <c:numCache>
                <c:formatCode>General</c:formatCode>
                <c:ptCount val="37"/>
              </c:numCache>
            </c:numRef>
          </c:val>
          <c:smooth val="0"/>
          <c:extLst>
            <c:ext xmlns:c16="http://schemas.microsoft.com/office/drawing/2014/chart" uri="{C3380CC4-5D6E-409C-BE32-E72D297353CC}">
              <c16:uniqueId val="{00000009-2585-40B3-B25D-18D31ACCBBCC}"/>
            </c:ext>
          </c:extLst>
        </c:ser>
        <c:ser>
          <c:idx val="10"/>
          <c:order val="10"/>
          <c:tx>
            <c:strRef>
              <c:f>'Trh práce 1-SNÚ'!$AM$7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1-SNÚ'!$AM$28:$AM$64</c:f>
              <c:numCache>
                <c:formatCode>#\ ##0.0</c:formatCode>
                <c:ptCount val="37"/>
                <c:pt idx="0">
                  <c:v>-3</c:v>
                </c:pt>
                <c:pt idx="1">
                  <c:v>4.3</c:v>
                </c:pt>
                <c:pt idx="2">
                  <c:v>5.5</c:v>
                </c:pt>
                <c:pt idx="3">
                  <c:v>7.8</c:v>
                </c:pt>
                <c:pt idx="4">
                  <c:v>8.2000000000000011</c:v>
                </c:pt>
                <c:pt idx="5">
                  <c:v>9.9</c:v>
                </c:pt>
                <c:pt idx="6">
                  <c:v>3.8</c:v>
                </c:pt>
                <c:pt idx="7">
                  <c:v>9.5</c:v>
                </c:pt>
                <c:pt idx="8">
                  <c:v>11.1</c:v>
                </c:pt>
                <c:pt idx="9">
                  <c:v>5.7</c:v>
                </c:pt>
                <c:pt idx="10">
                  <c:v>8.2000000000000011</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pt idx="31">
                  <c:v>-9.9</c:v>
                </c:pt>
                <c:pt idx="32">
                  <c:v>-13.6</c:v>
                </c:pt>
                <c:pt idx="33">
                  <c:v>-5.8</c:v>
                </c:pt>
                <c:pt idx="34">
                  <c:v>-4.3</c:v>
                </c:pt>
                <c:pt idx="35">
                  <c:v>-8.3000000000000007</c:v>
                </c:pt>
                <c:pt idx="36">
                  <c:v>-6</c:v>
                </c:pt>
              </c:numCache>
            </c:numRef>
          </c:val>
          <c:smooth val="0"/>
          <c:extLst>
            <c:ext xmlns:c16="http://schemas.microsoft.com/office/drawing/2014/chart" uri="{C3380CC4-5D6E-409C-BE32-E72D297353CC}">
              <c16:uniqueId val="{0000000A-2585-40B3-B25D-18D31ACCBBCC}"/>
            </c:ext>
          </c:extLst>
        </c:ser>
        <c:ser>
          <c:idx val="11"/>
          <c:order val="11"/>
          <c:tx>
            <c:strRef>
              <c:f>'Trh práce 1-SNÚ'!$AN$7</c:f>
              <c:strCache>
                <c:ptCount val="1"/>
                <c:pt idx="0">
                  <c:v>Očekávání zaměstnanosti (stavebnictví)</c:v>
                </c:pt>
              </c:strCache>
            </c:strRef>
          </c:tx>
          <c:spPr>
            <a:ln w="15875">
              <a:solidFill>
                <a:srgbClr val="00B0F0"/>
              </a:solidFill>
              <a:prstDash val="sysDot"/>
            </a:ln>
          </c:spPr>
          <c:marker>
            <c:symbol val="none"/>
          </c:marker>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1-SNÚ'!$AN$28:$AN$64</c:f>
              <c:numCache>
                <c:formatCode>#\ ##0.0</c:formatCode>
                <c:ptCount val="37"/>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5.7</c:v>
                </c:pt>
                <c:pt idx="21">
                  <c:v>-4.2</c:v>
                </c:pt>
                <c:pt idx="22">
                  <c:v>1.5</c:v>
                </c:pt>
                <c:pt idx="23">
                  <c:v>-1.5</c:v>
                </c:pt>
                <c:pt idx="24">
                  <c:v>3.9</c:v>
                </c:pt>
                <c:pt idx="25">
                  <c:v>4.4000000000000004</c:v>
                </c:pt>
                <c:pt idx="26">
                  <c:v>4.0999999999999996</c:v>
                </c:pt>
                <c:pt idx="27">
                  <c:v>8.3000000000000007</c:v>
                </c:pt>
                <c:pt idx="28">
                  <c:v>9.7000000000000011</c:v>
                </c:pt>
                <c:pt idx="29">
                  <c:v>8</c:v>
                </c:pt>
                <c:pt idx="30">
                  <c:v>1.3</c:v>
                </c:pt>
                <c:pt idx="31">
                  <c:v>-1.5</c:v>
                </c:pt>
                <c:pt idx="32">
                  <c:v>-12.1</c:v>
                </c:pt>
                <c:pt idx="33">
                  <c:v>-13.4</c:v>
                </c:pt>
                <c:pt idx="34">
                  <c:v>-8.4</c:v>
                </c:pt>
                <c:pt idx="35">
                  <c:v>0.1</c:v>
                </c:pt>
                <c:pt idx="36">
                  <c:v>0.30000000000000021</c:v>
                </c:pt>
              </c:numCache>
            </c:numRef>
          </c:val>
          <c:smooth val="0"/>
          <c:extLst>
            <c:ext xmlns:c16="http://schemas.microsoft.com/office/drawing/2014/chart" uri="{C3380CC4-5D6E-409C-BE32-E72D297353CC}">
              <c16:uniqueId val="{0000000B-2585-40B3-B25D-18D31ACCBBCC}"/>
            </c:ext>
          </c:extLst>
        </c:ser>
        <c:ser>
          <c:idx val="12"/>
          <c:order val="12"/>
          <c:tx>
            <c:strRef>
              <c:f>'Trh práce 1-SNÚ'!$AO$7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1-SNÚ'!$AO$28:$AO$64</c:f>
              <c:numCache>
                <c:formatCode>#\ ##0.0</c:formatCode>
                <c:ptCount val="37"/>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0.7000000000000004</c:v>
                </c:pt>
                <c:pt idx="24">
                  <c:v>5.3</c:v>
                </c:pt>
                <c:pt idx="25">
                  <c:v>13.1</c:v>
                </c:pt>
                <c:pt idx="26">
                  <c:v>10.8</c:v>
                </c:pt>
                <c:pt idx="27">
                  <c:v>8.5</c:v>
                </c:pt>
                <c:pt idx="28">
                  <c:v>10.3</c:v>
                </c:pt>
                <c:pt idx="29">
                  <c:v>3.3</c:v>
                </c:pt>
                <c:pt idx="30">
                  <c:v>5.2</c:v>
                </c:pt>
                <c:pt idx="31">
                  <c:v>12.6</c:v>
                </c:pt>
                <c:pt idx="32">
                  <c:v>11</c:v>
                </c:pt>
                <c:pt idx="33">
                  <c:v>9.4</c:v>
                </c:pt>
                <c:pt idx="34">
                  <c:v>10.8</c:v>
                </c:pt>
                <c:pt idx="35">
                  <c:v>10.4</c:v>
                </c:pt>
                <c:pt idx="36">
                  <c:v>5.9</c:v>
                </c:pt>
              </c:numCache>
            </c:numRef>
          </c:val>
          <c:smooth val="0"/>
          <c:extLst>
            <c:ext xmlns:c16="http://schemas.microsoft.com/office/drawing/2014/chart" uri="{C3380CC4-5D6E-409C-BE32-E72D297353CC}">
              <c16:uniqueId val="{0000000C-2585-40B3-B25D-18D31ACCBBCC}"/>
            </c:ext>
          </c:extLst>
        </c:ser>
        <c:ser>
          <c:idx val="13"/>
          <c:order val="13"/>
          <c:tx>
            <c:strRef>
              <c:f>'Trh práce 1-SNÚ'!$AP$7</c:f>
              <c:strCache>
                <c:ptCount val="1"/>
                <c:pt idx="0">
                  <c:v>Očekávání zaměstnanosti (vybr. služby)</c:v>
                </c:pt>
              </c:strCache>
            </c:strRef>
          </c:tx>
          <c:spPr>
            <a:ln w="15875">
              <a:solidFill>
                <a:srgbClr val="C00000"/>
              </a:solidFill>
              <a:prstDash val="sysDot"/>
            </a:ln>
          </c:spPr>
          <c:marker>
            <c:symbol val="none"/>
          </c:marker>
          <c:cat>
            <c:multiLvlStrRef>
              <c:f>'Trh práce 1-SNÚ'!$AA$28:$AB$64</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1-SNÚ'!$AP$28:$AP$64</c:f>
              <c:numCache>
                <c:formatCode>#\ ##0.0</c:formatCode>
                <c:ptCount val="37"/>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-32.300000000000004</c:v>
                </c:pt>
                <c:pt idx="22">
                  <c:v>-28.6</c:v>
                </c:pt>
                <c:pt idx="23">
                  <c:v>-30.1</c:v>
                </c:pt>
                <c:pt idx="24">
                  <c:v>-27</c:v>
                </c:pt>
                <c:pt idx="25">
                  <c:v>-27.7</c:v>
                </c:pt>
                <c:pt idx="26">
                  <c:v>-12.1</c:v>
                </c:pt>
                <c:pt idx="27">
                  <c:v>-15.8</c:v>
                </c:pt>
                <c:pt idx="28">
                  <c:v>-6.8</c:v>
                </c:pt>
                <c:pt idx="29">
                  <c:v>-3.5</c:v>
                </c:pt>
                <c:pt idx="30">
                  <c:v>-6.1</c:v>
                </c:pt>
                <c:pt idx="31">
                  <c:v>-6.4</c:v>
                </c:pt>
                <c:pt idx="32">
                  <c:v>-10.7</c:v>
                </c:pt>
                <c:pt idx="33">
                  <c:v>-16.7</c:v>
                </c:pt>
                <c:pt idx="34">
                  <c:v>-14.5</c:v>
                </c:pt>
                <c:pt idx="35">
                  <c:v>-15.2</c:v>
                </c:pt>
                <c:pt idx="36">
                  <c:v>-23.7</c:v>
                </c:pt>
              </c:numCache>
            </c:numRef>
          </c:val>
          <c:smooth val="0"/>
          <c:extLst>
            <c:ext xmlns:c16="http://schemas.microsoft.com/office/drawing/2014/chart" uri="{C3380CC4-5D6E-409C-BE32-E72D297353CC}">
              <c16:uniqueId val="{0000000D-2585-40B3-B25D-18D31ACCBBCC}"/>
            </c:ext>
          </c:extLst>
        </c:ser>
        <c:dLbls>
          <c:showLegendKey val="0"/>
          <c:showVal val="0"/>
          <c:showCatName val="0"/>
          <c:showSerName val="0"/>
          <c:showPercent val="0"/>
          <c:showBubbleSize val="0"/>
        </c:dLbls>
        <c:marker val="1"/>
        <c:smooth val="0"/>
        <c:axId val="95831552"/>
        <c:axId val="95829376"/>
      </c:lineChart>
      <c:catAx>
        <c:axId val="95825920"/>
        <c:scaling>
          <c:orientation val="minMax"/>
        </c:scaling>
        <c:delete val="0"/>
        <c:axPos val="b"/>
        <c:numFmt formatCode="General" sourceLinked="1"/>
        <c:majorTickMark val="out"/>
        <c:minorTickMark val="none"/>
        <c:tickLblPos val="low"/>
        <c:spPr>
          <a:ln>
            <a:solidFill>
              <a:schemeClr val="tx1"/>
            </a:solidFill>
          </a:ln>
        </c:spPr>
        <c:crossAx val="95827456"/>
        <c:crosses val="autoZero"/>
        <c:auto val="1"/>
        <c:lblAlgn val="ctr"/>
        <c:lblOffset val="10"/>
        <c:noMultiLvlLbl val="0"/>
      </c:catAx>
      <c:valAx>
        <c:axId val="95827456"/>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Příspěvek k růstu zaměstnanosti</a:t>
                </a:r>
              </a:p>
            </c:rich>
          </c:tx>
          <c:layout/>
          <c:overlay val="0"/>
        </c:title>
        <c:numFmt formatCode="0.0" sourceLinked="0"/>
        <c:majorTickMark val="out"/>
        <c:minorTickMark val="none"/>
        <c:tickLblPos val="nextTo"/>
        <c:spPr>
          <a:ln>
            <a:solidFill>
              <a:schemeClr val="tx1"/>
            </a:solidFill>
          </a:ln>
        </c:spPr>
        <c:crossAx val="95825920"/>
        <c:crosses val="autoZero"/>
        <c:crossBetween val="between"/>
        <c:majorUnit val="0.5"/>
      </c:valAx>
      <c:valAx>
        <c:axId val="95829376"/>
        <c:scaling>
          <c:orientation val="minMax"/>
          <c:max val="100"/>
          <c:min val="-40"/>
        </c:scaling>
        <c:delete val="0"/>
        <c:axPos val="r"/>
        <c:title>
          <c:tx>
            <c:rich>
              <a:bodyPr/>
              <a:lstStyle/>
              <a:p>
                <a:pPr>
                  <a:defRPr sz="700" b="0" i="1"/>
                </a:pPr>
                <a:r>
                  <a:rPr lang="cs-CZ" sz="700" b="0" i="1"/>
                  <a:t>Očekávání vývoje zaměstnanosti</a:t>
                </a:r>
              </a:p>
            </c:rich>
          </c:tx>
          <c:layout/>
          <c:overlay val="0"/>
        </c:title>
        <c:numFmt formatCode="#,##0" sourceLinked="0"/>
        <c:majorTickMark val="out"/>
        <c:minorTickMark val="none"/>
        <c:tickLblPos val="nextTo"/>
        <c:crossAx val="95831552"/>
        <c:crosses val="max"/>
        <c:crossBetween val="between"/>
        <c:majorUnit val="10"/>
      </c:valAx>
      <c:catAx>
        <c:axId val="95831552"/>
        <c:scaling>
          <c:orientation val="minMax"/>
        </c:scaling>
        <c:delete val="1"/>
        <c:axPos val="b"/>
        <c:numFmt formatCode="General" sourceLinked="1"/>
        <c:majorTickMark val="out"/>
        <c:minorTickMark val="none"/>
        <c:tickLblPos val="none"/>
        <c:crossAx val="95829376"/>
        <c:crosses val="autoZero"/>
        <c:auto val="1"/>
        <c:lblAlgn val="ctr"/>
        <c:lblOffset val="100"/>
        <c:noMultiLvlLbl val="0"/>
      </c:catAx>
      <c:spPr>
        <a:ln>
          <a:solidFill>
            <a:schemeClr val="tx1"/>
          </a:solidFill>
        </a:ln>
      </c:spPr>
    </c:plotArea>
    <c:legend>
      <c:legendPos val="b"/>
      <c:layout>
        <c:manualLayout>
          <c:xMode val="edge"/>
          <c:yMode val="edge"/>
          <c:x val="1.5472441370721636E-2"/>
          <c:y val="0.77992823117070786"/>
          <c:w val="0.96005692595618608"/>
          <c:h val="0.21194618315349978"/>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974E-2"/>
          <c:y val="1.6081916099773243E-2"/>
          <c:w val="0.83584199323559083"/>
          <c:h val="0.75413005601973693"/>
        </c:manualLayout>
      </c:layout>
      <c:barChart>
        <c:barDir val="col"/>
        <c:grouping val="clustered"/>
        <c:varyColors val="0"/>
        <c:ser>
          <c:idx val="0"/>
          <c:order val="0"/>
          <c:tx>
            <c:strRef>
              <c:f>'Trh práce-2b'!$A$32</c:f>
              <c:strCache>
                <c:ptCount val="1"/>
                <c:pt idx="0">
                  <c:v>Míra nezaměstnanosti mužů</c:v>
                </c:pt>
              </c:strCache>
            </c:strRef>
          </c:tx>
          <c:spPr>
            <a:solidFill>
              <a:srgbClr val="BCBCBC"/>
            </a:solidFill>
          </c:spPr>
          <c:invertIfNegative val="0"/>
          <c:cat>
            <c:multiLvlStrRef>
              <c:f>'Trh práce-2b'!$B$30:$AL$31</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práce-2b'!$B$32:$AL$32</c:f>
              <c:numCache>
                <c:formatCode>0.0</c:formatCode>
                <c:ptCount val="37"/>
                <c:pt idx="0">
                  <c:v>5.0127229973802683</c:v>
                </c:pt>
                <c:pt idx="1">
                  <c:v>4.3449712679986989</c:v>
                </c:pt>
                <c:pt idx="2">
                  <c:v>4.0803742397692675</c:v>
                </c:pt>
                <c:pt idx="3">
                  <c:v>3.777071346695128</c:v>
                </c:pt>
                <c:pt idx="4">
                  <c:v>3.639689193245963</c:v>
                </c:pt>
                <c:pt idx="5">
                  <c:v>3.5687537265192675</c:v>
                </c:pt>
                <c:pt idx="6">
                  <c:v>3.3812772041673056</c:v>
                </c:pt>
                <c:pt idx="7">
                  <c:v>3.1625157371626198</c:v>
                </c:pt>
                <c:pt idx="8">
                  <c:v>2.7014167503574611</c:v>
                </c:pt>
                <c:pt idx="9">
                  <c:v>2.4643306568437211</c:v>
                </c:pt>
                <c:pt idx="10">
                  <c:v>2.2569671166364302</c:v>
                </c:pt>
                <c:pt idx="11">
                  <c:v>2.0563239983816275</c:v>
                </c:pt>
                <c:pt idx="12">
                  <c:v>1.8927077663033782</c:v>
                </c:pt>
                <c:pt idx="13">
                  <c:v>1.8463053715581259</c:v>
                </c:pt>
                <c:pt idx="14">
                  <c:v>1.8898307203424392</c:v>
                </c:pt>
                <c:pt idx="15">
                  <c:v>1.66414090105238</c:v>
                </c:pt>
                <c:pt idx="16">
                  <c:v>1.797524154902983</c:v>
                </c:pt>
                <c:pt idx="17">
                  <c:v>1.6823584231173776</c:v>
                </c:pt>
                <c:pt idx="18">
                  <c:v>1.7680442309984998</c:v>
                </c:pt>
                <c:pt idx="19">
                  <c:v>1.8679911964312019</c:v>
                </c:pt>
                <c:pt idx="20">
                  <c:v>1.8315503817523053</c:v>
                </c:pt>
                <c:pt idx="21">
                  <c:v>2.2594744346943325</c:v>
                </c:pt>
                <c:pt idx="22">
                  <c:v>2.5262882214451401</c:v>
                </c:pt>
                <c:pt idx="23">
                  <c:v>2.5384491116047534</c:v>
                </c:pt>
                <c:pt idx="24">
                  <c:v>2.6633194438949492</c:v>
                </c:pt>
                <c:pt idx="25">
                  <c:v>2.5638539854623339</c:v>
                </c:pt>
                <c:pt idx="26">
                  <c:v>2.2766311388265756</c:v>
                </c:pt>
                <c:pt idx="27">
                  <c:v>1.9716311648762768</c:v>
                </c:pt>
                <c:pt idx="28">
                  <c:v>1.9655013551372778</c:v>
                </c:pt>
                <c:pt idx="29">
                  <c:v>1.9037308023713286</c:v>
                </c:pt>
                <c:pt idx="30">
                  <c:v>1.9272683524829164</c:v>
                </c:pt>
                <c:pt idx="31">
                  <c:v>2.0966113896413234</c:v>
                </c:pt>
                <c:pt idx="32">
                  <c:v>2.150428096435927</c:v>
                </c:pt>
                <c:pt idx="33">
                  <c:v>2.2448007049381857</c:v>
                </c:pt>
                <c:pt idx="34">
                  <c:v>2.3365957082373883</c:v>
                </c:pt>
                <c:pt idx="35">
                  <c:v>2.3173129275841196</c:v>
                </c:pt>
              </c:numCache>
            </c:numRef>
          </c:val>
          <c:extLst>
            <c:ext xmlns:c16="http://schemas.microsoft.com/office/drawing/2014/chart" uri="{C3380CC4-5D6E-409C-BE32-E72D297353CC}">
              <c16:uniqueId val="{00000000-C1EA-480A-B61D-171622B04011}"/>
            </c:ext>
          </c:extLst>
        </c:ser>
        <c:ser>
          <c:idx val="1"/>
          <c:order val="1"/>
          <c:tx>
            <c:strRef>
              <c:f>'Trh práce-2b'!$A$33</c:f>
              <c:strCache>
                <c:ptCount val="1"/>
                <c:pt idx="0">
                  <c:v>Míra nezaměstnanosti žen</c:v>
                </c:pt>
              </c:strCache>
            </c:strRef>
          </c:tx>
          <c:spPr>
            <a:solidFill>
              <a:schemeClr val="bg1">
                <a:lumMod val="95000"/>
              </a:schemeClr>
            </a:solidFill>
            <a:ln>
              <a:solidFill>
                <a:schemeClr val="bg1">
                  <a:lumMod val="65000"/>
                </a:schemeClr>
              </a:solidFill>
            </a:ln>
          </c:spPr>
          <c:invertIfNegative val="0"/>
          <c:cat>
            <c:multiLvlStrRef>
              <c:f>'Trh práce-2b'!$B$30:$AL$31</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práce-2b'!$B$33:$AL$33</c:f>
              <c:numCache>
                <c:formatCode>0.0</c:formatCode>
                <c:ptCount val="37"/>
                <c:pt idx="0">
                  <c:v>6.9232538003884407</c:v>
                </c:pt>
                <c:pt idx="1">
                  <c:v>6.1565512197823367</c:v>
                </c:pt>
                <c:pt idx="2">
                  <c:v>5.988361821651508</c:v>
                </c:pt>
                <c:pt idx="3">
                  <c:v>5.6659771181246086</c:v>
                </c:pt>
                <c:pt idx="4">
                  <c:v>5.0761619237723243</c:v>
                </c:pt>
                <c:pt idx="5">
                  <c:v>4.7824572088299755</c:v>
                </c:pt>
                <c:pt idx="6">
                  <c:v>4.8045499820344828</c:v>
                </c:pt>
                <c:pt idx="7">
                  <c:v>4.3778507209520425</c:v>
                </c:pt>
                <c:pt idx="8">
                  <c:v>4.2638953600644607</c:v>
                </c:pt>
                <c:pt idx="9">
                  <c:v>3.8950252684812661</c:v>
                </c:pt>
                <c:pt idx="10">
                  <c:v>3.4034762456862682</c:v>
                </c:pt>
                <c:pt idx="11">
                  <c:v>3.0200874915235345</c:v>
                </c:pt>
                <c:pt idx="12">
                  <c:v>2.9271977359410859</c:v>
                </c:pt>
                <c:pt idx="13">
                  <c:v>2.9067357056699148</c:v>
                </c:pt>
                <c:pt idx="14">
                  <c:v>2.8715238120039879</c:v>
                </c:pt>
                <c:pt idx="15">
                  <c:v>2.6892823668724892</c:v>
                </c:pt>
                <c:pt idx="16">
                  <c:v>2.223990780142413</c:v>
                </c:pt>
                <c:pt idx="17">
                  <c:v>2.4709749606754192</c:v>
                </c:pt>
                <c:pt idx="18">
                  <c:v>2.5681225207938794</c:v>
                </c:pt>
                <c:pt idx="19">
                  <c:v>2.4481064001613326</c:v>
                </c:pt>
                <c:pt idx="20">
                  <c:v>2.0492954589307941</c:v>
                </c:pt>
                <c:pt idx="21">
                  <c:v>2.7867626963401624</c:v>
                </c:pt>
                <c:pt idx="22">
                  <c:v>3.3740053396289782</c:v>
                </c:pt>
                <c:pt idx="23">
                  <c:v>3.8993777572129527</c:v>
                </c:pt>
                <c:pt idx="24">
                  <c:v>4.1612954196326104</c:v>
                </c:pt>
                <c:pt idx="25">
                  <c:v>3.8820940785423255</c:v>
                </c:pt>
                <c:pt idx="26">
                  <c:v>3.2720463783764466</c:v>
                </c:pt>
                <c:pt idx="27">
                  <c:v>2.7383712703829741</c:v>
                </c:pt>
                <c:pt idx="28">
                  <c:v>2.9938877769399812</c:v>
                </c:pt>
                <c:pt idx="29">
                  <c:v>3.2165836219864183</c:v>
                </c:pt>
                <c:pt idx="30">
                  <c:v>2.8917438518121932</c:v>
                </c:pt>
                <c:pt idx="31">
                  <c:v>2.8050708800737629</c:v>
                </c:pt>
                <c:pt idx="32">
                  <c:v>3.0293697792496808</c:v>
                </c:pt>
                <c:pt idx="33">
                  <c:v>3.1814107786807035</c:v>
                </c:pt>
                <c:pt idx="34">
                  <c:v>3.1932795686856212</c:v>
                </c:pt>
                <c:pt idx="35">
                  <c:v>3.3158533508605701</c:v>
                </c:pt>
              </c:numCache>
            </c:numRef>
          </c:val>
          <c:extLst>
            <c:ext xmlns:c16="http://schemas.microsoft.com/office/drawing/2014/chart" uri="{C3380CC4-5D6E-409C-BE32-E72D297353CC}">
              <c16:uniqueId val="{00000001-C1EA-480A-B61D-171622B04011}"/>
            </c:ext>
          </c:extLst>
        </c:ser>
        <c:dLbls>
          <c:showLegendKey val="0"/>
          <c:showVal val="0"/>
          <c:showCatName val="0"/>
          <c:showSerName val="0"/>
          <c:showPercent val="0"/>
          <c:showBubbleSize val="0"/>
        </c:dLbls>
        <c:gapWidth val="68"/>
        <c:axId val="95236096"/>
        <c:axId val="95238016"/>
      </c:barChart>
      <c:lineChart>
        <c:grouping val="standard"/>
        <c:varyColors val="0"/>
        <c:ser>
          <c:idx val="4"/>
          <c:order val="2"/>
          <c:tx>
            <c:strRef>
              <c:f>'Trh práce-2b'!$A$36</c:f>
              <c:strCache>
                <c:ptCount val="1"/>
                <c:pt idx="0">
                  <c:v>Ekon. neaktivní chtějící pracovat</c:v>
                </c:pt>
              </c:strCache>
            </c:strRef>
          </c:tx>
          <c:spPr>
            <a:ln w="19050">
              <a:solidFill>
                <a:schemeClr val="bg2">
                  <a:lumMod val="75000"/>
                </a:schemeClr>
              </a:solidFill>
              <a:prstDash val="sysDash"/>
            </a:ln>
          </c:spPr>
          <c:marker>
            <c:symbol val="none"/>
          </c:marker>
          <c:cat>
            <c:multiLvlStrRef>
              <c:f>'Trh práce-2b'!$B$30:$AL$31</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práce-2b'!$B$36:$AL$36</c:f>
              <c:numCache>
                <c:formatCode>0.0</c:formatCode>
                <c:ptCount val="37"/>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113.7</c:v>
                </c:pt>
                <c:pt idx="26">
                  <c:v>64.599999999999994</c:v>
                </c:pt>
                <c:pt idx="27">
                  <c:v>63.3</c:v>
                </c:pt>
                <c:pt idx="28">
                  <c:v>67</c:v>
                </c:pt>
                <c:pt idx="29">
                  <c:v>54.1</c:v>
                </c:pt>
                <c:pt idx="30">
                  <c:v>53.9</c:v>
                </c:pt>
                <c:pt idx="31">
                  <c:v>46.8</c:v>
                </c:pt>
                <c:pt idx="32">
                  <c:v>74</c:v>
                </c:pt>
                <c:pt idx="33">
                  <c:v>87.4</c:v>
                </c:pt>
                <c:pt idx="34">
                  <c:v>79.400000000000006</c:v>
                </c:pt>
                <c:pt idx="35">
                  <c:v>81.099999999999994</c:v>
                </c:pt>
              </c:numCache>
            </c:numRef>
          </c:val>
          <c:smooth val="0"/>
          <c:extLst>
            <c:ext xmlns:c16="http://schemas.microsoft.com/office/drawing/2014/chart" uri="{C3380CC4-5D6E-409C-BE32-E72D297353CC}">
              <c16:uniqueId val="{00000002-C1EA-480A-B61D-171622B04011}"/>
            </c:ext>
          </c:extLst>
        </c:ser>
        <c:ser>
          <c:idx val="5"/>
          <c:order val="3"/>
          <c:tx>
            <c:strRef>
              <c:f>'Trh práce-2b'!$A$37</c:f>
              <c:strCache>
                <c:ptCount val="1"/>
                <c:pt idx="0">
                  <c:v>Očekávání vývoje nezaměstnanosti</c:v>
                </c:pt>
              </c:strCache>
            </c:strRef>
          </c:tx>
          <c:spPr>
            <a:ln w="19050">
              <a:solidFill>
                <a:schemeClr val="accent6">
                  <a:lumMod val="75000"/>
                </a:schemeClr>
              </a:solidFill>
              <a:prstDash val="dash"/>
            </a:ln>
          </c:spPr>
          <c:marker>
            <c:symbol val="none"/>
          </c:marker>
          <c:cat>
            <c:multiLvlStrRef>
              <c:f>'Trh práce-2b'!$B$30:$AL$31</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práce-2b'!$B$37:$AL$37</c:f>
              <c:numCache>
                <c:formatCode>0.0</c:formatCode>
                <c:ptCount val="37"/>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pt idx="31">
                  <c:v>40</c:v>
                </c:pt>
                <c:pt idx="32">
                  <c:v>35</c:v>
                </c:pt>
                <c:pt idx="33">
                  <c:v>29</c:v>
                </c:pt>
                <c:pt idx="34">
                  <c:v>25</c:v>
                </c:pt>
                <c:pt idx="35">
                  <c:v>17</c:v>
                </c:pt>
                <c:pt idx="36">
                  <c:v>25</c:v>
                </c:pt>
              </c:numCache>
            </c:numRef>
          </c:val>
          <c:smooth val="0"/>
          <c:extLst>
            <c:ext xmlns:c16="http://schemas.microsoft.com/office/drawing/2014/chart" uri="{C3380CC4-5D6E-409C-BE32-E72D297353CC}">
              <c16:uniqueId val="{00000003-C1EA-480A-B61D-171622B04011}"/>
            </c:ext>
          </c:extLst>
        </c:ser>
        <c:ser>
          <c:idx val="6"/>
          <c:order val="4"/>
          <c:tx>
            <c:strRef>
              <c:f>'Trh práce-2b'!$A$38</c:f>
              <c:strCache>
                <c:ptCount val="1"/>
                <c:pt idx="0">
                  <c:v>VPM pro vyučené a SŠ bez mat.</c:v>
                </c:pt>
              </c:strCache>
            </c:strRef>
          </c:tx>
          <c:spPr>
            <a:ln>
              <a:noFill/>
            </a:ln>
          </c:spPr>
          <c:marker>
            <c:symbol val="circle"/>
            <c:size val="4"/>
            <c:spPr>
              <a:solidFill>
                <a:srgbClr val="8EB149"/>
              </a:solidFill>
              <a:ln>
                <a:noFill/>
              </a:ln>
            </c:spPr>
          </c:marker>
          <c:cat>
            <c:multiLvlStrRef>
              <c:f>'Trh práce-2b'!$B$30:$AL$31</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práce-2b'!$B$38:$AL$38</c:f>
              <c:numCache>
                <c:formatCode>0.0</c:formatCode>
                <c:ptCount val="37"/>
                <c:pt idx="0">
                  <c:v>31.7</c:v>
                </c:pt>
                <c:pt idx="1">
                  <c:v>39.700000000000003</c:v>
                </c:pt>
                <c:pt idx="2">
                  <c:v>44.4</c:v>
                </c:pt>
                <c:pt idx="3">
                  <c:v>41.2</c:v>
                </c:pt>
                <c:pt idx="4">
                  <c:v>45.3</c:v>
                </c:pt>
                <c:pt idx="5">
                  <c:v>51.4</c:v>
                </c:pt>
                <c:pt idx="6">
                  <c:v>52.8</c:v>
                </c:pt>
                <c:pt idx="7">
                  <c:v>47.2</c:v>
                </c:pt>
                <c:pt idx="8">
                  <c:v>51.5</c:v>
                </c:pt>
                <c:pt idx="9">
                  <c:v>59.1</c:v>
                </c:pt>
                <c:pt idx="10">
                  <c:v>63.1</c:v>
                </c:pt>
                <c:pt idx="11">
                  <c:v>60.9</c:v>
                </c:pt>
                <c:pt idx="12">
                  <c:v>65.3</c:v>
                </c:pt>
                <c:pt idx="13">
                  <c:v>73.3</c:v>
                </c:pt>
                <c:pt idx="14">
                  <c:v>74.2</c:v>
                </c:pt>
                <c:pt idx="15">
                  <c:v>70.400000000000006</c:v>
                </c:pt>
                <c:pt idx="16">
                  <c:v>70.2</c:v>
                </c:pt>
                <c:pt idx="17">
                  <c:v>68</c:v>
                </c:pt>
                <c:pt idx="18">
                  <c:v>65.8</c:v>
                </c:pt>
                <c:pt idx="19">
                  <c:v>59.1</c:v>
                </c:pt>
                <c:pt idx="20">
                  <c:v>57.7</c:v>
                </c:pt>
                <c:pt idx="21">
                  <c:v>54.3</c:v>
                </c:pt>
                <c:pt idx="22">
                  <c:v>49.1</c:v>
                </c:pt>
                <c:pt idx="23">
                  <c:v>46.6</c:v>
                </c:pt>
                <c:pt idx="24">
                  <c:v>47.9</c:v>
                </c:pt>
                <c:pt idx="25">
                  <c:v>53.9</c:v>
                </c:pt>
                <c:pt idx="26">
                  <c:v>55.5</c:v>
                </c:pt>
                <c:pt idx="27">
                  <c:v>48.9</c:v>
                </c:pt>
                <c:pt idx="28">
                  <c:v>53.7</c:v>
                </c:pt>
                <c:pt idx="29">
                  <c:v>51.3</c:v>
                </c:pt>
                <c:pt idx="30">
                  <c:v>48.2</c:v>
                </c:pt>
                <c:pt idx="31">
                  <c:v>43.886999999999993</c:v>
                </c:pt>
                <c:pt idx="32">
                  <c:v>43.122000000000028</c:v>
                </c:pt>
                <c:pt idx="33">
                  <c:v>42.853999999999999</c:v>
                </c:pt>
                <c:pt idx="34">
                  <c:v>41.186</c:v>
                </c:pt>
                <c:pt idx="35">
                  <c:v>38.178000000000011</c:v>
                </c:pt>
              </c:numCache>
            </c:numRef>
          </c:val>
          <c:smooth val="0"/>
          <c:extLst>
            <c:ext xmlns:c16="http://schemas.microsoft.com/office/drawing/2014/chart" uri="{C3380CC4-5D6E-409C-BE32-E72D297353CC}">
              <c16:uniqueId val="{00000004-C1EA-480A-B61D-171622B04011}"/>
            </c:ext>
          </c:extLst>
        </c:ser>
        <c:ser>
          <c:idx val="7"/>
          <c:order val="5"/>
          <c:tx>
            <c:strRef>
              <c:f>'Trh práce-2b'!$A$39</c:f>
              <c:strCache>
                <c:ptCount val="1"/>
                <c:pt idx="0">
                  <c:v>VPM pro SŠ s mat., VOŠ a VŠ</c:v>
                </c:pt>
              </c:strCache>
            </c:strRef>
          </c:tx>
          <c:spPr>
            <a:ln>
              <a:noFill/>
            </a:ln>
          </c:spPr>
          <c:marker>
            <c:symbol val="diamond"/>
            <c:size val="5"/>
            <c:spPr>
              <a:solidFill>
                <a:srgbClr val="00B050"/>
              </a:solidFill>
              <a:ln>
                <a:noFill/>
              </a:ln>
            </c:spPr>
          </c:marker>
          <c:cat>
            <c:multiLvlStrRef>
              <c:f>'Trh práce-2b'!$B$30:$AL$31</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práce-2b'!$B$39:$AL$39</c:f>
              <c:numCache>
                <c:formatCode>0.0</c:formatCode>
                <c:ptCount val="37"/>
                <c:pt idx="0">
                  <c:v>16.600000000000001</c:v>
                </c:pt>
                <c:pt idx="1">
                  <c:v>19.3</c:v>
                </c:pt>
                <c:pt idx="2">
                  <c:v>20</c:v>
                </c:pt>
                <c:pt idx="3">
                  <c:v>19.600000000000001</c:v>
                </c:pt>
                <c:pt idx="4">
                  <c:v>23.4</c:v>
                </c:pt>
                <c:pt idx="5">
                  <c:v>24.8</c:v>
                </c:pt>
                <c:pt idx="6">
                  <c:v>25.2</c:v>
                </c:pt>
                <c:pt idx="7">
                  <c:v>23.5</c:v>
                </c:pt>
                <c:pt idx="8">
                  <c:v>25.9</c:v>
                </c:pt>
                <c:pt idx="9">
                  <c:v>30.3</c:v>
                </c:pt>
                <c:pt idx="10">
                  <c:v>31.4</c:v>
                </c:pt>
                <c:pt idx="11">
                  <c:v>31.8</c:v>
                </c:pt>
                <c:pt idx="12">
                  <c:v>34.300000000000004</c:v>
                </c:pt>
                <c:pt idx="13">
                  <c:v>38</c:v>
                </c:pt>
                <c:pt idx="14">
                  <c:v>37.200000000000003</c:v>
                </c:pt>
                <c:pt idx="15">
                  <c:v>36.6</c:v>
                </c:pt>
                <c:pt idx="16">
                  <c:v>37.300000000000004</c:v>
                </c:pt>
                <c:pt idx="17">
                  <c:v>38.300000000000004</c:v>
                </c:pt>
                <c:pt idx="18">
                  <c:v>38.6</c:v>
                </c:pt>
                <c:pt idx="19">
                  <c:v>36.300000000000004</c:v>
                </c:pt>
                <c:pt idx="20">
                  <c:v>37.700000000000003</c:v>
                </c:pt>
                <c:pt idx="21">
                  <c:v>38.1</c:v>
                </c:pt>
                <c:pt idx="22">
                  <c:v>34.4</c:v>
                </c:pt>
                <c:pt idx="23">
                  <c:v>34.1</c:v>
                </c:pt>
                <c:pt idx="24">
                  <c:v>36.300000000000004</c:v>
                </c:pt>
                <c:pt idx="25">
                  <c:v>39.6</c:v>
                </c:pt>
                <c:pt idx="26">
                  <c:v>40.300000000000004</c:v>
                </c:pt>
                <c:pt idx="27">
                  <c:v>39.200000000000003</c:v>
                </c:pt>
                <c:pt idx="28">
                  <c:v>42.5</c:v>
                </c:pt>
                <c:pt idx="29">
                  <c:v>41</c:v>
                </c:pt>
                <c:pt idx="30">
                  <c:v>38.5</c:v>
                </c:pt>
                <c:pt idx="31">
                  <c:v>36.56</c:v>
                </c:pt>
                <c:pt idx="32">
                  <c:v>37.613</c:v>
                </c:pt>
                <c:pt idx="33">
                  <c:v>38.130000000000003</c:v>
                </c:pt>
                <c:pt idx="34">
                  <c:v>36.289000000000001</c:v>
                </c:pt>
                <c:pt idx="35">
                  <c:v>34.274000000000001</c:v>
                </c:pt>
              </c:numCache>
            </c:numRef>
          </c:val>
          <c:smooth val="0"/>
          <c:extLst>
            <c:ext xmlns:c16="http://schemas.microsoft.com/office/drawing/2014/chart" uri="{C3380CC4-5D6E-409C-BE32-E72D297353CC}">
              <c16:uniqueId val="{00000005-C1EA-480A-B61D-171622B04011}"/>
            </c:ext>
          </c:extLst>
        </c:ser>
        <c:dLbls>
          <c:showLegendKey val="0"/>
          <c:showVal val="0"/>
          <c:showCatName val="0"/>
          <c:showSerName val="0"/>
          <c:showPercent val="0"/>
          <c:showBubbleSize val="0"/>
        </c:dLbls>
        <c:marker val="1"/>
        <c:smooth val="0"/>
        <c:axId val="95844224"/>
        <c:axId val="95842304"/>
      </c:lineChart>
      <c:catAx>
        <c:axId val="95236096"/>
        <c:scaling>
          <c:orientation val="minMax"/>
        </c:scaling>
        <c:delete val="0"/>
        <c:axPos val="b"/>
        <c:numFmt formatCode="General" sourceLinked="0"/>
        <c:majorTickMark val="out"/>
        <c:minorTickMark val="none"/>
        <c:tickLblPos val="low"/>
        <c:spPr>
          <a:ln>
            <a:solidFill>
              <a:schemeClr val="tx1"/>
            </a:solidFill>
          </a:ln>
        </c:spPr>
        <c:crossAx val="95238016"/>
        <c:crossesAt val="-50"/>
        <c:auto val="1"/>
        <c:lblAlgn val="ctr"/>
        <c:lblOffset val="0"/>
        <c:noMultiLvlLbl val="0"/>
      </c:catAx>
      <c:valAx>
        <c:axId val="95238016"/>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 nezaměstnanosti</a:t>
                </a:r>
              </a:p>
            </c:rich>
          </c:tx>
          <c:layout/>
          <c:overlay val="0"/>
        </c:title>
        <c:numFmt formatCode="0.0" sourceLinked="0"/>
        <c:majorTickMark val="out"/>
        <c:minorTickMark val="none"/>
        <c:tickLblPos val="nextTo"/>
        <c:spPr>
          <a:ln>
            <a:solidFill>
              <a:schemeClr val="tx1"/>
            </a:solidFill>
          </a:ln>
        </c:spPr>
        <c:crossAx val="95236096"/>
        <c:crosses val="autoZero"/>
        <c:crossBetween val="between"/>
        <c:majorUnit val="0.5"/>
      </c:valAx>
      <c:valAx>
        <c:axId val="95842304"/>
        <c:scaling>
          <c:orientation val="minMax"/>
          <c:max val="142"/>
          <c:min val="-10"/>
        </c:scaling>
        <c:delete val="0"/>
        <c:axPos val="r"/>
        <c:title>
          <c:tx>
            <c:rich>
              <a:bodyPr/>
              <a:lstStyle/>
              <a:p>
                <a:pPr>
                  <a:defRPr sz="700" b="0" i="1"/>
                </a:pPr>
                <a:r>
                  <a:rPr lang="cs-CZ" sz="700" b="0" i="1"/>
                  <a:t>Míra</a:t>
                </a:r>
                <a:r>
                  <a:rPr lang="cs-CZ" sz="700" b="0" i="1" baseline="0"/>
                  <a:t> ekonomické aktivity, e</a:t>
                </a:r>
                <a:r>
                  <a:rPr lang="cs-CZ" sz="700" b="0" i="1"/>
                  <a:t>kon. neaktivní, očekávání nezam.</a:t>
                </a:r>
              </a:p>
            </c:rich>
          </c:tx>
          <c:layout/>
          <c:overlay val="0"/>
        </c:title>
        <c:numFmt formatCode="#,##0" sourceLinked="0"/>
        <c:majorTickMark val="out"/>
        <c:minorTickMark val="none"/>
        <c:tickLblPos val="nextTo"/>
        <c:crossAx val="95844224"/>
        <c:crosses val="max"/>
        <c:crossBetween val="between"/>
        <c:majorUnit val="10"/>
      </c:valAx>
      <c:catAx>
        <c:axId val="95844224"/>
        <c:scaling>
          <c:orientation val="minMax"/>
        </c:scaling>
        <c:delete val="1"/>
        <c:axPos val="b"/>
        <c:numFmt formatCode="General" sourceLinked="1"/>
        <c:majorTickMark val="out"/>
        <c:minorTickMark val="none"/>
        <c:tickLblPos val="none"/>
        <c:crossAx val="95842304"/>
        <c:crosses val="autoZero"/>
        <c:auto val="1"/>
        <c:lblAlgn val="ctr"/>
        <c:lblOffset val="100"/>
        <c:noMultiLvlLbl val="0"/>
      </c:catAx>
      <c:spPr>
        <a:ln>
          <a:solidFill>
            <a:schemeClr val="tx1"/>
          </a:solidFill>
        </a:ln>
      </c:spPr>
    </c:plotArea>
    <c:legend>
      <c:legendPos val="b"/>
      <c:layout>
        <c:manualLayout>
          <c:xMode val="edge"/>
          <c:yMode val="edge"/>
          <c:x val="7.7707750087519983E-2"/>
          <c:y val="0.86344941601778269"/>
          <c:w val="0.87725909810586822"/>
          <c:h val="0.12604380165618714"/>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25E-2"/>
          <c:y val="2.0203894786331146E-2"/>
          <c:w val="0.94100987714831774"/>
          <c:h val="0.77071958644763361"/>
        </c:manualLayout>
      </c:layout>
      <c:barChart>
        <c:barDir val="col"/>
        <c:grouping val="clustered"/>
        <c:varyColors val="0"/>
        <c:ser>
          <c:idx val="4"/>
          <c:order val="1"/>
          <c:tx>
            <c:strRef>
              <c:f>'Trh práce 3'!$D$68</c:f>
              <c:strCache>
                <c:ptCount val="1"/>
                <c:pt idx="0">
                  <c:v>Průměrná mzda celkem (reálně)</c:v>
                </c:pt>
              </c:strCache>
            </c:strRef>
          </c:tx>
          <c:spPr>
            <a:solidFill>
              <a:srgbClr val="DBDBDB"/>
            </a:solidFill>
            <a:ln w="19050">
              <a:noFill/>
            </a:ln>
          </c:spPr>
          <c:invertIfNegative val="0"/>
          <c:cat>
            <c:numRef>
              <c:f>'Trh práce 3'!$B$69:$B$87</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'Trh práce 3'!$D$69:$D$87</c:f>
              <c:numCache>
                <c:formatCode>#\ ##0.0</c:formatCode>
                <c:ptCount val="19"/>
                <c:pt idx="0">
                  <c:v>3</c:v>
                </c:pt>
                <c:pt idx="1">
                  <c:v>4</c:v>
                </c:pt>
                <c:pt idx="2">
                  <c:v>4.2999999999999972</c:v>
                </c:pt>
                <c:pt idx="3">
                  <c:v>1.4000000000000057</c:v>
                </c:pt>
                <c:pt idx="4">
                  <c:v>2.2999999999999972</c:v>
                </c:pt>
                <c:pt idx="5">
                  <c:v>0.70000000000000284</c:v>
                </c:pt>
                <c:pt idx="6">
                  <c:v>0.59999999999999432</c:v>
                </c:pt>
                <c:pt idx="7">
                  <c:v>-0.7999999999999976</c:v>
                </c:pt>
                <c:pt idx="8">
                  <c:v>-1.5</c:v>
                </c:pt>
                <c:pt idx="9">
                  <c:v>2.5</c:v>
                </c:pt>
                <c:pt idx="10">
                  <c:v>2.9000000000000057</c:v>
                </c:pt>
                <c:pt idx="11">
                  <c:v>3.7000000000000042</c:v>
                </c:pt>
                <c:pt idx="12">
                  <c:v>4.2000000000000028</c:v>
                </c:pt>
                <c:pt idx="13">
                  <c:v>5.9000000000000083</c:v>
                </c:pt>
                <c:pt idx="14">
                  <c:v>5</c:v>
                </c:pt>
                <c:pt idx="15">
                  <c:v>1.4000000000000057</c:v>
                </c:pt>
                <c:pt idx="16">
                  <c:v>1.9000000000000061</c:v>
                </c:pt>
                <c:pt idx="17">
                  <c:v>-8.5</c:v>
                </c:pt>
                <c:pt idx="18">
                  <c:v>-2.9000000000000057</c:v>
                </c:pt>
              </c:numCache>
            </c:numRef>
          </c:val>
          <c:extLst>
            <c:ext xmlns:c16="http://schemas.microsoft.com/office/drawing/2014/chart" uri="{C3380CC4-5D6E-409C-BE32-E72D297353CC}">
              <c16:uniqueId val="{00000000-A4FE-46DA-9CA8-56E65FC118B1}"/>
            </c:ext>
          </c:extLst>
        </c:ser>
        <c:dLbls>
          <c:showLegendKey val="0"/>
          <c:showVal val="0"/>
          <c:showCatName val="0"/>
          <c:showSerName val="0"/>
          <c:showPercent val="0"/>
          <c:showBubbleSize val="0"/>
        </c:dLbls>
        <c:gapWidth val="37"/>
        <c:axId val="132136320"/>
        <c:axId val="132154880"/>
      </c:barChart>
      <c:lineChart>
        <c:grouping val="standard"/>
        <c:varyColors val="0"/>
        <c:ser>
          <c:idx val="0"/>
          <c:order val="0"/>
          <c:tx>
            <c:strRef>
              <c:f>'Trh práce 3'!$C$68</c:f>
              <c:strCache>
                <c:ptCount val="1"/>
                <c:pt idx="0">
                  <c:v>Průměrná mzda celkem (nominálně)</c:v>
                </c:pt>
              </c:strCache>
            </c:strRef>
          </c:tx>
          <c:spPr>
            <a:ln w="19050">
              <a:solidFill>
                <a:schemeClr val="tx1">
                  <a:lumMod val="95000"/>
                  <a:lumOff val="5000"/>
                </a:schemeClr>
              </a:solidFill>
              <a:prstDash val="sysDash"/>
            </a:ln>
          </c:spPr>
          <c:marker>
            <c:symbol val="none"/>
          </c:marker>
          <c:cat>
            <c:numRef>
              <c:f>'Trh práce 3'!$B$69:$B$87</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'Trh práce 3'!$C$69:$C$87</c:f>
              <c:numCache>
                <c:formatCode>General</c:formatCode>
                <c:ptCount val="19"/>
                <c:pt idx="0" formatCode="0.0">
                  <c:v>5</c:v>
                </c:pt>
                <c:pt idx="1">
                  <c:v>6.5999999999999943</c:v>
                </c:pt>
                <c:pt idx="2">
                  <c:v>7.2000000000000028</c:v>
                </c:pt>
                <c:pt idx="3">
                  <c:v>7.7999999999999972</c:v>
                </c:pt>
                <c:pt idx="4" formatCode="#\ ##0.0">
                  <c:v>3.2999999999999972</c:v>
                </c:pt>
                <c:pt idx="5" formatCode="#\ ##0.0">
                  <c:v>2.2000000000000042</c:v>
                </c:pt>
                <c:pt idx="6" formatCode="#\ ##0.0">
                  <c:v>2.5</c:v>
                </c:pt>
                <c:pt idx="7" formatCode="#\ ##0.0">
                  <c:v>2.5</c:v>
                </c:pt>
                <c:pt idx="8" formatCode="#\ ##0.0">
                  <c:v>-9.9999999999994413E-2</c:v>
                </c:pt>
                <c:pt idx="9" formatCode="#\ ##0.0">
                  <c:v>2.9000000000000057</c:v>
                </c:pt>
                <c:pt idx="10" formatCode="#\ ##0.0">
                  <c:v>3.2000000000000042</c:v>
                </c:pt>
                <c:pt idx="11" formatCode="#\ ##0.0">
                  <c:v>4.4000000000000083</c:v>
                </c:pt>
                <c:pt idx="12" formatCode="#\ ##0.0">
                  <c:v>6.7999999999999972</c:v>
                </c:pt>
                <c:pt idx="13" formatCode="#\ ##0.0">
                  <c:v>8.1000000000000014</c:v>
                </c:pt>
                <c:pt idx="14" formatCode="#\ ##0.0">
                  <c:v>7.9000000000000083</c:v>
                </c:pt>
                <c:pt idx="15" formatCode="#\ ##0.0">
                  <c:v>4.5999999999999943</c:v>
                </c:pt>
                <c:pt idx="16" formatCode="#\ ##0.0">
                  <c:v>5.7999999999999972</c:v>
                </c:pt>
                <c:pt idx="17" formatCode="#\ ##0.0">
                  <c:v>5.2999999999999972</c:v>
                </c:pt>
                <c:pt idx="18" formatCode="#\ ##0.0">
                  <c:v>7.5</c:v>
                </c:pt>
              </c:numCache>
            </c:numRef>
          </c:val>
          <c:smooth val="0"/>
          <c:extLst>
            <c:ext xmlns:c16="http://schemas.microsoft.com/office/drawing/2014/chart" uri="{C3380CC4-5D6E-409C-BE32-E72D297353CC}">
              <c16:uniqueId val="{00000001-A4FE-46DA-9CA8-56E65FC118B1}"/>
            </c:ext>
          </c:extLst>
        </c:ser>
        <c:ser>
          <c:idx val="5"/>
          <c:order val="2"/>
          <c:tx>
            <c:strRef>
              <c:f>'Trh práce 3'!$E$68</c:f>
              <c:strCache>
                <c:ptCount val="1"/>
                <c:pt idx="0">
                  <c:v>Prům. mzda v průmyslu (nominálně)</c:v>
                </c:pt>
              </c:strCache>
            </c:strRef>
          </c:tx>
          <c:spPr>
            <a:ln w="9525">
              <a:solidFill>
                <a:srgbClr val="C00000"/>
              </a:solidFill>
              <a:prstDash val="solid"/>
            </a:ln>
          </c:spPr>
          <c:marker>
            <c:symbol val="none"/>
          </c:marker>
          <c:cat>
            <c:numRef>
              <c:f>'Trh práce 3'!$B$69:$B$87</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'Trh práce 3'!$E$69:$E$87</c:f>
              <c:numCache>
                <c:formatCode>0.0</c:formatCode>
                <c:ptCount val="19"/>
                <c:pt idx="0">
                  <c:v>4.7940779037659365</c:v>
                </c:pt>
                <c:pt idx="1">
                  <c:v>6.3912092840724499</c:v>
                </c:pt>
                <c:pt idx="2">
                  <c:v>7.0295621014912824</c:v>
                </c:pt>
                <c:pt idx="3">
                  <c:v>8.8966569839003515</c:v>
                </c:pt>
                <c:pt idx="4">
                  <c:v>2.2922506555746338</c:v>
                </c:pt>
                <c:pt idx="5">
                  <c:v>4.4817679558011108</c:v>
                </c:pt>
                <c:pt idx="6">
                  <c:v>3.1854139345996071</c:v>
                </c:pt>
                <c:pt idx="7">
                  <c:v>3.0337815677271363</c:v>
                </c:pt>
                <c:pt idx="8">
                  <c:v>0.8117141492917308</c:v>
                </c:pt>
                <c:pt idx="9">
                  <c:v>3.3154404799494701</c:v>
                </c:pt>
                <c:pt idx="10">
                  <c:v>2.6016198044009684</c:v>
                </c:pt>
                <c:pt idx="11">
                  <c:v>4.2558737014558554</c:v>
                </c:pt>
                <c:pt idx="12">
                  <c:v>6.8214285714285801</c:v>
                </c:pt>
                <c:pt idx="13">
                  <c:v>7.7465730524908034</c:v>
                </c:pt>
                <c:pt idx="14">
                  <c:v>6.6310857355633495</c:v>
                </c:pt>
                <c:pt idx="15">
                  <c:v>2.0282854149691594</c:v>
                </c:pt>
                <c:pt idx="16">
                  <c:v>5.1110920966315803</c:v>
                </c:pt>
                <c:pt idx="17">
                  <c:v>6.7511464466936104</c:v>
                </c:pt>
                <c:pt idx="18">
                  <c:v>8.8838616201926719</c:v>
                </c:pt>
              </c:numCache>
            </c:numRef>
          </c:val>
          <c:smooth val="0"/>
          <c:extLst>
            <c:ext xmlns:c16="http://schemas.microsoft.com/office/drawing/2014/chart" uri="{C3380CC4-5D6E-409C-BE32-E72D297353CC}">
              <c16:uniqueId val="{00000002-A4FE-46DA-9CA8-56E65FC118B1}"/>
            </c:ext>
          </c:extLst>
        </c:ser>
        <c:ser>
          <c:idx val="1"/>
          <c:order val="3"/>
          <c:tx>
            <c:strRef>
              <c:f>'Trh práce 3'!$F$68</c:f>
              <c:strCache>
                <c:ptCount val="1"/>
                <c:pt idx="0">
                  <c:v>Prům. mzda v obchodu (nominálně)</c:v>
                </c:pt>
              </c:strCache>
            </c:strRef>
          </c:tx>
          <c:spPr>
            <a:ln w="9525">
              <a:solidFill>
                <a:srgbClr val="0070C0"/>
              </a:solidFill>
              <a:prstDash val="solid"/>
            </a:ln>
          </c:spPr>
          <c:marker>
            <c:symbol val="none"/>
          </c:marker>
          <c:cat>
            <c:numRef>
              <c:f>'Trh práce 3'!$B$69:$B$87</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'Trh práce 3'!$F$69:$F$87</c:f>
              <c:numCache>
                <c:formatCode>0.0</c:formatCode>
                <c:ptCount val="19"/>
                <c:pt idx="0">
                  <c:v>4.6374677953625429</c:v>
                </c:pt>
                <c:pt idx="1">
                  <c:v>6.9175753312228778</c:v>
                </c:pt>
                <c:pt idx="2">
                  <c:v>8.6796797894505797</c:v>
                </c:pt>
                <c:pt idx="3">
                  <c:v>7.6686342767771469</c:v>
                </c:pt>
                <c:pt idx="4">
                  <c:v>7.9658872592673888E-2</c:v>
                </c:pt>
                <c:pt idx="5">
                  <c:v>3.1931828822923656</c:v>
                </c:pt>
                <c:pt idx="6">
                  <c:v>3.5117967332123374</c:v>
                </c:pt>
                <c:pt idx="7">
                  <c:v>2.2573858157271918</c:v>
                </c:pt>
                <c:pt idx="8">
                  <c:v>-0.84015602897680708</c:v>
                </c:pt>
                <c:pt idx="9">
                  <c:v>3.3156097350105949</c:v>
                </c:pt>
                <c:pt idx="10">
                  <c:v>4.2301255230125614</c:v>
                </c:pt>
                <c:pt idx="11">
                  <c:v>4.7609489783629577</c:v>
                </c:pt>
                <c:pt idx="12">
                  <c:v>7.4453002260796382</c:v>
                </c:pt>
                <c:pt idx="13">
                  <c:v>6.9400855920113997</c:v>
                </c:pt>
                <c:pt idx="14">
                  <c:v>7.7869672513839703</c:v>
                </c:pt>
                <c:pt idx="15">
                  <c:v>3.5920918288419319</c:v>
                </c:pt>
                <c:pt idx="16">
                  <c:v>6.872349322023771</c:v>
                </c:pt>
                <c:pt idx="17">
                  <c:v>5.7345666936813622</c:v>
                </c:pt>
                <c:pt idx="18">
                  <c:v>7.4216994846042139</c:v>
                </c:pt>
              </c:numCache>
            </c:numRef>
          </c:val>
          <c:smooth val="0"/>
          <c:extLst>
            <c:ext xmlns:c16="http://schemas.microsoft.com/office/drawing/2014/chart" uri="{C3380CC4-5D6E-409C-BE32-E72D297353CC}">
              <c16:uniqueId val="{00000003-A4FE-46DA-9CA8-56E65FC118B1}"/>
            </c:ext>
          </c:extLst>
        </c:ser>
        <c:ser>
          <c:idx val="2"/>
          <c:order val="4"/>
          <c:tx>
            <c:strRef>
              <c:f>'Trh práce 3'!$G$68</c:f>
              <c:strCache>
                <c:ptCount val="1"/>
                <c:pt idx="0">
                  <c:v>Prům. mzda ve veř. službách (nominálně)*</c:v>
                </c:pt>
              </c:strCache>
            </c:strRef>
          </c:tx>
          <c:spPr>
            <a:ln w="9525">
              <a:solidFill>
                <a:srgbClr val="00B050"/>
              </a:solidFill>
              <a:prstDash val="solid"/>
            </a:ln>
          </c:spPr>
          <c:marker>
            <c:symbol val="none"/>
          </c:marker>
          <c:cat>
            <c:numRef>
              <c:f>'Trh práce 3'!$B$69:$B$87</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'Trh práce 3'!$G$69:$G$87</c:f>
              <c:numCache>
                <c:formatCode>0.0</c:formatCode>
                <c:ptCount val="19"/>
                <c:pt idx="0">
                  <c:v>5.7448429075864285</c:v>
                </c:pt>
                <c:pt idx="1">
                  <c:v>6.2139886096904426</c:v>
                </c:pt>
                <c:pt idx="2">
                  <c:v>6.5213266053676193</c:v>
                </c:pt>
                <c:pt idx="3">
                  <c:v>4.5033471199856381</c:v>
                </c:pt>
                <c:pt idx="4">
                  <c:v>5.6068124661603465</c:v>
                </c:pt>
                <c:pt idx="5">
                  <c:v>9.2548488337286114E-2</c:v>
                </c:pt>
                <c:pt idx="6">
                  <c:v>1.3745128342853421</c:v>
                </c:pt>
                <c:pt idx="7">
                  <c:v>1.9623700739873593</c:v>
                </c:pt>
                <c:pt idx="8">
                  <c:v>0.61373585270925501</c:v>
                </c:pt>
                <c:pt idx="9">
                  <c:v>2.5772633649077372</c:v>
                </c:pt>
                <c:pt idx="10">
                  <c:v>3.7559457553514353</c:v>
                </c:pt>
                <c:pt idx="11">
                  <c:v>4.9014309200953221</c:v>
                </c:pt>
                <c:pt idx="12">
                  <c:v>7.9550010446935637</c:v>
                </c:pt>
                <c:pt idx="13">
                  <c:v>10.160948468455345</c:v>
                </c:pt>
                <c:pt idx="14">
                  <c:v>9.5948437653510759</c:v>
                </c:pt>
                <c:pt idx="15">
                  <c:v>8.458871087746628</c:v>
                </c:pt>
                <c:pt idx="16">
                  <c:v>6.4793472347561396</c:v>
                </c:pt>
                <c:pt idx="17">
                  <c:v>-0.32840483061907877</c:v>
                </c:pt>
                <c:pt idx="18">
                  <c:v>6.0570150780564003</c:v>
                </c:pt>
              </c:numCache>
            </c:numRef>
          </c:val>
          <c:smooth val="0"/>
          <c:extLst>
            <c:ext xmlns:c16="http://schemas.microsoft.com/office/drawing/2014/chart" uri="{C3380CC4-5D6E-409C-BE32-E72D297353CC}">
              <c16:uniqueId val="{00000004-A4FE-46DA-9CA8-56E65FC118B1}"/>
            </c:ext>
          </c:extLst>
        </c:ser>
        <c:ser>
          <c:idx val="3"/>
          <c:order val="5"/>
          <c:tx>
            <c:strRef>
              <c:f>'Trh práce 3'!$H$68</c:f>
              <c:strCache>
                <c:ptCount val="1"/>
                <c:pt idx="0">
                  <c:v>Celková produktivita práce (reálně)**</c:v>
                </c:pt>
              </c:strCache>
            </c:strRef>
          </c:tx>
          <c:spPr>
            <a:ln w="19050">
              <a:noFill/>
            </a:ln>
          </c:spPr>
          <c:marker>
            <c:symbol val="circle"/>
            <c:size val="5"/>
            <c:spPr>
              <a:solidFill>
                <a:srgbClr val="FFFF00"/>
              </a:solidFill>
              <a:ln w="6350">
                <a:solidFill>
                  <a:schemeClr val="bg1">
                    <a:lumMod val="50000"/>
                  </a:schemeClr>
                </a:solidFill>
              </a:ln>
            </c:spPr>
          </c:marker>
          <c:cat>
            <c:numRef>
              <c:f>'Trh práce 3'!$B$69:$B$87</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'Trh práce 3'!$H$69:$H$87</c:f>
              <c:numCache>
                <c:formatCode>0.0</c:formatCode>
                <c:ptCount val="19"/>
                <c:pt idx="0">
                  <c:v>4.571339457575192</c:v>
                </c:pt>
                <c:pt idx="1">
                  <c:v>5.3472833196163378</c:v>
                </c:pt>
                <c:pt idx="2">
                  <c:v>3.4111927449918653</c:v>
                </c:pt>
                <c:pt idx="3">
                  <c:v>0.49743292194128252</c:v>
                </c:pt>
                <c:pt idx="4">
                  <c:v>-2.9038999100710887</c:v>
                </c:pt>
                <c:pt idx="5">
                  <c:v>3.5055662806927192</c:v>
                </c:pt>
                <c:pt idx="6">
                  <c:v>2.038859775320816</c:v>
                </c:pt>
                <c:pt idx="7">
                  <c:v>-1.2000143962854244</c:v>
                </c:pt>
                <c:pt idx="8">
                  <c:v>-0.3667015292187728</c:v>
                </c:pt>
                <c:pt idx="9">
                  <c:v>1.7009087106776792</c:v>
                </c:pt>
                <c:pt idx="10">
                  <c:v>3.9048243159536753</c:v>
                </c:pt>
                <c:pt idx="11">
                  <c:v>0.93254311265880641</c:v>
                </c:pt>
                <c:pt idx="12">
                  <c:v>3.5651110425764228</c:v>
                </c:pt>
                <c:pt idx="13">
                  <c:v>1.8615815228856301</c:v>
                </c:pt>
                <c:pt idx="14">
                  <c:v>2.7787900741788434</c:v>
                </c:pt>
                <c:pt idx="15">
                  <c:v>-3.8538742203680396</c:v>
                </c:pt>
                <c:pt idx="16">
                  <c:v>3.1570357041249384</c:v>
                </c:pt>
                <c:pt idx="17">
                  <c:v>0.84579134466034189</c:v>
                </c:pt>
                <c:pt idx="18">
                  <c:v>-1.2725870455271462</c:v>
                </c:pt>
              </c:numCache>
            </c:numRef>
          </c:val>
          <c:smooth val="0"/>
          <c:extLst>
            <c:ext xmlns:c16="http://schemas.microsoft.com/office/drawing/2014/chart" uri="{C3380CC4-5D6E-409C-BE32-E72D297353CC}">
              <c16:uniqueId val="{00000005-A4FE-46DA-9CA8-56E65FC118B1}"/>
            </c:ext>
          </c:extLst>
        </c:ser>
        <c:dLbls>
          <c:showLegendKey val="0"/>
          <c:showVal val="0"/>
          <c:showCatName val="0"/>
          <c:showSerName val="0"/>
          <c:showPercent val="0"/>
          <c:showBubbleSize val="0"/>
        </c:dLbls>
        <c:marker val="1"/>
        <c:smooth val="0"/>
        <c:axId val="132136320"/>
        <c:axId val="132154880"/>
      </c:lineChart>
      <c:catAx>
        <c:axId val="132136320"/>
        <c:scaling>
          <c:orientation val="minMax"/>
        </c:scaling>
        <c:delete val="0"/>
        <c:axPos val="b"/>
        <c:numFmt formatCode="General" sourceLinked="1"/>
        <c:majorTickMark val="out"/>
        <c:minorTickMark val="none"/>
        <c:tickLblPos val="low"/>
        <c:spPr>
          <a:ln>
            <a:solidFill>
              <a:schemeClr val="tx1"/>
            </a:solidFill>
          </a:ln>
        </c:spPr>
        <c:txPr>
          <a:bodyPr rot="-2400000" vert="horz"/>
          <a:lstStyle/>
          <a:p>
            <a:pPr>
              <a:defRPr/>
            </a:pPr>
            <a:endParaRPr lang="cs-CZ"/>
          </a:p>
        </c:txPr>
        <c:crossAx val="132154880"/>
        <c:crosses val="autoZero"/>
        <c:auto val="1"/>
        <c:lblAlgn val="ctr"/>
        <c:lblOffset val="0"/>
        <c:tickMarkSkip val="4"/>
        <c:noMultiLvlLbl val="0"/>
      </c:catAx>
      <c:valAx>
        <c:axId val="132154880"/>
        <c:scaling>
          <c:orientation val="minMax"/>
          <c:max val="11"/>
          <c:min val="-9"/>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32136320"/>
        <c:crosses val="autoZero"/>
        <c:crossBetween val="between"/>
        <c:majorUnit val="1"/>
      </c:valAx>
      <c:spPr>
        <a:ln>
          <a:solidFill>
            <a:schemeClr val="tx1"/>
          </a:solidFill>
        </a:ln>
      </c:spPr>
    </c:plotArea>
    <c:legend>
      <c:legendPos val="b"/>
      <c:layout>
        <c:manualLayout>
          <c:xMode val="edge"/>
          <c:yMode val="edge"/>
          <c:x val="1.1778143158596436E-2"/>
          <c:y val="0.87239804415311084"/>
          <c:w val="0.97479553703297794"/>
          <c:h val="0.1168026966172375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54E-2"/>
          <c:y val="2.1711264016309902E-2"/>
          <c:w val="0.93508633063154345"/>
          <c:h val="0.73130361364405072"/>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1'!$A$78:$B$149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2018</c:v>
                  </c:pt>
                  <c:pt idx="12">
                    <c:v>2019</c:v>
                  </c:pt>
                  <c:pt idx="24">
                    <c:v>2020</c:v>
                  </c:pt>
                  <c:pt idx="36">
                    <c:v>2021</c:v>
                  </c:pt>
                  <c:pt idx="48">
                    <c:v>2022</c:v>
                  </c:pt>
                  <c:pt idx="60">
                    <c:v>2023</c:v>
                  </c:pt>
                </c:lvl>
              </c:multiLvlStrCache>
            </c:multiLvlStrRef>
          </c:cat>
          <c:val>
            <c:numRef>
              <c:f>'Měnové podmínky 1'!$C$78:$C$149</c:f>
              <c:numCache>
                <c:formatCode>General</c:formatCode>
                <c:ptCount val="72"/>
                <c:pt idx="0">
                  <c:v>0.5</c:v>
                </c:pt>
                <c:pt idx="1">
                  <c:v>0.75000000000000044</c:v>
                </c:pt>
                <c:pt idx="2">
                  <c:v>0.75000000000000044</c:v>
                </c:pt>
                <c:pt idx="3">
                  <c:v>0.75000000000000044</c:v>
                </c:pt>
                <c:pt idx="4">
                  <c:v>0.75000000000000044</c:v>
                </c:pt>
                <c:pt idx="5">
                  <c:v>1</c:v>
                </c:pt>
                <c:pt idx="6">
                  <c:v>1</c:v>
                </c:pt>
                <c:pt idx="7">
                  <c:v>1.25</c:v>
                </c:pt>
                <c:pt idx="8">
                  <c:v>1.5</c:v>
                </c:pt>
                <c:pt idx="9">
                  <c:v>1.5</c:v>
                </c:pt>
                <c:pt idx="10">
                  <c:v>1.7500000000000004</c:v>
                </c:pt>
                <c:pt idx="11">
                  <c:v>1.7500000000000004</c:v>
                </c:pt>
                <c:pt idx="12">
                  <c:v>1.7500000000000004</c:v>
                </c:pt>
                <c:pt idx="13">
                  <c:v>1.7500000000000004</c:v>
                </c:pt>
                <c:pt idx="14">
                  <c:v>1.7500000000000004</c:v>
                </c:pt>
                <c:pt idx="15">
                  <c:v>1.7500000000000004</c:v>
                </c:pt>
                <c:pt idx="16">
                  <c:v>2</c:v>
                </c:pt>
                <c:pt idx="17">
                  <c:v>2</c:v>
                </c:pt>
                <c:pt idx="18">
                  <c:v>2</c:v>
                </c:pt>
                <c:pt idx="19">
                  <c:v>2</c:v>
                </c:pt>
                <c:pt idx="20">
                  <c:v>2</c:v>
                </c:pt>
                <c:pt idx="21">
                  <c:v>2</c:v>
                </c:pt>
                <c:pt idx="22">
                  <c:v>2</c:v>
                </c:pt>
                <c:pt idx="23">
                  <c:v>2</c:v>
                </c:pt>
                <c:pt idx="24">
                  <c:v>2</c:v>
                </c:pt>
                <c:pt idx="25">
                  <c:v>2.25</c:v>
                </c:pt>
                <c:pt idx="26">
                  <c:v>1</c:v>
                </c:pt>
                <c:pt idx="27">
                  <c:v>1</c:v>
                </c:pt>
                <c:pt idx="28">
                  <c:v>0.25</c:v>
                </c:pt>
                <c:pt idx="29">
                  <c:v>0.25</c:v>
                </c:pt>
                <c:pt idx="30">
                  <c:v>0.25</c:v>
                </c:pt>
                <c:pt idx="31">
                  <c:v>0.25</c:v>
                </c:pt>
                <c:pt idx="32">
                  <c:v>0.25</c:v>
                </c:pt>
                <c:pt idx="33">
                  <c:v>0.25</c:v>
                </c:pt>
                <c:pt idx="34">
                  <c:v>0.25</c:v>
                </c:pt>
                <c:pt idx="35">
                  <c:v>0.25</c:v>
                </c:pt>
                <c:pt idx="36">
                  <c:v>0.25</c:v>
                </c:pt>
                <c:pt idx="37">
                  <c:v>0.25</c:v>
                </c:pt>
                <c:pt idx="38">
                  <c:v>0.25</c:v>
                </c:pt>
                <c:pt idx="39">
                  <c:v>0.25</c:v>
                </c:pt>
                <c:pt idx="40">
                  <c:v>0.25</c:v>
                </c:pt>
                <c:pt idx="41">
                  <c:v>0.5</c:v>
                </c:pt>
                <c:pt idx="42">
                  <c:v>0.5</c:v>
                </c:pt>
                <c:pt idx="43">
                  <c:v>0.75000000000000044</c:v>
                </c:pt>
                <c:pt idx="44">
                  <c:v>0.75000000000000044</c:v>
                </c:pt>
                <c:pt idx="45">
                  <c:v>1.5</c:v>
                </c:pt>
                <c:pt idx="46">
                  <c:v>2.75</c:v>
                </c:pt>
                <c:pt idx="47">
                  <c:v>3.75</c:v>
                </c:pt>
                <c:pt idx="48">
                  <c:v>3.75</c:v>
                </c:pt>
                <c:pt idx="49">
                  <c:v>4.5</c:v>
                </c:pt>
                <c:pt idx="50">
                  <c:v>4.5</c:v>
                </c:pt>
                <c:pt idx="51">
                  <c:v>5</c:v>
                </c:pt>
                <c:pt idx="52">
                  <c:v>5.75</c:v>
                </c:pt>
                <c:pt idx="53">
                  <c:v>7</c:v>
                </c:pt>
                <c:pt idx="54">
                  <c:v>7</c:v>
                </c:pt>
                <c:pt idx="55">
                  <c:v>7</c:v>
                </c:pt>
                <c:pt idx="56">
                  <c:v>7</c:v>
                </c:pt>
                <c:pt idx="57">
                  <c:v>7</c:v>
                </c:pt>
                <c:pt idx="58">
                  <c:v>7</c:v>
                </c:pt>
                <c:pt idx="59">
                  <c:v>7</c:v>
                </c:pt>
                <c:pt idx="60">
                  <c:v>7</c:v>
                </c:pt>
                <c:pt idx="61">
                  <c:v>7</c:v>
                </c:pt>
                <c:pt idx="62">
                  <c:v>7</c:v>
                </c:pt>
                <c:pt idx="63" formatCode="###\ ###\ ###\ ###\ ##0.00;\-###\ ###\ ###\ ###\ ##0.00">
                  <c:v>7</c:v>
                </c:pt>
                <c:pt idx="64" formatCode="###\ ###\ ###\ ###\ ##0.00;\-###\ ###\ ###\ ###\ ##0.00">
                  <c:v>7</c:v>
                </c:pt>
                <c:pt idx="65" formatCode="###\ ###\ ###\ ###\ ##0.00;\-###\ ###\ ###\ ###\ ##0.00">
                  <c:v>7</c:v>
                </c:pt>
                <c:pt idx="66" formatCode="###\ ###\ ###\ ###\ ##0.00;\-###\ ###\ ###\ ###\ ##0.00">
                  <c:v>7</c:v>
                </c:pt>
                <c:pt idx="67" formatCode="###\ ###\ ###\ ###\ ##0.00;\-###\ ###\ ###\ ###\ ##0.00">
                  <c:v>7</c:v>
                </c:pt>
                <c:pt idx="68" formatCode="###\ ###\ ###\ ###\ ##0.00;\-###\ ###\ ###\ ###\ ##0.00">
                  <c:v>7</c:v>
                </c:pt>
                <c:pt idx="69" formatCode="###\ ###\ ###\ ###\ ##0.00;\-###\ ###\ ###\ ###\ ##0.00">
                  <c:v>7</c:v>
                </c:pt>
                <c:pt idx="70" formatCode="###\ ###\ ###\ ###\ ##0.00;\-###\ ###\ ###\ ###\ ##0.00">
                  <c:v>7</c:v>
                </c:pt>
                <c:pt idx="71" formatCode="###\ ###\ ###\ ###\ ##0.00;\-###\ ###\ ###\ ###\ ##0.00">
                  <c:v>6.75</c:v>
                </c:pt>
              </c:numCache>
            </c:numRef>
          </c:val>
          <c:extLst>
            <c:ext xmlns:c16="http://schemas.microsoft.com/office/drawing/2014/chart" uri="{C3380CC4-5D6E-409C-BE32-E72D297353CC}">
              <c16:uniqueId val="{00000000-BE74-45DB-91A1-A98180CC9A0F}"/>
            </c:ext>
          </c:extLst>
        </c:ser>
        <c:dLbls>
          <c:showLegendKey val="0"/>
          <c:showVal val="0"/>
          <c:showCatName val="0"/>
          <c:showSerName val="0"/>
          <c:showPercent val="0"/>
          <c:showBubbleSize val="0"/>
        </c:dLbls>
        <c:gapWidth val="31"/>
        <c:axId val="86648704"/>
        <c:axId val="86650240"/>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1'!$A$78:$B$149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2018</c:v>
                  </c:pt>
                  <c:pt idx="12">
                    <c:v>2019</c:v>
                  </c:pt>
                  <c:pt idx="24">
                    <c:v>2020</c:v>
                  </c:pt>
                  <c:pt idx="36">
                    <c:v>2021</c:v>
                  </c:pt>
                  <c:pt idx="48">
                    <c:v>2022</c:v>
                  </c:pt>
                  <c:pt idx="60">
                    <c:v>2023</c:v>
                  </c:pt>
                </c:lvl>
              </c:multiLvlStrCache>
            </c:multiLvlStrRef>
          </c:cat>
          <c:val>
            <c:numRef>
              <c:f>'Měnové podmínky 1'!$F$78:$F$149</c:f>
              <c:numCache>
                <c:formatCode>General</c:formatCode>
                <c:ptCount val="72"/>
                <c:pt idx="0">
                  <c:v>0.46</c:v>
                </c:pt>
                <c:pt idx="1">
                  <c:v>0.55000000000000004</c:v>
                </c:pt>
                <c:pt idx="2">
                  <c:v>0.62000000000000044</c:v>
                </c:pt>
                <c:pt idx="3">
                  <c:v>0.60000000000000042</c:v>
                </c:pt>
                <c:pt idx="4">
                  <c:v>0.7000000000000004</c:v>
                </c:pt>
                <c:pt idx="5">
                  <c:v>0.89000000000000024</c:v>
                </c:pt>
                <c:pt idx="6">
                  <c:v>1.0900000000000001</c:v>
                </c:pt>
                <c:pt idx="7">
                  <c:v>1.26</c:v>
                </c:pt>
                <c:pt idx="8">
                  <c:v>1.34</c:v>
                </c:pt>
                <c:pt idx="9">
                  <c:v>1.44</c:v>
                </c:pt>
                <c:pt idx="10">
                  <c:v>1.49</c:v>
                </c:pt>
                <c:pt idx="11">
                  <c:v>1.52</c:v>
                </c:pt>
                <c:pt idx="12">
                  <c:v>1.6600000000000001</c:v>
                </c:pt>
                <c:pt idx="13">
                  <c:v>1.7400000000000004</c:v>
                </c:pt>
                <c:pt idx="14">
                  <c:v>1.7100000000000004</c:v>
                </c:pt>
                <c:pt idx="15">
                  <c:v>1.6300000000000001</c:v>
                </c:pt>
                <c:pt idx="16">
                  <c:v>1.62</c:v>
                </c:pt>
                <c:pt idx="17">
                  <c:v>1.52</c:v>
                </c:pt>
                <c:pt idx="18">
                  <c:v>1.35</c:v>
                </c:pt>
                <c:pt idx="19">
                  <c:v>0.85000000000000042</c:v>
                </c:pt>
                <c:pt idx="20">
                  <c:v>1.07</c:v>
                </c:pt>
                <c:pt idx="21">
                  <c:v>1.1700000000000008</c:v>
                </c:pt>
                <c:pt idx="22">
                  <c:v>1.33</c:v>
                </c:pt>
                <c:pt idx="23">
                  <c:v>1.36</c:v>
                </c:pt>
                <c:pt idx="24">
                  <c:v>1.55</c:v>
                </c:pt>
                <c:pt idx="25">
                  <c:v>1.57</c:v>
                </c:pt>
                <c:pt idx="26">
                  <c:v>1.27</c:v>
                </c:pt>
                <c:pt idx="27">
                  <c:v>0.71000000000000041</c:v>
                </c:pt>
                <c:pt idx="28">
                  <c:v>0.13</c:v>
                </c:pt>
                <c:pt idx="29">
                  <c:v>8.0000000000000057E-2</c:v>
                </c:pt>
                <c:pt idx="30">
                  <c:v>2.0000000000000014E-2</c:v>
                </c:pt>
                <c:pt idx="31">
                  <c:v>4.0000000000000029E-2</c:v>
                </c:pt>
                <c:pt idx="32">
                  <c:v>5.0000000000000031E-2</c:v>
                </c:pt>
                <c:pt idx="33">
                  <c:v>0</c:v>
                </c:pt>
                <c:pt idx="34">
                  <c:v>6.0000000000000032E-2</c:v>
                </c:pt>
                <c:pt idx="35">
                  <c:v>0.16000000000000006</c:v>
                </c:pt>
                <c:pt idx="36">
                  <c:v>0.26</c:v>
                </c:pt>
                <c:pt idx="37">
                  <c:v>0.45</c:v>
                </c:pt>
                <c:pt idx="38">
                  <c:v>0.75000000000000044</c:v>
                </c:pt>
                <c:pt idx="39">
                  <c:v>0.76000000000000045</c:v>
                </c:pt>
                <c:pt idx="40">
                  <c:v>0.76000000000000045</c:v>
                </c:pt>
                <c:pt idx="41">
                  <c:v>0.69000000000000061</c:v>
                </c:pt>
                <c:pt idx="42">
                  <c:v>0.84000000000000041</c:v>
                </c:pt>
                <c:pt idx="43">
                  <c:v>1.24</c:v>
                </c:pt>
                <c:pt idx="44">
                  <c:v>1.6</c:v>
                </c:pt>
                <c:pt idx="45">
                  <c:v>2.29</c:v>
                </c:pt>
                <c:pt idx="46">
                  <c:v>3</c:v>
                </c:pt>
                <c:pt idx="47">
                  <c:v>3.07</c:v>
                </c:pt>
                <c:pt idx="48">
                  <c:v>3.8099999999999987</c:v>
                </c:pt>
                <c:pt idx="49">
                  <c:v>3.77</c:v>
                </c:pt>
                <c:pt idx="50">
                  <c:v>4.54</c:v>
                </c:pt>
                <c:pt idx="51">
                  <c:v>5.13</c:v>
                </c:pt>
                <c:pt idx="52">
                  <c:v>5.6499999999999995</c:v>
                </c:pt>
                <c:pt idx="53">
                  <c:v>6.26</c:v>
                </c:pt>
                <c:pt idx="54">
                  <c:v>6.38</c:v>
                </c:pt>
                <c:pt idx="55">
                  <c:v>5.8599999999999985</c:v>
                </c:pt>
                <c:pt idx="56">
                  <c:v>5.9</c:v>
                </c:pt>
                <c:pt idx="57">
                  <c:v>6.18</c:v>
                </c:pt>
                <c:pt idx="58">
                  <c:v>5.68</c:v>
                </c:pt>
                <c:pt idx="59">
                  <c:v>5.1899999999999995</c:v>
                </c:pt>
                <c:pt idx="60" formatCode="###\ ###\ ###\ ###\ ##0.00;\-###\ ###\ ###\ ###\ ##0.00">
                  <c:v>5.382014335817277</c:v>
                </c:pt>
                <c:pt idx="61" formatCode="###\ ###\ ###\ ###\ ##0.00;\-###\ ###\ ###\ ###\ ##0.00">
                  <c:v>5.5102623550618537</c:v>
                </c:pt>
                <c:pt idx="62" formatCode="###\ ###\ ###\ ###\ ##0.00;\-###\ ###\ ###\ ###\ ##0.00">
                  <c:v>5.2897725027112035</c:v>
                </c:pt>
                <c:pt idx="63" formatCode="###\ ###\ ###\ ###\ ##0.00;\-###\ ###\ ###\ ###\ ##0.00">
                  <c:v>5.4232360381175866</c:v>
                </c:pt>
                <c:pt idx="64" formatCode="###\ ###\ ###\ ###\ ##0.00;\-###\ ###\ ###\ ###\ ##0.00">
                  <c:v>5.4162815888395794</c:v>
                </c:pt>
                <c:pt idx="65" formatCode="###\ ###\ ###\ ###\ ##0.00;\-###\ ###\ ###\ ###\ ##0.00">
                  <c:v>5.3664752553650787</c:v>
                </c:pt>
                <c:pt idx="66" formatCode="###\ ###\ ###\ ###\ ##0.00;\-###\ ###\ ###\ ###\ ##0.00">
                  <c:v>5.24280785587779</c:v>
                </c:pt>
                <c:pt idx="67" formatCode="###\ ###\ ###\ ###\ ##0.00;\-###\ ###\ ###\ ###\ ##0.00">
                  <c:v>5.1353490658602521</c:v>
                </c:pt>
                <c:pt idx="68" formatCode="###\ ###\ ###\ ###\ ##0.00;\-###\ ###\ ###\ ###\ ##0.00">
                  <c:v>5.041668600351974</c:v>
                </c:pt>
                <c:pt idx="69" formatCode="###\ ###\ ###\ ###\ ##0.00;\-###\ ###\ ###\ ###\ ##0.00">
                  <c:v>5.0079198294298548</c:v>
                </c:pt>
                <c:pt idx="70" formatCode="###\ ###\ ###\ ###\ ##0.00;\-###\ ###\ ###\ ###\ ##0.00">
                  <c:v>4.8554647740100689</c:v>
                </c:pt>
                <c:pt idx="71" formatCode="###\ ###\ ###\ ###\ ##0.00;\-###\ ###\ ###\ ###\ ##0.00">
                  <c:v>4.6053753410258995</c:v>
                </c:pt>
              </c:numCache>
            </c:numRef>
          </c:val>
          <c:smooth val="0"/>
          <c:extLst>
            <c:ext xmlns:c16="http://schemas.microsoft.com/office/drawing/2014/chart" uri="{C3380CC4-5D6E-409C-BE32-E72D297353CC}">
              <c16:uniqueId val="{00000001-BE74-45DB-91A1-A98180CC9A0F}"/>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1'!$A$78:$B$149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2018</c:v>
                  </c:pt>
                  <c:pt idx="12">
                    <c:v>2019</c:v>
                  </c:pt>
                  <c:pt idx="24">
                    <c:v>2020</c:v>
                  </c:pt>
                  <c:pt idx="36">
                    <c:v>2021</c:v>
                  </c:pt>
                  <c:pt idx="48">
                    <c:v>2022</c:v>
                  </c:pt>
                  <c:pt idx="60">
                    <c:v>2023</c:v>
                  </c:pt>
                </c:lvl>
              </c:multiLvlStrCache>
            </c:multiLvlStrRef>
          </c:cat>
          <c:val>
            <c:numRef>
              <c:f>'Měnové podmínky 1'!$D$78:$D$149</c:f>
              <c:numCache>
                <c:formatCode>General</c:formatCode>
                <c:ptCount val="72"/>
                <c:pt idx="0">
                  <c:v>0.77000000000000024</c:v>
                </c:pt>
                <c:pt idx="1">
                  <c:v>0.9</c:v>
                </c:pt>
                <c:pt idx="2">
                  <c:v>0.9</c:v>
                </c:pt>
                <c:pt idx="3">
                  <c:v>0.9</c:v>
                </c:pt>
                <c:pt idx="4">
                  <c:v>0.9</c:v>
                </c:pt>
                <c:pt idx="5">
                  <c:v>0.93</c:v>
                </c:pt>
                <c:pt idx="6">
                  <c:v>1.1800000000000008</c:v>
                </c:pt>
                <c:pt idx="7">
                  <c:v>1.45</c:v>
                </c:pt>
                <c:pt idx="8">
                  <c:v>1.54</c:v>
                </c:pt>
                <c:pt idx="9">
                  <c:v>1.7600000000000005</c:v>
                </c:pt>
                <c:pt idx="10">
                  <c:v>1.9900000000000004</c:v>
                </c:pt>
                <c:pt idx="11">
                  <c:v>2.0099999999999998</c:v>
                </c:pt>
                <c:pt idx="12">
                  <c:v>2.0099999999999998</c:v>
                </c:pt>
                <c:pt idx="13">
                  <c:v>2.0099999999999998</c:v>
                </c:pt>
                <c:pt idx="14">
                  <c:v>2.0299999999999998</c:v>
                </c:pt>
                <c:pt idx="15">
                  <c:v>2.02</c:v>
                </c:pt>
                <c:pt idx="16">
                  <c:v>2.19</c:v>
                </c:pt>
                <c:pt idx="17">
                  <c:v>2.17</c:v>
                </c:pt>
                <c:pt idx="18">
                  <c:v>2.16</c:v>
                </c:pt>
                <c:pt idx="19">
                  <c:v>2.14</c:v>
                </c:pt>
                <c:pt idx="20">
                  <c:v>2.14</c:v>
                </c:pt>
                <c:pt idx="21">
                  <c:v>2.17</c:v>
                </c:pt>
                <c:pt idx="22">
                  <c:v>2.1800000000000002</c:v>
                </c:pt>
                <c:pt idx="23">
                  <c:v>2.1800000000000002</c:v>
                </c:pt>
                <c:pt idx="24">
                  <c:v>2.17</c:v>
                </c:pt>
                <c:pt idx="25">
                  <c:v>2.34</c:v>
                </c:pt>
                <c:pt idx="26">
                  <c:v>2</c:v>
                </c:pt>
                <c:pt idx="27">
                  <c:v>0.9700000000000002</c:v>
                </c:pt>
                <c:pt idx="28">
                  <c:v>0.46</c:v>
                </c:pt>
                <c:pt idx="29">
                  <c:v>0.34000000000000019</c:v>
                </c:pt>
                <c:pt idx="30">
                  <c:v>0.34000000000000019</c:v>
                </c:pt>
                <c:pt idx="31">
                  <c:v>0.34000000000000019</c:v>
                </c:pt>
                <c:pt idx="32">
                  <c:v>0.34000000000000019</c:v>
                </c:pt>
                <c:pt idx="33">
                  <c:v>0.3500000000000002</c:v>
                </c:pt>
                <c:pt idx="34">
                  <c:v>0.3500000000000002</c:v>
                </c:pt>
                <c:pt idx="35">
                  <c:v>0.3500000000000002</c:v>
                </c:pt>
                <c:pt idx="36">
                  <c:v>0.36000000000000021</c:v>
                </c:pt>
                <c:pt idx="37">
                  <c:v>0.36000000000000021</c:v>
                </c:pt>
                <c:pt idx="38">
                  <c:v>0.36000000000000021</c:v>
                </c:pt>
                <c:pt idx="39">
                  <c:v>0.36000000000000021</c:v>
                </c:pt>
                <c:pt idx="40">
                  <c:v>0.37000000000000022</c:v>
                </c:pt>
                <c:pt idx="41">
                  <c:v>0.4800000000000002</c:v>
                </c:pt>
                <c:pt idx="42">
                  <c:v>0.69000000000000061</c:v>
                </c:pt>
                <c:pt idx="43">
                  <c:v>0.94000000000000039</c:v>
                </c:pt>
                <c:pt idx="44">
                  <c:v>1.1100000000000001</c:v>
                </c:pt>
                <c:pt idx="45">
                  <c:v>2.02</c:v>
                </c:pt>
                <c:pt idx="46">
                  <c:v>2.9699999999999998</c:v>
                </c:pt>
                <c:pt idx="47">
                  <c:v>3.5</c:v>
                </c:pt>
                <c:pt idx="48">
                  <c:v>4.21</c:v>
                </c:pt>
                <c:pt idx="49">
                  <c:v>4.6899999999999995</c:v>
                </c:pt>
                <c:pt idx="50">
                  <c:v>4.8599999999999985</c:v>
                </c:pt>
                <c:pt idx="51">
                  <c:v>5.3599999999999985</c:v>
                </c:pt>
                <c:pt idx="52">
                  <c:v>5.9700000000000024</c:v>
                </c:pt>
                <c:pt idx="53">
                  <c:v>6.64</c:v>
                </c:pt>
                <c:pt idx="54">
                  <c:v>7.3</c:v>
                </c:pt>
                <c:pt idx="55">
                  <c:v>7.2700000000000014</c:v>
                </c:pt>
                <c:pt idx="56">
                  <c:v>7.25</c:v>
                </c:pt>
                <c:pt idx="57">
                  <c:v>7.28</c:v>
                </c:pt>
                <c:pt idx="58">
                  <c:v>7.2700000000000014</c:v>
                </c:pt>
                <c:pt idx="59">
                  <c:v>7.26</c:v>
                </c:pt>
                <c:pt idx="60" formatCode="###\ ###\ ###\ ###\ ##0.00;\-###\ ###\ ###\ ###\ ##0.00">
                  <c:v>7.2161904761904765</c:v>
                </c:pt>
                <c:pt idx="61" formatCode="###\ ###\ ###\ ###\ ##0.00;\-###\ ###\ ###\ ###\ ##0.00">
                  <c:v>7.2010526315789471</c:v>
                </c:pt>
                <c:pt idx="62" formatCode="###\ ###\ ###\ ###\ ##0.00;\-###\ ###\ ###\ ###\ ##0.00">
                  <c:v>7.1931818181818139</c:v>
                </c:pt>
                <c:pt idx="63" formatCode="###\ ###\ ###\ ###\ ##0.00;\-###\ ###\ ###\ ###\ ##0.00">
                  <c:v>7.1788888888888875</c:v>
                </c:pt>
                <c:pt idx="64" formatCode="###\ ###\ ###\ ###\ ##0.00;\-###\ ###\ ###\ ###\ ##0.00">
                  <c:v>7.1790476190476191</c:v>
                </c:pt>
                <c:pt idx="65" formatCode="###\ ###\ ###\ ###\ ##0.00;\-###\ ###\ ###\ ###\ ##0.00">
                  <c:v>7.1472727272727274</c:v>
                </c:pt>
                <c:pt idx="66" formatCode="###\ ###\ ###\ ###\ ##0.00;\-###\ ###\ ###\ ###\ ##0.00">
                  <c:v>7.1121052631578872</c:v>
                </c:pt>
                <c:pt idx="67" formatCode="###\ ###\ ###\ ###\ ##0.00;\-###\ ###\ ###\ ###\ ##0.00">
                  <c:v>7.1030434782608713</c:v>
                </c:pt>
                <c:pt idx="68" formatCode="###\ ###\ ###\ ###\ ##0.00;\-###\ ###\ ###\ ###\ ##0.00">
                  <c:v>7.0895000000000001</c:v>
                </c:pt>
                <c:pt idx="69" formatCode="###\ ###\ ###\ ###\ ##0.00;\-###\ ###\ ###\ ###\ ##0.00">
                  <c:v>7.0472727272727305</c:v>
                </c:pt>
                <c:pt idx="70" formatCode="###\ ###\ ###\ ###\ ##0.00;\-###\ ###\ ###\ ###\ ##0.00">
                  <c:v>7.0623809523809458</c:v>
                </c:pt>
                <c:pt idx="71" formatCode="###\ ###\ ###\ ###\ ##0.00;\-###\ ###\ ###\ ###\ ##0.00">
                  <c:v>6.9663157894736889</c:v>
                </c:pt>
              </c:numCache>
            </c:numRef>
          </c:val>
          <c:smooth val="0"/>
          <c:extLst>
            <c:ext xmlns:c16="http://schemas.microsoft.com/office/drawing/2014/chart" uri="{C3380CC4-5D6E-409C-BE32-E72D297353CC}">
              <c16:uniqueId val="{00000002-BE74-45DB-91A1-A98180CC9A0F}"/>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1'!$A$78:$B$149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2018</c:v>
                  </c:pt>
                  <c:pt idx="12">
                    <c:v>2019</c:v>
                  </c:pt>
                  <c:pt idx="24">
                    <c:v>2020</c:v>
                  </c:pt>
                  <c:pt idx="36">
                    <c:v>2021</c:v>
                  </c:pt>
                  <c:pt idx="48">
                    <c:v>2022</c:v>
                  </c:pt>
                  <c:pt idx="60">
                    <c:v>2023</c:v>
                  </c:pt>
                </c:lvl>
              </c:multiLvlStrCache>
            </c:multiLvlStrRef>
          </c:cat>
          <c:val>
            <c:numRef>
              <c:f>'Měnové podmínky 1'!$G$78:$G$149</c:f>
              <c:numCache>
                <c:formatCode>General</c:formatCode>
                <c:ptCount val="72"/>
                <c:pt idx="0">
                  <c:v>0.99</c:v>
                </c:pt>
                <c:pt idx="1">
                  <c:v>1.07</c:v>
                </c:pt>
                <c:pt idx="2">
                  <c:v>1.0900000000000001</c:v>
                </c:pt>
                <c:pt idx="3">
                  <c:v>1.05</c:v>
                </c:pt>
                <c:pt idx="4">
                  <c:v>1.21</c:v>
                </c:pt>
                <c:pt idx="5">
                  <c:v>1.41</c:v>
                </c:pt>
                <c:pt idx="6">
                  <c:v>1.44</c:v>
                </c:pt>
                <c:pt idx="7">
                  <c:v>1.55</c:v>
                </c:pt>
                <c:pt idx="8">
                  <c:v>1.7000000000000004</c:v>
                </c:pt>
                <c:pt idx="9">
                  <c:v>1.81</c:v>
                </c:pt>
                <c:pt idx="10">
                  <c:v>1.7900000000000005</c:v>
                </c:pt>
                <c:pt idx="11">
                  <c:v>1.7100000000000004</c:v>
                </c:pt>
                <c:pt idx="12">
                  <c:v>1.6</c:v>
                </c:pt>
                <c:pt idx="13">
                  <c:v>1.61</c:v>
                </c:pt>
                <c:pt idx="14">
                  <c:v>1.7000000000000004</c:v>
                </c:pt>
                <c:pt idx="15">
                  <c:v>1.6300000000000001</c:v>
                </c:pt>
                <c:pt idx="16">
                  <c:v>1.57</c:v>
                </c:pt>
                <c:pt idx="17">
                  <c:v>1.43</c:v>
                </c:pt>
                <c:pt idx="18">
                  <c:v>1.31</c:v>
                </c:pt>
                <c:pt idx="19">
                  <c:v>0.89000000000000024</c:v>
                </c:pt>
                <c:pt idx="20">
                  <c:v>1.129999999999999</c:v>
                </c:pt>
                <c:pt idx="21">
                  <c:v>1.23</c:v>
                </c:pt>
                <c:pt idx="22">
                  <c:v>1.32</c:v>
                </c:pt>
                <c:pt idx="23">
                  <c:v>1.31</c:v>
                </c:pt>
                <c:pt idx="24">
                  <c:v>1.51</c:v>
                </c:pt>
                <c:pt idx="25">
                  <c:v>1.52</c:v>
                </c:pt>
                <c:pt idx="26">
                  <c:v>1.23</c:v>
                </c:pt>
                <c:pt idx="27">
                  <c:v>1.06</c:v>
                </c:pt>
                <c:pt idx="28">
                  <c:v>0.56999999999999995</c:v>
                </c:pt>
                <c:pt idx="29">
                  <c:v>0.52</c:v>
                </c:pt>
                <c:pt idx="30">
                  <c:v>0.52</c:v>
                </c:pt>
                <c:pt idx="31">
                  <c:v>0.58000000000000018</c:v>
                </c:pt>
                <c:pt idx="32">
                  <c:v>0.58000000000000018</c:v>
                </c:pt>
                <c:pt idx="33">
                  <c:v>0.54</c:v>
                </c:pt>
                <c:pt idx="34">
                  <c:v>0.66000000000000059</c:v>
                </c:pt>
                <c:pt idx="35">
                  <c:v>0.8</c:v>
                </c:pt>
                <c:pt idx="36">
                  <c:v>0.8200000000000004</c:v>
                </c:pt>
                <c:pt idx="37">
                  <c:v>1.06</c:v>
                </c:pt>
                <c:pt idx="38">
                  <c:v>1.4</c:v>
                </c:pt>
                <c:pt idx="39">
                  <c:v>1.43</c:v>
                </c:pt>
                <c:pt idx="40">
                  <c:v>1.47</c:v>
                </c:pt>
                <c:pt idx="41">
                  <c:v>1.55</c:v>
                </c:pt>
                <c:pt idx="42">
                  <c:v>1.6300000000000001</c:v>
                </c:pt>
                <c:pt idx="43">
                  <c:v>1.6800000000000008</c:v>
                </c:pt>
                <c:pt idx="44">
                  <c:v>1.87</c:v>
                </c:pt>
                <c:pt idx="45">
                  <c:v>2.3699999999999997</c:v>
                </c:pt>
                <c:pt idx="46">
                  <c:v>2.84</c:v>
                </c:pt>
                <c:pt idx="47">
                  <c:v>2.84</c:v>
                </c:pt>
                <c:pt idx="48">
                  <c:v>3.36</c:v>
                </c:pt>
                <c:pt idx="49">
                  <c:v>3.2</c:v>
                </c:pt>
                <c:pt idx="50">
                  <c:v>3.8499999999999988</c:v>
                </c:pt>
                <c:pt idx="51">
                  <c:v>4.54</c:v>
                </c:pt>
                <c:pt idx="52">
                  <c:v>4.99</c:v>
                </c:pt>
                <c:pt idx="53">
                  <c:v>5.49</c:v>
                </c:pt>
                <c:pt idx="54">
                  <c:v>5.1199999999999966</c:v>
                </c:pt>
                <c:pt idx="55">
                  <c:v>4.67</c:v>
                </c:pt>
                <c:pt idx="56">
                  <c:v>5.0599999999999996</c:v>
                </c:pt>
                <c:pt idx="57">
                  <c:v>5.6899999999999995</c:v>
                </c:pt>
                <c:pt idx="58">
                  <c:v>5.31</c:v>
                </c:pt>
                <c:pt idx="59">
                  <c:v>4.9000000000000004</c:v>
                </c:pt>
                <c:pt idx="60" formatCode="###\ ###\ ###\ ###\ ##0.00;\-###\ ###\ ###\ ###\ ##0.00">
                  <c:v>4.7307064721228906</c:v>
                </c:pt>
                <c:pt idx="61" formatCode="###\ ###\ ###\ ###\ ##0.00;\-###\ ###\ ###\ ###\ ##0.00">
                  <c:v>4.8692742672767606</c:v>
                </c:pt>
                <c:pt idx="62" formatCode="###\ ###\ ###\ ###\ ##0.00;\-###\ ###\ ###\ ###\ ##0.00">
                  <c:v>4.8901662581800354</c:v>
                </c:pt>
                <c:pt idx="63" formatCode="###\ ###\ ###\ ###\ ##0.00;\-###\ ###\ ###\ ###\ ##0.00">
                  <c:v>4.9165403661897455</c:v>
                </c:pt>
                <c:pt idx="64" formatCode="###\ ###\ ###\ ###\ ##0.00;\-###\ ###\ ###\ ###\ ##0.00">
                  <c:v>4.8278684891401031</c:v>
                </c:pt>
                <c:pt idx="65" formatCode="###\ ###\ ###\ ###\ ##0.00;\-###\ ###\ ###\ ###\ ##0.00">
                  <c:v>4.6412520736000795</c:v>
                </c:pt>
                <c:pt idx="66" formatCode="###\ ###\ ###\ ###\ ##0.00;\-###\ ###\ ###\ ###\ ##0.00">
                  <c:v>4.3712476122939838</c:v>
                </c:pt>
                <c:pt idx="67" formatCode="###\ ###\ ###\ ###\ ##0.00;\-###\ ###\ ###\ ###\ ##0.00">
                  <c:v>4.4394883944569514</c:v>
                </c:pt>
                <c:pt idx="68" formatCode="###\ ###\ ###\ ###\ ##0.00;\-###\ ###\ ###\ ###\ ##0.00">
                  <c:v>4.5697569170379646</c:v>
                </c:pt>
                <c:pt idx="69" formatCode="###\ ###\ ###\ ###\ ##0.00;\-###\ ###\ ###\ ###\ ##0.00">
                  <c:v>4.621339843236747</c:v>
                </c:pt>
                <c:pt idx="70" formatCode="###\ ###\ ###\ ###\ ##0.00;\-###\ ###\ ###\ ###\ ##0.00">
                  <c:v>4.3189525391351573</c:v>
                </c:pt>
                <c:pt idx="71" formatCode="###\ ###\ ###\ ###\ ##0.00;\-###\ ###\ ###\ ###\ ##0.00">
                  <c:v>3.9581509254616187</c:v>
                </c:pt>
              </c:numCache>
            </c:numRef>
          </c:val>
          <c:smooth val="0"/>
          <c:extLst>
            <c:ext xmlns:c16="http://schemas.microsoft.com/office/drawing/2014/chart" uri="{C3380CC4-5D6E-409C-BE32-E72D297353CC}">
              <c16:uniqueId val="{00000003-BE74-45DB-91A1-A98180CC9A0F}"/>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1'!$A$78:$B$149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2018</c:v>
                  </c:pt>
                  <c:pt idx="12">
                    <c:v>2019</c:v>
                  </c:pt>
                  <c:pt idx="24">
                    <c:v>2020</c:v>
                  </c:pt>
                  <c:pt idx="36">
                    <c:v>2021</c:v>
                  </c:pt>
                  <c:pt idx="48">
                    <c:v>2022</c:v>
                  </c:pt>
                  <c:pt idx="60">
                    <c:v>2023</c:v>
                  </c:pt>
                </c:lvl>
              </c:multiLvlStrCache>
            </c:multiLvlStrRef>
          </c:cat>
          <c:val>
            <c:numRef>
              <c:f>'Měnové podmínky 1'!$E$78:$E$149</c:f>
              <c:numCache>
                <c:formatCode>General</c:formatCode>
                <c:ptCount val="72"/>
                <c:pt idx="0">
                  <c:v>0.98</c:v>
                </c:pt>
                <c:pt idx="1">
                  <c:v>1.1100000000000001</c:v>
                </c:pt>
                <c:pt idx="2">
                  <c:v>1.1200000000000001</c:v>
                </c:pt>
                <c:pt idx="3">
                  <c:v>1.1200000000000001</c:v>
                </c:pt>
                <c:pt idx="4">
                  <c:v>1.1200000000000001</c:v>
                </c:pt>
                <c:pt idx="5">
                  <c:v>1.149999999999999</c:v>
                </c:pt>
                <c:pt idx="6">
                  <c:v>1.3900000000000001</c:v>
                </c:pt>
                <c:pt idx="7">
                  <c:v>1.6700000000000008</c:v>
                </c:pt>
                <c:pt idx="8">
                  <c:v>1.7900000000000005</c:v>
                </c:pt>
                <c:pt idx="9">
                  <c:v>1.9500000000000004</c:v>
                </c:pt>
                <c:pt idx="10">
                  <c:v>2.1800000000000002</c:v>
                </c:pt>
                <c:pt idx="11">
                  <c:v>2.21</c:v>
                </c:pt>
                <c:pt idx="12">
                  <c:v>2.21</c:v>
                </c:pt>
                <c:pt idx="13">
                  <c:v>2.2000000000000002</c:v>
                </c:pt>
                <c:pt idx="14">
                  <c:v>2.2000000000000002</c:v>
                </c:pt>
                <c:pt idx="15">
                  <c:v>2.21</c:v>
                </c:pt>
                <c:pt idx="16">
                  <c:v>2.3199999999999981</c:v>
                </c:pt>
                <c:pt idx="17">
                  <c:v>2.29</c:v>
                </c:pt>
                <c:pt idx="18">
                  <c:v>2.2799999999999998</c:v>
                </c:pt>
                <c:pt idx="19">
                  <c:v>2.2200000000000002</c:v>
                </c:pt>
                <c:pt idx="20">
                  <c:v>2.2000000000000002</c:v>
                </c:pt>
                <c:pt idx="21">
                  <c:v>2.2799999999999998</c:v>
                </c:pt>
                <c:pt idx="22">
                  <c:v>2.2799999999999998</c:v>
                </c:pt>
                <c:pt idx="23">
                  <c:v>2.27</c:v>
                </c:pt>
                <c:pt idx="24">
                  <c:v>2.27</c:v>
                </c:pt>
                <c:pt idx="25">
                  <c:v>2.42</c:v>
                </c:pt>
                <c:pt idx="26">
                  <c:v>2.0099999999999998</c:v>
                </c:pt>
                <c:pt idx="27">
                  <c:v>0.92</c:v>
                </c:pt>
                <c:pt idx="28">
                  <c:v>0.51</c:v>
                </c:pt>
                <c:pt idx="29">
                  <c:v>0.43000000000000022</c:v>
                </c:pt>
                <c:pt idx="30">
                  <c:v>0.43000000000000022</c:v>
                </c:pt>
                <c:pt idx="31">
                  <c:v>0.43000000000000022</c:v>
                </c:pt>
                <c:pt idx="32">
                  <c:v>0.44000000000000011</c:v>
                </c:pt>
                <c:pt idx="33">
                  <c:v>0.43000000000000022</c:v>
                </c:pt>
                <c:pt idx="34">
                  <c:v>0.44000000000000011</c:v>
                </c:pt>
                <c:pt idx="35">
                  <c:v>0.49000000000000021</c:v>
                </c:pt>
                <c:pt idx="36">
                  <c:v>0.49000000000000021</c:v>
                </c:pt>
                <c:pt idx="37">
                  <c:v>0.54</c:v>
                </c:pt>
                <c:pt idx="38">
                  <c:v>0.56000000000000005</c:v>
                </c:pt>
                <c:pt idx="39">
                  <c:v>0.56000000000000005</c:v>
                </c:pt>
                <c:pt idx="40">
                  <c:v>0.67000000000000071</c:v>
                </c:pt>
                <c:pt idx="41">
                  <c:v>0.78</c:v>
                </c:pt>
                <c:pt idx="42">
                  <c:v>1</c:v>
                </c:pt>
                <c:pt idx="43">
                  <c:v>1.3</c:v>
                </c:pt>
                <c:pt idx="44">
                  <c:v>1.52</c:v>
                </c:pt>
                <c:pt idx="45">
                  <c:v>2.44</c:v>
                </c:pt>
                <c:pt idx="46">
                  <c:v>3.5</c:v>
                </c:pt>
                <c:pt idx="47">
                  <c:v>3.96</c:v>
                </c:pt>
                <c:pt idx="48">
                  <c:v>4.55</c:v>
                </c:pt>
                <c:pt idx="49">
                  <c:v>4.87</c:v>
                </c:pt>
                <c:pt idx="50">
                  <c:v>5.1199999999999966</c:v>
                </c:pt>
                <c:pt idx="51">
                  <c:v>5.74</c:v>
                </c:pt>
                <c:pt idx="52">
                  <c:v>6.33</c:v>
                </c:pt>
                <c:pt idx="53">
                  <c:v>7.02</c:v>
                </c:pt>
                <c:pt idx="54">
                  <c:v>7.55</c:v>
                </c:pt>
                <c:pt idx="55">
                  <c:v>7.48</c:v>
                </c:pt>
                <c:pt idx="56">
                  <c:v>7.44</c:v>
                </c:pt>
                <c:pt idx="57">
                  <c:v>7.45</c:v>
                </c:pt>
                <c:pt idx="58">
                  <c:v>7.39</c:v>
                </c:pt>
                <c:pt idx="59">
                  <c:v>7.28</c:v>
                </c:pt>
                <c:pt idx="60" formatCode="###\ ###\ ###\ ###\ ##0.00;\-###\ ###\ ###\ ###\ ##0.00">
                  <c:v>7.2480952380952344</c:v>
                </c:pt>
                <c:pt idx="61" formatCode="###\ ###\ ###\ ###\ ##0.00;\-###\ ###\ ###\ ###\ ##0.00">
                  <c:v>7.2326315789473687</c:v>
                </c:pt>
                <c:pt idx="62" formatCode="###\ ###\ ###\ ###\ ##0.00;\-###\ ###\ ###\ ###\ ##0.00">
                  <c:v>7.226363636363641</c:v>
                </c:pt>
                <c:pt idx="63" formatCode="###\ ###\ ###\ ###\ ##0.00;\-###\ ###\ ###\ ###\ ##0.00">
                  <c:v>7.2088888888888887</c:v>
                </c:pt>
                <c:pt idx="64" formatCode="###\ ###\ ###\ ###\ ##0.00;\-###\ ###\ ###\ ###\ ##0.00">
                  <c:v>7.1961904761904716</c:v>
                </c:pt>
                <c:pt idx="65" formatCode="###\ ###\ ###\ ###\ ##0.00;\-###\ ###\ ###\ ###\ ##0.00">
                  <c:v>7.1377272727272691</c:v>
                </c:pt>
                <c:pt idx="66" formatCode="###\ ###\ ###\ ###\ ##0.00;\-###\ ###\ ###\ ###\ ##0.00">
                  <c:v>7.0289473684210479</c:v>
                </c:pt>
                <c:pt idx="67" formatCode="###\ ###\ ###\ ###\ ##0.00;\-###\ ###\ ###\ ###\ ##0.00">
                  <c:v>6.947391304347831</c:v>
                </c:pt>
                <c:pt idx="68" formatCode="###\ ###\ ###\ ###\ ##0.00;\-###\ ###\ ###\ ###\ ##0.00">
                  <c:v>6.8469999999999995</c:v>
                </c:pt>
                <c:pt idx="69" formatCode="###\ ###\ ###\ ###\ ##0.00;\-###\ ###\ ###\ ###\ ##0.00">
                  <c:v>6.6090909090909085</c:v>
                </c:pt>
                <c:pt idx="70" formatCode="###\ ###\ ###\ ###\ ##0.00;\-###\ ###\ ###\ ###\ ##0.00">
                  <c:v>6.4771428571428569</c:v>
                </c:pt>
                <c:pt idx="71" formatCode="###\ ###\ ###\ ###\ ##0.00;\-###\ ###\ ###\ ###\ ##0.00">
                  <c:v>6.1873684210526347</c:v>
                </c:pt>
              </c:numCache>
            </c:numRef>
          </c:val>
          <c:smooth val="0"/>
          <c:extLst>
            <c:ext xmlns:c16="http://schemas.microsoft.com/office/drawing/2014/chart" uri="{C3380CC4-5D6E-409C-BE32-E72D297353CC}">
              <c16:uniqueId val="{00000004-BE74-45DB-91A1-A98180CC9A0F}"/>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1'!$A$78:$B$149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2018</c:v>
                  </c:pt>
                  <c:pt idx="12">
                    <c:v>2019</c:v>
                  </c:pt>
                  <c:pt idx="24">
                    <c:v>2020</c:v>
                  </c:pt>
                  <c:pt idx="36">
                    <c:v>2021</c:v>
                  </c:pt>
                  <c:pt idx="48">
                    <c:v>2022</c:v>
                  </c:pt>
                  <c:pt idx="60">
                    <c:v>2023</c:v>
                  </c:pt>
                </c:lvl>
              </c:multiLvlStrCache>
            </c:multiLvlStrRef>
          </c:cat>
          <c:val>
            <c:numRef>
              <c:f>'Měnové podmínky 1'!$H$78:$H$149</c:f>
              <c:numCache>
                <c:formatCode>General</c:formatCode>
                <c:ptCount val="72"/>
                <c:pt idx="0">
                  <c:v>1.7700000000000005</c:v>
                </c:pt>
                <c:pt idx="1">
                  <c:v>1.82</c:v>
                </c:pt>
                <c:pt idx="2">
                  <c:v>1.81</c:v>
                </c:pt>
                <c:pt idx="3">
                  <c:v>1.7400000000000004</c:v>
                </c:pt>
                <c:pt idx="4">
                  <c:v>1.8900000000000001</c:v>
                </c:pt>
                <c:pt idx="5">
                  <c:v>2.14</c:v>
                </c:pt>
                <c:pt idx="6">
                  <c:v>2.11</c:v>
                </c:pt>
                <c:pt idx="7">
                  <c:v>2.14</c:v>
                </c:pt>
                <c:pt idx="8">
                  <c:v>2.14</c:v>
                </c:pt>
                <c:pt idx="9">
                  <c:v>2.14</c:v>
                </c:pt>
                <c:pt idx="10">
                  <c:v>2.0699999999999998</c:v>
                </c:pt>
                <c:pt idx="11">
                  <c:v>2.0099999999999998</c:v>
                </c:pt>
                <c:pt idx="12">
                  <c:v>1.85</c:v>
                </c:pt>
                <c:pt idx="13">
                  <c:v>1.7600000000000005</c:v>
                </c:pt>
                <c:pt idx="14">
                  <c:v>1.82</c:v>
                </c:pt>
                <c:pt idx="15">
                  <c:v>1.82</c:v>
                </c:pt>
                <c:pt idx="16">
                  <c:v>1.86</c:v>
                </c:pt>
                <c:pt idx="17">
                  <c:v>1.58</c:v>
                </c:pt>
                <c:pt idx="18">
                  <c:v>1.36</c:v>
                </c:pt>
                <c:pt idx="19">
                  <c:v>0.99</c:v>
                </c:pt>
                <c:pt idx="20">
                  <c:v>1.24</c:v>
                </c:pt>
                <c:pt idx="21">
                  <c:v>1.32</c:v>
                </c:pt>
                <c:pt idx="22">
                  <c:v>1.47</c:v>
                </c:pt>
                <c:pt idx="23">
                  <c:v>1.51</c:v>
                </c:pt>
                <c:pt idx="24">
                  <c:v>1.62</c:v>
                </c:pt>
                <c:pt idx="25">
                  <c:v>1.47</c:v>
                </c:pt>
                <c:pt idx="26">
                  <c:v>1.28</c:v>
                </c:pt>
                <c:pt idx="27">
                  <c:v>1.28</c:v>
                </c:pt>
                <c:pt idx="28">
                  <c:v>0.92</c:v>
                </c:pt>
                <c:pt idx="29">
                  <c:v>0.86000000000000043</c:v>
                </c:pt>
                <c:pt idx="30">
                  <c:v>0.86000000000000043</c:v>
                </c:pt>
                <c:pt idx="31">
                  <c:v>0.9500000000000004</c:v>
                </c:pt>
                <c:pt idx="32">
                  <c:v>0.98</c:v>
                </c:pt>
                <c:pt idx="33">
                  <c:v>0.94000000000000039</c:v>
                </c:pt>
                <c:pt idx="34">
                  <c:v>1.1200000000000001</c:v>
                </c:pt>
                <c:pt idx="35">
                  <c:v>1.26</c:v>
                </c:pt>
                <c:pt idx="36">
                  <c:v>1.28</c:v>
                </c:pt>
                <c:pt idx="37">
                  <c:v>1.49</c:v>
                </c:pt>
                <c:pt idx="38">
                  <c:v>1.87</c:v>
                </c:pt>
                <c:pt idx="39">
                  <c:v>1.86</c:v>
                </c:pt>
                <c:pt idx="40">
                  <c:v>1.7400000000000004</c:v>
                </c:pt>
                <c:pt idx="41">
                  <c:v>1.6700000000000008</c:v>
                </c:pt>
                <c:pt idx="42">
                  <c:v>1.7200000000000004</c:v>
                </c:pt>
                <c:pt idx="43">
                  <c:v>1.7400000000000004</c:v>
                </c:pt>
                <c:pt idx="44">
                  <c:v>1.9000000000000001</c:v>
                </c:pt>
                <c:pt idx="45">
                  <c:v>2.34</c:v>
                </c:pt>
                <c:pt idx="46">
                  <c:v>2.62</c:v>
                </c:pt>
                <c:pt idx="47">
                  <c:v>2.62</c:v>
                </c:pt>
                <c:pt idx="48">
                  <c:v>3.12</c:v>
                </c:pt>
                <c:pt idx="49">
                  <c:v>3.03</c:v>
                </c:pt>
                <c:pt idx="50">
                  <c:v>3.53</c:v>
                </c:pt>
                <c:pt idx="51">
                  <c:v>4.01</c:v>
                </c:pt>
                <c:pt idx="52">
                  <c:v>4.6099999999999985</c:v>
                </c:pt>
                <c:pt idx="53">
                  <c:v>5.1199999999999966</c:v>
                </c:pt>
                <c:pt idx="54">
                  <c:v>4.4000000000000004</c:v>
                </c:pt>
                <c:pt idx="55">
                  <c:v>4.1099999999999985</c:v>
                </c:pt>
                <c:pt idx="56">
                  <c:v>4.72</c:v>
                </c:pt>
                <c:pt idx="57">
                  <c:v>5.52</c:v>
                </c:pt>
                <c:pt idx="58">
                  <c:v>5.1099999999999985</c:v>
                </c:pt>
                <c:pt idx="59">
                  <c:v>4.71</c:v>
                </c:pt>
                <c:pt idx="60" formatCode="###\ ###\ ###\ ###\ ##0.00;\-###\ ###\ ###\ ###\ ##0.00">
                  <c:v>4.4683071740930771</c:v>
                </c:pt>
                <c:pt idx="61" formatCode="###\ ###\ ###\ ###\ ##0.00;\-###\ ###\ ###\ ###\ ##0.00">
                  <c:v>4.6124456250457744</c:v>
                </c:pt>
                <c:pt idx="62" formatCode="###\ ###\ ###\ ###\ ##0.00;\-###\ ###\ ###\ ###\ ##0.00">
                  <c:v>4.666431649853247</c:v>
                </c:pt>
                <c:pt idx="63" formatCode="###\ ###\ ###\ ###\ ##0.00;\-###\ ###\ ###\ ###\ ##0.00">
                  <c:v>4.6464031535593717</c:v>
                </c:pt>
                <c:pt idx="64" formatCode="###\ ###\ ###\ ###\ ##0.00;\-###\ ###\ ###\ ###\ ##0.00">
                  <c:v>4.4999821517871714</c:v>
                </c:pt>
                <c:pt idx="65" formatCode="###\ ###\ ###\ ###\ ##0.00;\-###\ ###\ ###\ ###\ ##0.00">
                  <c:v>4.3475817201909122</c:v>
                </c:pt>
                <c:pt idx="66" formatCode="###\ ###\ ###\ ###\ ##0.00;\-###\ ###\ ###\ ###\ ##0.00">
                  <c:v>4.1488922058727873</c:v>
                </c:pt>
                <c:pt idx="67" formatCode="###\ ###\ ###\ ###\ ##0.00;\-###\ ###\ ###\ ###\ ##0.00">
                  <c:v>4.2612326220421206</c:v>
                </c:pt>
                <c:pt idx="68" formatCode="###\ ###\ ###\ ###\ ##0.00;\-###\ ###\ ###\ ###\ ##0.00">
                  <c:v>4.4941452526073435</c:v>
                </c:pt>
                <c:pt idx="69" formatCode="###\ ###\ ###\ ###\ ##0.00;\-###\ ###\ ###\ ###\ ##0.00">
                  <c:v>4.7196492538174732</c:v>
                </c:pt>
                <c:pt idx="70" formatCode="###\ ###\ ###\ ###\ ##0.00;\-###\ ###\ ###\ ###\ ##0.00">
                  <c:v>4.42380118220012</c:v>
                </c:pt>
                <c:pt idx="71" formatCode="###\ ###\ ###\ ###\ ##0.00;\-###\ ###\ ###\ ###\ ##0.00">
                  <c:v>3.9723129766524465</c:v>
                </c:pt>
              </c:numCache>
            </c:numRef>
          </c:val>
          <c:smooth val="0"/>
          <c:extLst>
            <c:ext xmlns:c16="http://schemas.microsoft.com/office/drawing/2014/chart" uri="{C3380CC4-5D6E-409C-BE32-E72D297353CC}">
              <c16:uniqueId val="{00000005-BE74-45DB-91A1-A98180CC9A0F}"/>
            </c:ext>
          </c:extLst>
        </c:ser>
        <c:dLbls>
          <c:showLegendKey val="0"/>
          <c:showVal val="0"/>
          <c:showCatName val="0"/>
          <c:showSerName val="0"/>
          <c:showPercent val="0"/>
          <c:showBubbleSize val="0"/>
        </c:dLbls>
        <c:marker val="1"/>
        <c:smooth val="0"/>
        <c:axId val="86648704"/>
        <c:axId val="86650240"/>
      </c:lineChart>
      <c:catAx>
        <c:axId val="86648704"/>
        <c:scaling>
          <c:orientation val="minMax"/>
        </c:scaling>
        <c:delete val="0"/>
        <c:axPos val="b"/>
        <c:numFmt formatCode="General" sourceLinked="0"/>
        <c:majorTickMark val="out"/>
        <c:minorTickMark val="none"/>
        <c:tickLblPos val="low"/>
        <c:spPr>
          <a:ln>
            <a:solidFill>
              <a:schemeClr val="tx1"/>
            </a:solidFill>
          </a:ln>
        </c:spPr>
        <c:crossAx val="86650240"/>
        <c:crosses val="autoZero"/>
        <c:auto val="1"/>
        <c:lblAlgn val="ctr"/>
        <c:lblOffset val="100"/>
        <c:noMultiLvlLbl val="0"/>
      </c:catAx>
      <c:valAx>
        <c:axId val="86650240"/>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6648704"/>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47146084085555E-2"/>
          <c:y val="1.7107287133586925E-2"/>
          <c:w val="0.83962774835667464"/>
          <c:h val="0.75194595942833975"/>
        </c:manualLayout>
      </c:layout>
      <c:barChart>
        <c:barDir val="col"/>
        <c:grouping val="stacked"/>
        <c:varyColors val="0"/>
        <c:ser>
          <c:idx val="1"/>
          <c:order val="1"/>
          <c:tx>
            <c:strRef>
              <c:f>'G1-SR-příjmy-příspěvky'!$A$35</c:f>
              <c:strCache>
                <c:ptCount val="1"/>
                <c:pt idx="0">
                  <c:v>Ostatní daně a poplatky</c:v>
                </c:pt>
              </c:strCache>
            </c:strRef>
          </c:tx>
          <c:spPr>
            <a:solidFill>
              <a:schemeClr val="bg1">
                <a:lumMod val="75000"/>
              </a:schemeClr>
            </a:solidFill>
            <a:ln w="12700">
              <a:noFill/>
              <a:prstDash val="solid"/>
            </a:ln>
          </c:spPr>
          <c:invertIfNegative val="0"/>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'G1-SR-příjmy-příspěvky'!$E$35:$T$35</c:f>
              <c:numCache>
                <c:formatCode>0.0</c:formatCode>
                <c:ptCount val="16"/>
                <c:pt idx="0">
                  <c:v>0.1343620572631733</c:v>
                </c:pt>
                <c:pt idx="1">
                  <c:v>-0.43783892347861714</c:v>
                </c:pt>
                <c:pt idx="2">
                  <c:v>0.3996608937870903</c:v>
                </c:pt>
                <c:pt idx="3">
                  <c:v>0.45359346851715454</c:v>
                </c:pt>
                <c:pt idx="4">
                  <c:v>0.36091954456633163</c:v>
                </c:pt>
                <c:pt idx="5">
                  <c:v>-0.19669432258787536</c:v>
                </c:pt>
                <c:pt idx="6">
                  <c:v>-3.3756193936022499E-2</c:v>
                </c:pt>
                <c:pt idx="7">
                  <c:v>-0.21161967177130617</c:v>
                </c:pt>
                <c:pt idx="8">
                  <c:v>0.99101056462652193</c:v>
                </c:pt>
                <c:pt idx="9">
                  <c:v>0.24244696058614981</c:v>
                </c:pt>
                <c:pt idx="10">
                  <c:v>0.15610407782378988</c:v>
                </c:pt>
                <c:pt idx="11">
                  <c:v>0.45615292592707923</c:v>
                </c:pt>
                <c:pt idx="12">
                  <c:v>-0.24507318270758649</c:v>
                </c:pt>
                <c:pt idx="13">
                  <c:v>0.38912595873892392</c:v>
                </c:pt>
                <c:pt idx="14">
                  <c:v>0.49625884514210133</c:v>
                </c:pt>
                <c:pt idx="15">
                  <c:v>4.8454264222480505</c:v>
                </c:pt>
              </c:numCache>
            </c:numRef>
          </c:val>
          <c:extLst>
            <c:ext xmlns:c16="http://schemas.microsoft.com/office/drawing/2014/chart" uri="{C3380CC4-5D6E-409C-BE32-E72D297353CC}">
              <c16:uniqueId val="{00000000-3ECE-4893-8977-4E505701A2D9}"/>
            </c:ext>
          </c:extLst>
        </c:ser>
        <c:ser>
          <c:idx val="3"/>
          <c:order val="2"/>
          <c:tx>
            <c:strRef>
              <c:f>'G1-SR-příjmy-příspěvky'!$A$36</c:f>
              <c:strCache>
                <c:ptCount val="1"/>
                <c:pt idx="0">
                  <c:v>Daně z příjmů FO, placená plátci</c:v>
                </c:pt>
              </c:strCache>
            </c:strRef>
          </c:tx>
          <c:spPr>
            <a:solidFill>
              <a:srgbClr val="EA6C75"/>
            </a:solidFill>
            <a:ln w="19050">
              <a:noFill/>
              <a:prstDash val="sysDot"/>
            </a:ln>
          </c:spPr>
          <c:invertIfNegative val="0"/>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'G1-SR-příjmy-příspěvky'!$E$36:$T$36</c:f>
              <c:numCache>
                <c:formatCode>0.0</c:formatCode>
                <c:ptCount val="16"/>
                <c:pt idx="0">
                  <c:v>-1.5527821256908561</c:v>
                </c:pt>
                <c:pt idx="1">
                  <c:v>-0.55432817834906578</c:v>
                </c:pt>
                <c:pt idx="2">
                  <c:v>0.12110936175366319</c:v>
                </c:pt>
                <c:pt idx="3">
                  <c:v>1.0852176920748899</c:v>
                </c:pt>
                <c:pt idx="4">
                  <c:v>5.9256972671682132E-2</c:v>
                </c:pt>
                <c:pt idx="5">
                  <c:v>0.87185461004427189</c:v>
                </c:pt>
                <c:pt idx="6">
                  <c:v>0.63141477746024122</c:v>
                </c:pt>
                <c:pt idx="7">
                  <c:v>0.67342941472377815</c:v>
                </c:pt>
                <c:pt idx="8">
                  <c:v>1.6207594849932945</c:v>
                </c:pt>
                <c:pt idx="9">
                  <c:v>2.2360758157590221</c:v>
                </c:pt>
                <c:pt idx="10">
                  <c:v>2.5650495208593473</c:v>
                </c:pt>
                <c:pt idx="11">
                  <c:v>2.2145487595779803</c:v>
                </c:pt>
                <c:pt idx="12">
                  <c:v>-1.0526560208410933</c:v>
                </c:pt>
                <c:pt idx="13">
                  <c:v>-6.4557034146693084</c:v>
                </c:pt>
                <c:pt idx="14">
                  <c:v>1.0630342864068221</c:v>
                </c:pt>
                <c:pt idx="15">
                  <c:v>2.2839349884944506</c:v>
                </c:pt>
              </c:numCache>
            </c:numRef>
          </c:val>
          <c:extLst>
            <c:ext xmlns:c16="http://schemas.microsoft.com/office/drawing/2014/chart" uri="{C3380CC4-5D6E-409C-BE32-E72D297353CC}">
              <c16:uniqueId val="{00000001-3ECE-4893-8977-4E505701A2D9}"/>
            </c:ext>
          </c:extLst>
        </c:ser>
        <c:ser>
          <c:idx val="4"/>
          <c:order val="3"/>
          <c:tx>
            <c:strRef>
              <c:f>'G1-SR-příjmy-příspěvky'!$A$37</c:f>
              <c:strCache>
                <c:ptCount val="1"/>
                <c:pt idx="0">
                  <c:v>Daně z příjmů FO, ostatní</c:v>
                </c:pt>
              </c:strCache>
            </c:strRef>
          </c:tx>
          <c:spPr>
            <a:solidFill>
              <a:srgbClr val="FFD757"/>
            </a:solidFill>
            <a:ln w="19050">
              <a:noFill/>
            </a:ln>
          </c:spPr>
          <c:invertIfNegative val="0"/>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'G1-SR-příjmy-příspěvky'!$E$37:$T$37</c:f>
              <c:numCache>
                <c:formatCode>0.0</c:formatCode>
                <c:ptCount val="16"/>
                <c:pt idx="0">
                  <c:v>0.35321984125884742</c:v>
                </c:pt>
                <c:pt idx="1">
                  <c:v>-1.6643234919997321</c:v>
                </c:pt>
                <c:pt idx="2">
                  <c:v>0.3739251544144363</c:v>
                </c:pt>
                <c:pt idx="3">
                  <c:v>-0.60097712828051542</c:v>
                </c:pt>
                <c:pt idx="4">
                  <c:v>0.35272007542667605</c:v>
                </c:pt>
                <c:pt idx="5">
                  <c:v>-0.13614133500691264</c:v>
                </c:pt>
                <c:pt idx="6">
                  <c:v>5.5948144838251251E-2</c:v>
                </c:pt>
                <c:pt idx="7">
                  <c:v>0.29502621978374827</c:v>
                </c:pt>
                <c:pt idx="8">
                  <c:v>0.58137265625984347</c:v>
                </c:pt>
                <c:pt idx="9">
                  <c:v>6.7589193423445854E-2</c:v>
                </c:pt>
                <c:pt idx="10">
                  <c:v>0.27497666712976415</c:v>
                </c:pt>
                <c:pt idx="11">
                  <c:v>0.40549455394307282</c:v>
                </c:pt>
                <c:pt idx="12">
                  <c:v>-0.32978914864881037</c:v>
                </c:pt>
                <c:pt idx="13">
                  <c:v>0.71473521007537144</c:v>
                </c:pt>
                <c:pt idx="14">
                  <c:v>1.1235494742441319</c:v>
                </c:pt>
                <c:pt idx="15">
                  <c:v>1.0754046813056026</c:v>
                </c:pt>
              </c:numCache>
            </c:numRef>
          </c:val>
          <c:extLst>
            <c:ext xmlns:c16="http://schemas.microsoft.com/office/drawing/2014/chart" uri="{C3380CC4-5D6E-409C-BE32-E72D297353CC}">
              <c16:uniqueId val="{00000002-3ECE-4893-8977-4E505701A2D9}"/>
            </c:ext>
          </c:extLst>
        </c:ser>
        <c:ser>
          <c:idx val="2"/>
          <c:order val="4"/>
          <c:tx>
            <c:strRef>
              <c:f>'G1-SR-příjmy-příspěvky'!$A$38</c:f>
              <c:strCache>
                <c:ptCount val="1"/>
                <c:pt idx="0">
                  <c:v>Daně z příjmů PO</c:v>
                </c:pt>
              </c:strCache>
            </c:strRef>
          </c:tx>
          <c:spPr>
            <a:solidFill>
              <a:srgbClr val="F9B073"/>
            </a:solidFill>
            <a:ln>
              <a:noFill/>
            </a:ln>
          </c:spPr>
          <c:invertIfNegative val="0"/>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'G1-SR-příjmy-příspěvky'!$E$38:$T$38</c:f>
              <c:numCache>
                <c:formatCode>0.0</c:formatCode>
                <c:ptCount val="16"/>
                <c:pt idx="0">
                  <c:v>2.7315667724017563</c:v>
                </c:pt>
                <c:pt idx="1">
                  <c:v>-8.4233781883912329</c:v>
                </c:pt>
                <c:pt idx="2">
                  <c:v>0.6449073513382596</c:v>
                </c:pt>
                <c:pt idx="3">
                  <c:v>-0.82868548863620461</c:v>
                </c:pt>
                <c:pt idx="4">
                  <c:v>1.3953606183879375</c:v>
                </c:pt>
                <c:pt idx="5">
                  <c:v>-1.0011201200508371</c:v>
                </c:pt>
                <c:pt idx="6">
                  <c:v>1.5558912659779756</c:v>
                </c:pt>
                <c:pt idx="7">
                  <c:v>1.9381939917097659</c:v>
                </c:pt>
                <c:pt idx="8">
                  <c:v>2.1019797088722423</c:v>
                </c:pt>
                <c:pt idx="9">
                  <c:v>0.66800652833506335</c:v>
                </c:pt>
                <c:pt idx="10">
                  <c:v>0.35264183265496607</c:v>
                </c:pt>
                <c:pt idx="11">
                  <c:v>0.87073588998886731</c:v>
                </c:pt>
                <c:pt idx="12">
                  <c:v>-2.0708537130072977</c:v>
                </c:pt>
                <c:pt idx="13">
                  <c:v>3.8866812074729902</c:v>
                </c:pt>
                <c:pt idx="14">
                  <c:v>3.3224740440006921</c:v>
                </c:pt>
                <c:pt idx="15">
                  <c:v>6.5729866214661019</c:v>
                </c:pt>
              </c:numCache>
            </c:numRef>
          </c:val>
          <c:extLst>
            <c:ext xmlns:c16="http://schemas.microsoft.com/office/drawing/2014/chart" uri="{C3380CC4-5D6E-409C-BE32-E72D297353CC}">
              <c16:uniqueId val="{00000003-3ECE-4893-8977-4E505701A2D9}"/>
            </c:ext>
          </c:extLst>
        </c:ser>
        <c:ser>
          <c:idx val="5"/>
          <c:order val="5"/>
          <c:tx>
            <c:strRef>
              <c:f>'G1-SR-příjmy-příspěvky'!$A$39</c:f>
              <c:strCache>
                <c:ptCount val="1"/>
                <c:pt idx="0">
                  <c:v>Spotřební daň</c:v>
                </c:pt>
              </c:strCache>
            </c:strRef>
          </c:tx>
          <c:spPr>
            <a:solidFill>
              <a:srgbClr val="00B050"/>
            </a:solidFill>
            <a:ln>
              <a:noFill/>
            </a:ln>
          </c:spPr>
          <c:invertIfNegative val="0"/>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'G1-SR-příjmy-příspěvky'!$E$39:$T$39</c:f>
              <c:numCache>
                <c:formatCode>0.0</c:formatCode>
                <c:ptCount val="16"/>
                <c:pt idx="0">
                  <c:v>-0.82002410205975462</c:v>
                </c:pt>
                <c:pt idx="1">
                  <c:v>-0.2624355626966603</c:v>
                </c:pt>
                <c:pt idx="2">
                  <c:v>1.0899842557829742</c:v>
                </c:pt>
                <c:pt idx="3">
                  <c:v>1.1976306800985841</c:v>
                </c:pt>
                <c:pt idx="4">
                  <c:v>2.8217606034132627E-2</c:v>
                </c:pt>
                <c:pt idx="5">
                  <c:v>-0.4620554400234651</c:v>
                </c:pt>
                <c:pt idx="6">
                  <c:v>-0.28107282287786883</c:v>
                </c:pt>
                <c:pt idx="7">
                  <c:v>1.1788221564402885</c:v>
                </c:pt>
                <c:pt idx="8">
                  <c:v>0.94411988085894216</c:v>
                </c:pt>
                <c:pt idx="9">
                  <c:v>0.51818381624642562</c:v>
                </c:pt>
                <c:pt idx="10">
                  <c:v>0.48698157842828732</c:v>
                </c:pt>
                <c:pt idx="11">
                  <c:v>-3.2322029662130089E-2</c:v>
                </c:pt>
                <c:pt idx="12">
                  <c:v>-0.43076419151862833</c:v>
                </c:pt>
                <c:pt idx="13">
                  <c:v>-0.47146544798768436</c:v>
                </c:pt>
                <c:pt idx="14">
                  <c:v>0.28868970114686071</c:v>
                </c:pt>
                <c:pt idx="15">
                  <c:v>-0.4259694478513813</c:v>
                </c:pt>
              </c:numCache>
            </c:numRef>
          </c:val>
          <c:extLst>
            <c:ext xmlns:c16="http://schemas.microsoft.com/office/drawing/2014/chart" uri="{C3380CC4-5D6E-409C-BE32-E72D297353CC}">
              <c16:uniqueId val="{00000004-3ECE-4893-8977-4E505701A2D9}"/>
            </c:ext>
          </c:extLst>
        </c:ser>
        <c:ser>
          <c:idx val="6"/>
          <c:order val="6"/>
          <c:tx>
            <c:strRef>
              <c:f>'G1-SR-příjmy-příspěvky'!$A$40</c:f>
              <c:strCache>
                <c:ptCount val="1"/>
                <c:pt idx="0">
                  <c:v>DPH</c:v>
                </c:pt>
              </c:strCache>
            </c:strRef>
          </c:tx>
          <c:spPr>
            <a:solidFill>
              <a:schemeClr val="accent5">
                <a:lumMod val="60000"/>
                <a:lumOff val="40000"/>
              </a:schemeClr>
            </a:solidFill>
            <a:ln w="19050">
              <a:noFill/>
            </a:ln>
          </c:spPr>
          <c:invertIfNegative val="0"/>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'G1-SR-příjmy-příspěvky'!$E$40:$T$40</c:f>
              <c:numCache>
                <c:formatCode>0.0</c:formatCode>
                <c:ptCount val="16"/>
                <c:pt idx="0">
                  <c:v>2.6055157702270306</c:v>
                </c:pt>
                <c:pt idx="1">
                  <c:v>-0.21155519850036608</c:v>
                </c:pt>
                <c:pt idx="2">
                  <c:v>2.4131040329417472</c:v>
                </c:pt>
                <c:pt idx="3">
                  <c:v>0.84165621802355051</c:v>
                </c:pt>
                <c:pt idx="4">
                  <c:v>0.40069000568471075</c:v>
                </c:pt>
                <c:pt idx="5">
                  <c:v>4.1571237952110938</c:v>
                </c:pt>
                <c:pt idx="6">
                  <c:v>1.9208863061132222</c:v>
                </c:pt>
                <c:pt idx="7">
                  <c:v>1.149319534461912</c:v>
                </c:pt>
                <c:pt idx="8">
                  <c:v>2.1838115743542001</c:v>
                </c:pt>
                <c:pt idx="9">
                  <c:v>3.6002510363555791</c:v>
                </c:pt>
                <c:pt idx="10">
                  <c:v>3.3186115323065706</c:v>
                </c:pt>
                <c:pt idx="11">
                  <c:v>1.7904445521930756</c:v>
                </c:pt>
                <c:pt idx="12">
                  <c:v>-0.47516406466208932</c:v>
                </c:pt>
                <c:pt idx="13">
                  <c:v>3.6157405564344214</c:v>
                </c:pt>
                <c:pt idx="14">
                  <c:v>6.9272296081153666</c:v>
                </c:pt>
                <c:pt idx="15">
                  <c:v>2.6134043336641866</c:v>
                </c:pt>
              </c:numCache>
            </c:numRef>
          </c:val>
          <c:extLst>
            <c:ext xmlns:c16="http://schemas.microsoft.com/office/drawing/2014/chart" uri="{C3380CC4-5D6E-409C-BE32-E72D297353CC}">
              <c16:uniqueId val="{00000005-3ECE-4893-8977-4E505701A2D9}"/>
            </c:ext>
          </c:extLst>
        </c:ser>
        <c:dLbls>
          <c:showLegendKey val="0"/>
          <c:showVal val="0"/>
          <c:showCatName val="0"/>
          <c:showSerName val="0"/>
          <c:showPercent val="0"/>
          <c:showBubbleSize val="0"/>
        </c:dLbls>
        <c:gapWidth val="49"/>
        <c:overlap val="100"/>
        <c:axId val="82778368"/>
        <c:axId val="82788352"/>
      </c:barChart>
      <c:lineChart>
        <c:grouping val="standard"/>
        <c:varyColors val="0"/>
        <c:ser>
          <c:idx val="0"/>
          <c:order val="0"/>
          <c:tx>
            <c:strRef>
              <c:f>'G1-SR-příjmy-příspěvky'!$A$34</c:f>
              <c:strCache>
                <c:ptCount val="1"/>
                <c:pt idx="0">
                  <c:v>Celk. daňové příjmy (bez pojistného na SZ)</c:v>
                </c:pt>
              </c:strCache>
            </c:strRef>
          </c:tx>
          <c:spPr>
            <a:ln w="19050">
              <a:noFill/>
            </a:ln>
          </c:spPr>
          <c:marker>
            <c:symbol val="circle"/>
            <c:size val="7"/>
            <c:spPr>
              <a:solidFill>
                <a:schemeClr val="bg1"/>
              </a:solidFill>
              <a:ln>
                <a:solidFill>
                  <a:schemeClr val="tx1">
                    <a:lumMod val="95000"/>
                    <a:lumOff val="5000"/>
                  </a:schemeClr>
                </a:solidFill>
              </a:ln>
            </c:spPr>
          </c:marker>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'G1-SR-příjmy-příspěvky'!$E$34:$T$34</c:f>
              <c:numCache>
                <c:formatCode>0.0</c:formatCode>
                <c:ptCount val="16"/>
                <c:pt idx="0">
                  <c:v>3.4518582134001985</c:v>
                </c:pt>
                <c:pt idx="1">
                  <c:v>-11.553859543415687</c:v>
                </c:pt>
                <c:pt idx="2">
                  <c:v>5.0426910500181794</c:v>
                </c:pt>
                <c:pt idx="3">
                  <c:v>2.1484354417974609</c:v>
                </c:pt>
                <c:pt idx="4">
                  <c:v>2.5971648227714619</c:v>
                </c:pt>
                <c:pt idx="5">
                  <c:v>3.2329671875862829</c:v>
                </c:pt>
                <c:pt idx="6">
                  <c:v>3.8493114775757959</c:v>
                </c:pt>
                <c:pt idx="7">
                  <c:v>5.0231716453481852</c:v>
                </c:pt>
                <c:pt idx="8">
                  <c:v>8.4230538699650488</c:v>
                </c:pt>
                <c:pt idx="9">
                  <c:v>7.3325533507056795</c:v>
                </c:pt>
                <c:pt idx="10">
                  <c:v>7.1543652092027354</c:v>
                </c:pt>
                <c:pt idx="11">
                  <c:v>5.7050546519679255</c:v>
                </c:pt>
                <c:pt idx="12">
                  <c:v>-4.6043003213854918</c:v>
                </c:pt>
                <c:pt idx="13">
                  <c:v>1.6791140700647138</c:v>
                </c:pt>
                <c:pt idx="14">
                  <c:v>13.221235959055971</c:v>
                </c:pt>
                <c:pt idx="15">
                  <c:v>16.965187599326995</c:v>
                </c:pt>
              </c:numCache>
            </c:numRef>
          </c:val>
          <c:smooth val="0"/>
          <c:extLst>
            <c:ext xmlns:c16="http://schemas.microsoft.com/office/drawing/2014/chart" uri="{C3380CC4-5D6E-409C-BE32-E72D297353CC}">
              <c16:uniqueId val="{00000006-3ECE-4893-8977-4E505701A2D9}"/>
            </c:ext>
          </c:extLst>
        </c:ser>
        <c:ser>
          <c:idx val="7"/>
          <c:order val="7"/>
          <c:tx>
            <c:strRef>
              <c:f>'G1-SR-příjmy-příspěvky'!$A$41</c:f>
              <c:strCache>
                <c:ptCount val="1"/>
                <c:pt idx="0">
                  <c:v>Příjmy z pojistného na soc. zabezpečení*</c:v>
                </c:pt>
              </c:strCache>
            </c:strRef>
          </c:tx>
          <c:spPr>
            <a:ln w="6350">
              <a:noFill/>
              <a:prstDash val="dash"/>
            </a:ln>
          </c:spPr>
          <c:marker>
            <c:symbol val="triangle"/>
            <c:size val="5"/>
            <c:spPr>
              <a:solidFill>
                <a:schemeClr val="bg1"/>
              </a:solidFill>
              <a:ln>
                <a:solidFill>
                  <a:schemeClr val="tx1">
                    <a:lumMod val="95000"/>
                    <a:lumOff val="5000"/>
                  </a:schemeClr>
                </a:solidFill>
              </a:ln>
            </c:spPr>
          </c:marker>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'G1-SR-příjmy-příspěvky'!$E$41:$T$41</c:f>
              <c:numCache>
                <c:formatCode>0.0</c:formatCode>
                <c:ptCount val="16"/>
                <c:pt idx="0">
                  <c:v>4.9633804350785358</c:v>
                </c:pt>
                <c:pt idx="1">
                  <c:v>-9.7530608009960531</c:v>
                </c:pt>
                <c:pt idx="2">
                  <c:v>2.2763853759484789</c:v>
                </c:pt>
                <c:pt idx="3">
                  <c:v>3.085656474820154</c:v>
                </c:pt>
                <c:pt idx="4">
                  <c:v>1.2752902432500828</c:v>
                </c:pt>
                <c:pt idx="5">
                  <c:v>0.18597279569168279</c:v>
                </c:pt>
                <c:pt idx="6">
                  <c:v>2.8854393544132928</c:v>
                </c:pt>
                <c:pt idx="7">
                  <c:v>5.7035679195659696</c:v>
                </c:pt>
                <c:pt idx="8">
                  <c:v>5.8559128258724487</c:v>
                </c:pt>
                <c:pt idx="9">
                  <c:v>8.8183903383047806</c:v>
                </c:pt>
                <c:pt idx="10">
                  <c:v>10.091138884587679</c:v>
                </c:pt>
                <c:pt idx="11">
                  <c:v>7.4816515195790476</c:v>
                </c:pt>
                <c:pt idx="12">
                  <c:v>-2.0277306648235518</c:v>
                </c:pt>
                <c:pt idx="13">
                  <c:v>10.169913745206131</c:v>
                </c:pt>
                <c:pt idx="14">
                  <c:v>7.0843896490699034</c:v>
                </c:pt>
                <c:pt idx="15">
                  <c:v>8.091383454368124</c:v>
                </c:pt>
              </c:numCache>
            </c:numRef>
          </c:val>
          <c:smooth val="0"/>
          <c:extLst>
            <c:ext xmlns:c16="http://schemas.microsoft.com/office/drawing/2014/chart" uri="{C3380CC4-5D6E-409C-BE32-E72D297353CC}">
              <c16:uniqueId val="{00000007-3ECE-4893-8977-4E505701A2D9}"/>
            </c:ext>
          </c:extLst>
        </c:ser>
        <c:dLbls>
          <c:showLegendKey val="0"/>
          <c:showVal val="0"/>
          <c:showCatName val="0"/>
          <c:showSerName val="0"/>
          <c:showPercent val="0"/>
          <c:showBubbleSize val="0"/>
        </c:dLbls>
        <c:marker val="1"/>
        <c:smooth val="0"/>
        <c:axId val="82778368"/>
        <c:axId val="82788352"/>
      </c:lineChart>
      <c:lineChart>
        <c:grouping val="standard"/>
        <c:varyColors val="0"/>
        <c:ser>
          <c:idx val="8"/>
          <c:order val="8"/>
          <c:tx>
            <c:strRef>
              <c:f>'G1-SR-příjmy-příspěvky'!$A$42</c:f>
              <c:strCache>
                <c:ptCount val="1"/>
                <c:pt idx="0">
                  <c:v>Saldo státního rozpočtu (pravá osa)</c:v>
                </c:pt>
              </c:strCache>
            </c:strRef>
          </c:tx>
          <c:spPr>
            <a:ln w="19050">
              <a:solidFill>
                <a:schemeClr val="bg2">
                  <a:lumMod val="50000"/>
                </a:schemeClr>
              </a:solidFill>
            </a:ln>
          </c:spPr>
          <c:marker>
            <c:symbol val="none"/>
          </c:marker>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'G1-SR-příjmy-příspěvky'!$E$42:$T$42</c:f>
              <c:numCache>
                <c:formatCode>#\ ##0.0</c:formatCode>
                <c:ptCount val="16"/>
                <c:pt idx="0">
                  <c:v>-20.003</c:v>
                </c:pt>
                <c:pt idx="1">
                  <c:v>-192.39400000000001</c:v>
                </c:pt>
                <c:pt idx="2">
                  <c:v>-156.416</c:v>
                </c:pt>
                <c:pt idx="3">
                  <c:v>-142.77099999999999</c:v>
                </c:pt>
                <c:pt idx="4">
                  <c:v>-101</c:v>
                </c:pt>
                <c:pt idx="5">
                  <c:v>-81.263999999999996</c:v>
                </c:pt>
                <c:pt idx="6">
                  <c:v>-77.78</c:v>
                </c:pt>
                <c:pt idx="7">
                  <c:v>-62.8</c:v>
                </c:pt>
                <c:pt idx="8">
                  <c:v>61.77</c:v>
                </c:pt>
                <c:pt idx="9">
                  <c:v>-6.1499999999999995</c:v>
                </c:pt>
                <c:pt idx="10">
                  <c:v>2.94</c:v>
                </c:pt>
                <c:pt idx="11">
                  <c:v>-28.52</c:v>
                </c:pt>
                <c:pt idx="12">
                  <c:v>-367.44914888590034</c:v>
                </c:pt>
                <c:pt idx="13">
                  <c:v>-419.6878585549</c:v>
                </c:pt>
                <c:pt idx="14">
                  <c:v>-360.40186851624929</c:v>
                </c:pt>
                <c:pt idx="15">
                  <c:v>-288.51503705804936</c:v>
                </c:pt>
              </c:numCache>
            </c:numRef>
          </c:val>
          <c:smooth val="0"/>
          <c:extLst>
            <c:ext xmlns:c16="http://schemas.microsoft.com/office/drawing/2014/chart" uri="{C3380CC4-5D6E-409C-BE32-E72D297353CC}">
              <c16:uniqueId val="{00000008-3ECE-4893-8977-4E505701A2D9}"/>
            </c:ext>
          </c:extLst>
        </c:ser>
        <c:ser>
          <c:idx val="9"/>
          <c:order val="9"/>
          <c:tx>
            <c:strRef>
              <c:f>'G1-SR-příjmy-příspěvky'!$A$43</c:f>
              <c:strCache>
                <c:ptCount val="1"/>
                <c:pt idx="0">
                  <c:v>Saldo SR očištěné o vliv EU a FM** (pr. osa)</c:v>
                </c:pt>
              </c:strCache>
            </c:strRef>
          </c:tx>
          <c:spPr>
            <a:ln w="19050">
              <a:solidFill>
                <a:schemeClr val="bg2">
                  <a:lumMod val="50000"/>
                </a:schemeClr>
              </a:solidFill>
              <a:prstDash val="sysDash"/>
            </a:ln>
          </c:spPr>
          <c:marker>
            <c:symbol val="none"/>
          </c:marker>
          <c:cat>
            <c:numRef>
              <c:f>'G1-SR-příjmy-příspěvky'!$E$33:$T$33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'G1-SR-příjmy-příspěvky'!$E$43:$T$43</c:f>
              <c:numCache>
                <c:formatCode>General</c:formatCode>
                <c:ptCount val="16"/>
                <c:pt idx="2" formatCode="#\ ##0.0">
                  <c:v>-139.30000000000001</c:v>
                </c:pt>
                <c:pt idx="3" formatCode="#\ ##0.0">
                  <c:v>-117.5</c:v>
                </c:pt>
                <c:pt idx="4" formatCode="#\ ##0.0">
                  <c:v>-70.599999999999994</c:v>
                </c:pt>
                <c:pt idx="5" formatCode="#\ ##0.0">
                  <c:v>-81.73296260617991</c:v>
                </c:pt>
                <c:pt idx="6" formatCode="#\ ##0.0">
                  <c:v>-64.099999999999994</c:v>
                </c:pt>
                <c:pt idx="7" formatCode="#\ ##0.0">
                  <c:v>-41.7</c:v>
                </c:pt>
                <c:pt idx="8" formatCode="#\ ##0.0">
                  <c:v>-13.6</c:v>
                </c:pt>
                <c:pt idx="9" formatCode="#\ ##0.0">
                  <c:v>-1.3</c:v>
                </c:pt>
                <c:pt idx="10" formatCode="#\ ##0.0">
                  <c:v>-3.5</c:v>
                </c:pt>
                <c:pt idx="11" formatCode="#\ ##0.0">
                  <c:v>-29.2</c:v>
                </c:pt>
                <c:pt idx="12" formatCode="#\ ##0.0">
                  <c:v>-364.9</c:v>
                </c:pt>
                <c:pt idx="13" formatCode="#\ ##0.0">
                  <c:v>-408.62534300787991</c:v>
                </c:pt>
                <c:pt idx="14" formatCode="#\ ##0.0">
                  <c:v>-316.78614650160915</c:v>
                </c:pt>
                <c:pt idx="15" formatCode="#\ ##0.0">
                  <c:v>-299.4469719521191</c:v>
                </c:pt>
              </c:numCache>
            </c:numRef>
          </c:val>
          <c:smooth val="0"/>
          <c:extLst>
            <c:ext xmlns:c16="http://schemas.microsoft.com/office/drawing/2014/chart" uri="{C3380CC4-5D6E-409C-BE32-E72D297353CC}">
              <c16:uniqueId val="{00000009-3ECE-4893-8977-4E505701A2D9}"/>
            </c:ext>
          </c:extLst>
        </c:ser>
        <c:dLbls>
          <c:showLegendKey val="0"/>
          <c:showVal val="0"/>
          <c:showCatName val="0"/>
          <c:showSerName val="0"/>
          <c:showPercent val="0"/>
          <c:showBubbleSize val="0"/>
        </c:dLbls>
        <c:marker val="1"/>
        <c:smooth val="0"/>
        <c:axId val="82800640"/>
        <c:axId val="82790272"/>
      </c:lineChart>
      <c:catAx>
        <c:axId val="82778368"/>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82788352"/>
        <c:crosses val="autoZero"/>
        <c:auto val="1"/>
        <c:lblAlgn val="ctr"/>
        <c:lblOffset val="0"/>
        <c:noMultiLvlLbl val="0"/>
      </c:catAx>
      <c:valAx>
        <c:axId val="82788352"/>
        <c:scaling>
          <c:orientation val="minMax"/>
          <c:max val="20"/>
          <c:min val="-35"/>
        </c:scaling>
        <c:delete val="0"/>
        <c:axPos val="l"/>
        <c:majorGridlines>
          <c:spPr>
            <a:ln w="6350">
              <a:solidFill>
                <a:schemeClr val="bg1">
                  <a:lumMod val="75000"/>
                </a:schemeClr>
              </a:solidFill>
            </a:ln>
          </c:spPr>
        </c:majorGridlines>
        <c:title>
          <c:tx>
            <c:rich>
              <a:bodyPr/>
              <a:lstStyle/>
              <a:p>
                <a:pPr>
                  <a:defRPr b="0"/>
                </a:pPr>
                <a:r>
                  <a:rPr lang="cs-CZ" b="0"/>
                  <a:t>Růst příjmů z pojistného, příspěvek k růstu daň. příjmů</a:t>
                </a:r>
              </a:p>
            </c:rich>
          </c:tx>
          <c:layout/>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82778368"/>
        <c:crosses val="autoZero"/>
        <c:crossBetween val="between"/>
        <c:majorUnit val="5"/>
      </c:valAx>
      <c:valAx>
        <c:axId val="82790272"/>
        <c:scaling>
          <c:orientation val="minMax"/>
          <c:max val="240"/>
          <c:min val="-420"/>
        </c:scaling>
        <c:delete val="0"/>
        <c:axPos val="r"/>
        <c:title>
          <c:tx>
            <c:rich>
              <a:bodyPr/>
              <a:lstStyle/>
              <a:p>
                <a:pPr>
                  <a:defRPr b="0"/>
                </a:pPr>
                <a:r>
                  <a:rPr lang="cs-CZ" b="0"/>
                  <a:t>Saldo státního rozpočtu</a:t>
                </a:r>
              </a:p>
            </c:rich>
          </c:tx>
          <c:layout>
            <c:manualLayout>
              <c:xMode val="edge"/>
              <c:yMode val="edge"/>
              <c:x val="0.97036646544776561"/>
              <c:y val="0.20963215506367219"/>
            </c:manualLayout>
          </c:layout>
          <c:overlay val="0"/>
        </c:title>
        <c:numFmt formatCode="#,##0" sourceLinked="0"/>
        <c:majorTickMark val="out"/>
        <c:minorTickMark val="none"/>
        <c:tickLblPos val="nextTo"/>
        <c:txPr>
          <a:bodyPr/>
          <a:lstStyle/>
          <a:p>
            <a:pPr>
              <a:defRPr sz="800" b="0" i="0"/>
            </a:pPr>
            <a:endParaRPr lang="cs-CZ"/>
          </a:p>
        </c:txPr>
        <c:crossAx val="82800640"/>
        <c:crosses val="max"/>
        <c:crossBetween val="between"/>
        <c:majorUnit val="60"/>
      </c:valAx>
      <c:catAx>
        <c:axId val="82800640"/>
        <c:scaling>
          <c:orientation val="minMax"/>
        </c:scaling>
        <c:delete val="1"/>
        <c:axPos val="b"/>
        <c:numFmt formatCode="General" sourceLinked="1"/>
        <c:majorTickMark val="out"/>
        <c:minorTickMark val="none"/>
        <c:tickLblPos val="none"/>
        <c:crossAx val="82790272"/>
        <c:crosses val="autoZero"/>
        <c:auto val="1"/>
        <c:lblAlgn val="ctr"/>
        <c:lblOffset val="100"/>
        <c:noMultiLvlLbl val="0"/>
      </c:catAx>
      <c:spPr>
        <a:ln w="6350">
          <a:solidFill>
            <a:schemeClr val="tx1"/>
          </a:solidFill>
        </a:ln>
      </c:spPr>
    </c:plotArea>
    <c:legend>
      <c:legendPos val="b"/>
      <c:layout>
        <c:manualLayout>
          <c:xMode val="edge"/>
          <c:yMode val="edge"/>
          <c:x val="1.340471342706971E-2"/>
          <c:y val="0.84262968908968405"/>
          <c:w val="0.97057855178488139"/>
          <c:h val="0.1536825215139327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249333313906573E-2"/>
          <c:y val="2.1433051007174356E-2"/>
          <c:w val="0.82973125407935466"/>
          <c:h val="0.70569386992454619"/>
        </c:manualLayout>
      </c:layout>
      <c:barChart>
        <c:barDir val="col"/>
        <c:grouping val="clustered"/>
        <c:varyColors val="0"/>
        <c:ser>
          <c:idx val="0"/>
          <c:order val="0"/>
          <c:tx>
            <c:strRef>
              <c:f>'G2-St.rozpočet-výdaje'!$B$31</c:f>
              <c:strCache>
                <c:ptCount val="1"/>
                <c:pt idx="0">
                  <c:v>Běžné výdaje celkem (pravá osa)</c:v>
                </c:pt>
              </c:strCache>
            </c:strRef>
          </c:tx>
          <c:spPr>
            <a:solidFill>
              <a:schemeClr val="bg1">
                <a:lumMod val="95000"/>
              </a:schemeClr>
            </a:solidFill>
            <a:ln w="6350">
              <a:solidFill>
                <a:schemeClr val="bg1">
                  <a:lumMod val="75000"/>
                </a:schemeClr>
              </a:solidFill>
            </a:ln>
          </c:spPr>
          <c:invertIfNegative val="0"/>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'G2-St.rozpočet-výdaje'!$B$35:$B$50</c:f>
              <c:numCache>
                <c:formatCode>0.0</c:formatCode>
                <c:ptCount val="16"/>
                <c:pt idx="0">
                  <c:v>975.85999999999979</c:v>
                </c:pt>
                <c:pt idx="1">
                  <c:v>1032.78</c:v>
                </c:pt>
                <c:pt idx="2">
                  <c:v>1021.89</c:v>
                </c:pt>
                <c:pt idx="3">
                  <c:v>1031.83</c:v>
                </c:pt>
                <c:pt idx="4">
                  <c:v>1038.76</c:v>
                </c:pt>
                <c:pt idx="5">
                  <c:v>1070.8129999999999</c:v>
                </c:pt>
                <c:pt idx="6">
                  <c:v>1100.1019999999999</c:v>
                </c:pt>
                <c:pt idx="7">
                  <c:v>1121.6599999999999</c:v>
                </c:pt>
                <c:pt idx="8">
                  <c:v>1135.57</c:v>
                </c:pt>
                <c:pt idx="9">
                  <c:v>1198.05</c:v>
                </c:pt>
                <c:pt idx="10">
                  <c:v>1284.5</c:v>
                </c:pt>
                <c:pt idx="11">
                  <c:v>1412.5989294339895</c:v>
                </c:pt>
                <c:pt idx="12">
                  <c:v>1670.3085864663701</c:v>
                </c:pt>
                <c:pt idx="13">
                  <c:v>1729.78958897348</c:v>
                </c:pt>
                <c:pt idx="14">
                  <c:v>1798.8098500209101</c:v>
                </c:pt>
                <c:pt idx="15">
                  <c:v>1991.2519146137097</c:v>
                </c:pt>
              </c:numCache>
            </c:numRef>
          </c:val>
          <c:extLst>
            <c:ext xmlns:c16="http://schemas.microsoft.com/office/drawing/2014/chart" uri="{C3380CC4-5D6E-409C-BE32-E72D297353CC}">
              <c16:uniqueId val="{00000000-730A-4974-8AA7-829B5B3A89C2}"/>
            </c:ext>
          </c:extLst>
        </c:ser>
        <c:ser>
          <c:idx val="1"/>
          <c:order val="1"/>
          <c:tx>
            <c:strRef>
              <c:f>'G2-St.rozpočet-výdaje'!$C$31</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'G2-St.rozpočet-výdaje'!$C$35:$C$50</c:f>
              <c:numCache>
                <c:formatCode>#\ ##0.0</c:formatCode>
                <c:ptCount val="16"/>
                <c:pt idx="0">
                  <c:v>312.53199999999975</c:v>
                </c:pt>
                <c:pt idx="1">
                  <c:v>339.7879999999999</c:v>
                </c:pt>
                <c:pt idx="2">
                  <c:v>346.21299999999991</c:v>
                </c:pt>
                <c:pt idx="3">
                  <c:v>368.06900000000002</c:v>
                </c:pt>
                <c:pt idx="4">
                  <c:v>382.03099999999989</c:v>
                </c:pt>
                <c:pt idx="5">
                  <c:v>382.77299999999991</c:v>
                </c:pt>
                <c:pt idx="6">
                  <c:v>385.84000000000009</c:v>
                </c:pt>
                <c:pt idx="7">
                  <c:v>395.21999999999991</c:v>
                </c:pt>
                <c:pt idx="8">
                  <c:v>398.96999999999991</c:v>
                </c:pt>
                <c:pt idx="9">
                  <c:v>414.39</c:v>
                </c:pt>
                <c:pt idx="10">
                  <c:v>433.84000000000009</c:v>
                </c:pt>
                <c:pt idx="11">
                  <c:v>471.58934759291003</c:v>
                </c:pt>
                <c:pt idx="12">
                  <c:v>519.56821115257981</c:v>
                </c:pt>
                <c:pt idx="13">
                  <c:v>530.49962626152001</c:v>
                </c:pt>
                <c:pt idx="14">
                  <c:v>588.08604572466004</c:v>
                </c:pt>
                <c:pt idx="15">
                  <c:v>685.21298320429992</c:v>
                </c:pt>
              </c:numCache>
            </c:numRef>
          </c:val>
          <c:extLst>
            <c:ext xmlns:c16="http://schemas.microsoft.com/office/drawing/2014/chart" uri="{C3380CC4-5D6E-409C-BE32-E72D297353CC}">
              <c16:uniqueId val="{00000001-730A-4974-8AA7-829B5B3A89C2}"/>
            </c:ext>
          </c:extLst>
        </c:ser>
        <c:dLbls>
          <c:showLegendKey val="0"/>
          <c:showVal val="0"/>
          <c:showCatName val="0"/>
          <c:showSerName val="0"/>
          <c:showPercent val="0"/>
          <c:showBubbleSize val="0"/>
        </c:dLbls>
        <c:gapWidth val="82"/>
        <c:overlap val="100"/>
        <c:axId val="83767680"/>
        <c:axId val="83544320"/>
      </c:barChart>
      <c:lineChart>
        <c:grouping val="standard"/>
        <c:varyColors val="0"/>
        <c:ser>
          <c:idx val="6"/>
          <c:order val="2"/>
          <c:tx>
            <c:strRef>
              <c:f>'G2-St.rozpočet-výdaje'!$D$31</c:f>
              <c:strCache>
                <c:ptCount val="1"/>
                <c:pt idx="0">
                  <c:v>Platy státních zaměstnanců*</c:v>
                </c:pt>
              </c:strCache>
            </c:strRef>
          </c:tx>
          <c:spPr>
            <a:ln w="15875">
              <a:solidFill>
                <a:srgbClr val="D5D000"/>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'G2-St.rozpočet-výdaje'!$D$35:$D$50</c:f>
              <c:numCache>
                <c:formatCode>0.0</c:formatCode>
                <c:ptCount val="16"/>
                <c:pt idx="0">
                  <c:v>97.33</c:v>
                </c:pt>
                <c:pt idx="1">
                  <c:v>100.19</c:v>
                </c:pt>
                <c:pt idx="2">
                  <c:v>97.669999999999987</c:v>
                </c:pt>
                <c:pt idx="3">
                  <c:v>89.6</c:v>
                </c:pt>
                <c:pt idx="4">
                  <c:v>90.45</c:v>
                </c:pt>
                <c:pt idx="5">
                  <c:v>92.374999999999986</c:v>
                </c:pt>
                <c:pt idx="6">
                  <c:v>96.582999999999998</c:v>
                </c:pt>
                <c:pt idx="7">
                  <c:v>104.19</c:v>
                </c:pt>
                <c:pt idx="8">
                  <c:v>109.86</c:v>
                </c:pt>
                <c:pt idx="9">
                  <c:v>120.08</c:v>
                </c:pt>
                <c:pt idx="10">
                  <c:v>133.9</c:v>
                </c:pt>
                <c:pt idx="11">
                  <c:v>143.72754730148012</c:v>
                </c:pt>
                <c:pt idx="12">
                  <c:v>150.49796216553</c:v>
                </c:pt>
                <c:pt idx="13">
                  <c:v>152.83601356255002</c:v>
                </c:pt>
                <c:pt idx="14">
                  <c:v>154.26261187671003</c:v>
                </c:pt>
                <c:pt idx="15">
                  <c:v>165.62244310158005</c:v>
                </c:pt>
              </c:numCache>
            </c:numRef>
          </c:val>
          <c:smooth val="0"/>
          <c:extLst>
            <c:ext xmlns:c16="http://schemas.microsoft.com/office/drawing/2014/chart" uri="{C3380CC4-5D6E-409C-BE32-E72D297353CC}">
              <c16:uniqueId val="{00000002-730A-4974-8AA7-829B5B3A89C2}"/>
            </c:ext>
          </c:extLst>
        </c:ser>
        <c:ser>
          <c:idx val="7"/>
          <c:order val="3"/>
          <c:tx>
            <c:strRef>
              <c:f>'G2-St.rozpočet-výdaje'!$E$31</c:f>
              <c:strCache>
                <c:ptCount val="1"/>
                <c:pt idx="0">
                  <c:v>Podpora v nezaměstnanosti</c:v>
                </c:pt>
              </c:strCache>
            </c:strRef>
          </c:tx>
          <c:spPr>
            <a:ln w="15875">
              <a:solidFill>
                <a:srgbClr val="996633"/>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'G2-St.rozpočet-výdaje'!$E$35:$E$50</c:f>
              <c:numCache>
                <c:formatCode>0.0</c:formatCode>
                <c:ptCount val="16"/>
                <c:pt idx="0">
                  <c:v>7.1099999999999985</c:v>
                </c:pt>
                <c:pt idx="1">
                  <c:v>15.078000000000001</c:v>
                </c:pt>
                <c:pt idx="2">
                  <c:v>13.355000000000004</c:v>
                </c:pt>
                <c:pt idx="3">
                  <c:v>10.349</c:v>
                </c:pt>
                <c:pt idx="4">
                  <c:v>8.76</c:v>
                </c:pt>
                <c:pt idx="5">
                  <c:v>9.65</c:v>
                </c:pt>
                <c:pt idx="6">
                  <c:v>9.2620000000000005</c:v>
                </c:pt>
                <c:pt idx="7">
                  <c:v>8.2760000000000016</c:v>
                </c:pt>
                <c:pt idx="8">
                  <c:v>8.2200000000000024</c:v>
                </c:pt>
                <c:pt idx="9">
                  <c:v>7.8199999999999985</c:v>
                </c:pt>
                <c:pt idx="10">
                  <c:v>7.51</c:v>
                </c:pt>
                <c:pt idx="11">
                  <c:v>8.1136251569399995</c:v>
                </c:pt>
                <c:pt idx="12">
                  <c:v>10.524849742540001</c:v>
                </c:pt>
                <c:pt idx="13">
                  <c:v>9.9694941281400062</c:v>
                </c:pt>
                <c:pt idx="14">
                  <c:v>9.8463264355100009</c:v>
                </c:pt>
                <c:pt idx="15">
                  <c:v>10.45997211533</c:v>
                </c:pt>
              </c:numCache>
            </c:numRef>
          </c:val>
          <c:smooth val="0"/>
          <c:extLst>
            <c:ext xmlns:c16="http://schemas.microsoft.com/office/drawing/2014/chart" uri="{C3380CC4-5D6E-409C-BE32-E72D297353CC}">
              <c16:uniqueId val="{00000003-730A-4974-8AA7-829B5B3A89C2}"/>
            </c:ext>
          </c:extLst>
        </c:ser>
        <c:ser>
          <c:idx val="2"/>
          <c:order val="4"/>
          <c:tx>
            <c:strRef>
              <c:f>'G2-St.rozpočet-výdaje'!$F$31</c:f>
              <c:strCache>
                <c:ptCount val="1"/>
                <c:pt idx="0">
                  <c:v>Státní sociální podpora**</c:v>
                </c:pt>
              </c:strCache>
            </c:strRef>
          </c:tx>
          <c:spPr>
            <a:ln w="15875">
              <a:solidFill>
                <a:schemeClr val="accent6">
                  <a:lumMod val="75000"/>
                </a:schemeClr>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'G2-St.rozpočet-výdaje'!$F$35:$F$50</c:f>
              <c:numCache>
                <c:formatCode>0.0</c:formatCode>
                <c:ptCount val="16"/>
                <c:pt idx="0">
                  <c:v>41.97</c:v>
                </c:pt>
                <c:pt idx="1">
                  <c:v>41.168000000000013</c:v>
                </c:pt>
                <c:pt idx="2">
                  <c:v>40.880999999999993</c:v>
                </c:pt>
                <c:pt idx="3">
                  <c:v>36.094000000000001</c:v>
                </c:pt>
                <c:pt idx="4">
                  <c:v>35.554000000000002</c:v>
                </c:pt>
                <c:pt idx="5">
                  <c:v>37.423000000000002</c:v>
                </c:pt>
                <c:pt idx="6">
                  <c:v>37.544000000000004</c:v>
                </c:pt>
                <c:pt idx="7">
                  <c:v>37.65</c:v>
                </c:pt>
                <c:pt idx="8">
                  <c:v>37.78</c:v>
                </c:pt>
                <c:pt idx="9">
                  <c:v>37.220000000000013</c:v>
                </c:pt>
                <c:pt idx="10">
                  <c:v>39.220000000000013</c:v>
                </c:pt>
                <c:pt idx="11">
                  <c:v>37.87859106618</c:v>
                </c:pt>
                <c:pt idx="12">
                  <c:v>51.685289497479999</c:v>
                </c:pt>
                <c:pt idx="13">
                  <c:v>48.771589956349999</c:v>
                </c:pt>
                <c:pt idx="14">
                  <c:v>56.34439888851</c:v>
                </c:pt>
                <c:pt idx="15">
                  <c:v>59.955940890070003</c:v>
                </c:pt>
              </c:numCache>
            </c:numRef>
          </c:val>
          <c:smooth val="0"/>
          <c:extLst>
            <c:ext xmlns:c16="http://schemas.microsoft.com/office/drawing/2014/chart" uri="{C3380CC4-5D6E-409C-BE32-E72D297353CC}">
              <c16:uniqueId val="{00000004-730A-4974-8AA7-829B5B3A89C2}"/>
            </c:ext>
          </c:extLst>
        </c:ser>
        <c:ser>
          <c:idx val="3"/>
          <c:order val="5"/>
          <c:tx>
            <c:strRef>
              <c:f>'G2-St.rozpočet-výdaje'!$G$31</c:f>
              <c:strCache>
                <c:ptCount val="1"/>
                <c:pt idx="0">
                  <c:v>Dávky nemocenského pojištění</c:v>
                </c:pt>
              </c:strCache>
            </c:strRef>
          </c:tx>
          <c:spPr>
            <a:ln w="15875">
              <a:solidFill>
                <a:srgbClr val="00B0F0"/>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'G2-St.rozpočet-výdaje'!$G$35:$G$50</c:f>
              <c:numCache>
                <c:formatCode>0.0</c:formatCode>
                <c:ptCount val="16"/>
                <c:pt idx="0">
                  <c:v>31.881999999999994</c:v>
                </c:pt>
                <c:pt idx="1">
                  <c:v>26.233000000000001</c:v>
                </c:pt>
                <c:pt idx="2">
                  <c:v>22.995999999999988</c:v>
                </c:pt>
                <c:pt idx="3">
                  <c:v>21.734000000000005</c:v>
                </c:pt>
                <c:pt idx="4">
                  <c:v>19.602</c:v>
                </c:pt>
                <c:pt idx="5">
                  <c:v>20.350000000000001</c:v>
                </c:pt>
                <c:pt idx="6">
                  <c:v>22.282999999999991</c:v>
                </c:pt>
                <c:pt idx="7">
                  <c:v>24.310000000000006</c:v>
                </c:pt>
                <c:pt idx="8">
                  <c:v>26.5</c:v>
                </c:pt>
                <c:pt idx="9">
                  <c:v>28.57</c:v>
                </c:pt>
                <c:pt idx="10">
                  <c:v>34.300000000000004</c:v>
                </c:pt>
                <c:pt idx="11">
                  <c:v>39.200000000000003</c:v>
                </c:pt>
                <c:pt idx="12">
                  <c:v>55.6</c:v>
                </c:pt>
                <c:pt idx="13">
                  <c:v>51.9</c:v>
                </c:pt>
                <c:pt idx="14">
                  <c:v>48.1</c:v>
                </c:pt>
                <c:pt idx="15">
                  <c:v>45.9</c:v>
                </c:pt>
              </c:numCache>
            </c:numRef>
          </c:val>
          <c:smooth val="0"/>
          <c:extLst>
            <c:ext xmlns:c16="http://schemas.microsoft.com/office/drawing/2014/chart" uri="{C3380CC4-5D6E-409C-BE32-E72D297353CC}">
              <c16:uniqueId val="{00000005-730A-4974-8AA7-829B5B3A89C2}"/>
            </c:ext>
          </c:extLst>
        </c:ser>
        <c:ser>
          <c:idx val="4"/>
          <c:order val="6"/>
          <c:tx>
            <c:strRef>
              <c:f>'G2-St.rozpočet-výdaje'!$H$31</c:f>
              <c:strCache>
                <c:ptCount val="1"/>
                <c:pt idx="0">
                  <c:v>Dávky sociální péče***</c:v>
                </c:pt>
              </c:strCache>
            </c:strRef>
          </c:tx>
          <c:spPr>
            <a:ln w="15875">
              <a:solidFill>
                <a:srgbClr val="00B050"/>
              </a:solidFill>
              <a:prstDash val="solid"/>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'G2-St.rozpočet-výdaje'!$H$35:$H$50</c:f>
              <c:numCache>
                <c:formatCode>0.0</c:formatCode>
                <c:ptCount val="16"/>
                <c:pt idx="0">
                  <c:v>23.542000000000002</c:v>
                </c:pt>
                <c:pt idx="1">
                  <c:v>24.256</c:v>
                </c:pt>
                <c:pt idx="2">
                  <c:v>25.292000000000002</c:v>
                </c:pt>
                <c:pt idx="3">
                  <c:v>24.966999999999988</c:v>
                </c:pt>
                <c:pt idx="4">
                  <c:v>27.695499999999992</c:v>
                </c:pt>
                <c:pt idx="5">
                  <c:v>31.978999999999992</c:v>
                </c:pt>
                <c:pt idx="6">
                  <c:v>33.622000000000014</c:v>
                </c:pt>
                <c:pt idx="7">
                  <c:v>33.621000000000002</c:v>
                </c:pt>
                <c:pt idx="8">
                  <c:v>34.295000000000016</c:v>
                </c:pt>
                <c:pt idx="9">
                  <c:v>34.439</c:v>
                </c:pt>
                <c:pt idx="10">
                  <c:v>33.990400000000001</c:v>
                </c:pt>
                <c:pt idx="11">
                  <c:v>36.831099999999999</c:v>
                </c:pt>
                <c:pt idx="12">
                  <c:v>40.510200000000005</c:v>
                </c:pt>
                <c:pt idx="13">
                  <c:v>40.74</c:v>
                </c:pt>
                <c:pt idx="14">
                  <c:v>53.6</c:v>
                </c:pt>
                <c:pt idx="15">
                  <c:v>54</c:v>
                </c:pt>
              </c:numCache>
            </c:numRef>
          </c:val>
          <c:smooth val="0"/>
          <c:extLst>
            <c:ext xmlns:c16="http://schemas.microsoft.com/office/drawing/2014/chart" uri="{C3380CC4-5D6E-409C-BE32-E72D297353CC}">
              <c16:uniqueId val="{00000006-730A-4974-8AA7-829B5B3A89C2}"/>
            </c:ext>
          </c:extLst>
        </c:ser>
        <c:ser>
          <c:idx val="11"/>
          <c:order val="7"/>
          <c:tx>
            <c:strRef>
              <c:f>'G2-St.rozpočet-výdaje'!$M$31</c:f>
              <c:strCache>
                <c:ptCount val="1"/>
                <c:pt idx="0">
                  <c:v>Stavební spoření a důchod. připojištění</c:v>
                </c:pt>
              </c:strCache>
            </c:strRef>
          </c:tx>
          <c:spPr>
            <a:ln w="15875">
              <a:solidFill>
                <a:srgbClr val="0070C0"/>
              </a:solidFill>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'G2-St.rozpočet-výdaje'!$M$35:$M$50</c:f>
              <c:numCache>
                <c:formatCode>0.0</c:formatCode>
                <c:ptCount val="16"/>
                <c:pt idx="0">
                  <c:v>19.21</c:v>
                </c:pt>
                <c:pt idx="1">
                  <c:v>18.559999999999999</c:v>
                </c:pt>
                <c:pt idx="2">
                  <c:v>17.21</c:v>
                </c:pt>
                <c:pt idx="3">
                  <c:v>16.32</c:v>
                </c:pt>
                <c:pt idx="4">
                  <c:v>11.030000000000001</c:v>
                </c:pt>
                <c:pt idx="5">
                  <c:v>11.64</c:v>
                </c:pt>
                <c:pt idx="6">
                  <c:v>11.65</c:v>
                </c:pt>
                <c:pt idx="7">
                  <c:v>11.380000000000004</c:v>
                </c:pt>
                <c:pt idx="8">
                  <c:v>11.09</c:v>
                </c:pt>
                <c:pt idx="9">
                  <c:v>10.83</c:v>
                </c:pt>
                <c:pt idx="10">
                  <c:v>10.91</c:v>
                </c:pt>
                <c:pt idx="11">
                  <c:v>11.17778915189</c:v>
                </c:pt>
                <c:pt idx="12">
                  <c:v>11.47836191851</c:v>
                </c:pt>
                <c:pt idx="13">
                  <c:v>11.740370910779998</c:v>
                </c:pt>
                <c:pt idx="14">
                  <c:v>11.961994479700003</c:v>
                </c:pt>
                <c:pt idx="15">
                  <c:v>11.74050024079</c:v>
                </c:pt>
              </c:numCache>
            </c:numRef>
          </c:val>
          <c:smooth val="0"/>
          <c:extLst>
            <c:ext xmlns:c16="http://schemas.microsoft.com/office/drawing/2014/chart" uri="{C3380CC4-5D6E-409C-BE32-E72D297353CC}">
              <c16:uniqueId val="{00000007-730A-4974-8AA7-829B5B3A89C2}"/>
            </c:ext>
          </c:extLst>
        </c:ser>
        <c:ser>
          <c:idx val="5"/>
          <c:order val="8"/>
          <c:tx>
            <c:strRef>
              <c:f>'G2-St.rozpočet-výdaje'!$I$31</c:f>
              <c:strCache>
                <c:ptCount val="1"/>
                <c:pt idx="0">
                  <c:v>Neinvestič. nákupy a souvis. výdaje****</c:v>
                </c:pt>
              </c:strCache>
            </c:strRef>
          </c:tx>
          <c:spPr>
            <a:ln w="15875">
              <a:solidFill>
                <a:srgbClr val="F0949B"/>
              </a:solidFill>
              <a:prstDash val="solid"/>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'G2-St.rozpočet-výdaje'!$I$35:$I$50</c:f>
              <c:numCache>
                <c:formatCode>0.0</c:formatCode>
                <c:ptCount val="16"/>
                <c:pt idx="0">
                  <c:v>71.581999999999994</c:v>
                </c:pt>
                <c:pt idx="1">
                  <c:v>69.73</c:v>
                </c:pt>
                <c:pt idx="2">
                  <c:v>65.116</c:v>
                </c:pt>
                <c:pt idx="3">
                  <c:v>57.98</c:v>
                </c:pt>
                <c:pt idx="4">
                  <c:v>53.175000000000011</c:v>
                </c:pt>
                <c:pt idx="5">
                  <c:v>54.193000000000012</c:v>
                </c:pt>
                <c:pt idx="6">
                  <c:v>54.751000000000005</c:v>
                </c:pt>
                <c:pt idx="7">
                  <c:v>62.36</c:v>
                </c:pt>
                <c:pt idx="8">
                  <c:v>57.560000000000009</c:v>
                </c:pt>
                <c:pt idx="9">
                  <c:v>62.760000000000012</c:v>
                </c:pt>
                <c:pt idx="10">
                  <c:v>68.410000000000025</c:v>
                </c:pt>
                <c:pt idx="11">
                  <c:v>66.430000000000007</c:v>
                </c:pt>
                <c:pt idx="12">
                  <c:v>77.884951001920001</c:v>
                </c:pt>
                <c:pt idx="13">
                  <c:v>78.966372350419945</c:v>
                </c:pt>
                <c:pt idx="14">
                  <c:v>91.193704519299928</c:v>
                </c:pt>
                <c:pt idx="15">
                  <c:v>81.628682751309938</c:v>
                </c:pt>
              </c:numCache>
            </c:numRef>
          </c:val>
          <c:smooth val="0"/>
          <c:extLst>
            <c:ext xmlns:c16="http://schemas.microsoft.com/office/drawing/2014/chart" uri="{C3380CC4-5D6E-409C-BE32-E72D297353CC}">
              <c16:uniqueId val="{00000008-730A-4974-8AA7-829B5B3A89C2}"/>
            </c:ext>
          </c:extLst>
        </c:ser>
        <c:ser>
          <c:idx val="9"/>
          <c:order val="9"/>
          <c:tx>
            <c:strRef>
              <c:f>'G2-St.rozpočet-výdaje'!$J$31</c:f>
              <c:strCache>
                <c:ptCount val="1"/>
                <c:pt idx="0">
                  <c:v>Státní dluh (čisté výdaje)*****</c:v>
                </c:pt>
              </c:strCache>
            </c:strRef>
          </c:tx>
          <c:spPr>
            <a:ln w="3175">
              <a:solidFill>
                <a:srgbClr val="7030A0"/>
              </a:solidFill>
              <a:prstDash val="dash"/>
            </a:ln>
          </c:spPr>
          <c:marker>
            <c:symbol val="square"/>
            <c:size val="5"/>
            <c:spPr>
              <a:solidFill>
                <a:schemeClr val="bg1"/>
              </a:solidFill>
              <a:ln>
                <a:solidFill>
                  <a:srgbClr val="7030A0"/>
                </a:solidFill>
              </a:ln>
            </c:spPr>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'G2-St.rozpočet-výdaje'!$J$35:$J$50</c:f>
              <c:numCache>
                <c:formatCode>0.0</c:formatCode>
                <c:ptCount val="16"/>
                <c:pt idx="0">
                  <c:v>37.64</c:v>
                </c:pt>
                <c:pt idx="1">
                  <c:v>44.46</c:v>
                </c:pt>
                <c:pt idx="2">
                  <c:v>35.840000000000003</c:v>
                </c:pt>
                <c:pt idx="3">
                  <c:v>45.120000000000012</c:v>
                </c:pt>
                <c:pt idx="4">
                  <c:v>41.400000000000006</c:v>
                </c:pt>
                <c:pt idx="5">
                  <c:v>50.89</c:v>
                </c:pt>
                <c:pt idx="6">
                  <c:v>48.49</c:v>
                </c:pt>
                <c:pt idx="7">
                  <c:v>45.28</c:v>
                </c:pt>
                <c:pt idx="8">
                  <c:v>40.65</c:v>
                </c:pt>
                <c:pt idx="9">
                  <c:v>39.77000000000001</c:v>
                </c:pt>
                <c:pt idx="10">
                  <c:v>40.730000000000011</c:v>
                </c:pt>
                <c:pt idx="11">
                  <c:v>39.550577993799998</c:v>
                </c:pt>
                <c:pt idx="12">
                  <c:v>40.145474011320005</c:v>
                </c:pt>
                <c:pt idx="13">
                  <c:v>42.233847726200004</c:v>
                </c:pt>
                <c:pt idx="14">
                  <c:v>49.705483243530011</c:v>
                </c:pt>
                <c:pt idx="15">
                  <c:v>68.317693750440029</c:v>
                </c:pt>
              </c:numCache>
            </c:numRef>
          </c:val>
          <c:smooth val="0"/>
          <c:extLst>
            <c:ext xmlns:c16="http://schemas.microsoft.com/office/drawing/2014/chart" uri="{C3380CC4-5D6E-409C-BE32-E72D297353CC}">
              <c16:uniqueId val="{00000009-730A-4974-8AA7-829B5B3A89C2}"/>
            </c:ext>
          </c:extLst>
        </c:ser>
        <c:ser>
          <c:idx val="8"/>
          <c:order val="10"/>
          <c:tx>
            <c:strRef>
              <c:f>'G2-St.rozpočet-výdaje'!$K$31</c:f>
              <c:strCache>
                <c:ptCount val="1"/>
                <c:pt idx="0">
                  <c:v>Neinvestič. transfery podnikatelům</c:v>
                </c:pt>
              </c:strCache>
            </c:strRef>
          </c:tx>
          <c:spPr>
            <a:ln w="6350">
              <a:solidFill>
                <a:schemeClr val="accent6">
                  <a:lumMod val="75000"/>
                </a:schemeClr>
              </a:solidFill>
              <a:prstDash val="sysDot"/>
            </a:ln>
          </c:spPr>
          <c:marker>
            <c:symbol val="circle"/>
            <c:size val="4"/>
            <c:spPr>
              <a:solidFill>
                <a:schemeClr val="accent6">
                  <a:lumMod val="75000"/>
                </a:schemeClr>
              </a:solidFill>
              <a:ln>
                <a:noFill/>
              </a:ln>
            </c:spPr>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'G2-St.rozpočet-výdaje'!$K$35:$K$50</c:f>
              <c:numCache>
                <c:formatCode>0.00</c:formatCode>
                <c:ptCount val="16"/>
                <c:pt idx="0">
                  <c:v>26.108000000000001</c:v>
                </c:pt>
                <c:pt idx="1">
                  <c:v>28.491</c:v>
                </c:pt>
                <c:pt idx="2">
                  <c:v>28.100999999999999</c:v>
                </c:pt>
                <c:pt idx="3">
                  <c:v>33.263000000000012</c:v>
                </c:pt>
                <c:pt idx="4">
                  <c:v>35.61</c:v>
                </c:pt>
                <c:pt idx="5">
                  <c:v>35.03</c:v>
                </c:pt>
                <c:pt idx="6">
                  <c:v>41.230000000000011</c:v>
                </c:pt>
                <c:pt idx="7">
                  <c:v>39.14</c:v>
                </c:pt>
                <c:pt idx="8">
                  <c:v>44.230000000000011</c:v>
                </c:pt>
                <c:pt idx="9">
                  <c:v>48.3</c:v>
                </c:pt>
                <c:pt idx="10">
                  <c:v>57.32</c:v>
                </c:pt>
                <c:pt idx="11">
                  <c:v>57.932912725290002</c:v>
                </c:pt>
                <c:pt idx="12">
                  <c:v>106.75302514385</c:v>
                </c:pt>
                <c:pt idx="13">
                  <c:v>125.41352918255002</c:v>
                </c:pt>
                <c:pt idx="14">
                  <c:v>89.127821109149963</c:v>
                </c:pt>
                <c:pt idx="15">
                  <c:v>137.81610345564008</c:v>
                </c:pt>
              </c:numCache>
            </c:numRef>
          </c:val>
          <c:smooth val="0"/>
          <c:extLst>
            <c:ext xmlns:c16="http://schemas.microsoft.com/office/drawing/2014/chart" uri="{C3380CC4-5D6E-409C-BE32-E72D297353CC}">
              <c16:uniqueId val="{0000000A-730A-4974-8AA7-829B5B3A89C2}"/>
            </c:ext>
          </c:extLst>
        </c:ser>
        <c:ser>
          <c:idx val="10"/>
          <c:order val="11"/>
          <c:tx>
            <c:strRef>
              <c:f>'G2-St.rozpočet-výdaje'!$L$31</c:f>
              <c:strCache>
                <c:ptCount val="1"/>
                <c:pt idx="0">
                  <c:v>Kapitálové výdaje</c:v>
                </c:pt>
              </c:strCache>
            </c:strRef>
          </c:tx>
          <c:spPr>
            <a:ln w="15875">
              <a:solidFill>
                <a:srgbClr val="706840"/>
              </a:solidFill>
              <a:prstDash val="sysDash"/>
            </a:ln>
          </c:spPr>
          <c:marker>
            <c:symbol val="none"/>
          </c:marker>
          <c:cat>
            <c:numRef>
              <c:f>'G2-St.rozpočet-výdaje'!$A$35:$A$50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'G2-St.rozpočet-výdaje'!$L$35:$L$50</c:f>
              <c:numCache>
                <c:formatCode>0.0</c:formatCode>
                <c:ptCount val="16"/>
                <c:pt idx="0">
                  <c:v>108.08</c:v>
                </c:pt>
                <c:pt idx="1">
                  <c:v>134.22999999999999</c:v>
                </c:pt>
                <c:pt idx="2">
                  <c:v>134.91</c:v>
                </c:pt>
                <c:pt idx="3">
                  <c:v>123.69</c:v>
                </c:pt>
                <c:pt idx="4">
                  <c:v>113.61999999999999</c:v>
                </c:pt>
                <c:pt idx="5">
                  <c:v>102.315</c:v>
                </c:pt>
                <c:pt idx="6">
                  <c:v>111.50700000000002</c:v>
                </c:pt>
                <c:pt idx="7">
                  <c:v>175.66</c:v>
                </c:pt>
                <c:pt idx="8">
                  <c:v>84.27</c:v>
                </c:pt>
                <c:pt idx="9">
                  <c:v>81.75</c:v>
                </c:pt>
                <c:pt idx="10">
                  <c:v>116.46000000000002</c:v>
                </c:pt>
                <c:pt idx="11">
                  <c:v>139.13928546781997</c:v>
                </c:pt>
                <c:pt idx="12">
                  <c:v>172.62079654905</c:v>
                </c:pt>
                <c:pt idx="13">
                  <c:v>177.13556603781998</c:v>
                </c:pt>
                <c:pt idx="14">
                  <c:v>185.99907287821003</c:v>
                </c:pt>
                <c:pt idx="15">
                  <c:v>211.37968431810998</c:v>
                </c:pt>
              </c:numCache>
            </c:numRef>
          </c:val>
          <c:smooth val="0"/>
          <c:extLst>
            <c:ext xmlns:c16="http://schemas.microsoft.com/office/drawing/2014/chart" uri="{C3380CC4-5D6E-409C-BE32-E72D297353CC}">
              <c16:uniqueId val="{0000000B-730A-4974-8AA7-829B5B3A89C2}"/>
            </c:ext>
          </c:extLst>
        </c:ser>
        <c:dLbls>
          <c:showLegendKey val="0"/>
          <c:showVal val="0"/>
          <c:showCatName val="0"/>
          <c:showSerName val="0"/>
          <c:showPercent val="0"/>
          <c:showBubbleSize val="0"/>
        </c:dLbls>
        <c:marker val="1"/>
        <c:smooth val="0"/>
        <c:axId val="83520128"/>
        <c:axId val="83542400"/>
      </c:lineChart>
      <c:catAx>
        <c:axId val="83520128"/>
        <c:scaling>
          <c:orientation val="minMax"/>
        </c:scaling>
        <c:delete val="0"/>
        <c:axPos val="b"/>
        <c:numFmt formatCode="General" sourceLinked="1"/>
        <c:majorTickMark val="out"/>
        <c:minorTickMark val="none"/>
        <c:tickLblPos val="low"/>
        <c:spPr>
          <a:ln w="6350">
            <a:solidFill>
              <a:schemeClr val="bg1">
                <a:lumMod val="50000"/>
              </a:schemeClr>
            </a:solidFill>
          </a:ln>
        </c:spPr>
        <c:txPr>
          <a:bodyPr rot="-2220000"/>
          <a:lstStyle/>
          <a:p>
            <a:pPr>
              <a:defRPr/>
            </a:pPr>
            <a:endParaRPr lang="cs-CZ"/>
          </a:p>
        </c:txPr>
        <c:crossAx val="83542400"/>
        <c:crosses val="autoZero"/>
        <c:auto val="1"/>
        <c:lblAlgn val="ctr"/>
        <c:lblOffset val="0"/>
        <c:noMultiLvlLbl val="0"/>
      </c:catAx>
      <c:valAx>
        <c:axId val="83542400"/>
        <c:scaling>
          <c:orientation val="minMax"/>
          <c:max val="220"/>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layout/>
          <c:overlay val="0"/>
        </c:title>
        <c:numFmt formatCode="0" sourceLinked="0"/>
        <c:majorTickMark val="out"/>
        <c:minorTickMark val="none"/>
        <c:tickLblPos val="nextTo"/>
        <c:spPr>
          <a:ln w="6350">
            <a:solidFill>
              <a:schemeClr val="tx1"/>
            </a:solidFill>
          </a:ln>
        </c:spPr>
        <c:crossAx val="83520128"/>
        <c:crosses val="autoZero"/>
        <c:crossBetween val="between"/>
        <c:majorUnit val="20"/>
      </c:valAx>
      <c:valAx>
        <c:axId val="83544320"/>
        <c:scaling>
          <c:orientation val="minMax"/>
          <c:max val="2200"/>
          <c:min val="0"/>
        </c:scaling>
        <c:delete val="0"/>
        <c:axPos val="r"/>
        <c:title>
          <c:tx>
            <c:rich>
              <a:bodyPr/>
              <a:lstStyle/>
              <a:p>
                <a:pPr>
                  <a:defRPr sz="700" b="0" i="1"/>
                </a:pPr>
                <a:r>
                  <a:rPr lang="cs-CZ" sz="700" b="0" i="1"/>
                  <a:t>Běžné výdaje celkem, důchody</a:t>
                </a:r>
              </a:p>
            </c:rich>
          </c:tx>
          <c:layout>
            <c:manualLayout>
              <c:xMode val="edge"/>
              <c:yMode val="edge"/>
              <c:x val="0.96904916688072085"/>
              <c:y val="0.17285226107922294"/>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83767680"/>
        <c:crosses val="max"/>
        <c:crossBetween val="between"/>
        <c:majorUnit val="200"/>
        <c:minorUnit val="10"/>
      </c:valAx>
      <c:catAx>
        <c:axId val="83767680"/>
        <c:scaling>
          <c:orientation val="minMax"/>
        </c:scaling>
        <c:delete val="1"/>
        <c:axPos val="b"/>
        <c:numFmt formatCode="General" sourceLinked="1"/>
        <c:majorTickMark val="out"/>
        <c:minorTickMark val="none"/>
        <c:tickLblPos val="none"/>
        <c:crossAx val="83544320"/>
        <c:crosses val="autoZero"/>
        <c:auto val="1"/>
        <c:lblAlgn val="ctr"/>
        <c:lblOffset val="100"/>
        <c:noMultiLvlLbl val="0"/>
      </c:catAx>
      <c:spPr>
        <a:ln w="6350">
          <a:solidFill>
            <a:schemeClr val="tx1"/>
          </a:solidFill>
        </a:ln>
      </c:spPr>
    </c:plotArea>
    <c:legend>
      <c:legendPos val="b"/>
      <c:layout>
        <c:manualLayout>
          <c:xMode val="edge"/>
          <c:yMode val="edge"/>
          <c:x val="2.8258891545233353E-2"/>
          <c:y val="0.80444865216742056"/>
          <c:w val="0.95831696719062276"/>
          <c:h val="0.1918171708926736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72E-2"/>
          <c:y val="2.8458510079622041E-2"/>
          <c:w val="0.93688386524822698"/>
          <c:h val="0.674766689181583"/>
        </c:manualLayout>
      </c:layout>
      <c:barChart>
        <c:barDir val="col"/>
        <c:grouping val="stacked"/>
        <c:varyColors val="0"/>
        <c:ser>
          <c:idx val="1"/>
          <c:order val="1"/>
          <c:tx>
            <c:strRef>
              <c:f>'souhrnná výkonnost 3'!$F$5</c:f>
              <c:strCache>
                <c:ptCount val="1"/>
                <c:pt idx="0">
                  <c:v>Bilance zahraničního obchodu</c:v>
                </c:pt>
              </c:strCache>
            </c:strRef>
          </c:tx>
          <c:spPr>
            <a:solidFill>
              <a:srgbClr val="7DBB2D"/>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3'!$F$6:$F$29</c:f>
              <c:numCache>
                <c:formatCode>#\ ##0.0</c:formatCode>
                <c:ptCount val="24"/>
                <c:pt idx="0">
                  <c:v>-0.45416719953824236</c:v>
                </c:pt>
                <c:pt idx="1">
                  <c:v>-0.74378891592524266</c:v>
                </c:pt>
                <c:pt idx="2">
                  <c:v>-1.1266373010786321</c:v>
                </c:pt>
                <c:pt idx="3">
                  <c:v>0.26399371013949136</c:v>
                </c:pt>
                <c:pt idx="4">
                  <c:v>-0.10063574701283923</c:v>
                </c:pt>
                <c:pt idx="5">
                  <c:v>1.3529610725744314</c:v>
                </c:pt>
                <c:pt idx="6">
                  <c:v>1.4268251487477539</c:v>
                </c:pt>
                <c:pt idx="7">
                  <c:v>-1.1473798908006598</c:v>
                </c:pt>
                <c:pt idx="8">
                  <c:v>-2.0624772509655722</c:v>
                </c:pt>
                <c:pt idx="9">
                  <c:v>-9.0642749602481327</c:v>
                </c:pt>
                <c:pt idx="10">
                  <c:v>-1.0204260219992571</c:v>
                </c:pt>
                <c:pt idx="11">
                  <c:v>2.0095740720498352</c:v>
                </c:pt>
                <c:pt idx="12">
                  <c:v>-0.28507028363562337</c:v>
                </c:pt>
                <c:pt idx="13">
                  <c:v>4.4273326570028857</c:v>
                </c:pt>
                <c:pt idx="14">
                  <c:v>-5.8942461279131582</c:v>
                </c:pt>
                <c:pt idx="15">
                  <c:v>-6.442294612432077</c:v>
                </c:pt>
                <c:pt idx="16">
                  <c:v>-1.8223902794079421</c:v>
                </c:pt>
                <c:pt idx="17">
                  <c:v>0.41945594502810535</c:v>
                </c:pt>
                <c:pt idx="18">
                  <c:v>4.1644433977782347</c:v>
                </c:pt>
                <c:pt idx="19">
                  <c:v>2.8946322892501062</c:v>
                </c:pt>
                <c:pt idx="20">
                  <c:v>2.9791398368073945</c:v>
                </c:pt>
                <c:pt idx="21">
                  <c:v>2.3889917211540088</c:v>
                </c:pt>
                <c:pt idx="22">
                  <c:v>0.26756439074575278</c:v>
                </c:pt>
                <c:pt idx="23" formatCode="General">
                  <c:v>3.2571788461106377</c:v>
                </c:pt>
              </c:numCache>
            </c:numRef>
          </c:val>
          <c:extLst>
            <c:ext xmlns:c16="http://schemas.microsoft.com/office/drawing/2014/chart" uri="{C3380CC4-5D6E-409C-BE32-E72D297353CC}">
              <c16:uniqueId val="{00000000-B841-4186-A05C-8745B5086BB0}"/>
            </c:ext>
          </c:extLst>
        </c:ser>
        <c:ser>
          <c:idx val="2"/>
          <c:order val="2"/>
          <c:tx>
            <c:strRef>
              <c:f>'souhrnná výkonnost 3'!$H$5</c:f>
              <c:strCache>
                <c:ptCount val="1"/>
                <c:pt idx="0">
                  <c:v>Změna zásob</c:v>
                </c:pt>
              </c:strCache>
            </c:strRef>
          </c:tx>
          <c:spPr>
            <a:solidFill>
              <a:srgbClr val="E8AFB2"/>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3'!$H$6:$H$29</c:f>
              <c:numCache>
                <c:formatCode>#\ ##0.0</c:formatCode>
                <c:ptCount val="24"/>
                <c:pt idx="0">
                  <c:v>1.0524813582033086</c:v>
                </c:pt>
                <c:pt idx="1">
                  <c:v>-0.47777606515227122</c:v>
                </c:pt>
                <c:pt idx="2">
                  <c:v>-0.35555734821242635</c:v>
                </c:pt>
                <c:pt idx="3">
                  <c:v>-1.4481535119733124</c:v>
                </c:pt>
                <c:pt idx="4">
                  <c:v>2.9922981882277922E-2</c:v>
                </c:pt>
                <c:pt idx="5">
                  <c:v>-1.2537553229299498</c:v>
                </c:pt>
                <c:pt idx="6">
                  <c:v>-0.57463433558824872</c:v>
                </c:pt>
                <c:pt idx="7">
                  <c:v>1.8085807340728097</c:v>
                </c:pt>
                <c:pt idx="8">
                  <c:v>0.91584880445412908</c:v>
                </c:pt>
                <c:pt idx="9">
                  <c:v>0.66860369572466505</c:v>
                </c:pt>
                <c:pt idx="10">
                  <c:v>-1.5736478906912501</c:v>
                </c:pt>
                <c:pt idx="11">
                  <c:v>-2.0771500306216089</c:v>
                </c:pt>
                <c:pt idx="12">
                  <c:v>2.4159623458993353</c:v>
                </c:pt>
                <c:pt idx="13">
                  <c:v>4.4035123965182708</c:v>
                </c:pt>
                <c:pt idx="14">
                  <c:v>6.5480200971506584</c:v>
                </c:pt>
                <c:pt idx="15">
                  <c:v>5.6378094597142576</c:v>
                </c:pt>
                <c:pt idx="16">
                  <c:v>1.66367360988091</c:v>
                </c:pt>
                <c:pt idx="17">
                  <c:v>1.6515628174459902</c:v>
                </c:pt>
                <c:pt idx="18">
                  <c:v>-5.5502917501831096E-2</c:v>
                </c:pt>
                <c:pt idx="19">
                  <c:v>6.5762458860385592E-2</c:v>
                </c:pt>
                <c:pt idx="20">
                  <c:v>-1.1910787418086077</c:v>
                </c:pt>
                <c:pt idx="21">
                  <c:v>-2.7456046373375251</c:v>
                </c:pt>
                <c:pt idx="22">
                  <c:v>-2.5844585559091171</c:v>
                </c:pt>
                <c:pt idx="23" formatCode="General">
                  <c:v>-6.0262131805352563</c:v>
                </c:pt>
              </c:numCache>
            </c:numRef>
          </c:val>
          <c:extLst>
            <c:ext xmlns:c16="http://schemas.microsoft.com/office/drawing/2014/chart" uri="{C3380CC4-5D6E-409C-BE32-E72D297353CC}">
              <c16:uniqueId val="{00000001-B841-4186-A05C-8745B5086BB0}"/>
            </c:ext>
          </c:extLst>
        </c:ser>
        <c:ser>
          <c:idx val="3"/>
          <c:order val="3"/>
          <c:tx>
            <c:strRef>
              <c:f>'souhrnná výkonnost 3'!$G$5</c:f>
              <c:strCache>
                <c:ptCount val="1"/>
                <c:pt idx="0">
                  <c:v>Tvorba hrubého fixního kapitálu</c:v>
                </c:pt>
              </c:strCache>
            </c:strRef>
          </c:tx>
          <c:spPr>
            <a:solidFill>
              <a:srgbClr val="BD1B21"/>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3'!$G$6:$G$29</c:f>
              <c:numCache>
                <c:formatCode>#\ ##0.0</c:formatCode>
                <c:ptCount val="24"/>
                <c:pt idx="0">
                  <c:v>1.8848546995699589</c:v>
                </c:pt>
                <c:pt idx="1">
                  <c:v>2.053547364624257</c:v>
                </c:pt>
                <c:pt idx="2">
                  <c:v>2.2324390876929545</c:v>
                </c:pt>
                <c:pt idx="3">
                  <c:v>1.9592291913679716</c:v>
                </c:pt>
                <c:pt idx="4">
                  <c:v>1.6664742572861313</c:v>
                </c:pt>
                <c:pt idx="5">
                  <c:v>1.1031620490038367</c:v>
                </c:pt>
                <c:pt idx="6">
                  <c:v>0.60351051109238796</c:v>
                </c:pt>
                <c:pt idx="7">
                  <c:v>0.61015699901503451</c:v>
                </c:pt>
                <c:pt idx="8">
                  <c:v>-0.18505385313730394</c:v>
                </c:pt>
                <c:pt idx="9">
                  <c:v>0.26545371936590556</c:v>
                </c:pt>
                <c:pt idx="10">
                  <c:v>-1.1365453004257857</c:v>
                </c:pt>
                <c:pt idx="11">
                  <c:v>-1.5484962788918575</c:v>
                </c:pt>
                <c:pt idx="12">
                  <c:v>-1.1386301164844839</c:v>
                </c:pt>
                <c:pt idx="13">
                  <c:v>-1.6478950671691954</c:v>
                </c:pt>
                <c:pt idx="14">
                  <c:v>0.35561087195381591</c:v>
                </c:pt>
                <c:pt idx="15">
                  <c:v>0.78646457641002898</c:v>
                </c:pt>
                <c:pt idx="16">
                  <c:v>1.2338325442745059</c:v>
                </c:pt>
                <c:pt idx="17">
                  <c:v>0.96635851731017153</c:v>
                </c:pt>
                <c:pt idx="18">
                  <c:v>8.5689625638113137E-2</c:v>
                </c:pt>
                <c:pt idx="19">
                  <c:v>5.5976859249671732E-2</c:v>
                </c:pt>
                <c:pt idx="20">
                  <c:v>-4.8316401269760036E-2</c:v>
                </c:pt>
                <c:pt idx="21">
                  <c:v>1.1862547304765805</c:v>
                </c:pt>
                <c:pt idx="22">
                  <c:v>1.4676525069754345</c:v>
                </c:pt>
                <c:pt idx="23" formatCode="General">
                  <c:v>1.774135907458229</c:v>
                </c:pt>
              </c:numCache>
            </c:numRef>
          </c:val>
          <c:extLst>
            <c:ext xmlns:c16="http://schemas.microsoft.com/office/drawing/2014/chart" uri="{C3380CC4-5D6E-409C-BE32-E72D297353CC}">
              <c16:uniqueId val="{00000002-B841-4186-A05C-8745B5086BB0}"/>
            </c:ext>
          </c:extLst>
        </c:ser>
        <c:ser>
          <c:idx val="5"/>
          <c:order val="4"/>
          <c:tx>
            <c:strRef>
              <c:f>'souhrnná výkonnost 3'!$D$5</c:f>
              <c:strCache>
                <c:ptCount val="1"/>
                <c:pt idx="0">
                  <c:v>Výdaje na konečnou spotřebu domácností (vč. nezisk. inst.)</c:v>
                </c:pt>
              </c:strCache>
            </c:strRef>
          </c:tx>
          <c:spPr>
            <a:solidFill>
              <a:srgbClr val="0071BC"/>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3'!$D$6:$D$29</c:f>
              <c:numCache>
                <c:formatCode>#\ ##0.0</c:formatCode>
                <c:ptCount val="24"/>
                <c:pt idx="0">
                  <c:v>1.540080312662943</c:v>
                </c:pt>
                <c:pt idx="1">
                  <c:v>1.2364606818393471</c:v>
                </c:pt>
                <c:pt idx="2">
                  <c:v>0.93963380194395907</c:v>
                </c:pt>
                <c:pt idx="3">
                  <c:v>0.94791873617978784</c:v>
                </c:pt>
                <c:pt idx="4">
                  <c:v>0.89975778114159266</c:v>
                </c:pt>
                <c:pt idx="5">
                  <c:v>1.2410325032352096</c:v>
                </c:pt>
                <c:pt idx="6">
                  <c:v>0.94788645941574889</c:v>
                </c:pt>
                <c:pt idx="7">
                  <c:v>1.3125840520821432</c:v>
                </c:pt>
                <c:pt idx="8">
                  <c:v>-1.0446704916645397</c:v>
                </c:pt>
                <c:pt idx="9">
                  <c:v>-3.3401453756905828</c:v>
                </c:pt>
                <c:pt idx="10">
                  <c:v>-1.8238505965980329</c:v>
                </c:pt>
                <c:pt idx="11">
                  <c:v>-4.3451439574225974</c:v>
                </c:pt>
                <c:pt idx="12">
                  <c:v>-2.8838668819945754</c:v>
                </c:pt>
                <c:pt idx="13">
                  <c:v>1.9930858902923905</c:v>
                </c:pt>
                <c:pt idx="14">
                  <c:v>1.7335129439561139</c:v>
                </c:pt>
                <c:pt idx="15">
                  <c:v>3.2860285615183655</c:v>
                </c:pt>
                <c:pt idx="16">
                  <c:v>3.1431953453358585</c:v>
                </c:pt>
                <c:pt idx="17">
                  <c:v>-0.17331027307381178</c:v>
                </c:pt>
                <c:pt idx="18">
                  <c:v>-2.5959848207229488</c:v>
                </c:pt>
                <c:pt idx="19">
                  <c:v>-2.8794774139667449</c:v>
                </c:pt>
                <c:pt idx="20">
                  <c:v>-2.6465481494204957</c:v>
                </c:pt>
                <c:pt idx="21">
                  <c:v>-1.73830378785708</c:v>
                </c:pt>
                <c:pt idx="22">
                  <c:v>-0.68758235748240282</c:v>
                </c:pt>
                <c:pt idx="23" formatCode="General">
                  <c:v>0.35524375304012085</c:v>
                </c:pt>
              </c:numCache>
            </c:numRef>
          </c:val>
          <c:extLst>
            <c:ext xmlns:c16="http://schemas.microsoft.com/office/drawing/2014/chart" uri="{C3380CC4-5D6E-409C-BE32-E72D297353CC}">
              <c16:uniqueId val="{00000003-B841-4186-A05C-8745B5086BB0}"/>
            </c:ext>
          </c:extLst>
        </c:ser>
        <c:ser>
          <c:idx val="4"/>
          <c:order val="5"/>
          <c:tx>
            <c:strRef>
              <c:f>'souhrnná výkonnost 3'!$E$5</c:f>
              <c:strCache>
                <c:ptCount val="1"/>
                <c:pt idx="0">
                  <c:v>Výdaje na konečnou spotřebu vládních institucí</c:v>
                </c:pt>
              </c:strCache>
            </c:strRef>
          </c:tx>
          <c:spPr>
            <a:solidFill>
              <a:srgbClr val="A6CDE8"/>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3'!$E$6:$E$29</c:f>
              <c:numCache>
                <c:formatCode>#\ ##0.0</c:formatCode>
                <c:ptCount val="24"/>
                <c:pt idx="0">
                  <c:v>0.59778499254771711</c:v>
                </c:pt>
                <c:pt idx="1">
                  <c:v>0.60746684411638396</c:v>
                </c:pt>
                <c:pt idx="2">
                  <c:v>0.87114555902277024</c:v>
                </c:pt>
                <c:pt idx="3">
                  <c:v>0.78687144586984825</c:v>
                </c:pt>
                <c:pt idx="4">
                  <c:v>0.42281243223978315</c:v>
                </c:pt>
                <c:pt idx="5">
                  <c:v>0.54406400829840962</c:v>
                </c:pt>
                <c:pt idx="6">
                  <c:v>0.56781285164264683</c:v>
                </c:pt>
                <c:pt idx="7">
                  <c:v>0.18039196202538715</c:v>
                </c:pt>
                <c:pt idx="8">
                  <c:v>0.86345208967516851</c:v>
                </c:pt>
                <c:pt idx="9">
                  <c:v>0.63518061172427243</c:v>
                </c:pt>
                <c:pt idx="10">
                  <c:v>0.30945908783825082</c:v>
                </c:pt>
                <c:pt idx="11">
                  <c:v>1.3407546216216213</c:v>
                </c:pt>
                <c:pt idx="12">
                  <c:v>-8.5095004004240485E-2</c:v>
                </c:pt>
                <c:pt idx="13">
                  <c:v>-5.3280721089043984E-2</c:v>
                </c:pt>
                <c:pt idx="14">
                  <c:v>0.99915273207784439</c:v>
                </c:pt>
                <c:pt idx="15">
                  <c:v>6.858536278325067E-2</c:v>
                </c:pt>
                <c:pt idx="16">
                  <c:v>0.33474456586805579</c:v>
                </c:pt>
                <c:pt idx="17">
                  <c:v>0.33166297678408879</c:v>
                </c:pt>
                <c:pt idx="18">
                  <c:v>-0.3964114496966355</c:v>
                </c:pt>
                <c:pt idx="19">
                  <c:v>-0.10453692828037314</c:v>
                </c:pt>
                <c:pt idx="20">
                  <c:v>0.57275590302009682</c:v>
                </c:pt>
                <c:pt idx="21">
                  <c:v>0.70015282474112506</c:v>
                </c:pt>
                <c:pt idx="22">
                  <c:v>0.76409093068949807</c:v>
                </c:pt>
                <c:pt idx="23" formatCode="General">
                  <c:v>0.40579761524153957</c:v>
                </c:pt>
              </c:numCache>
            </c:numRef>
          </c:val>
          <c:extLst>
            <c:ext xmlns:c16="http://schemas.microsoft.com/office/drawing/2014/chart" uri="{C3380CC4-5D6E-409C-BE32-E72D297353CC}">
              <c16:uniqueId val="{00000004-B841-4186-A05C-8745B5086BB0}"/>
            </c:ext>
          </c:extLst>
        </c:ser>
        <c:dLbls>
          <c:showLegendKey val="0"/>
          <c:showVal val="0"/>
          <c:showCatName val="0"/>
          <c:showSerName val="0"/>
          <c:showPercent val="0"/>
          <c:showBubbleSize val="0"/>
        </c:dLbls>
        <c:gapWidth val="90"/>
        <c:overlap val="100"/>
        <c:axId val="126076416"/>
        <c:axId val="126077952"/>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3'!$C$6:$C$29</c:f>
              <c:numCache>
                <c:formatCode>#\ ##0.0</c:formatCode>
                <c:ptCount val="24"/>
                <c:pt idx="0">
                  <c:v>4.7410158709829044</c:v>
                </c:pt>
                <c:pt idx="1">
                  <c:v>2.8085121382809888</c:v>
                </c:pt>
                <c:pt idx="2">
                  <c:v>2.6946747602240042</c:v>
                </c:pt>
                <c:pt idx="3">
                  <c:v>2.632738011287671</c:v>
                </c:pt>
                <c:pt idx="4">
                  <c:v>2.9925808638806188</c:v>
                </c:pt>
                <c:pt idx="5">
                  <c:v>3.0577465249692599</c:v>
                </c:pt>
                <c:pt idx="6">
                  <c:v>3.0222812889930282</c:v>
                </c:pt>
                <c:pt idx="7">
                  <c:v>2.7919056462255591</c:v>
                </c:pt>
                <c:pt idx="8">
                  <c:v>-1.4738194413261563</c:v>
                </c:pt>
                <c:pt idx="9">
                  <c:v>-10.802865399708741</c:v>
                </c:pt>
                <c:pt idx="10">
                  <c:v>-5.2167494638705882</c:v>
                </c:pt>
                <c:pt idx="11">
                  <c:v>-4.5664750245340713</c:v>
                </c:pt>
                <c:pt idx="12">
                  <c:v>-1.9186323159540564</c:v>
                </c:pt>
                <c:pt idx="13">
                  <c:v>9.1792931219514671</c:v>
                </c:pt>
                <c:pt idx="14">
                  <c:v>3.8209037046074186</c:v>
                </c:pt>
                <c:pt idx="15">
                  <c:v>3.4133373401856786</c:v>
                </c:pt>
                <c:pt idx="16">
                  <c:v>4.6717018578752887</c:v>
                </c:pt>
                <c:pt idx="17">
                  <c:v>3.3523790889560274</c:v>
                </c:pt>
                <c:pt idx="18">
                  <c:v>1.3390063821799454</c:v>
                </c:pt>
                <c:pt idx="19">
                  <c:v>0.14560017314614981</c:v>
                </c:pt>
                <c:pt idx="20">
                  <c:v>-0.31744526909487569</c:v>
                </c:pt>
                <c:pt idx="21">
                  <c:v>-0.23213394955256211</c:v>
                </c:pt>
                <c:pt idx="22">
                  <c:v>-0.80311910800017472</c:v>
                </c:pt>
                <c:pt idx="23" formatCode="General">
                  <c:v>-0.21143294560552311</c:v>
                </c:pt>
              </c:numCache>
            </c:numRef>
          </c:val>
          <c:smooth val="0"/>
          <c:extLst>
            <c:ext xmlns:c16="http://schemas.microsoft.com/office/drawing/2014/chart" uri="{C3380CC4-5D6E-409C-BE32-E72D297353CC}">
              <c16:uniqueId val="{00000005-B841-4186-A05C-8745B5086BB0}"/>
            </c:ext>
          </c:extLst>
        </c:ser>
        <c:dLbls>
          <c:showLegendKey val="0"/>
          <c:showVal val="0"/>
          <c:showCatName val="0"/>
          <c:showSerName val="0"/>
          <c:showPercent val="0"/>
          <c:showBubbleSize val="0"/>
        </c:dLbls>
        <c:marker val="1"/>
        <c:smooth val="0"/>
        <c:axId val="126076416"/>
        <c:axId val="126077952"/>
      </c:lineChart>
      <c:catAx>
        <c:axId val="126076416"/>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26077952"/>
        <c:crosses val="autoZero"/>
        <c:auto val="1"/>
        <c:lblAlgn val="ctr"/>
        <c:lblOffset val="100"/>
        <c:noMultiLvlLbl val="0"/>
      </c:catAx>
      <c:valAx>
        <c:axId val="126077952"/>
        <c:scaling>
          <c:orientation val="minMax"/>
          <c:max val="12"/>
          <c:min val="-1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26076416"/>
        <c:crosses val="autoZero"/>
        <c:crossBetween val="between"/>
        <c:majorUnit val="2"/>
      </c:valAx>
      <c:spPr>
        <a:ln>
          <a:solidFill>
            <a:schemeClr val="tx1"/>
          </a:solidFill>
        </a:ln>
      </c:spPr>
    </c:plotArea>
    <c:legend>
      <c:legendPos val="b"/>
      <c:layout>
        <c:manualLayout>
          <c:xMode val="edge"/>
          <c:yMode val="edge"/>
          <c:x val="4.7571766295170556E-2"/>
          <c:y val="0.81445992344928542"/>
          <c:w val="0.94432624113475172"/>
          <c:h val="0.1748173477428797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75E-2"/>
          <c:y val="2.94998869886235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4'!$C$6:$C$29</c:f>
              <c:numCache>
                <c:formatCode>#\ ##0.0</c:formatCode>
                <c:ptCount val="24"/>
                <c:pt idx="0">
                  <c:v>3.2678809349882994E-2</c:v>
                </c:pt>
                <c:pt idx="1">
                  <c:v>7.1043352951455641E-2</c:v>
                </c:pt>
                <c:pt idx="2">
                  <c:v>0.13147416955081714</c:v>
                </c:pt>
                <c:pt idx="3">
                  <c:v>0.1355750838589089</c:v>
                </c:pt>
                <c:pt idx="4">
                  <c:v>7.3815312527439711E-2</c:v>
                </c:pt>
                <c:pt idx="5">
                  <c:v>8.6198359198018534E-2</c:v>
                </c:pt>
                <c:pt idx="6">
                  <c:v>0.10932770534860803</c:v>
                </c:pt>
                <c:pt idx="7">
                  <c:v>0.13255154938774669</c:v>
                </c:pt>
                <c:pt idx="8">
                  <c:v>0.21545052259669259</c:v>
                </c:pt>
                <c:pt idx="9">
                  <c:v>0.23619938628539741</c:v>
                </c:pt>
                <c:pt idx="10">
                  <c:v>0.24181149955858292</c:v>
                </c:pt>
                <c:pt idx="11">
                  <c:v>0.21681429221385648</c:v>
                </c:pt>
                <c:pt idx="12">
                  <c:v>-0.19657363835640351</c:v>
                </c:pt>
                <c:pt idx="13">
                  <c:v>-0.34178536991297304</c:v>
                </c:pt>
                <c:pt idx="14">
                  <c:v>-0.37570182006417735</c:v>
                </c:pt>
                <c:pt idx="15">
                  <c:v>-0.37221295215760836</c:v>
                </c:pt>
                <c:pt idx="16">
                  <c:v>-0.16024994199083403</c:v>
                </c:pt>
                <c:pt idx="17">
                  <c:v>-0.1348895007486515</c:v>
                </c:pt>
                <c:pt idx="18">
                  <c:v>-0.14283428657456573</c:v>
                </c:pt>
                <c:pt idx="19">
                  <c:v>-0.23201691445676575</c:v>
                </c:pt>
                <c:pt idx="20">
                  <c:v>-4.7535272447193494E-2</c:v>
                </c:pt>
                <c:pt idx="21">
                  <c:v>2.6736410503076995E-3</c:v>
                </c:pt>
                <c:pt idx="22">
                  <c:v>4.766673056405552E-3</c:v>
                </c:pt>
                <c:pt idx="23">
                  <c:v>6.1068438580424426E-2</c:v>
                </c:pt>
              </c:numCache>
            </c:numRef>
          </c:val>
          <c:extLst>
            <c:ext xmlns:c16="http://schemas.microsoft.com/office/drawing/2014/chart" uri="{C3380CC4-5D6E-409C-BE32-E72D297353CC}">
              <c16:uniqueId val="{00000000-12D0-4592-A09B-5B6C9227D842}"/>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4'!$D$6:$D$29</c:f>
              <c:numCache>
                <c:formatCode>#\ ##0.0</c:formatCode>
                <c:ptCount val="24"/>
                <c:pt idx="0">
                  <c:v>1.49104591482017</c:v>
                </c:pt>
                <c:pt idx="1">
                  <c:v>0.13833830178262263</c:v>
                </c:pt>
                <c:pt idx="2">
                  <c:v>1.1371114606629321E-2</c:v>
                </c:pt>
                <c:pt idx="3">
                  <c:v>0.33553515446267096</c:v>
                </c:pt>
                <c:pt idx="4">
                  <c:v>0.79394406110374971</c:v>
                </c:pt>
                <c:pt idx="5">
                  <c:v>1.3559231668786855</c:v>
                </c:pt>
                <c:pt idx="6">
                  <c:v>1.3631060989469754</c:v>
                </c:pt>
                <c:pt idx="7">
                  <c:v>0.99560862159706953</c:v>
                </c:pt>
                <c:pt idx="8">
                  <c:v>-1.1680575231725148</c:v>
                </c:pt>
                <c:pt idx="9">
                  <c:v>-5.8896682937773646</c:v>
                </c:pt>
                <c:pt idx="10">
                  <c:v>-2.5137505183360016</c:v>
                </c:pt>
                <c:pt idx="11">
                  <c:v>-1.8978845716379917</c:v>
                </c:pt>
                <c:pt idx="12">
                  <c:v>0.17537901886028953</c:v>
                </c:pt>
                <c:pt idx="13">
                  <c:v>4.9740222929440314</c:v>
                </c:pt>
                <c:pt idx="14">
                  <c:v>0.20509799209873475</c:v>
                </c:pt>
                <c:pt idx="15">
                  <c:v>-0.48173040936348782</c:v>
                </c:pt>
                <c:pt idx="16">
                  <c:v>0.85159758765533644</c:v>
                </c:pt>
                <c:pt idx="17">
                  <c:v>1.2307885998185149</c:v>
                </c:pt>
                <c:pt idx="18">
                  <c:v>2.1461150458361149</c:v>
                </c:pt>
                <c:pt idx="19">
                  <c:v>2.7410411788756215</c:v>
                </c:pt>
                <c:pt idx="20">
                  <c:v>0.98546651957734865</c:v>
                </c:pt>
                <c:pt idx="21">
                  <c:v>0.69537044230434564</c:v>
                </c:pt>
                <c:pt idx="22">
                  <c:v>3.1987585277426456E-2</c:v>
                </c:pt>
                <c:pt idx="23">
                  <c:v>0.36464642555031457</c:v>
                </c:pt>
              </c:numCache>
            </c:numRef>
          </c:val>
          <c:extLst>
            <c:ext xmlns:c16="http://schemas.microsoft.com/office/drawing/2014/chart" uri="{C3380CC4-5D6E-409C-BE32-E72D297353CC}">
              <c16:uniqueId val="{00000001-12D0-4592-A09B-5B6C9227D842}"/>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4'!$E$6:$E$29</c:f>
              <c:numCache>
                <c:formatCode>#\ ##0.0</c:formatCode>
                <c:ptCount val="24"/>
                <c:pt idx="0">
                  <c:v>-8.4827402194146279E-2</c:v>
                </c:pt>
                <c:pt idx="1">
                  <c:v>-2.6313910996506886E-3</c:v>
                </c:pt>
                <c:pt idx="2" formatCode="General">
                  <c:v>9.1594113054016657E-2</c:v>
                </c:pt>
                <c:pt idx="3" formatCode="General">
                  <c:v>-2.3532244840282983E-2</c:v>
                </c:pt>
                <c:pt idx="4" formatCode="General">
                  <c:v>-0.22319978862492373</c:v>
                </c:pt>
                <c:pt idx="5" formatCode="General">
                  <c:v>-0.42608130827198065</c:v>
                </c:pt>
                <c:pt idx="6" formatCode="General">
                  <c:v>-0.6332241662231014</c:v>
                </c:pt>
                <c:pt idx="7" formatCode="General">
                  <c:v>-0.47005936665406056</c:v>
                </c:pt>
                <c:pt idx="8" formatCode="General">
                  <c:v>-0.39879519059346102</c:v>
                </c:pt>
                <c:pt idx="9" formatCode="General">
                  <c:v>-0.29594961815162701</c:v>
                </c:pt>
                <c:pt idx="10" formatCode="General">
                  <c:v>3.6558427102720184E-2</c:v>
                </c:pt>
                <c:pt idx="11" formatCode="General">
                  <c:v>0.49474509851361503</c:v>
                </c:pt>
                <c:pt idx="12" formatCode="General">
                  <c:v>0.10268524637411167</c:v>
                </c:pt>
                <c:pt idx="13" formatCode="General">
                  <c:v>0.15208374901925303</c:v>
                </c:pt>
                <c:pt idx="14" formatCode="General">
                  <c:v>-8.3157118283756229E-2</c:v>
                </c:pt>
                <c:pt idx="15" formatCode="General">
                  <c:v>-0.23038326613496624</c:v>
                </c:pt>
                <c:pt idx="16" formatCode="General">
                  <c:v>-1.0092291186249662</c:v>
                </c:pt>
                <c:pt idx="17" formatCode="General">
                  <c:v>-1.070606669046922</c:v>
                </c:pt>
                <c:pt idx="18" formatCode="General">
                  <c:v>-1.1188599277095892</c:v>
                </c:pt>
                <c:pt idx="19" formatCode="General">
                  <c:v>-1.7296091090525767</c:v>
                </c:pt>
                <c:pt idx="20" formatCode="General">
                  <c:v>-0.44312109974277392</c:v>
                </c:pt>
                <c:pt idx="21" formatCode="General">
                  <c:v>-0.48372943512078981</c:v>
                </c:pt>
                <c:pt idx="22" formatCode="General">
                  <c:v>-0.31616125985508281</c:v>
                </c:pt>
                <c:pt idx="23" formatCode="General">
                  <c:v>-0.24766280159442752</c:v>
                </c:pt>
              </c:numCache>
            </c:numRef>
          </c:val>
          <c:extLst>
            <c:ext xmlns:c16="http://schemas.microsoft.com/office/drawing/2014/chart" uri="{C3380CC4-5D6E-409C-BE32-E72D297353CC}">
              <c16:uniqueId val="{00000002-12D0-4592-A09B-5B6C9227D842}"/>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4'!$F$6:$F$29</c:f>
              <c:numCache>
                <c:formatCode>#\ ##0.0</c:formatCode>
                <c:ptCount val="24"/>
                <c:pt idx="0">
                  <c:v>0.12203771789133691</c:v>
                </c:pt>
                <c:pt idx="1">
                  <c:v>2.721405326342801E-3</c:v>
                </c:pt>
                <c:pt idx="2">
                  <c:v>-1.6093365386526861E-2</c:v>
                </c:pt>
                <c:pt idx="3">
                  <c:v>-0.11938213609361673</c:v>
                </c:pt>
                <c:pt idx="4">
                  <c:v>-0.15414075128507621</c:v>
                </c:pt>
                <c:pt idx="5">
                  <c:v>-4.3532590886408505E-2</c:v>
                </c:pt>
                <c:pt idx="6">
                  <c:v>-0.10941238277351643</c:v>
                </c:pt>
                <c:pt idx="7">
                  <c:v>-9.8598207180954342E-2</c:v>
                </c:pt>
                <c:pt idx="8">
                  <c:v>-0.3387537202870835</c:v>
                </c:pt>
                <c:pt idx="9">
                  <c:v>-0.70304287917967101</c:v>
                </c:pt>
                <c:pt idx="10">
                  <c:v>-0.6319415303218574</c:v>
                </c:pt>
                <c:pt idx="11">
                  <c:v>-0.61557506939559192</c:v>
                </c:pt>
                <c:pt idx="12">
                  <c:v>-0.50618553672420052</c:v>
                </c:pt>
                <c:pt idx="13">
                  <c:v>-8.0324212744330645E-2</c:v>
                </c:pt>
                <c:pt idx="14">
                  <c:v>-5.5314929764280858E-3</c:v>
                </c:pt>
                <c:pt idx="15">
                  <c:v>-4.5147882953895054E-2</c:v>
                </c:pt>
                <c:pt idx="16">
                  <c:v>-7.8468253982660843E-2</c:v>
                </c:pt>
                <c:pt idx="17">
                  <c:v>-0.27249270071163328</c:v>
                </c:pt>
                <c:pt idx="18">
                  <c:v>-0.4979668111830588</c:v>
                </c:pt>
                <c:pt idx="19">
                  <c:v>-0.50184742807966842</c:v>
                </c:pt>
                <c:pt idx="20">
                  <c:v>-0.1996610584499125</c:v>
                </c:pt>
                <c:pt idx="21">
                  <c:v>-8.2050273610213512E-2</c:v>
                </c:pt>
                <c:pt idx="22">
                  <c:v>4.8713560031534174E-2</c:v>
                </c:pt>
                <c:pt idx="23">
                  <c:v>-3.753385092896025E-2</c:v>
                </c:pt>
              </c:numCache>
            </c:numRef>
          </c:val>
          <c:extLst>
            <c:ext xmlns:c16="http://schemas.microsoft.com/office/drawing/2014/chart" uri="{C3380CC4-5D6E-409C-BE32-E72D297353CC}">
              <c16:uniqueId val="{00000003-12D0-4592-A09B-5B6C9227D842}"/>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4'!$G$6:$G$29</c:f>
              <c:numCache>
                <c:formatCode>#\ ##0.0</c:formatCode>
                <c:ptCount val="24"/>
                <c:pt idx="0">
                  <c:v>3.1237068943138606</c:v>
                </c:pt>
                <c:pt idx="1">
                  <c:v>2.7517321166092374</c:v>
                </c:pt>
                <c:pt idx="2" formatCode="General">
                  <c:v>2.7131816334348331</c:v>
                </c:pt>
                <c:pt idx="3" formatCode="General">
                  <c:v>2.6018048024583842</c:v>
                </c:pt>
                <c:pt idx="4" formatCode="General">
                  <c:v>2.4822220084523607</c:v>
                </c:pt>
                <c:pt idx="5" formatCode="General">
                  <c:v>2.1921234953504332</c:v>
                </c:pt>
                <c:pt idx="6" formatCode="General">
                  <c:v>2.1636986023312033</c:v>
                </c:pt>
                <c:pt idx="7" formatCode="General">
                  <c:v>2.1557420268059597</c:v>
                </c:pt>
                <c:pt idx="8" formatCode="General">
                  <c:v>0.58107492482466538</c:v>
                </c:pt>
                <c:pt idx="9" formatCode="General">
                  <c:v>-4.340075475656417</c:v>
                </c:pt>
                <c:pt idx="10" formatCode="General">
                  <c:v>-1.9966606979356536</c:v>
                </c:pt>
                <c:pt idx="11" formatCode="General">
                  <c:v>-2.3417286799070345</c:v>
                </c:pt>
                <c:pt idx="12" formatCode="General">
                  <c:v>-1.4413683522936223</c:v>
                </c:pt>
                <c:pt idx="13" formatCode="General">
                  <c:v>4.6756952859719902</c:v>
                </c:pt>
                <c:pt idx="14" formatCode="General">
                  <c:v>3.758749287293734</c:v>
                </c:pt>
                <c:pt idx="15" formatCode="General">
                  <c:v>4.1104404660252234</c:v>
                </c:pt>
                <c:pt idx="16" formatCode="General">
                  <c:v>4.4139152173834848</c:v>
                </c:pt>
                <c:pt idx="17" formatCode="General">
                  <c:v>3.4505548666596657</c:v>
                </c:pt>
                <c:pt idx="18" formatCode="General">
                  <c:v>1.0064324877757442</c:v>
                </c:pt>
                <c:pt idx="19" formatCode="General">
                  <c:v>0.54868681977957845</c:v>
                </c:pt>
                <c:pt idx="20" formatCode="General">
                  <c:v>0.71240256464408669</c:v>
                </c:pt>
                <c:pt idx="21" formatCode="General">
                  <c:v>0.3741868560266069</c:v>
                </c:pt>
                <c:pt idx="22" formatCode="General">
                  <c:v>0.21754836413795925</c:v>
                </c:pt>
                <c:pt idx="23" formatCode="General">
                  <c:v>0.20071240166449492</c:v>
                </c:pt>
              </c:numCache>
            </c:numRef>
          </c:val>
          <c:extLst>
            <c:ext xmlns:c16="http://schemas.microsoft.com/office/drawing/2014/chart" uri="{C3380CC4-5D6E-409C-BE32-E72D297353CC}">
              <c16:uniqueId val="{00000004-12D0-4592-A09B-5B6C9227D842}"/>
            </c:ext>
          </c:extLst>
        </c:ser>
        <c:dLbls>
          <c:showLegendKey val="0"/>
          <c:showVal val="0"/>
          <c:showCatName val="0"/>
          <c:showSerName val="0"/>
          <c:showPercent val="0"/>
          <c:showBubbleSize val="0"/>
        </c:dLbls>
        <c:gapWidth val="70"/>
        <c:overlap val="100"/>
        <c:axId val="153730432"/>
        <c:axId val="153752704"/>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4'!$H$6:$H$29</c:f>
              <c:numCache>
                <c:formatCode>#\ ##0.0</c:formatCode>
                <c:ptCount val="24"/>
                <c:pt idx="0">
                  <c:v>4.7958884315215471</c:v>
                </c:pt>
                <c:pt idx="1">
                  <c:v>2.9611349370848932</c:v>
                </c:pt>
                <c:pt idx="2">
                  <c:v>2.9313757908427505</c:v>
                </c:pt>
                <c:pt idx="3">
                  <c:v>2.9300970074841501</c:v>
                </c:pt>
                <c:pt idx="4">
                  <c:v>2.9726357886500532</c:v>
                </c:pt>
                <c:pt idx="5">
                  <c:v>3.1648414337946056</c:v>
                </c:pt>
                <c:pt idx="6">
                  <c:v>2.8935535187896448</c:v>
                </c:pt>
                <c:pt idx="7">
                  <c:v>2.7150260301270781</c:v>
                </c:pt>
                <c:pt idx="8">
                  <c:v>-1.1091532796304051</c:v>
                </c:pt>
                <c:pt idx="9">
                  <c:v>-10.992463627261648</c:v>
                </c:pt>
                <c:pt idx="10">
                  <c:v>-4.8638909795719876</c:v>
                </c:pt>
                <c:pt idx="11">
                  <c:v>-4.1436644792680095</c:v>
                </c:pt>
                <c:pt idx="12">
                  <c:v>-1.8659927600573805</c:v>
                </c:pt>
                <c:pt idx="13">
                  <c:v>9.3795330142279685</c:v>
                </c:pt>
                <c:pt idx="14">
                  <c:v>3.4995046714904281</c:v>
                </c:pt>
                <c:pt idx="15">
                  <c:v>2.9809101848340589</c:v>
                </c:pt>
                <c:pt idx="16">
                  <c:v>4.0174034994919054</c:v>
                </c:pt>
                <c:pt idx="17">
                  <c:v>3.2033033043370418</c:v>
                </c:pt>
                <c:pt idx="18">
                  <c:v>1.3928723627336272</c:v>
                </c:pt>
                <c:pt idx="19">
                  <c:v>0.82683172544186334</c:v>
                </c:pt>
                <c:pt idx="20">
                  <c:v>1.0077776783391665</c:v>
                </c:pt>
                <c:pt idx="21">
                  <c:v>0.50658350080470838</c:v>
                </c:pt>
                <c:pt idx="22">
                  <c:v>-1.3009355895107442E-2</c:v>
                </c:pt>
                <c:pt idx="23">
                  <c:v>0.34051637357133302</c:v>
                </c:pt>
              </c:numCache>
            </c:numRef>
          </c:val>
          <c:smooth val="0"/>
          <c:extLst>
            <c:ext xmlns:c16="http://schemas.microsoft.com/office/drawing/2014/chart" uri="{C3380CC4-5D6E-409C-BE32-E72D297353CC}">
              <c16:uniqueId val="{00000005-12D0-4592-A09B-5B6C9227D842}"/>
            </c:ext>
          </c:extLst>
        </c:ser>
        <c:dLbls>
          <c:showLegendKey val="0"/>
          <c:showVal val="0"/>
          <c:showCatName val="0"/>
          <c:showSerName val="0"/>
          <c:showPercent val="0"/>
          <c:showBubbleSize val="0"/>
        </c:dLbls>
        <c:marker val="1"/>
        <c:smooth val="0"/>
        <c:axId val="153730432"/>
        <c:axId val="153752704"/>
      </c:lineChart>
      <c:catAx>
        <c:axId val="15373043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53752704"/>
        <c:crosses val="autoZero"/>
        <c:auto val="1"/>
        <c:lblAlgn val="ctr"/>
        <c:lblOffset val="100"/>
        <c:noMultiLvlLbl val="0"/>
      </c:catAx>
      <c:valAx>
        <c:axId val="153752704"/>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53730432"/>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3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096E-2"/>
          <c:y val="1.5804777005479883E-2"/>
          <c:w val="0.84419102795189593"/>
          <c:h val="0.69135712481071809"/>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IPP'!$R$27:$BA$27</c:f>
              <c:numCache>
                <c:formatCode>0.0</c:formatCode>
                <c:ptCount val="36"/>
                <c:pt idx="0">
                  <c:v>1.541433600155184</c:v>
                </c:pt>
                <c:pt idx="1">
                  <c:v>2.1741500812415602</c:v>
                </c:pt>
                <c:pt idx="2">
                  <c:v>2.38074512852317</c:v>
                </c:pt>
                <c:pt idx="3">
                  <c:v>2.8689756615217954</c:v>
                </c:pt>
                <c:pt idx="4">
                  <c:v>3.3341210196737832</c:v>
                </c:pt>
                <c:pt idx="5">
                  <c:v>2.686672264317759</c:v>
                </c:pt>
                <c:pt idx="6">
                  <c:v>1.4809491976121278</c:v>
                </c:pt>
                <c:pt idx="7">
                  <c:v>1.0295786410238901</c:v>
                </c:pt>
                <c:pt idx="8">
                  <c:v>1.7176851530772048</c:v>
                </c:pt>
                <c:pt idx="9">
                  <c:v>2.162430036953364</c:v>
                </c:pt>
                <c:pt idx="10">
                  <c:v>1.6010808371876544</c:v>
                </c:pt>
                <c:pt idx="11">
                  <c:v>1.6765308689366039</c:v>
                </c:pt>
                <c:pt idx="12">
                  <c:v>0.76463369901420963</c:v>
                </c:pt>
                <c:pt idx="13">
                  <c:v>0.53745054525373026</c:v>
                </c:pt>
                <c:pt idx="14">
                  <c:v>0.24390176608722358</c:v>
                </c:pt>
                <c:pt idx="15">
                  <c:v>0.97145099568383697</c:v>
                </c:pt>
                <c:pt idx="16">
                  <c:v>-0.22653642884122777</c:v>
                </c:pt>
                <c:pt idx="17">
                  <c:v>0.48861091853368632</c:v>
                </c:pt>
                <c:pt idx="18">
                  <c:v>0.8085591774608728</c:v>
                </c:pt>
                <c:pt idx="19">
                  <c:v>-1.0897983527427602</c:v>
                </c:pt>
                <c:pt idx="20">
                  <c:v>-1.5435543851935798</c:v>
                </c:pt>
                <c:pt idx="21">
                  <c:v>-9.4039632081130193</c:v>
                </c:pt>
                <c:pt idx="22">
                  <c:v>-0.18743733484121566</c:v>
                </c:pt>
                <c:pt idx="23">
                  <c:v>2.0451875585567292</c:v>
                </c:pt>
                <c:pt idx="24">
                  <c:v>1.8998981300154261</c:v>
                </c:pt>
                <c:pt idx="25">
                  <c:v>10.981696435394753</c:v>
                </c:pt>
                <c:pt idx="26">
                  <c:v>-3.7777447309199403</c:v>
                </c:pt>
                <c:pt idx="27">
                  <c:v>-3.2745552925864523</c:v>
                </c:pt>
                <c:pt idx="28">
                  <c:v>-1.9139060121680731</c:v>
                </c:pt>
                <c:pt idx="29">
                  <c:v>7.4805897445446537E-2</c:v>
                </c:pt>
                <c:pt idx="30">
                  <c:v>5.6188837456000496</c:v>
                </c:pt>
                <c:pt idx="31">
                  <c:v>4.0478655888897555</c:v>
                </c:pt>
                <c:pt idx="32">
                  <c:v>4.8890971219454</c:v>
                </c:pt>
                <c:pt idx="33">
                  <c:v>4.8283125874523325</c:v>
                </c:pt>
                <c:pt idx="34">
                  <c:v>1.0456410413068782</c:v>
                </c:pt>
                <c:pt idx="35">
                  <c:v>2.8039519214070401</c:v>
                </c:pt>
              </c:numCache>
            </c:numRef>
          </c:val>
          <c:extLst>
            <c:ext xmlns:c16="http://schemas.microsoft.com/office/drawing/2014/chart" uri="{C3380CC4-5D6E-409C-BE32-E72D297353CC}">
              <c16:uniqueId val="{00000000-0E2E-445E-BFCE-7E98BCF602E5}"/>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IPP'!$R$28:$BA$28</c:f>
              <c:numCache>
                <c:formatCode>0.0</c:formatCode>
                <c:ptCount val="36"/>
                <c:pt idx="0">
                  <c:v>1.0327842576995616</c:v>
                </c:pt>
                <c:pt idx="1">
                  <c:v>1.2398193770878807</c:v>
                </c:pt>
                <c:pt idx="2">
                  <c:v>1.4194520754584399</c:v>
                </c:pt>
                <c:pt idx="3">
                  <c:v>0.62945179373892213</c:v>
                </c:pt>
                <c:pt idx="4">
                  <c:v>0.81066950070394839</c:v>
                </c:pt>
                <c:pt idx="5">
                  <c:v>0.15910929112689309</c:v>
                </c:pt>
                <c:pt idx="6">
                  <c:v>0.27430884251769183</c:v>
                </c:pt>
                <c:pt idx="7">
                  <c:v>0.42966812397126042</c:v>
                </c:pt>
                <c:pt idx="8">
                  <c:v>0.81190885185629913</c:v>
                </c:pt>
                <c:pt idx="9">
                  <c:v>1.4478162783570221</c:v>
                </c:pt>
                <c:pt idx="10">
                  <c:v>0.86831270392558868</c:v>
                </c:pt>
                <c:pt idx="11">
                  <c:v>1.6467937182997419</c:v>
                </c:pt>
                <c:pt idx="12">
                  <c:v>0.9935582508975197</c:v>
                </c:pt>
                <c:pt idx="13">
                  <c:v>0.32981714268582196</c:v>
                </c:pt>
                <c:pt idx="14">
                  <c:v>0.43066392508053108</c:v>
                </c:pt>
                <c:pt idx="15">
                  <c:v>-5.4042637097958604E-2</c:v>
                </c:pt>
                <c:pt idx="16">
                  <c:v>0.52511448325990218</c:v>
                </c:pt>
                <c:pt idx="17">
                  <c:v>0.41827161057405132</c:v>
                </c:pt>
                <c:pt idx="18">
                  <c:v>0.20321919004157396</c:v>
                </c:pt>
                <c:pt idx="19">
                  <c:v>0.40664545615593134</c:v>
                </c:pt>
                <c:pt idx="20">
                  <c:v>-0.54518803499189361</c:v>
                </c:pt>
                <c:pt idx="21">
                  <c:v>-4.0594843067761053</c:v>
                </c:pt>
                <c:pt idx="22">
                  <c:v>-0.42308415860457266</c:v>
                </c:pt>
                <c:pt idx="23">
                  <c:v>0.57531703991443739</c:v>
                </c:pt>
                <c:pt idx="24">
                  <c:v>0.72127374997619453</c:v>
                </c:pt>
                <c:pt idx="25">
                  <c:v>5.513308021153847</c:v>
                </c:pt>
                <c:pt idx="26">
                  <c:v>0.63109141066247443</c:v>
                </c:pt>
                <c:pt idx="27">
                  <c:v>-0.40575686667122407</c:v>
                </c:pt>
                <c:pt idx="28">
                  <c:v>9.4219437714530618E-2</c:v>
                </c:pt>
                <c:pt idx="29">
                  <c:v>0.14447578235561789</c:v>
                </c:pt>
                <c:pt idx="30">
                  <c:v>0.53281688283887163</c:v>
                </c:pt>
                <c:pt idx="31">
                  <c:v>0.60923547078383666</c:v>
                </c:pt>
                <c:pt idx="32">
                  <c:v>0.18530195738035801</c:v>
                </c:pt>
                <c:pt idx="33">
                  <c:v>7.4896272604568853E-2</c:v>
                </c:pt>
                <c:pt idx="34">
                  <c:v>-0.47281532367100698</c:v>
                </c:pt>
                <c:pt idx="35">
                  <c:v>6.6270631963920593E-2</c:v>
                </c:pt>
              </c:numCache>
            </c:numRef>
          </c:val>
          <c:extLst>
            <c:ext xmlns:c16="http://schemas.microsoft.com/office/drawing/2014/chart" uri="{C3380CC4-5D6E-409C-BE32-E72D297353CC}">
              <c16:uniqueId val="{00000001-0E2E-445E-BFCE-7E98BCF602E5}"/>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IPP'!$R$29:$BA$29</c:f>
              <c:numCache>
                <c:formatCode>0.0</c:formatCode>
                <c:ptCount val="36"/>
                <c:pt idx="0">
                  <c:v>0.27352741322260493</c:v>
                </c:pt>
                <c:pt idx="1">
                  <c:v>0.2943577886323015</c:v>
                </c:pt>
                <c:pt idx="2">
                  <c:v>0.38381901893821546</c:v>
                </c:pt>
                <c:pt idx="3">
                  <c:v>1.9907538862099918E-2</c:v>
                </c:pt>
                <c:pt idx="4">
                  <c:v>0.36213267281302258</c:v>
                </c:pt>
                <c:pt idx="5">
                  <c:v>-6.5064708510287728E-2</c:v>
                </c:pt>
                <c:pt idx="6">
                  <c:v>0.19502661099256191</c:v>
                </c:pt>
                <c:pt idx="7">
                  <c:v>0.31976595271137093</c:v>
                </c:pt>
                <c:pt idx="8">
                  <c:v>0.36260721751312475</c:v>
                </c:pt>
                <c:pt idx="9">
                  <c:v>1.0676230430151588</c:v>
                </c:pt>
                <c:pt idx="10">
                  <c:v>0.8485662209750291</c:v>
                </c:pt>
                <c:pt idx="11">
                  <c:v>0.8011679796708624</c:v>
                </c:pt>
                <c:pt idx="12">
                  <c:v>0.47154480134890692</c:v>
                </c:pt>
                <c:pt idx="13">
                  <c:v>0.14539794495792596</c:v>
                </c:pt>
                <c:pt idx="14">
                  <c:v>0.1851895799029194</c:v>
                </c:pt>
                <c:pt idx="15">
                  <c:v>-0.19190856298894729</c:v>
                </c:pt>
                <c:pt idx="16">
                  <c:v>0.14248219231403375</c:v>
                </c:pt>
                <c:pt idx="17">
                  <c:v>-2.1421773901395609E-2</c:v>
                </c:pt>
                <c:pt idx="18">
                  <c:v>-0.25698546548398382</c:v>
                </c:pt>
                <c:pt idx="19">
                  <c:v>-0.1385976419695116</c:v>
                </c:pt>
                <c:pt idx="20">
                  <c:v>-0.6967773072729575</c:v>
                </c:pt>
                <c:pt idx="21">
                  <c:v>-2.1434069100206701</c:v>
                </c:pt>
                <c:pt idx="22">
                  <c:v>-0.80071965285565583</c:v>
                </c:pt>
                <c:pt idx="23">
                  <c:v>-0.53337369043417604</c:v>
                </c:pt>
                <c:pt idx="24">
                  <c:v>7.0388429332234728E-2</c:v>
                </c:pt>
                <c:pt idx="25">
                  <c:v>2.1082132332125232</c:v>
                </c:pt>
                <c:pt idx="26">
                  <c:v>0.54002718228061808</c:v>
                </c:pt>
                <c:pt idx="27">
                  <c:v>0.28651169955913558</c:v>
                </c:pt>
                <c:pt idx="28">
                  <c:v>0.38112415842724146</c:v>
                </c:pt>
                <c:pt idx="29">
                  <c:v>0.10272667009912291</c:v>
                </c:pt>
                <c:pt idx="30">
                  <c:v>0.49907693226871175</c:v>
                </c:pt>
                <c:pt idx="31">
                  <c:v>0.65938727063841063</c:v>
                </c:pt>
                <c:pt idx="32">
                  <c:v>0.33491818481481772</c:v>
                </c:pt>
                <c:pt idx="33">
                  <c:v>0.34685911599308167</c:v>
                </c:pt>
                <c:pt idx="34">
                  <c:v>-0.61663065612978885</c:v>
                </c:pt>
                <c:pt idx="35">
                  <c:v>-0.80038572029116051</c:v>
                </c:pt>
              </c:numCache>
            </c:numRef>
          </c:val>
          <c:extLst>
            <c:ext xmlns:c16="http://schemas.microsoft.com/office/drawing/2014/chart" uri="{C3380CC4-5D6E-409C-BE32-E72D297353CC}">
              <c16:uniqueId val="{00000002-0E2E-445E-BFCE-7E98BCF602E5}"/>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IPP'!$R$30:$BA$30</c:f>
              <c:numCache>
                <c:formatCode>0.0</c:formatCode>
                <c:ptCount val="36"/>
                <c:pt idx="0">
                  <c:v>0.69497691812608708</c:v>
                </c:pt>
                <c:pt idx="1">
                  <c:v>0.78508725997594431</c:v>
                </c:pt>
                <c:pt idx="2">
                  <c:v>0.99073344247385264</c:v>
                </c:pt>
                <c:pt idx="3">
                  <c:v>0.60112803930591463</c:v>
                </c:pt>
                <c:pt idx="4">
                  <c:v>0.80565108552423159</c:v>
                </c:pt>
                <c:pt idx="5">
                  <c:v>0.37292975928366612</c:v>
                </c:pt>
                <c:pt idx="6">
                  <c:v>0.22874403118707323</c:v>
                </c:pt>
                <c:pt idx="7">
                  <c:v>0.25105221227274938</c:v>
                </c:pt>
                <c:pt idx="8">
                  <c:v>0.39859566543955588</c:v>
                </c:pt>
                <c:pt idx="9">
                  <c:v>0.93860836876068798</c:v>
                </c:pt>
                <c:pt idx="10">
                  <c:v>0.85733344200421968</c:v>
                </c:pt>
                <c:pt idx="11">
                  <c:v>0.96180148351524541</c:v>
                </c:pt>
                <c:pt idx="12">
                  <c:v>0.66382399405022563</c:v>
                </c:pt>
                <c:pt idx="13">
                  <c:v>0.46639173271760581</c:v>
                </c:pt>
                <c:pt idx="14">
                  <c:v>0.40419840691742392</c:v>
                </c:pt>
                <c:pt idx="15">
                  <c:v>0.14440932883616314</c:v>
                </c:pt>
                <c:pt idx="16">
                  <c:v>0.25807569584954465</c:v>
                </c:pt>
                <c:pt idx="17">
                  <c:v>1.4459010693799904E-2</c:v>
                </c:pt>
                <c:pt idx="18">
                  <c:v>-0.25651049213587435</c:v>
                </c:pt>
                <c:pt idx="19">
                  <c:v>-0.34928328908715461</c:v>
                </c:pt>
                <c:pt idx="20">
                  <c:v>-0.60808014688232759</c:v>
                </c:pt>
                <c:pt idx="21">
                  <c:v>-2.0880437771647515</c:v>
                </c:pt>
                <c:pt idx="22">
                  <c:v>-0.5397213489370003</c:v>
                </c:pt>
                <c:pt idx="23">
                  <c:v>0.14511452076092651</c:v>
                </c:pt>
                <c:pt idx="24">
                  <c:v>0.49633095542560102</c:v>
                </c:pt>
                <c:pt idx="25">
                  <c:v>3.01292492605377</c:v>
                </c:pt>
                <c:pt idx="26">
                  <c:v>0.7364847818203103</c:v>
                </c:pt>
                <c:pt idx="27">
                  <c:v>-5.6080447887036491E-2</c:v>
                </c:pt>
                <c:pt idx="28">
                  <c:v>0.14951375880960249</c:v>
                </c:pt>
                <c:pt idx="29">
                  <c:v>-0.43703762786363681</c:v>
                </c:pt>
                <c:pt idx="30">
                  <c:v>-0.39225525137063916</c:v>
                </c:pt>
                <c:pt idx="31">
                  <c:v>-0.25495163136202598</c:v>
                </c:pt>
                <c:pt idx="32">
                  <c:v>-0.35270143311875107</c:v>
                </c:pt>
                <c:pt idx="33">
                  <c:v>-0.15027066322036883</c:v>
                </c:pt>
                <c:pt idx="34">
                  <c:v>-8.105367681371034E-2</c:v>
                </c:pt>
                <c:pt idx="35">
                  <c:v>-0.15353666376849709</c:v>
                </c:pt>
              </c:numCache>
            </c:numRef>
          </c:val>
          <c:extLst>
            <c:ext xmlns:c16="http://schemas.microsoft.com/office/drawing/2014/chart" uri="{C3380CC4-5D6E-409C-BE32-E72D297353CC}">
              <c16:uniqueId val="{00000003-0E2E-445E-BFCE-7E98BCF602E5}"/>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IPP'!$R$31:$BA$31</c:f>
              <c:numCache>
                <c:formatCode>0.0</c:formatCode>
                <c:ptCount val="36"/>
                <c:pt idx="0">
                  <c:v>0.10273275765267496</c:v>
                </c:pt>
                <c:pt idx="1">
                  <c:v>1.7022273503113718E-2</c:v>
                </c:pt>
                <c:pt idx="2">
                  <c:v>3.1451678515104949E-2</c:v>
                </c:pt>
                <c:pt idx="3">
                  <c:v>-6.7148299810871753E-2</c:v>
                </c:pt>
                <c:pt idx="4">
                  <c:v>-1.268547666727784E-2</c:v>
                </c:pt>
                <c:pt idx="5">
                  <c:v>7.6588175669583008E-2</c:v>
                </c:pt>
                <c:pt idx="6">
                  <c:v>4.5204856094121497E-2</c:v>
                </c:pt>
                <c:pt idx="7">
                  <c:v>0.16194666355811349</c:v>
                </c:pt>
                <c:pt idx="8">
                  <c:v>0.16169573185966213</c:v>
                </c:pt>
                <c:pt idx="9">
                  <c:v>0.34034954986554078</c:v>
                </c:pt>
                <c:pt idx="10">
                  <c:v>0.22387493834902869</c:v>
                </c:pt>
                <c:pt idx="11">
                  <c:v>0.23474883574173075</c:v>
                </c:pt>
                <c:pt idx="12">
                  <c:v>0.37691682805498261</c:v>
                </c:pt>
                <c:pt idx="13">
                  <c:v>0.16170745152429078</c:v>
                </c:pt>
                <c:pt idx="14">
                  <c:v>0.63541368560223876</c:v>
                </c:pt>
                <c:pt idx="15">
                  <c:v>0.32151776055716924</c:v>
                </c:pt>
                <c:pt idx="16">
                  <c:v>-0.11432204894408442</c:v>
                </c:pt>
                <c:pt idx="17">
                  <c:v>-5.1757146500390386E-2</c:v>
                </c:pt>
                <c:pt idx="18">
                  <c:v>-0.5870651096826367</c:v>
                </c:pt>
                <c:pt idx="19">
                  <c:v>-0.3548718823744107</c:v>
                </c:pt>
                <c:pt idx="20">
                  <c:v>-8.5397778834990543E-2</c:v>
                </c:pt>
                <c:pt idx="21">
                  <c:v>-0.27817734072291866</c:v>
                </c:pt>
                <c:pt idx="22">
                  <c:v>-2.9065624151318084E-3</c:v>
                </c:pt>
                <c:pt idx="23">
                  <c:v>-5.9498285904227748E-3</c:v>
                </c:pt>
                <c:pt idx="24">
                  <c:v>0.12344573775217321</c:v>
                </c:pt>
                <c:pt idx="25">
                  <c:v>0.1650359896824464</c:v>
                </c:pt>
                <c:pt idx="26">
                  <c:v>0.21876908691427949</c:v>
                </c:pt>
                <c:pt idx="27">
                  <c:v>-0.21769009003114995</c:v>
                </c:pt>
                <c:pt idx="28">
                  <c:v>1.6809689420158303E-2</c:v>
                </c:pt>
                <c:pt idx="29">
                  <c:v>-1.2858202239140653E-2</c:v>
                </c:pt>
                <c:pt idx="30">
                  <c:v>6.771202933633029E-2</c:v>
                </c:pt>
                <c:pt idx="31">
                  <c:v>0.43638301343145647</c:v>
                </c:pt>
                <c:pt idx="32">
                  <c:v>0.15561037374071973</c:v>
                </c:pt>
                <c:pt idx="33">
                  <c:v>6.4192524802535331E-2</c:v>
                </c:pt>
                <c:pt idx="34">
                  <c:v>-0.12398451575935127</c:v>
                </c:pt>
                <c:pt idx="35">
                  <c:v>-0.17572322973013829</c:v>
                </c:pt>
              </c:numCache>
            </c:numRef>
          </c:val>
          <c:extLst>
            <c:ext xmlns:c16="http://schemas.microsoft.com/office/drawing/2014/chart" uri="{C3380CC4-5D6E-409C-BE32-E72D297353CC}">
              <c16:uniqueId val="{00000004-0E2E-445E-BFCE-7E98BCF602E5}"/>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IPP'!$R$32:$BA$32</c:f>
              <c:numCache>
                <c:formatCode>0.0</c:formatCode>
                <c:ptCount val="36"/>
                <c:pt idx="0">
                  <c:v>7.7208317080078318E-2</c:v>
                </c:pt>
                <c:pt idx="1">
                  <c:v>0.23592866818826699</c:v>
                </c:pt>
                <c:pt idx="2">
                  <c:v>-0.16336143877828874</c:v>
                </c:pt>
                <c:pt idx="3">
                  <c:v>-0.33439989501658007</c:v>
                </c:pt>
                <c:pt idx="4">
                  <c:v>-0.41779515285163227</c:v>
                </c:pt>
                <c:pt idx="5">
                  <c:v>-0.42569819359762046</c:v>
                </c:pt>
                <c:pt idx="6">
                  <c:v>-0.10788089066016888</c:v>
                </c:pt>
                <c:pt idx="7">
                  <c:v>0.23743965472329751</c:v>
                </c:pt>
                <c:pt idx="8">
                  <c:v>0.52311070740015453</c:v>
                </c:pt>
                <c:pt idx="9">
                  <c:v>0.82341422334347236</c:v>
                </c:pt>
                <c:pt idx="10">
                  <c:v>0.65076836480306144</c:v>
                </c:pt>
                <c:pt idx="11">
                  <c:v>0.5049397817315181</c:v>
                </c:pt>
                <c:pt idx="12">
                  <c:v>0.402956398929881</c:v>
                </c:pt>
                <c:pt idx="13">
                  <c:v>8.0557374992047265E-2</c:v>
                </c:pt>
                <c:pt idx="14">
                  <c:v>-5.3154805616806716E-2</c:v>
                </c:pt>
                <c:pt idx="15">
                  <c:v>-6.7994611415210335E-2</c:v>
                </c:pt>
                <c:pt idx="16">
                  <c:v>0.10386183133359356</c:v>
                </c:pt>
                <c:pt idx="17">
                  <c:v>4.7610492592970489E-2</c:v>
                </c:pt>
                <c:pt idx="18">
                  <c:v>0.23071819932128146</c:v>
                </c:pt>
                <c:pt idx="19">
                  <c:v>3.0462943071166669E-2</c:v>
                </c:pt>
                <c:pt idx="20">
                  <c:v>-3.1218778316377288E-2</c:v>
                </c:pt>
                <c:pt idx="21">
                  <c:v>-0.54858975903434926</c:v>
                </c:pt>
                <c:pt idx="22">
                  <c:v>-0.21411469460909971</c:v>
                </c:pt>
                <c:pt idx="23">
                  <c:v>0.43233148897113949</c:v>
                </c:pt>
                <c:pt idx="24">
                  <c:v>0.28829426971776517</c:v>
                </c:pt>
                <c:pt idx="25">
                  <c:v>0.79933281321603367</c:v>
                </c:pt>
                <c:pt idx="26">
                  <c:v>0.31192170113272544</c:v>
                </c:pt>
                <c:pt idx="27">
                  <c:v>7.2471498351694655E-2</c:v>
                </c:pt>
                <c:pt idx="28">
                  <c:v>0.25166918121745407</c:v>
                </c:pt>
                <c:pt idx="29">
                  <c:v>0.17196461710718774</c:v>
                </c:pt>
                <c:pt idx="30">
                  <c:v>-8.828884317687001E-2</c:v>
                </c:pt>
                <c:pt idx="31">
                  <c:v>-0.2680061496566824</c:v>
                </c:pt>
                <c:pt idx="32">
                  <c:v>-0.57157637854029431</c:v>
                </c:pt>
                <c:pt idx="33">
                  <c:v>-0.14509871678747102</c:v>
                </c:pt>
                <c:pt idx="34">
                  <c:v>0.10958983295560946</c:v>
                </c:pt>
                <c:pt idx="35">
                  <c:v>-9.0213315565950206E-2</c:v>
                </c:pt>
              </c:numCache>
            </c:numRef>
          </c:val>
          <c:extLst>
            <c:ext xmlns:c16="http://schemas.microsoft.com/office/drawing/2014/chart" uri="{C3380CC4-5D6E-409C-BE32-E72D297353CC}">
              <c16:uniqueId val="{00000005-0E2E-445E-BFCE-7E98BCF602E5}"/>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IPP'!$R$33:$BA$33</c:f>
              <c:numCache>
                <c:formatCode>0.0</c:formatCode>
                <c:ptCount val="36"/>
                <c:pt idx="0">
                  <c:v>0.98162826530883773</c:v>
                </c:pt>
                <c:pt idx="1">
                  <c:v>0.89609854193090011</c:v>
                </c:pt>
                <c:pt idx="2">
                  <c:v>1.0136997635799248</c:v>
                </c:pt>
                <c:pt idx="3">
                  <c:v>-0.20234655551353997</c:v>
                </c:pt>
                <c:pt idx="4">
                  <c:v>-0.44271514968256598</c:v>
                </c:pt>
                <c:pt idx="5">
                  <c:v>-1.2360310619494739</c:v>
                </c:pt>
                <c:pt idx="6">
                  <c:v>-0.34381297444418141</c:v>
                </c:pt>
                <c:pt idx="7">
                  <c:v>0.41334459659232031</c:v>
                </c:pt>
                <c:pt idx="8">
                  <c:v>-0.16839258521613629</c:v>
                </c:pt>
                <c:pt idx="9">
                  <c:v>1.478036189227403</c:v>
                </c:pt>
                <c:pt idx="10">
                  <c:v>0.64937078015870064</c:v>
                </c:pt>
                <c:pt idx="11">
                  <c:v>0.70590148666032349</c:v>
                </c:pt>
                <c:pt idx="12">
                  <c:v>1.2116662560996505</c:v>
                </c:pt>
                <c:pt idx="13">
                  <c:v>0.71097548863760385</c:v>
                </c:pt>
                <c:pt idx="14">
                  <c:v>1.1301447241276845</c:v>
                </c:pt>
                <c:pt idx="15">
                  <c:v>0.13866678540773811</c:v>
                </c:pt>
                <c:pt idx="16">
                  <c:v>-0.42964337660274932</c:v>
                </c:pt>
                <c:pt idx="17">
                  <c:v>-0.22246357298765709</c:v>
                </c:pt>
                <c:pt idx="18">
                  <c:v>-1.0177720338517322</c:v>
                </c:pt>
                <c:pt idx="19">
                  <c:v>5.3943756139758624E-2</c:v>
                </c:pt>
                <c:pt idx="20">
                  <c:v>0.23152724249778844</c:v>
                </c:pt>
                <c:pt idx="21">
                  <c:v>-1.6759838727065843</c:v>
                </c:pt>
                <c:pt idx="22">
                  <c:v>-0.18136031704977121</c:v>
                </c:pt>
                <c:pt idx="23">
                  <c:v>-0.29102610739168905</c:v>
                </c:pt>
                <c:pt idx="24">
                  <c:v>3.5528521432281988E-2</c:v>
                </c:pt>
                <c:pt idx="25">
                  <c:v>3.2192972163240041</c:v>
                </c:pt>
                <c:pt idx="26">
                  <c:v>1.6605685282307985</c:v>
                </c:pt>
                <c:pt idx="27">
                  <c:v>1.2452073973288977</c:v>
                </c:pt>
                <c:pt idx="28">
                  <c:v>1.7181066428266309</c:v>
                </c:pt>
                <c:pt idx="29">
                  <c:v>0.2617852216300951</c:v>
                </c:pt>
                <c:pt idx="30">
                  <c:v>-1.5893023433684739</c:v>
                </c:pt>
                <c:pt idx="31">
                  <c:v>-1.4648552237920627</c:v>
                </c:pt>
                <c:pt idx="32">
                  <c:v>-2.9445768250855897</c:v>
                </c:pt>
                <c:pt idx="33">
                  <c:v>-3.189278633396214</c:v>
                </c:pt>
                <c:pt idx="34">
                  <c:v>-1.7312875587043541</c:v>
                </c:pt>
                <c:pt idx="35">
                  <c:v>-1.3671072744510917</c:v>
                </c:pt>
              </c:numCache>
            </c:numRef>
          </c:val>
          <c:extLst>
            <c:ext xmlns:c16="http://schemas.microsoft.com/office/drawing/2014/chart" uri="{C3380CC4-5D6E-409C-BE32-E72D297353CC}">
              <c16:uniqueId val="{00000006-0E2E-445E-BFCE-7E98BCF602E5}"/>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IPP'!$R$34:$BA$34</c:f>
              <c:numCache>
                <c:formatCode>0.0</c:formatCode>
                <c:ptCount val="36"/>
                <c:pt idx="0">
                  <c:v>0.1453689780549717</c:v>
                </c:pt>
                <c:pt idx="1">
                  <c:v>-0.33983324755997291</c:v>
                </c:pt>
                <c:pt idx="2">
                  <c:v>-0.39725135811041795</c:v>
                </c:pt>
                <c:pt idx="3">
                  <c:v>-1.114644115487744</c:v>
                </c:pt>
                <c:pt idx="4">
                  <c:v>-0.64587487131351196</c:v>
                </c:pt>
                <c:pt idx="5">
                  <c:v>9.8834575359488197E-2</c:v>
                </c:pt>
                <c:pt idx="6">
                  <c:v>-0.47676721369922492</c:v>
                </c:pt>
                <c:pt idx="7">
                  <c:v>0.50385695934700236</c:v>
                </c:pt>
                <c:pt idx="8">
                  <c:v>0.66227118757014125</c:v>
                </c:pt>
                <c:pt idx="9">
                  <c:v>-0.18254891472265228</c:v>
                </c:pt>
                <c:pt idx="10">
                  <c:v>0.77170124339672319</c:v>
                </c:pt>
                <c:pt idx="11">
                  <c:v>0.73276064564397936</c:v>
                </c:pt>
                <c:pt idx="12">
                  <c:v>-0.53888499639537124</c:v>
                </c:pt>
                <c:pt idx="13">
                  <c:v>4.2147847309763073E-3</c:v>
                </c:pt>
                <c:pt idx="14">
                  <c:v>0.7878357385987913</c:v>
                </c:pt>
                <c:pt idx="15">
                  <c:v>0.33124933161720838</c:v>
                </c:pt>
                <c:pt idx="16">
                  <c:v>0.21326825173098604</c:v>
                </c:pt>
                <c:pt idx="17">
                  <c:v>4.5891627194929605E-2</c:v>
                </c:pt>
                <c:pt idx="18">
                  <c:v>-0.66559651426949995</c:v>
                </c:pt>
                <c:pt idx="19">
                  <c:v>-0.33090808889302387</c:v>
                </c:pt>
                <c:pt idx="20">
                  <c:v>-0.97342506810566543</c:v>
                </c:pt>
                <c:pt idx="21">
                  <c:v>-1.5875613971615936</c:v>
                </c:pt>
                <c:pt idx="22">
                  <c:v>-0.71564578738754892</c:v>
                </c:pt>
                <c:pt idx="23">
                  <c:v>-0.69506985368693885</c:v>
                </c:pt>
                <c:pt idx="24">
                  <c:v>0.4807247757483179</c:v>
                </c:pt>
                <c:pt idx="25">
                  <c:v>0.46331760076263323</c:v>
                </c:pt>
                <c:pt idx="26">
                  <c:v>0.22196846067872947</c:v>
                </c:pt>
                <c:pt idx="27">
                  <c:v>0.81349879426535543</c:v>
                </c:pt>
                <c:pt idx="28">
                  <c:v>-0.17518261564754817</c:v>
                </c:pt>
                <c:pt idx="29">
                  <c:v>0.27450121496530167</c:v>
                </c:pt>
                <c:pt idx="30">
                  <c:v>0.37994694442243832</c:v>
                </c:pt>
                <c:pt idx="31">
                  <c:v>-1.372950167074922</c:v>
                </c:pt>
                <c:pt idx="32">
                  <c:v>-1.2158184400366616</c:v>
                </c:pt>
                <c:pt idx="33">
                  <c:v>-1.5181268515484636</c:v>
                </c:pt>
                <c:pt idx="34">
                  <c:v>-1.5825523730842834</c:v>
                </c:pt>
                <c:pt idx="35">
                  <c:v>-1.0449777261641171</c:v>
                </c:pt>
              </c:numCache>
            </c:numRef>
          </c:val>
          <c:extLst>
            <c:ext xmlns:c16="http://schemas.microsoft.com/office/drawing/2014/chart" uri="{C3380CC4-5D6E-409C-BE32-E72D297353CC}">
              <c16:uniqueId val="{00000007-0E2E-445E-BFCE-7E98BCF602E5}"/>
            </c:ext>
          </c:extLst>
        </c:ser>
        <c:dLbls>
          <c:showLegendKey val="0"/>
          <c:showVal val="0"/>
          <c:showCatName val="0"/>
          <c:showSerName val="0"/>
          <c:showPercent val="0"/>
          <c:showBubbleSize val="0"/>
        </c:dLbls>
        <c:gapWidth val="15"/>
        <c:overlap val="100"/>
        <c:axId val="111027712"/>
        <c:axId val="111029248"/>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rgbClr val="FFFF00"/>
              </a:solidFill>
              <a:ln>
                <a:solidFill>
                  <a:schemeClr val="tx1">
                    <a:lumMod val="95000"/>
                    <a:lumOff val="5000"/>
                  </a:schemeClr>
                </a:solidFill>
              </a:ln>
            </c:spPr>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IPP'!$R$35:$BA$35</c:f>
              <c:numCache>
                <c:formatCode>0.0</c:formatCode>
                <c:ptCount val="36"/>
                <c:pt idx="0">
                  <c:v>4.8496605073000012</c:v>
                </c:pt>
                <c:pt idx="1">
                  <c:v>5.3026307429999946</c:v>
                </c:pt>
                <c:pt idx="2">
                  <c:v>5.6592883106000054</c:v>
                </c:pt>
                <c:pt idx="3">
                  <c:v>2.4009241675999982</c:v>
                </c:pt>
                <c:pt idx="4">
                  <c:v>3.7935036282000012</c:v>
                </c:pt>
                <c:pt idx="5">
                  <c:v>1.6673401017000067</c:v>
                </c:pt>
                <c:pt idx="6">
                  <c:v>1.295772459600002</c:v>
                </c:pt>
                <c:pt idx="7">
                  <c:v>3.3466528042000023</c:v>
                </c:pt>
                <c:pt idx="8">
                  <c:v>4.4694819295000059</c:v>
                </c:pt>
                <c:pt idx="9">
                  <c:v>8.0757287748</c:v>
                </c:pt>
                <c:pt idx="10">
                  <c:v>6.4710085308000087</c:v>
                </c:pt>
                <c:pt idx="11">
                  <c:v>7.2646448002000001</c:v>
                </c:pt>
                <c:pt idx="12">
                  <c:v>4.3462152320000058</c:v>
                </c:pt>
                <c:pt idx="13">
                  <c:v>2.4365124654999999</c:v>
                </c:pt>
                <c:pt idx="14">
                  <c:v>3.7641930207000076</c:v>
                </c:pt>
                <c:pt idx="15">
                  <c:v>1.5933483905999986</c:v>
                </c:pt>
                <c:pt idx="16">
                  <c:v>0.47230060009999897</c:v>
                </c:pt>
                <c:pt idx="17">
                  <c:v>0.71920116619999452</c:v>
                </c:pt>
                <c:pt idx="18">
                  <c:v>-1.5414330485999974</c:v>
                </c:pt>
                <c:pt idx="19">
                  <c:v>-1.7724070997000048</c:v>
                </c:pt>
                <c:pt idx="20">
                  <c:v>-4.252114257099997</c:v>
                </c:pt>
                <c:pt idx="21">
                  <c:v>-21.785210571699984</c:v>
                </c:pt>
                <c:pt idx="22">
                  <c:v>-3.0649898566999969</c:v>
                </c:pt>
                <c:pt idx="23">
                  <c:v>1.6725311281000053</c:v>
                </c:pt>
                <c:pt idx="24">
                  <c:v>4.1158845693999861</c:v>
                </c:pt>
                <c:pt idx="25">
                  <c:v>26.263126235799977</c:v>
                </c:pt>
                <c:pt idx="26">
                  <c:v>0.54308642079999458</c:v>
                </c:pt>
                <c:pt idx="27">
                  <c:v>-1.535662330099995</c:v>
                </c:pt>
                <c:pt idx="28">
                  <c:v>0.52235424059999502</c:v>
                </c:pt>
                <c:pt idx="29">
                  <c:v>0.58036357349999435</c:v>
                </c:pt>
                <c:pt idx="30">
                  <c:v>5.0285577512999957</c:v>
                </c:pt>
                <c:pt idx="31">
                  <c:v>2.3901321318000002</c:v>
                </c:pt>
                <c:pt idx="32">
                  <c:v>0.48025456109999737</c:v>
                </c:pt>
                <c:pt idx="33">
                  <c:v>0.311485635899999</c:v>
                </c:pt>
                <c:pt idx="34">
                  <c:v>-3.4530932299000057</c:v>
                </c:pt>
                <c:pt idx="35">
                  <c:v>-0.76172137659999439</c:v>
                </c:pt>
              </c:numCache>
            </c:numRef>
          </c:val>
          <c:smooth val="0"/>
          <c:extLst>
            <c:ext xmlns:c16="http://schemas.microsoft.com/office/drawing/2014/chart" uri="{C3380CC4-5D6E-409C-BE32-E72D297353CC}">
              <c16:uniqueId val="{00000008-0E2E-445E-BFCE-7E98BCF602E5}"/>
            </c:ext>
          </c:extLst>
        </c:ser>
        <c:dLbls>
          <c:showLegendKey val="0"/>
          <c:showVal val="0"/>
          <c:showCatName val="0"/>
          <c:showSerName val="0"/>
          <c:showPercent val="0"/>
          <c:showBubbleSize val="0"/>
        </c:dLbls>
        <c:marker val="1"/>
        <c:smooth val="0"/>
        <c:axId val="111027712"/>
        <c:axId val="111029248"/>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IPP'!$R$36:$BA$36</c:f>
              <c:numCache>
                <c:formatCode>General</c:formatCode>
                <c:ptCount val="36"/>
              </c:numCache>
            </c:numRef>
          </c:val>
          <c:smooth val="0"/>
          <c:extLst>
            <c:ext xmlns:c16="http://schemas.microsoft.com/office/drawing/2014/chart" uri="{C3380CC4-5D6E-409C-BE32-E72D297353CC}">
              <c16:uniqueId val="{00000009-0E2E-445E-BFCE-7E98BCF602E5}"/>
            </c:ext>
          </c:extLst>
        </c:ser>
        <c:ser>
          <c:idx val="10"/>
          <c:order val="10"/>
          <c:tx>
            <c:strRef>
              <c:f>'GRAF příspěvky IPP'!$A$37</c:f>
              <c:strCache>
                <c:ptCount val="1"/>
                <c:pt idx="0">
                  <c:v>Produkce, prům. v ČR celkem (2021=100)</c:v>
                </c:pt>
              </c:strCache>
            </c:strRef>
          </c:tx>
          <c:spPr>
            <a:ln w="15875">
              <a:solidFill>
                <a:schemeClr val="tx1">
                  <a:lumMod val="95000"/>
                  <a:lumOff val="5000"/>
                </a:schemeClr>
              </a:solidFill>
            </a:ln>
          </c:spPr>
          <c:marker>
            <c:symbol val="none"/>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IPP'!$R$37:$BA$37</c:f>
              <c:numCache>
                <c:formatCode>#\ ##0.##########</c:formatCode>
                <c:ptCount val="36"/>
                <c:pt idx="0">
                  <c:v>84.3</c:v>
                </c:pt>
                <c:pt idx="1">
                  <c:v>85.5</c:v>
                </c:pt>
                <c:pt idx="2">
                  <c:v>86.3</c:v>
                </c:pt>
                <c:pt idx="3">
                  <c:v>87.7</c:v>
                </c:pt>
                <c:pt idx="4">
                  <c:v>88.4</c:v>
                </c:pt>
                <c:pt idx="5">
                  <c:v>89.9</c:v>
                </c:pt>
                <c:pt idx="6">
                  <c:v>90.9</c:v>
                </c:pt>
                <c:pt idx="7">
                  <c:v>90.1</c:v>
                </c:pt>
                <c:pt idx="8">
                  <c:v>91.8</c:v>
                </c:pt>
                <c:pt idx="9">
                  <c:v>91.3</c:v>
                </c:pt>
                <c:pt idx="10" formatCode="#\ ##0.0">
                  <c:v>92</c:v>
                </c:pt>
                <c:pt idx="11">
                  <c:v>93.1</c:v>
                </c:pt>
                <c:pt idx="12">
                  <c:v>95.6</c:v>
                </c:pt>
                <c:pt idx="13">
                  <c:v>98.6</c:v>
                </c:pt>
                <c:pt idx="14">
                  <c:v>98.2</c:v>
                </c:pt>
                <c:pt idx="15">
                  <c:v>100.1</c:v>
                </c:pt>
                <c:pt idx="16">
                  <c:v>100.1</c:v>
                </c:pt>
                <c:pt idx="17">
                  <c:v>101.1</c:v>
                </c:pt>
                <c:pt idx="18">
                  <c:v>102</c:v>
                </c:pt>
                <c:pt idx="19">
                  <c:v>101.3</c:v>
                </c:pt>
                <c:pt idx="20">
                  <c:v>100.6</c:v>
                </c:pt>
                <c:pt idx="21" formatCode="#\ ##0.0">
                  <c:v>102.2</c:v>
                </c:pt>
                <c:pt idx="22">
                  <c:v>100.1</c:v>
                </c:pt>
                <c:pt idx="23" formatCode="#\ ##0.0">
                  <c:v>99.4</c:v>
                </c:pt>
                <c:pt idx="24">
                  <c:v>96.7</c:v>
                </c:pt>
                <c:pt idx="25">
                  <c:v>80.2</c:v>
                </c:pt>
                <c:pt idx="26">
                  <c:v>97</c:v>
                </c:pt>
                <c:pt idx="27">
                  <c:v>101.1</c:v>
                </c:pt>
                <c:pt idx="28">
                  <c:v>99.7</c:v>
                </c:pt>
                <c:pt idx="29">
                  <c:v>100.7</c:v>
                </c:pt>
                <c:pt idx="30">
                  <c:v>98.4</c:v>
                </c:pt>
                <c:pt idx="31">
                  <c:v>99.1</c:v>
                </c:pt>
                <c:pt idx="32">
                  <c:v>100.9</c:v>
                </c:pt>
                <c:pt idx="33">
                  <c:v>101.4</c:v>
                </c:pt>
                <c:pt idx="34">
                  <c:v>102.9</c:v>
                </c:pt>
                <c:pt idx="35">
                  <c:v>101.6</c:v>
                </c:pt>
              </c:numCache>
            </c:numRef>
          </c:val>
          <c:smooth val="0"/>
          <c:extLst>
            <c:ext xmlns:c16="http://schemas.microsoft.com/office/drawing/2014/chart" uri="{C3380CC4-5D6E-409C-BE32-E72D297353CC}">
              <c16:uniqueId val="{0000000A-0E2E-445E-BFCE-7E98BCF602E5}"/>
            </c:ext>
          </c:extLst>
        </c:ser>
        <c:ser>
          <c:idx val="11"/>
          <c:order val="11"/>
          <c:tx>
            <c:strRef>
              <c:f>'GRAF příspěvky IPP'!$A$38</c:f>
              <c:strCache>
                <c:ptCount val="1"/>
                <c:pt idx="0">
                  <c:v>Produkce, prům. v EU27 celkem (2021=100)</c:v>
                </c:pt>
              </c:strCache>
            </c:strRef>
          </c:tx>
          <c:spPr>
            <a:ln w="15875">
              <a:solidFill>
                <a:schemeClr val="tx1">
                  <a:lumMod val="50000"/>
                  <a:lumOff val="50000"/>
                </a:schemeClr>
              </a:solidFill>
              <a:prstDash val="sysDash"/>
            </a:ln>
          </c:spPr>
          <c:marker>
            <c:symbol val="none"/>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IPP'!$R$38:$BA$38</c:f>
              <c:numCache>
                <c:formatCode>#\ ##0.##########</c:formatCode>
                <c:ptCount val="36"/>
                <c:pt idx="0">
                  <c:v>91</c:v>
                </c:pt>
                <c:pt idx="1">
                  <c:v>91.5</c:v>
                </c:pt>
                <c:pt idx="2">
                  <c:v>91</c:v>
                </c:pt>
                <c:pt idx="3">
                  <c:v>91.4</c:v>
                </c:pt>
                <c:pt idx="4">
                  <c:v>92.9</c:v>
                </c:pt>
                <c:pt idx="5">
                  <c:v>93.7</c:v>
                </c:pt>
                <c:pt idx="6">
                  <c:v>94.1</c:v>
                </c:pt>
                <c:pt idx="7">
                  <c:v>93.9</c:v>
                </c:pt>
                <c:pt idx="8">
                  <c:v>94.9</c:v>
                </c:pt>
                <c:pt idx="9">
                  <c:v>94.9</c:v>
                </c:pt>
                <c:pt idx="10">
                  <c:v>95</c:v>
                </c:pt>
                <c:pt idx="11">
                  <c:v>96</c:v>
                </c:pt>
                <c:pt idx="12">
                  <c:v>96.3</c:v>
                </c:pt>
                <c:pt idx="13">
                  <c:v>97.5</c:v>
                </c:pt>
                <c:pt idx="14">
                  <c:v>98.8</c:v>
                </c:pt>
                <c:pt idx="15">
                  <c:v>100.6</c:v>
                </c:pt>
                <c:pt idx="16" formatCode="#\ ##0.0">
                  <c:v>99.2</c:v>
                </c:pt>
                <c:pt idx="17">
                  <c:v>99.8</c:v>
                </c:pt>
                <c:pt idx="18" formatCode="#\ ##0.0">
                  <c:v>99.6</c:v>
                </c:pt>
                <c:pt idx="19">
                  <c:v>99.2</c:v>
                </c:pt>
                <c:pt idx="20">
                  <c:v>99.7</c:v>
                </c:pt>
                <c:pt idx="21">
                  <c:v>99.4</c:v>
                </c:pt>
                <c:pt idx="22">
                  <c:v>98.7</c:v>
                </c:pt>
                <c:pt idx="23">
                  <c:v>97.9</c:v>
                </c:pt>
                <c:pt idx="24" formatCode="#\ ##0.0">
                  <c:v>95.2</c:v>
                </c:pt>
                <c:pt idx="25">
                  <c:v>80.400000000000006</c:v>
                </c:pt>
                <c:pt idx="26">
                  <c:v>93.6</c:v>
                </c:pt>
                <c:pt idx="27">
                  <c:v>98</c:v>
                </c:pt>
                <c:pt idx="28">
                  <c:v>99.6</c:v>
                </c:pt>
                <c:pt idx="29" formatCode="#\ ##0.0">
                  <c:v>99.5</c:v>
                </c:pt>
                <c:pt idx="30">
                  <c:v>99.7</c:v>
                </c:pt>
                <c:pt idx="31" formatCode="#\ ##0.0">
                  <c:v>101.2</c:v>
                </c:pt>
                <c:pt idx="32">
                  <c:v>102</c:v>
                </c:pt>
                <c:pt idx="33">
                  <c:v>102.1</c:v>
                </c:pt>
                <c:pt idx="34">
                  <c:v>104.1</c:v>
                </c:pt>
                <c:pt idx="35" formatCode="#\ ##0.0">
                  <c:v>102.8</c:v>
                </c:pt>
              </c:numCache>
            </c:numRef>
          </c:val>
          <c:smooth val="0"/>
          <c:extLst>
            <c:ext xmlns:c16="http://schemas.microsoft.com/office/drawing/2014/chart" uri="{C3380CC4-5D6E-409C-BE32-E72D297353CC}">
              <c16:uniqueId val="{0000000B-0E2E-445E-BFCE-7E98BCF602E5}"/>
            </c:ext>
          </c:extLst>
        </c:ser>
        <c:ser>
          <c:idx val="12"/>
          <c:order val="12"/>
          <c:tx>
            <c:strRef>
              <c:f>'GRAF příspěvky IPP'!$A$39</c:f>
              <c:strCache>
                <c:ptCount val="1"/>
                <c:pt idx="0">
                  <c:v>Produkce, prům. v Německu (2021=100)</c:v>
                </c:pt>
              </c:strCache>
            </c:strRef>
          </c:tx>
          <c:spPr>
            <a:ln w="15875">
              <a:solidFill>
                <a:srgbClr val="996633"/>
              </a:solidFill>
              <a:prstDash val="dash"/>
            </a:ln>
          </c:spPr>
          <c:marker>
            <c:symbol val="none"/>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IPP'!$R$39:$BA$39</c:f>
              <c:numCache>
                <c:formatCode>#\ ##0.##########</c:formatCode>
                <c:ptCount val="36"/>
                <c:pt idx="0">
                  <c:v>102.7</c:v>
                </c:pt>
                <c:pt idx="1">
                  <c:v>102.2</c:v>
                </c:pt>
                <c:pt idx="2">
                  <c:v>102.2</c:v>
                </c:pt>
                <c:pt idx="3">
                  <c:v>103.4</c:v>
                </c:pt>
                <c:pt idx="4">
                  <c:v>102.7</c:v>
                </c:pt>
                <c:pt idx="5">
                  <c:v>104</c:v>
                </c:pt>
                <c:pt idx="6">
                  <c:v>103.8</c:v>
                </c:pt>
                <c:pt idx="7">
                  <c:v>103.3</c:v>
                </c:pt>
                <c:pt idx="8">
                  <c:v>104.4</c:v>
                </c:pt>
                <c:pt idx="9">
                  <c:v>104</c:v>
                </c:pt>
                <c:pt idx="10">
                  <c:v>104.4</c:v>
                </c:pt>
                <c:pt idx="11">
                  <c:v>104.5</c:v>
                </c:pt>
                <c:pt idx="12" formatCode="#\ ##0.0">
                  <c:v>105</c:v>
                </c:pt>
                <c:pt idx="13">
                  <c:v>107</c:v>
                </c:pt>
                <c:pt idx="14">
                  <c:v>108.8</c:v>
                </c:pt>
                <c:pt idx="15">
                  <c:v>109.6</c:v>
                </c:pt>
                <c:pt idx="16">
                  <c:v>109</c:v>
                </c:pt>
                <c:pt idx="17" formatCode="#\ ##0.0">
                  <c:v>109.8</c:v>
                </c:pt>
                <c:pt idx="18">
                  <c:v>108.8</c:v>
                </c:pt>
                <c:pt idx="19">
                  <c:v>107.2</c:v>
                </c:pt>
                <c:pt idx="20">
                  <c:v>107</c:v>
                </c:pt>
                <c:pt idx="21" formatCode="#\ ##0.0">
                  <c:v>105.8</c:v>
                </c:pt>
                <c:pt idx="22">
                  <c:v>104.6</c:v>
                </c:pt>
                <c:pt idx="23">
                  <c:v>102.9</c:v>
                </c:pt>
                <c:pt idx="24" formatCode="#\ ##0.0">
                  <c:v>101.3</c:v>
                </c:pt>
                <c:pt idx="25">
                  <c:v>82.9</c:v>
                </c:pt>
                <c:pt idx="26">
                  <c:v>94.8</c:v>
                </c:pt>
                <c:pt idx="27">
                  <c:v>100.9</c:v>
                </c:pt>
                <c:pt idx="28">
                  <c:v>101.1</c:v>
                </c:pt>
                <c:pt idx="29">
                  <c:v>100</c:v>
                </c:pt>
                <c:pt idx="30">
                  <c:v>96.8</c:v>
                </c:pt>
                <c:pt idx="31">
                  <c:v>99.7</c:v>
                </c:pt>
                <c:pt idx="32">
                  <c:v>99.1</c:v>
                </c:pt>
                <c:pt idx="33" formatCode="#\ ##0.0">
                  <c:v>98.3</c:v>
                </c:pt>
                <c:pt idx="34">
                  <c:v>98.8</c:v>
                </c:pt>
                <c:pt idx="35">
                  <c:v>98.6</c:v>
                </c:pt>
              </c:numCache>
            </c:numRef>
          </c:val>
          <c:smooth val="0"/>
          <c:extLst>
            <c:ext xmlns:c16="http://schemas.microsoft.com/office/drawing/2014/chart" uri="{C3380CC4-5D6E-409C-BE32-E72D297353CC}">
              <c16:uniqueId val="{0000000C-0E2E-445E-BFCE-7E98BCF602E5}"/>
            </c:ext>
          </c:extLst>
        </c:ser>
        <c:dLbls>
          <c:showLegendKey val="0"/>
          <c:showVal val="0"/>
          <c:showCatName val="0"/>
          <c:showSerName val="0"/>
          <c:showPercent val="0"/>
          <c:showBubbleSize val="0"/>
        </c:dLbls>
        <c:marker val="1"/>
        <c:smooth val="0"/>
        <c:axId val="111046016"/>
        <c:axId val="111044096"/>
      </c:lineChart>
      <c:catAx>
        <c:axId val="111027712"/>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111029248"/>
        <c:crosses val="autoZero"/>
        <c:auto val="1"/>
        <c:lblAlgn val="ctr"/>
        <c:lblOffset val="0"/>
        <c:noMultiLvlLbl val="0"/>
      </c:catAx>
      <c:valAx>
        <c:axId val="111029248"/>
        <c:scaling>
          <c:orientation val="minMax"/>
          <c:max val="30"/>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Prům. produkce (příspěvky  k meziroč. změně)</a:t>
                </a:r>
                <a:endParaRPr lang="cs-CZ" sz="700" b="0" i="1">
                  <a:latin typeface="Arial" panose="020B0604020202020204" pitchFamily="34" charset="0"/>
                  <a:cs typeface="Arial" panose="020B0604020202020204" pitchFamily="34" charset="0"/>
                </a:endParaRPr>
              </a:p>
            </c:rich>
          </c:tx>
          <c:layout>
            <c:manualLayout>
              <c:xMode val="edge"/>
              <c:yMode val="edge"/>
              <c:x val="0"/>
              <c:y val="0.1165198004318692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1027712"/>
        <c:crosses val="autoZero"/>
        <c:crossBetween val="between"/>
        <c:majorUnit val="5"/>
      </c:valAx>
      <c:valAx>
        <c:axId val="111044096"/>
        <c:scaling>
          <c:orientation val="minMax"/>
          <c:max val="118"/>
          <c:min val="52"/>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a:t>
                </a:r>
                <a:r>
                  <a:rPr lang="cs-CZ" sz="700" b="0" i="1" baseline="0">
                    <a:latin typeface="Arial" panose="020B0604020202020204" pitchFamily="34" charset="0"/>
                    <a:cs typeface="Arial" panose="020B0604020202020204" pitchFamily="34" charset="0"/>
                  </a:rPr>
                  <a:t> </a:t>
                </a:r>
                <a:r>
                  <a:rPr lang="cs-CZ" sz="700" b="0" i="1">
                    <a:latin typeface="Arial" panose="020B0604020202020204" pitchFamily="34" charset="0"/>
                    <a:cs typeface="Arial" panose="020B0604020202020204" pitchFamily="34" charset="0"/>
                  </a:rPr>
                  <a:t>v průmyslu (báze 2015=100)</a:t>
                </a:r>
              </a:p>
            </c:rich>
          </c:tx>
          <c:layout>
            <c:manualLayout>
              <c:xMode val="edge"/>
              <c:yMode val="edge"/>
              <c:x val="0.97040158454025227"/>
              <c:y val="0.1664992231222944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1046016"/>
        <c:crosses val="max"/>
        <c:crossBetween val="between"/>
        <c:majorUnit val="6"/>
      </c:valAx>
      <c:catAx>
        <c:axId val="111046016"/>
        <c:scaling>
          <c:orientation val="minMax"/>
        </c:scaling>
        <c:delete val="1"/>
        <c:axPos val="b"/>
        <c:numFmt formatCode="General" sourceLinked="1"/>
        <c:majorTickMark val="out"/>
        <c:minorTickMark val="none"/>
        <c:tickLblPos val="none"/>
        <c:crossAx val="111044096"/>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576650680252286E-3"/>
          <c:y val="0.78956533796177808"/>
          <c:w val="0.98866589538224892"/>
          <c:h val="0.20327688625655532"/>
        </c:manualLayout>
      </c:layout>
      <c:overlay val="0"/>
      <c:spPr>
        <a:ln w="6350">
          <a:solidFill>
            <a:prstClr val="black">
              <a:lumMod val="95000"/>
              <a:lumOff val="5000"/>
            </a:prstClr>
          </a:solidFill>
        </a:ln>
      </c:spPr>
      <c:txPr>
        <a:bodyPr/>
        <a:lstStyle/>
        <a:p>
          <a:pPr>
            <a:defRPr sz="72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62E-2"/>
          <c:w val="0.84974974879787535"/>
          <c:h val="0.75063602214308567"/>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2'!$R$36:$BB$36</c:f>
              <c:numCache>
                <c:formatCode>##0.0</c:formatCode>
                <c:ptCount val="37"/>
                <c:pt idx="0">
                  <c:v>8.5341163004000009</c:v>
                </c:pt>
                <c:pt idx="1">
                  <c:v>6.3710040105000019</c:v>
                </c:pt>
                <c:pt idx="2">
                  <c:v>6.0473469386000005</c:v>
                </c:pt>
                <c:pt idx="3">
                  <c:v>5.2688430824999983</c:v>
                </c:pt>
                <c:pt idx="4">
                  <c:v>2.4833916857000005</c:v>
                </c:pt>
                <c:pt idx="5">
                  <c:v>7.131656181200003</c:v>
                </c:pt>
                <c:pt idx="6">
                  <c:v>1.9491446858999943</c:v>
                </c:pt>
                <c:pt idx="7">
                  <c:v>6.441674792900006</c:v>
                </c:pt>
                <c:pt idx="8">
                  <c:v>7.3441955548999918</c:v>
                </c:pt>
                <c:pt idx="9">
                  <c:v>8.3762247843000051</c:v>
                </c:pt>
                <c:pt idx="10">
                  <c:v>8.1209134774999949</c:v>
                </c:pt>
                <c:pt idx="11">
                  <c:v>7.2572871451999958</c:v>
                </c:pt>
                <c:pt idx="12">
                  <c:v>3.2993551214999997</c:v>
                </c:pt>
                <c:pt idx="13">
                  <c:v>2.9773571834000023</c:v>
                </c:pt>
                <c:pt idx="14">
                  <c:v>3.5300064828000037</c:v>
                </c:pt>
                <c:pt idx="15">
                  <c:v>2.4324207204000028</c:v>
                </c:pt>
                <c:pt idx="16">
                  <c:v>3.2234606388999949</c:v>
                </c:pt>
                <c:pt idx="17">
                  <c:v>2.1291359181000051</c:v>
                </c:pt>
                <c:pt idx="18">
                  <c:v>-1.1496242270000032</c:v>
                </c:pt>
                <c:pt idx="19">
                  <c:v>-2.8233445845000062</c:v>
                </c:pt>
                <c:pt idx="20">
                  <c:v>-4.1421474552000035</c:v>
                </c:pt>
                <c:pt idx="21">
                  <c:v>-27.261303375299988</c:v>
                </c:pt>
                <c:pt idx="22">
                  <c:v>-0.61408028729999864</c:v>
                </c:pt>
                <c:pt idx="23">
                  <c:v>6.5219093458999975</c:v>
                </c:pt>
                <c:pt idx="24">
                  <c:v>10.3217010777</c:v>
                </c:pt>
                <c:pt idx="25">
                  <c:v>46.907570621500014</c:v>
                </c:pt>
                <c:pt idx="26">
                  <c:v>7.4994132685999917</c:v>
                </c:pt>
                <c:pt idx="27">
                  <c:v>4.1120061736999931</c:v>
                </c:pt>
                <c:pt idx="28">
                  <c:v>6.7816411087000041</c:v>
                </c:pt>
                <c:pt idx="29">
                  <c:v>10.066743676700005</c:v>
                </c:pt>
                <c:pt idx="30">
                  <c:v>15.286388074900003</c:v>
                </c:pt>
                <c:pt idx="31">
                  <c:v>12.535319601099999</c:v>
                </c:pt>
                <c:pt idx="32">
                  <c:v>2.7921186620999952</c:v>
                </c:pt>
                <c:pt idx="33">
                  <c:v>-2.2040303884000014</c:v>
                </c:pt>
                <c:pt idx="34">
                  <c:v>-4.7535662397999907</c:v>
                </c:pt>
                <c:pt idx="35">
                  <c:v>-0.98300700549999931</c:v>
                </c:pt>
              </c:numCache>
            </c:numRef>
          </c:val>
          <c:extLst>
            <c:ext xmlns:c16="http://schemas.microsoft.com/office/drawing/2014/chart" uri="{C3380CC4-5D6E-409C-BE32-E72D297353CC}">
              <c16:uniqueId val="{00000000-A464-47C9-9677-606B40D7B443}"/>
            </c:ext>
          </c:extLst>
        </c:ser>
        <c:dLbls>
          <c:showLegendKey val="0"/>
          <c:showVal val="0"/>
          <c:showCatName val="0"/>
          <c:showSerName val="0"/>
          <c:showPercent val="0"/>
          <c:showBubbleSize val="0"/>
        </c:dLbls>
        <c:gapWidth val="30"/>
        <c:axId val="112694400"/>
        <c:axId val="112696320"/>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2'!$R$37:$BB$37</c:f>
              <c:numCache>
                <c:formatCode>#\ ##0.0</c:formatCode>
                <c:ptCount val="37"/>
                <c:pt idx="0">
                  <c:v>4.3632508753999959</c:v>
                </c:pt>
                <c:pt idx="1">
                  <c:v>9.9207675197000018</c:v>
                </c:pt>
                <c:pt idx="2">
                  <c:v>-2.8142131774000063</c:v>
                </c:pt>
                <c:pt idx="3">
                  <c:v>-0.26578169440000465</c:v>
                </c:pt>
                <c:pt idx="4">
                  <c:v>1.7666970267000017</c:v>
                </c:pt>
                <c:pt idx="5">
                  <c:v>1.7586378578999977</c:v>
                </c:pt>
                <c:pt idx="6">
                  <c:v>0.20173230330000541</c:v>
                </c:pt>
                <c:pt idx="7">
                  <c:v>2.9064722939999967</c:v>
                </c:pt>
                <c:pt idx="8">
                  <c:v>12.341459895900007</c:v>
                </c:pt>
                <c:pt idx="9">
                  <c:v>15.6910734588</c:v>
                </c:pt>
                <c:pt idx="10">
                  <c:v>15.834685004400002</c:v>
                </c:pt>
                <c:pt idx="11">
                  <c:v>15.4452270577</c:v>
                </c:pt>
                <c:pt idx="12">
                  <c:v>2.1530605192999985</c:v>
                </c:pt>
                <c:pt idx="13">
                  <c:v>2.4403062317999953</c:v>
                </c:pt>
                <c:pt idx="14">
                  <c:v>4.7510172912000002</c:v>
                </c:pt>
                <c:pt idx="15">
                  <c:v>3.3084884759999937</c:v>
                </c:pt>
                <c:pt idx="16">
                  <c:v>7.6964313707999947</c:v>
                </c:pt>
                <c:pt idx="17">
                  <c:v>5.9656126075999909</c:v>
                </c:pt>
                <c:pt idx="18">
                  <c:v>0.28507150430000666</c:v>
                </c:pt>
                <c:pt idx="19">
                  <c:v>-0.84674153630000226</c:v>
                </c:pt>
                <c:pt idx="20">
                  <c:v>0.84542569580000304</c:v>
                </c:pt>
                <c:pt idx="21">
                  <c:v>-25.680778364399988</c:v>
                </c:pt>
                <c:pt idx="22">
                  <c:v>-3.3799831941999927</c:v>
                </c:pt>
                <c:pt idx="23">
                  <c:v>5.5662240000999903</c:v>
                </c:pt>
                <c:pt idx="24">
                  <c:v>2.199425585900002</c:v>
                </c:pt>
                <c:pt idx="25">
                  <c:v>42.262362647000025</c:v>
                </c:pt>
                <c:pt idx="26">
                  <c:v>9.2531907696999998</c:v>
                </c:pt>
                <c:pt idx="27">
                  <c:v>5.7814707905999994</c:v>
                </c:pt>
                <c:pt idx="28">
                  <c:v>8.7588460454000057</c:v>
                </c:pt>
                <c:pt idx="29">
                  <c:v>15.462172667999999</c:v>
                </c:pt>
                <c:pt idx="30">
                  <c:v>26.233931226899998</c:v>
                </c:pt>
                <c:pt idx="31">
                  <c:v>19.263034980099988</c:v>
                </c:pt>
                <c:pt idx="32">
                  <c:v>11.843070749199995</c:v>
                </c:pt>
                <c:pt idx="33">
                  <c:v>2.2239528470000085</c:v>
                </c:pt>
                <c:pt idx="34">
                  <c:v>-7.2459852927999977</c:v>
                </c:pt>
                <c:pt idx="35">
                  <c:v>-0.72455172189999928</c:v>
                </c:pt>
              </c:numCache>
            </c:numRef>
          </c:val>
          <c:smooth val="0"/>
          <c:extLst>
            <c:ext xmlns:c16="http://schemas.microsoft.com/office/drawing/2014/chart" uri="{C3380CC4-5D6E-409C-BE32-E72D297353CC}">
              <c16:uniqueId val="{00000001-A464-47C9-9677-606B40D7B443}"/>
            </c:ext>
          </c:extLst>
        </c:ser>
        <c:dLbls>
          <c:showLegendKey val="0"/>
          <c:showVal val="0"/>
          <c:showCatName val="0"/>
          <c:showSerName val="0"/>
          <c:showPercent val="0"/>
          <c:showBubbleSize val="0"/>
        </c:dLbls>
        <c:marker val="1"/>
        <c:smooth val="0"/>
        <c:axId val="112694400"/>
        <c:axId val="112696320"/>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2'!$R$38:$BB$38</c:f>
              <c:numCache>
                <c:formatCode>##0.0</c:formatCode>
                <c:ptCount val="37"/>
                <c:pt idx="0">
                  <c:v>85.6</c:v>
                </c:pt>
                <c:pt idx="1">
                  <c:v>85.1</c:v>
                </c:pt>
                <c:pt idx="2">
                  <c:v>84.9</c:v>
                </c:pt>
                <c:pt idx="3">
                  <c:v>84.3</c:v>
                </c:pt>
                <c:pt idx="4">
                  <c:v>84</c:v>
                </c:pt>
                <c:pt idx="5">
                  <c:v>85.2</c:v>
                </c:pt>
                <c:pt idx="6">
                  <c:v>84</c:v>
                </c:pt>
                <c:pt idx="7">
                  <c:v>84.8</c:v>
                </c:pt>
                <c:pt idx="8">
                  <c:v>84.7</c:v>
                </c:pt>
                <c:pt idx="9">
                  <c:v>83.7</c:v>
                </c:pt>
                <c:pt idx="10">
                  <c:v>83.8</c:v>
                </c:pt>
                <c:pt idx="11">
                  <c:v>84.4</c:v>
                </c:pt>
                <c:pt idx="12">
                  <c:v>85.33</c:v>
                </c:pt>
                <c:pt idx="13">
                  <c:v>84.89</c:v>
                </c:pt>
                <c:pt idx="14">
                  <c:v>85.13</c:v>
                </c:pt>
                <c:pt idx="15">
                  <c:v>84.76</c:v>
                </c:pt>
                <c:pt idx="16">
                  <c:v>84.93</c:v>
                </c:pt>
                <c:pt idx="17">
                  <c:v>85.19</c:v>
                </c:pt>
                <c:pt idx="18">
                  <c:v>83.6</c:v>
                </c:pt>
                <c:pt idx="19">
                  <c:v>83.7</c:v>
                </c:pt>
                <c:pt idx="20">
                  <c:v>84.2</c:v>
                </c:pt>
                <c:pt idx="21">
                  <c:v>70.400000000000006</c:v>
                </c:pt>
                <c:pt idx="22">
                  <c:v>76.3</c:v>
                </c:pt>
                <c:pt idx="23">
                  <c:v>82.7</c:v>
                </c:pt>
                <c:pt idx="24">
                  <c:v>85.8</c:v>
                </c:pt>
                <c:pt idx="25">
                  <c:v>84.4</c:v>
                </c:pt>
                <c:pt idx="26">
                  <c:v>86.410000000000025</c:v>
                </c:pt>
                <c:pt idx="27">
                  <c:v>77.599999999999994</c:v>
                </c:pt>
                <c:pt idx="28">
                  <c:v>83.6</c:v>
                </c:pt>
                <c:pt idx="29">
                  <c:v>82.169999999999987</c:v>
                </c:pt>
                <c:pt idx="30">
                  <c:v>83.5</c:v>
                </c:pt>
                <c:pt idx="31">
                  <c:v>81.099999999999994</c:v>
                </c:pt>
                <c:pt idx="32">
                  <c:v>81.400000000000006</c:v>
                </c:pt>
                <c:pt idx="33">
                  <c:v>83.7</c:v>
                </c:pt>
                <c:pt idx="34">
                  <c:v>83.5</c:v>
                </c:pt>
                <c:pt idx="35">
                  <c:v>83.6</c:v>
                </c:pt>
                <c:pt idx="36">
                  <c:v>83.1</c:v>
                </c:pt>
              </c:numCache>
            </c:numRef>
          </c:val>
          <c:smooth val="0"/>
          <c:extLst>
            <c:ext xmlns:c16="http://schemas.microsoft.com/office/drawing/2014/chart" uri="{C3380CC4-5D6E-409C-BE32-E72D297353CC}">
              <c16:uniqueId val="{00000002-A464-47C9-9677-606B40D7B443}"/>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2'!$R$39:$BB$39</c:f>
              <c:numCache>
                <c:formatCode>##0.0</c:formatCode>
                <c:ptCount val="37"/>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pt idx="33">
                  <c:v>92.7</c:v>
                </c:pt>
                <c:pt idx="34">
                  <c:v>92.2</c:v>
                </c:pt>
                <c:pt idx="35">
                  <c:v>92.2</c:v>
                </c:pt>
                <c:pt idx="36">
                  <c:v>92.7</c:v>
                </c:pt>
              </c:numCache>
            </c:numRef>
          </c:val>
          <c:smooth val="0"/>
          <c:extLst>
            <c:ext xmlns:c16="http://schemas.microsoft.com/office/drawing/2014/chart" uri="{C3380CC4-5D6E-409C-BE32-E72D297353CC}">
              <c16:uniqueId val="{00000003-A464-47C9-9677-606B40D7B443}"/>
            </c:ext>
          </c:extLst>
        </c:ser>
        <c:ser>
          <c:idx val="4"/>
          <c:order val="4"/>
          <c:tx>
            <c:strRef>
              <c:f>'výkonnost odvětví 2'!$A$40</c:f>
              <c:strCache>
                <c:ptCount val="1"/>
                <c:pt idx="0">
                  <c:v>Bariéra růstu: nedostatečná poptávka</c:v>
                </c:pt>
              </c:strCache>
            </c:strRef>
          </c:tx>
          <c:spPr>
            <a:ln w="15875">
              <a:solidFill>
                <a:srgbClr val="00B050"/>
              </a:solidFill>
              <a:prstDash val="solid"/>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2'!$R$40:$BB$40</c:f>
              <c:numCache>
                <c:formatCode>#\ ##0.0</c:formatCode>
                <c:ptCount val="37"/>
                <c:pt idx="0">
                  <c:v>45.3</c:v>
                </c:pt>
                <c:pt idx="1">
                  <c:v>49.6</c:v>
                </c:pt>
                <c:pt idx="2">
                  <c:v>49.7</c:v>
                </c:pt>
                <c:pt idx="3">
                  <c:v>46.4</c:v>
                </c:pt>
                <c:pt idx="4">
                  <c:v>45.9</c:v>
                </c:pt>
                <c:pt idx="5">
                  <c:v>44.6</c:v>
                </c:pt>
                <c:pt idx="6">
                  <c:v>43.8</c:v>
                </c:pt>
                <c:pt idx="7">
                  <c:v>42.9</c:v>
                </c:pt>
                <c:pt idx="8">
                  <c:v>42.7</c:v>
                </c:pt>
                <c:pt idx="9">
                  <c:v>41</c:v>
                </c:pt>
                <c:pt idx="10">
                  <c:v>41.2</c:v>
                </c:pt>
                <c:pt idx="11">
                  <c:v>35.800000000000004</c:v>
                </c:pt>
                <c:pt idx="12">
                  <c:v>35.4</c:v>
                </c:pt>
                <c:pt idx="13">
                  <c:v>36.300000000000004</c:v>
                </c:pt>
                <c:pt idx="14">
                  <c:v>32.4</c:v>
                </c:pt>
                <c:pt idx="15">
                  <c:v>32.9</c:v>
                </c:pt>
                <c:pt idx="16">
                  <c:v>33.800000000000004</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pt idx="33">
                  <c:v>42</c:v>
                </c:pt>
                <c:pt idx="34">
                  <c:v>44.3</c:v>
                </c:pt>
                <c:pt idx="35">
                  <c:v>46.2</c:v>
                </c:pt>
                <c:pt idx="36">
                  <c:v>47.5</c:v>
                </c:pt>
              </c:numCache>
            </c:numRef>
          </c:val>
          <c:smooth val="0"/>
          <c:extLst>
            <c:ext xmlns:c16="http://schemas.microsoft.com/office/drawing/2014/chart" uri="{C3380CC4-5D6E-409C-BE32-E72D297353CC}">
              <c16:uniqueId val="{00000004-A464-47C9-9677-606B40D7B443}"/>
            </c:ext>
          </c:extLst>
        </c:ser>
        <c:ser>
          <c:idx val="5"/>
          <c:order val="5"/>
          <c:tx>
            <c:strRef>
              <c:f>'výkonnost odvětví 2'!$A$41</c:f>
              <c:strCache>
                <c:ptCount val="1"/>
                <c:pt idx="0">
                  <c:v>Bariéra růstu: nedostatek pracovníků</c:v>
                </c:pt>
              </c:strCache>
            </c:strRef>
          </c:tx>
          <c:spPr>
            <a:ln w="15875">
              <a:solidFill>
                <a:srgbClr val="37DD3B"/>
              </a:solidFill>
              <a:prstDash val="sysDash"/>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2'!$R$41:$BB$41</c:f>
              <c:numCache>
                <c:formatCode>#\ ##0.0</c:formatCode>
                <c:ptCount val="37"/>
                <c:pt idx="0">
                  <c:v>6.1</c:v>
                </c:pt>
                <c:pt idx="1">
                  <c:v>6.9</c:v>
                </c:pt>
                <c:pt idx="2">
                  <c:v>8.7000000000000011</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pt idx="33">
                  <c:v>20.6</c:v>
                </c:pt>
                <c:pt idx="34">
                  <c:v>18.899999999999999</c:v>
                </c:pt>
                <c:pt idx="35">
                  <c:v>22.5</c:v>
                </c:pt>
                <c:pt idx="36">
                  <c:v>14.6</c:v>
                </c:pt>
              </c:numCache>
            </c:numRef>
          </c:val>
          <c:smooth val="0"/>
          <c:extLst>
            <c:ext xmlns:c16="http://schemas.microsoft.com/office/drawing/2014/chart" uri="{C3380CC4-5D6E-409C-BE32-E72D297353CC}">
              <c16:uniqueId val="{00000005-A464-47C9-9677-606B40D7B443}"/>
            </c:ext>
          </c:extLst>
        </c:ser>
        <c:ser>
          <c:idx val="6"/>
          <c:order val="6"/>
          <c:tx>
            <c:strRef>
              <c:f>'výkonnost odvětví 2'!$A$42</c:f>
              <c:strCache>
                <c:ptCount val="1"/>
                <c:pt idx="0">
                  <c:v>Bariéra růstu: nedost. materiálu a zařízení</c:v>
                </c:pt>
              </c:strCache>
            </c:strRef>
          </c:tx>
          <c:spPr>
            <a:ln w="15875">
              <a:solidFill>
                <a:schemeClr val="accent3">
                  <a:lumMod val="75000"/>
                </a:schemeClr>
              </a:solidFill>
              <a:prstDash val="dash"/>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2'!$R$42:$BB$42</c:f>
              <c:numCache>
                <c:formatCode>#\ ##0.0</c:formatCode>
                <c:ptCount val="37"/>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10.200000000000001</c:v>
                </c:pt>
                <c:pt idx="22">
                  <c:v>6.7</c:v>
                </c:pt>
                <c:pt idx="23">
                  <c:v>10.9</c:v>
                </c:pt>
                <c:pt idx="24">
                  <c:v>23.1</c:v>
                </c:pt>
                <c:pt idx="25">
                  <c:v>32.1</c:v>
                </c:pt>
                <c:pt idx="26">
                  <c:v>45.9</c:v>
                </c:pt>
                <c:pt idx="27">
                  <c:v>41.2</c:v>
                </c:pt>
                <c:pt idx="28">
                  <c:v>39.300000000000004</c:v>
                </c:pt>
                <c:pt idx="29">
                  <c:v>47.8</c:v>
                </c:pt>
                <c:pt idx="30">
                  <c:v>53.4</c:v>
                </c:pt>
                <c:pt idx="31">
                  <c:v>46.4</c:v>
                </c:pt>
                <c:pt idx="32">
                  <c:v>37.4</c:v>
                </c:pt>
                <c:pt idx="33">
                  <c:v>32.5</c:v>
                </c:pt>
                <c:pt idx="34">
                  <c:v>20.6</c:v>
                </c:pt>
                <c:pt idx="35">
                  <c:v>17.100000000000001</c:v>
                </c:pt>
                <c:pt idx="36">
                  <c:v>32.700000000000003</c:v>
                </c:pt>
              </c:numCache>
            </c:numRef>
          </c:val>
          <c:smooth val="0"/>
          <c:extLst>
            <c:ext xmlns:c16="http://schemas.microsoft.com/office/drawing/2014/chart" uri="{C3380CC4-5D6E-409C-BE32-E72D297353CC}">
              <c16:uniqueId val="{00000006-A464-47C9-9677-606B40D7B443}"/>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2'!$R$43:$BB$43</c:f>
              <c:numCache>
                <c:formatCode>#\ ##0.0</c:formatCode>
                <c:ptCount val="37"/>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0.30000000000000016</c:v>
                </c:pt>
                <c:pt idx="17">
                  <c:v>-2</c:v>
                </c:pt>
                <c:pt idx="18">
                  <c:v>-3</c:v>
                </c:pt>
                <c:pt idx="19">
                  <c:v>-6.7</c:v>
                </c:pt>
                <c:pt idx="20">
                  <c:v>-5</c:v>
                </c:pt>
                <c:pt idx="21">
                  <c:v>-25</c:v>
                </c:pt>
                <c:pt idx="22">
                  <c:v>-6.3</c:v>
                </c:pt>
                <c:pt idx="23">
                  <c:v>-10</c:v>
                </c:pt>
                <c:pt idx="24">
                  <c:v>-1.3</c:v>
                </c:pt>
                <c:pt idx="25">
                  <c:v>5.3</c:v>
                </c:pt>
                <c:pt idx="26">
                  <c:v>-1.3</c:v>
                </c:pt>
                <c:pt idx="27">
                  <c:v>-5.3</c:v>
                </c:pt>
                <c:pt idx="28">
                  <c:v>-0.30000000000000016</c:v>
                </c:pt>
                <c:pt idx="29">
                  <c:v>8.3000000000000007</c:v>
                </c:pt>
                <c:pt idx="30">
                  <c:v>-1.7</c:v>
                </c:pt>
                <c:pt idx="31">
                  <c:v>-8.3000000000000007</c:v>
                </c:pt>
                <c:pt idx="32">
                  <c:v>-10.1</c:v>
                </c:pt>
                <c:pt idx="33">
                  <c:v>-7</c:v>
                </c:pt>
                <c:pt idx="34">
                  <c:v>-7</c:v>
                </c:pt>
                <c:pt idx="35">
                  <c:v>-6</c:v>
                </c:pt>
                <c:pt idx="36">
                  <c:v>-14</c:v>
                </c:pt>
              </c:numCache>
            </c:numRef>
          </c:val>
          <c:smooth val="0"/>
          <c:extLst>
            <c:ext xmlns:c16="http://schemas.microsoft.com/office/drawing/2014/chart" uri="{C3380CC4-5D6E-409C-BE32-E72D297353CC}">
              <c16:uniqueId val="{00000007-A464-47C9-9677-606B40D7B443}"/>
            </c:ext>
          </c:extLst>
        </c:ser>
        <c:dLbls>
          <c:showLegendKey val="0"/>
          <c:showVal val="0"/>
          <c:showCatName val="0"/>
          <c:showSerName val="0"/>
          <c:showPercent val="0"/>
          <c:showBubbleSize val="0"/>
        </c:dLbls>
        <c:marker val="1"/>
        <c:smooth val="0"/>
        <c:axId val="112704512"/>
        <c:axId val="112702592"/>
      </c:lineChart>
      <c:catAx>
        <c:axId val="112694400"/>
        <c:scaling>
          <c:orientation val="minMax"/>
        </c:scaling>
        <c:delete val="0"/>
        <c:axPos val="b"/>
        <c:numFmt formatCode="General" sourceLinked="1"/>
        <c:majorTickMark val="out"/>
        <c:minorTickMark val="none"/>
        <c:tickLblPos val="low"/>
        <c:crossAx val="112696320"/>
        <c:crosses val="autoZero"/>
        <c:auto val="1"/>
        <c:lblAlgn val="ctr"/>
        <c:lblOffset val="0"/>
        <c:noMultiLvlLbl val="0"/>
      </c:catAx>
      <c:valAx>
        <c:axId val="112696320"/>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Zakázky</a:t>
                </a:r>
              </a:p>
            </c:rich>
          </c:tx>
          <c:layout/>
          <c:overlay val="0"/>
        </c:title>
        <c:numFmt formatCode="0" sourceLinked="0"/>
        <c:majorTickMark val="out"/>
        <c:minorTickMark val="none"/>
        <c:tickLblPos val="nextTo"/>
        <c:crossAx val="112694400"/>
        <c:crosses val="autoZero"/>
        <c:crossBetween val="between"/>
        <c:majorUnit val="10"/>
      </c:valAx>
      <c:valAx>
        <c:axId val="112702592"/>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layout/>
          <c:overlay val="0"/>
        </c:title>
        <c:numFmt formatCode="#,##0" sourceLinked="0"/>
        <c:majorTickMark val="out"/>
        <c:minorTickMark val="none"/>
        <c:tickLblPos val="nextTo"/>
        <c:crossAx val="112704512"/>
        <c:crosses val="max"/>
        <c:crossBetween val="between"/>
        <c:majorUnit val="10"/>
      </c:valAx>
      <c:catAx>
        <c:axId val="112704512"/>
        <c:scaling>
          <c:orientation val="minMax"/>
        </c:scaling>
        <c:delete val="1"/>
        <c:axPos val="b"/>
        <c:numFmt formatCode="General" sourceLinked="1"/>
        <c:majorTickMark val="out"/>
        <c:minorTickMark val="none"/>
        <c:tickLblPos val="none"/>
        <c:crossAx val="112702592"/>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0624233317307999E-3"/>
          <c:y val="0.85586448957034"/>
          <c:w val="0.98943298357870757"/>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299E-2"/>
          <c:y val="1.566355099937029E-2"/>
          <c:w val="0.85237839893753009"/>
          <c:h val="0.7541319148337039"/>
        </c:manualLayout>
      </c:layout>
      <c:barChart>
        <c:barDir val="col"/>
        <c:grouping val="stacked"/>
        <c:varyColors val="0"/>
        <c:ser>
          <c:idx val="1"/>
          <c:order val="1"/>
          <c:tx>
            <c:strRef>
              <c:f>'výkonnost odvětví 3'!$Y$10</c:f>
              <c:strCache>
                <c:ptCount val="1"/>
                <c:pt idx="0">
                  <c:v>Pozemní stavitelství (příspěvek v p. b.)</c:v>
                </c:pt>
              </c:strCache>
            </c:strRef>
          </c:tx>
          <c:spPr>
            <a:solidFill>
              <a:schemeClr val="accent5">
                <a:lumMod val="60000"/>
                <a:lumOff val="40000"/>
              </a:schemeClr>
            </a:solidFill>
            <a:ln>
              <a:noFill/>
            </a:ln>
          </c:spPr>
          <c:invertIfNegative val="0"/>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3'!$Y$31:$Y$67</c:f>
              <c:numCache>
                <c:formatCode>0.0</c:formatCode>
                <c:ptCount val="37"/>
                <c:pt idx="0">
                  <c:v>5.7487165794114414</c:v>
                </c:pt>
                <c:pt idx="1">
                  <c:v>4.7489923277143404</c:v>
                </c:pt>
                <c:pt idx="2">
                  <c:v>0.72860376801438365</c:v>
                </c:pt>
                <c:pt idx="3">
                  <c:v>-1.5997494872130955</c:v>
                </c:pt>
                <c:pt idx="4">
                  <c:v>-4.5800585311347017</c:v>
                </c:pt>
                <c:pt idx="5">
                  <c:v>-4.836443212604423</c:v>
                </c:pt>
                <c:pt idx="6">
                  <c:v>0.76734536322152413</c:v>
                </c:pt>
                <c:pt idx="7">
                  <c:v>3.5913890122868475</c:v>
                </c:pt>
                <c:pt idx="8">
                  <c:v>1.8184391409963196</c:v>
                </c:pt>
                <c:pt idx="9">
                  <c:v>9.5161866462127662</c:v>
                </c:pt>
                <c:pt idx="10">
                  <c:v>3.265048095664707</c:v>
                </c:pt>
                <c:pt idx="11">
                  <c:v>2.30805126241866</c:v>
                </c:pt>
                <c:pt idx="12">
                  <c:v>13.039459362857242</c:v>
                </c:pt>
                <c:pt idx="13">
                  <c:v>5.6850806062932726</c:v>
                </c:pt>
                <c:pt idx="14">
                  <c:v>7.0360284655916914</c:v>
                </c:pt>
                <c:pt idx="15">
                  <c:v>2.3869078764089542</c:v>
                </c:pt>
                <c:pt idx="16">
                  <c:v>2.4727635166988851</c:v>
                </c:pt>
                <c:pt idx="17">
                  <c:v>2.9341574628565152</c:v>
                </c:pt>
                <c:pt idx="18">
                  <c:v>-0.67535503037810707</c:v>
                </c:pt>
                <c:pt idx="19">
                  <c:v>1.7116954805541666</c:v>
                </c:pt>
                <c:pt idx="20">
                  <c:v>-0.69584807703082341</c:v>
                </c:pt>
                <c:pt idx="21">
                  <c:v>-7.7523651483361782</c:v>
                </c:pt>
                <c:pt idx="22">
                  <c:v>-7.0746219815718181</c:v>
                </c:pt>
                <c:pt idx="23">
                  <c:v>-7.7412314636348443</c:v>
                </c:pt>
                <c:pt idx="24">
                  <c:v>-5.0450398313583511</c:v>
                </c:pt>
                <c:pt idx="25">
                  <c:v>2.5090828582971341</c:v>
                </c:pt>
                <c:pt idx="26">
                  <c:v>2.6816402699754662</c:v>
                </c:pt>
                <c:pt idx="27">
                  <c:v>5.4225269957941631</c:v>
                </c:pt>
                <c:pt idx="28">
                  <c:v>7.3097519144984444</c:v>
                </c:pt>
                <c:pt idx="29">
                  <c:v>3.5253941419268551</c:v>
                </c:pt>
                <c:pt idx="30">
                  <c:v>-0.75775125964245804</c:v>
                </c:pt>
                <c:pt idx="31">
                  <c:v>-1.48871654010578</c:v>
                </c:pt>
                <c:pt idx="32">
                  <c:v>2.1226111374930907</c:v>
                </c:pt>
                <c:pt idx="33">
                  <c:v>-1.877499701845601</c:v>
                </c:pt>
                <c:pt idx="34">
                  <c:v>-0.49102403109004811</c:v>
                </c:pt>
                <c:pt idx="35">
                  <c:v>-2.3354410324391388</c:v>
                </c:pt>
              </c:numCache>
            </c:numRef>
          </c:val>
          <c:extLst>
            <c:ext xmlns:c16="http://schemas.microsoft.com/office/drawing/2014/chart" uri="{C3380CC4-5D6E-409C-BE32-E72D297353CC}">
              <c16:uniqueId val="{00000000-CBD7-4267-B2CD-EE6D8D98C747}"/>
            </c:ext>
          </c:extLst>
        </c:ser>
        <c:ser>
          <c:idx val="2"/>
          <c:order val="2"/>
          <c:tx>
            <c:strRef>
              <c:f>'výkonnost odvětví 3'!$Z$10</c:f>
              <c:strCache>
                <c:ptCount val="1"/>
                <c:pt idx="0">
                  <c:v>Inženýrské stavitelství (příspěvek v p. b.)</c:v>
                </c:pt>
              </c:strCache>
            </c:strRef>
          </c:tx>
          <c:spPr>
            <a:solidFill>
              <a:schemeClr val="accent2">
                <a:lumMod val="60000"/>
                <a:lumOff val="40000"/>
              </a:schemeClr>
            </a:solidFill>
            <a:ln>
              <a:noFill/>
            </a:ln>
          </c:spPr>
          <c:invertIfNegative val="0"/>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3'!$Z$31:$Z$67</c:f>
              <c:numCache>
                <c:formatCode>0.0</c:formatCode>
                <c:ptCount val="37"/>
                <c:pt idx="0">
                  <c:v>3.8654453061663485</c:v>
                </c:pt>
                <c:pt idx="1">
                  <c:v>8.4074328223660526</c:v>
                </c:pt>
                <c:pt idx="2">
                  <c:v>8.536513170572011</c:v>
                </c:pt>
                <c:pt idx="3">
                  <c:v>3.3830353457973694</c:v>
                </c:pt>
                <c:pt idx="4">
                  <c:v>-1.4655710356774876</c:v>
                </c:pt>
                <c:pt idx="5">
                  <c:v>-6.4494987337786833</c:v>
                </c:pt>
                <c:pt idx="6">
                  <c:v>-8.0288007564184181</c:v>
                </c:pt>
                <c:pt idx="7">
                  <c:v>-6.8710829128275535</c:v>
                </c:pt>
                <c:pt idx="8">
                  <c:v>-4.1473356084740605</c:v>
                </c:pt>
                <c:pt idx="9">
                  <c:v>-1.1362269417632553</c:v>
                </c:pt>
                <c:pt idx="10">
                  <c:v>-1.6997694917449733</c:v>
                </c:pt>
                <c:pt idx="11">
                  <c:v>0.18912136047288941</c:v>
                </c:pt>
                <c:pt idx="12">
                  <c:v>2.3138551611840663</c:v>
                </c:pt>
                <c:pt idx="13">
                  <c:v>1.4433818342413161</c:v>
                </c:pt>
                <c:pt idx="14">
                  <c:v>5.805340800033207</c:v>
                </c:pt>
                <c:pt idx="15">
                  <c:v>2.0257219814852485</c:v>
                </c:pt>
                <c:pt idx="16">
                  <c:v>2.8832113797347176</c:v>
                </c:pt>
                <c:pt idx="17">
                  <c:v>2.2916559515195787</c:v>
                </c:pt>
                <c:pt idx="18">
                  <c:v>0.12751036500530569</c:v>
                </c:pt>
                <c:pt idx="19">
                  <c:v>0.80716183036284461</c:v>
                </c:pt>
                <c:pt idx="20">
                  <c:v>2.6239699221333548</c:v>
                </c:pt>
                <c:pt idx="21">
                  <c:v>0.26317252359280213</c:v>
                </c:pt>
                <c:pt idx="22">
                  <c:v>-3.3347591135837242</c:v>
                </c:pt>
                <c:pt idx="23">
                  <c:v>-0.42839192125115333</c:v>
                </c:pt>
                <c:pt idx="24">
                  <c:v>-0.40013342088039272</c:v>
                </c:pt>
                <c:pt idx="25">
                  <c:v>1.8499271498528127</c:v>
                </c:pt>
                <c:pt idx="26">
                  <c:v>0.52643056708366931</c:v>
                </c:pt>
                <c:pt idx="27">
                  <c:v>-1.0593514317463362</c:v>
                </c:pt>
                <c:pt idx="28">
                  <c:v>5.3463617708932967</c:v>
                </c:pt>
                <c:pt idx="29">
                  <c:v>1.3464817358451515</c:v>
                </c:pt>
                <c:pt idx="30">
                  <c:v>0.66675188924701723</c:v>
                </c:pt>
                <c:pt idx="31">
                  <c:v>1.4255889331967371</c:v>
                </c:pt>
                <c:pt idx="32">
                  <c:v>-3.8431677536563198</c:v>
                </c:pt>
                <c:pt idx="33">
                  <c:v>-2.3463667261777483</c:v>
                </c:pt>
                <c:pt idx="34">
                  <c:v>-0.12151528030899852</c:v>
                </c:pt>
                <c:pt idx="35">
                  <c:v>-0.5708774009900186</c:v>
                </c:pt>
              </c:numCache>
            </c:numRef>
          </c:val>
          <c:extLst>
            <c:ext xmlns:c16="http://schemas.microsoft.com/office/drawing/2014/chart" uri="{C3380CC4-5D6E-409C-BE32-E72D297353CC}">
              <c16:uniqueId val="{00000001-CBD7-4267-B2CD-EE6D8D98C747}"/>
            </c:ext>
          </c:extLst>
        </c:ser>
        <c:dLbls>
          <c:showLegendKey val="0"/>
          <c:showVal val="0"/>
          <c:showCatName val="0"/>
          <c:showSerName val="0"/>
          <c:showPercent val="0"/>
          <c:showBubbleSize val="0"/>
        </c:dLbls>
        <c:gapWidth val="30"/>
        <c:overlap val="100"/>
        <c:axId val="112839296"/>
        <c:axId val="112838528"/>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5"/>
            <c:spPr>
              <a:solidFill>
                <a:schemeClr val="bg1"/>
              </a:solidFill>
              <a:ln>
                <a:solidFill>
                  <a:schemeClr val="tx1">
                    <a:lumMod val="95000"/>
                    <a:lumOff val="5000"/>
                  </a:schemeClr>
                </a:solidFill>
              </a:ln>
            </c:spPr>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3'!$X$31:$X$67</c:f>
              <c:numCache>
                <c:formatCode>0.0</c:formatCode>
                <c:ptCount val="37"/>
                <c:pt idx="0">
                  <c:v>9.6141618855777935</c:v>
                </c:pt>
                <c:pt idx="1">
                  <c:v>13.156425150080382</c:v>
                </c:pt>
                <c:pt idx="2">
                  <c:v>9.2651169385864076</c:v>
                </c:pt>
                <c:pt idx="3">
                  <c:v>1.7832858585842644</c:v>
                </c:pt>
                <c:pt idx="4">
                  <c:v>-6.0456295668121696</c:v>
                </c:pt>
                <c:pt idx="5">
                  <c:v>-11.28594194638309</c:v>
                </c:pt>
                <c:pt idx="6">
                  <c:v>-7.2614553931968828</c:v>
                </c:pt>
                <c:pt idx="7">
                  <c:v>-3.2796939005406931</c:v>
                </c:pt>
                <c:pt idx="8">
                  <c:v>-2.3288964674777475</c:v>
                </c:pt>
                <c:pt idx="9">
                  <c:v>8.3799597044495204</c:v>
                </c:pt>
                <c:pt idx="10">
                  <c:v>1.5652786039197224</c:v>
                </c:pt>
                <c:pt idx="11">
                  <c:v>2.4971726228915552</c:v>
                </c:pt>
                <c:pt idx="12">
                  <c:v>15.353314524041304</c:v>
                </c:pt>
                <c:pt idx="13">
                  <c:v>7.1284624405345784</c:v>
                </c:pt>
                <c:pt idx="14">
                  <c:v>12.84136926562492</c:v>
                </c:pt>
                <c:pt idx="15">
                  <c:v>4.4126298578941894</c:v>
                </c:pt>
                <c:pt idx="16">
                  <c:v>5.3559748964336054</c:v>
                </c:pt>
                <c:pt idx="17">
                  <c:v>5.2258134143760895</c:v>
                </c:pt>
                <c:pt idx="18">
                  <c:v>-0.54784466537279319</c:v>
                </c:pt>
                <c:pt idx="19">
                  <c:v>2.5188573109170278</c:v>
                </c:pt>
                <c:pt idx="20">
                  <c:v>1.9281218451025097</c:v>
                </c:pt>
                <c:pt idx="21">
                  <c:v>-7.4891926247433576</c:v>
                </c:pt>
                <c:pt idx="22">
                  <c:v>-10.409381095155553</c:v>
                </c:pt>
                <c:pt idx="23">
                  <c:v>-8.1696233848860107</c:v>
                </c:pt>
                <c:pt idx="24">
                  <c:v>-5.4451732522387175</c:v>
                </c:pt>
                <c:pt idx="25">
                  <c:v>4.3590100081499346</c:v>
                </c:pt>
                <c:pt idx="26">
                  <c:v>3.2080708370591395</c:v>
                </c:pt>
                <c:pt idx="27">
                  <c:v>4.3631755640478334</c:v>
                </c:pt>
                <c:pt idx="28">
                  <c:v>12.656113685391713</c:v>
                </c:pt>
                <c:pt idx="29">
                  <c:v>4.8718758777719948</c:v>
                </c:pt>
                <c:pt idx="30">
                  <c:v>-9.0999370395437124E-2</c:v>
                </c:pt>
                <c:pt idx="31">
                  <c:v>-6.3127606909034781E-2</c:v>
                </c:pt>
                <c:pt idx="32">
                  <c:v>-1.720556616163222</c:v>
                </c:pt>
                <c:pt idx="33">
                  <c:v>-4.2238664280233422</c:v>
                </c:pt>
                <c:pt idx="34">
                  <c:v>-0.61253931139906115</c:v>
                </c:pt>
                <c:pt idx="35">
                  <c:v>-2.9063184334291461</c:v>
                </c:pt>
              </c:numCache>
            </c:numRef>
          </c:val>
          <c:smooth val="0"/>
          <c:extLst>
            <c:ext xmlns:c16="http://schemas.microsoft.com/office/drawing/2014/chart" uri="{C3380CC4-5D6E-409C-BE32-E72D297353CC}">
              <c16:uniqueId val="{00000002-CBD7-4267-B2CD-EE6D8D98C747}"/>
            </c:ext>
          </c:extLst>
        </c:ser>
        <c:ser>
          <c:idx val="3"/>
          <c:order val="3"/>
          <c:tx>
            <c:strRef>
              <c:f>'výkonnost odvětví 3'!$AA$10</c:f>
              <c:strCache>
                <c:ptCount val="1"/>
                <c:pt idx="0">
                  <c:v>Nové stavební zakázky v tuzemsku</c:v>
                </c:pt>
              </c:strCache>
            </c:strRef>
          </c:tx>
          <c:spPr>
            <a:ln w="9525">
              <a:solidFill>
                <a:srgbClr val="984807"/>
              </a:solidFill>
              <a:prstDash val="sysDot"/>
            </a:ln>
          </c:spPr>
          <c:marker>
            <c:symbol val="diamond"/>
            <c:size val="4"/>
            <c:spPr>
              <a:solidFill>
                <a:srgbClr val="996633"/>
              </a:solidFill>
              <a:ln>
                <a:solidFill>
                  <a:srgbClr val="984807"/>
                </a:solidFill>
              </a:ln>
            </c:spPr>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3'!$AA$31:$AA$67</c:f>
              <c:numCache>
                <c:formatCode>0.0</c:formatCode>
                <c:ptCount val="37"/>
                <c:pt idx="0">
                  <c:v>-3.1547956675580053</c:v>
                </c:pt>
                <c:pt idx="1">
                  <c:v>9.7504961091663258</c:v>
                </c:pt>
                <c:pt idx="2">
                  <c:v>-1.0976060227612556</c:v>
                </c:pt>
                <c:pt idx="3">
                  <c:v>-2.3987783410040464</c:v>
                </c:pt>
                <c:pt idx="4">
                  <c:v>-6.6406358945753805</c:v>
                </c:pt>
                <c:pt idx="5">
                  <c:v>-0.49977652269311085</c:v>
                </c:pt>
                <c:pt idx="6">
                  <c:v>-7.0322087253454839</c:v>
                </c:pt>
                <c:pt idx="7">
                  <c:v>10.122126124559955</c:v>
                </c:pt>
                <c:pt idx="8">
                  <c:v>16.177217458847448</c:v>
                </c:pt>
                <c:pt idx="9">
                  <c:v>9.5350878984013061</c:v>
                </c:pt>
                <c:pt idx="10">
                  <c:v>-1.2817324431350698</c:v>
                </c:pt>
                <c:pt idx="11">
                  <c:v>15.620806693503823</c:v>
                </c:pt>
                <c:pt idx="12">
                  <c:v>30.10697387368857</c:v>
                </c:pt>
                <c:pt idx="13">
                  <c:v>32.836878110611956</c:v>
                </c:pt>
                <c:pt idx="14">
                  <c:v>5.2768249907951228</c:v>
                </c:pt>
                <c:pt idx="15">
                  <c:v>1.8944565811032286</c:v>
                </c:pt>
                <c:pt idx="16">
                  <c:v>14.157245632065782</c:v>
                </c:pt>
                <c:pt idx="17">
                  <c:v>-9.3849543241233189</c:v>
                </c:pt>
                <c:pt idx="18">
                  <c:v>17.407871000993993</c:v>
                </c:pt>
                <c:pt idx="19">
                  <c:v>5.8323004254463795</c:v>
                </c:pt>
                <c:pt idx="20">
                  <c:v>-12.441635069859251</c:v>
                </c:pt>
                <c:pt idx="21">
                  <c:v>7.4973457220286717</c:v>
                </c:pt>
                <c:pt idx="22">
                  <c:v>2.0599736606932866</c:v>
                </c:pt>
                <c:pt idx="23">
                  <c:v>7.5507850088630155</c:v>
                </c:pt>
                <c:pt idx="24">
                  <c:v>28.856340981154403</c:v>
                </c:pt>
                <c:pt idx="25">
                  <c:v>22.047871359987191</c:v>
                </c:pt>
                <c:pt idx="26">
                  <c:v>10.015015612184264</c:v>
                </c:pt>
                <c:pt idx="27">
                  <c:v>1.0053213537781136</c:v>
                </c:pt>
                <c:pt idx="28">
                  <c:v>13.067478460417865</c:v>
                </c:pt>
                <c:pt idx="29">
                  <c:v>17.619163607261132</c:v>
                </c:pt>
                <c:pt idx="30">
                  <c:v>12.421954480552536</c:v>
                </c:pt>
                <c:pt idx="31">
                  <c:v>13.031852753748723</c:v>
                </c:pt>
                <c:pt idx="32">
                  <c:v>-10.144501025957547</c:v>
                </c:pt>
                <c:pt idx="33">
                  <c:v>-18.697561390531927</c:v>
                </c:pt>
                <c:pt idx="34">
                  <c:v>27.51481685466289</c:v>
                </c:pt>
                <c:pt idx="35">
                  <c:v>9.3063425617587541</c:v>
                </c:pt>
              </c:numCache>
            </c:numRef>
          </c:val>
          <c:smooth val="0"/>
          <c:extLst>
            <c:ext xmlns:c16="http://schemas.microsoft.com/office/drawing/2014/chart" uri="{C3380CC4-5D6E-409C-BE32-E72D297353CC}">
              <c16:uniqueId val="{00000003-CBD7-4267-B2CD-EE6D8D98C747}"/>
            </c:ext>
          </c:extLst>
        </c:ser>
        <c:dLbls>
          <c:showLegendKey val="0"/>
          <c:showVal val="0"/>
          <c:showCatName val="0"/>
          <c:showSerName val="0"/>
          <c:showPercent val="0"/>
          <c:showBubbleSize val="0"/>
        </c:dLbls>
        <c:marker val="1"/>
        <c:smooth val="0"/>
        <c:axId val="112839296"/>
        <c:axId val="112838528"/>
      </c:lineChart>
      <c:lineChart>
        <c:grouping val="standard"/>
        <c:varyColors val="0"/>
        <c:ser>
          <c:idx val="4"/>
          <c:order val="4"/>
          <c:tx>
            <c:strRef>
              <c:f>'výkonnost odvětví 3'!$AB$10</c:f>
              <c:strCache>
                <c:ptCount val="1"/>
                <c:pt idx="0">
                  <c:v>Bariéra růstu: nedostatečná poptávka</c:v>
                </c:pt>
              </c:strCache>
            </c:strRef>
          </c:tx>
          <c:spPr>
            <a:ln w="15875">
              <a:solidFill>
                <a:srgbClr val="00B050"/>
              </a:solidFill>
              <a:prstDash val="solid"/>
            </a:ln>
          </c:spPr>
          <c:marker>
            <c:symbol val="none"/>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3'!$AB$31:$AB$67</c:f>
              <c:numCache>
                <c:formatCode>#\ ##0.0</c:formatCode>
                <c:ptCount val="37"/>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pt idx="32">
                  <c:v>31.9</c:v>
                </c:pt>
                <c:pt idx="33">
                  <c:v>32.300000000000004</c:v>
                </c:pt>
                <c:pt idx="34">
                  <c:v>36.300000000000004</c:v>
                </c:pt>
                <c:pt idx="35">
                  <c:v>29.2</c:v>
                </c:pt>
                <c:pt idx="36">
                  <c:v>20.5</c:v>
                </c:pt>
              </c:numCache>
            </c:numRef>
          </c:val>
          <c:smooth val="0"/>
          <c:extLst>
            <c:ext xmlns:c16="http://schemas.microsoft.com/office/drawing/2014/chart" uri="{C3380CC4-5D6E-409C-BE32-E72D297353CC}">
              <c16:uniqueId val="{00000004-CBD7-4267-B2CD-EE6D8D98C747}"/>
            </c:ext>
          </c:extLst>
        </c:ser>
        <c:ser>
          <c:idx val="5"/>
          <c:order val="5"/>
          <c:tx>
            <c:strRef>
              <c:f>'výkonnost odvětví 3'!$AC$10</c:f>
              <c:strCache>
                <c:ptCount val="1"/>
                <c:pt idx="0">
                  <c:v>Bariéra růstu: nedostatek pracovníků</c:v>
                </c:pt>
              </c:strCache>
            </c:strRef>
          </c:tx>
          <c:spPr>
            <a:ln w="15875">
              <a:solidFill>
                <a:schemeClr val="accent3">
                  <a:lumMod val="75000"/>
                </a:schemeClr>
              </a:solidFill>
              <a:prstDash val="dash"/>
            </a:ln>
          </c:spPr>
          <c:marker>
            <c:symbol val="none"/>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3'!$AC$31:$AC$67</c:f>
              <c:numCache>
                <c:formatCode>#\ ##0.0</c:formatCode>
                <c:ptCount val="37"/>
                <c:pt idx="0">
                  <c:v>8.3000000000000007</c:v>
                </c:pt>
                <c:pt idx="1">
                  <c:v>8.1</c:v>
                </c:pt>
                <c:pt idx="2">
                  <c:v>6.1</c:v>
                </c:pt>
                <c:pt idx="3">
                  <c:v>6</c:v>
                </c:pt>
                <c:pt idx="4">
                  <c:v>6.5</c:v>
                </c:pt>
                <c:pt idx="5">
                  <c:v>7.2</c:v>
                </c:pt>
                <c:pt idx="6">
                  <c:v>7.1</c:v>
                </c:pt>
                <c:pt idx="7">
                  <c:v>10.4</c:v>
                </c:pt>
                <c:pt idx="8">
                  <c:v>13.9</c:v>
                </c:pt>
                <c:pt idx="9">
                  <c:v>14.9</c:v>
                </c:pt>
                <c:pt idx="10">
                  <c:v>21.7</c:v>
                </c:pt>
                <c:pt idx="11">
                  <c:v>21.3</c:v>
                </c:pt>
                <c:pt idx="12">
                  <c:v>27</c:v>
                </c:pt>
                <c:pt idx="13">
                  <c:v>30.1</c:v>
                </c:pt>
                <c:pt idx="14">
                  <c:v>28.5</c:v>
                </c:pt>
                <c:pt idx="15">
                  <c:v>38.4</c:v>
                </c:pt>
                <c:pt idx="16">
                  <c:v>36.4</c:v>
                </c:pt>
                <c:pt idx="17">
                  <c:v>43.4</c:v>
                </c:pt>
                <c:pt idx="18">
                  <c:v>50.4</c:v>
                </c:pt>
                <c:pt idx="19">
                  <c:v>46.4</c:v>
                </c:pt>
                <c:pt idx="20">
                  <c:v>51.8</c:v>
                </c:pt>
                <c:pt idx="21">
                  <c:v>46</c:v>
                </c:pt>
                <c:pt idx="22">
                  <c:v>35.9</c:v>
                </c:pt>
                <c:pt idx="23" formatCode="0.0">
                  <c:v>32.1</c:v>
                </c:pt>
                <c:pt idx="24">
                  <c:v>47.9</c:v>
                </c:pt>
                <c:pt idx="25">
                  <c:v>31.7</c:v>
                </c:pt>
                <c:pt idx="26">
                  <c:v>41.4</c:v>
                </c:pt>
                <c:pt idx="27">
                  <c:v>42.5</c:v>
                </c:pt>
                <c:pt idx="28">
                  <c:v>57.2</c:v>
                </c:pt>
                <c:pt idx="29">
                  <c:v>44.3</c:v>
                </c:pt>
                <c:pt idx="30">
                  <c:v>39.4</c:v>
                </c:pt>
                <c:pt idx="31">
                  <c:v>47.3</c:v>
                </c:pt>
                <c:pt idx="32">
                  <c:v>39.5</c:v>
                </c:pt>
                <c:pt idx="33">
                  <c:v>35.5</c:v>
                </c:pt>
                <c:pt idx="34">
                  <c:v>30.3</c:v>
                </c:pt>
                <c:pt idx="35">
                  <c:v>30.9</c:v>
                </c:pt>
                <c:pt idx="36">
                  <c:v>54.4</c:v>
                </c:pt>
              </c:numCache>
            </c:numRef>
          </c:val>
          <c:smooth val="0"/>
          <c:extLst>
            <c:ext xmlns:c16="http://schemas.microsoft.com/office/drawing/2014/chart" uri="{C3380CC4-5D6E-409C-BE32-E72D297353CC}">
              <c16:uniqueId val="{00000005-CBD7-4267-B2CD-EE6D8D98C747}"/>
            </c:ext>
          </c:extLst>
        </c:ser>
        <c:ser>
          <c:idx val="6"/>
          <c:order val="6"/>
          <c:tx>
            <c:strRef>
              <c:f>'výkonnost odvětví 3'!$AD$10</c:f>
              <c:strCache>
                <c:ptCount val="1"/>
                <c:pt idx="0">
                  <c:v>Bariéra růstu: nedost. materiálu a vybavení</c:v>
                </c:pt>
              </c:strCache>
            </c:strRef>
          </c:tx>
          <c:spPr>
            <a:ln w="15875">
              <a:solidFill>
                <a:srgbClr val="37DD3B"/>
              </a:solidFill>
              <a:prstDash val="sysDash"/>
            </a:ln>
          </c:spPr>
          <c:marker>
            <c:symbol val="none"/>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3'!$AD$31:$AD$67</c:f>
              <c:numCache>
                <c:formatCode>#\ ##0.0</c:formatCode>
                <c:ptCount val="37"/>
                <c:pt idx="0">
                  <c:v>0.1</c:v>
                </c:pt>
                <c:pt idx="1">
                  <c:v>0.4</c:v>
                </c:pt>
                <c:pt idx="2">
                  <c:v>4</c:v>
                </c:pt>
                <c:pt idx="3">
                  <c:v>0.5</c:v>
                </c:pt>
                <c:pt idx="4">
                  <c:v>0.4</c:v>
                </c:pt>
                <c:pt idx="5">
                  <c:v>0.5</c:v>
                </c:pt>
                <c:pt idx="6">
                  <c:v>0.5</c:v>
                </c:pt>
                <c:pt idx="7">
                  <c:v>1.5</c:v>
                </c:pt>
                <c:pt idx="8">
                  <c:v>0.30000000000000016</c:v>
                </c:pt>
                <c:pt idx="9">
                  <c:v>0.30000000000000016</c:v>
                </c:pt>
                <c:pt idx="10">
                  <c:v>3.3</c:v>
                </c:pt>
                <c:pt idx="11">
                  <c:v>4.2</c:v>
                </c:pt>
                <c:pt idx="12">
                  <c:v>5.5</c:v>
                </c:pt>
                <c:pt idx="13">
                  <c:v>1.2</c:v>
                </c:pt>
                <c:pt idx="14">
                  <c:v>6.8</c:v>
                </c:pt>
                <c:pt idx="15">
                  <c:v>3.5</c:v>
                </c:pt>
                <c:pt idx="16">
                  <c:v>4.3</c:v>
                </c:pt>
                <c:pt idx="17">
                  <c:v>5.7</c:v>
                </c:pt>
                <c:pt idx="18">
                  <c:v>5.3</c:v>
                </c:pt>
                <c:pt idx="19">
                  <c:v>4</c:v>
                </c:pt>
                <c:pt idx="20">
                  <c:v>1.9000000000000001</c:v>
                </c:pt>
                <c:pt idx="21">
                  <c:v>3.4</c:v>
                </c:pt>
                <c:pt idx="22">
                  <c:v>1.3</c:v>
                </c:pt>
                <c:pt idx="23">
                  <c:v>0.8</c:v>
                </c:pt>
                <c:pt idx="24">
                  <c:v>1.3</c:v>
                </c:pt>
                <c:pt idx="25">
                  <c:v>4.3</c:v>
                </c:pt>
                <c:pt idx="26">
                  <c:v>16.3</c:v>
                </c:pt>
                <c:pt idx="27">
                  <c:v>22.8</c:v>
                </c:pt>
                <c:pt idx="28">
                  <c:v>24.7</c:v>
                </c:pt>
                <c:pt idx="29">
                  <c:v>41.3</c:v>
                </c:pt>
                <c:pt idx="30">
                  <c:v>38.6</c:v>
                </c:pt>
                <c:pt idx="31">
                  <c:v>23.4</c:v>
                </c:pt>
                <c:pt idx="32">
                  <c:v>19.5</c:v>
                </c:pt>
                <c:pt idx="33">
                  <c:v>17</c:v>
                </c:pt>
                <c:pt idx="34">
                  <c:v>13</c:v>
                </c:pt>
                <c:pt idx="35">
                  <c:v>13.9</c:v>
                </c:pt>
                <c:pt idx="36">
                  <c:v>22.5</c:v>
                </c:pt>
              </c:numCache>
            </c:numRef>
          </c:val>
          <c:smooth val="0"/>
          <c:extLst>
            <c:ext xmlns:c16="http://schemas.microsoft.com/office/drawing/2014/chart" uri="{C3380CC4-5D6E-409C-BE32-E72D297353CC}">
              <c16:uniqueId val="{00000006-CBD7-4267-B2CD-EE6D8D98C747}"/>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3'!$AE$31:$AE$67</c:f>
              <c:numCache>
                <c:formatCode>0.0</c:formatCode>
                <c:ptCount val="37"/>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pt idx="33">
                  <c:v>-15.5</c:v>
                </c:pt>
                <c:pt idx="34">
                  <c:v>-16.5</c:v>
                </c:pt>
                <c:pt idx="35">
                  <c:v>-11</c:v>
                </c:pt>
                <c:pt idx="36">
                  <c:v>-7</c:v>
                </c:pt>
              </c:numCache>
            </c:numRef>
          </c:val>
          <c:smooth val="0"/>
          <c:extLst>
            <c:ext xmlns:c16="http://schemas.microsoft.com/office/drawing/2014/chart" uri="{C3380CC4-5D6E-409C-BE32-E72D297353CC}">
              <c16:uniqueId val="{00000007-CBD7-4267-B2CD-EE6D8D98C747}"/>
            </c:ext>
          </c:extLst>
        </c:ser>
        <c:dLbls>
          <c:showLegendKey val="0"/>
          <c:showVal val="0"/>
          <c:showCatName val="0"/>
          <c:showSerName val="0"/>
          <c:showPercent val="0"/>
          <c:showBubbleSize val="0"/>
        </c:dLbls>
        <c:marker val="1"/>
        <c:smooth val="0"/>
        <c:axId val="112734208"/>
        <c:axId val="112727936"/>
      </c:lineChart>
      <c:catAx>
        <c:axId val="112839296"/>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838528"/>
        <c:crosses val="autoZero"/>
        <c:auto val="1"/>
        <c:lblAlgn val="ctr"/>
        <c:lblOffset val="0"/>
        <c:noMultiLvlLbl val="0"/>
      </c:catAx>
      <c:valAx>
        <c:axId val="112838528"/>
        <c:scaling>
          <c:orientation val="minMax"/>
          <c:max val="8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839296"/>
        <c:crosses val="autoZero"/>
        <c:crossBetween val="between"/>
        <c:majorUnit val="10"/>
      </c:valAx>
      <c:valAx>
        <c:axId val="112727936"/>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2734208"/>
        <c:crosses val="max"/>
        <c:crossBetween val="between"/>
        <c:majorUnit val="20"/>
      </c:valAx>
      <c:catAx>
        <c:axId val="112734208"/>
        <c:scaling>
          <c:orientation val="minMax"/>
        </c:scaling>
        <c:delete val="1"/>
        <c:axPos val="b"/>
        <c:numFmt formatCode="General" sourceLinked="1"/>
        <c:majorTickMark val="out"/>
        <c:minorTickMark val="none"/>
        <c:tickLblPos val="none"/>
        <c:crossAx val="112727936"/>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41"/>
          <c:w val="0.9692571424188543"/>
          <c:h val="0.13362821778942566"/>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85677352723435E-2"/>
          <c:y val="1.5803328678987455E-2"/>
          <c:w val="0.83979584077702996"/>
          <c:h val="0.69902590308489432"/>
        </c:manualLayout>
      </c:layout>
      <c:barChart>
        <c:barDir val="col"/>
        <c:grouping val="stacked"/>
        <c:varyColors val="0"/>
        <c:ser>
          <c:idx val="0"/>
          <c:order val="1"/>
          <c:tx>
            <c:strRef>
              <c:f>'Služby-příspěvkyk růstu-4'!$D$33</c:f>
              <c:strCache>
                <c:ptCount val="1"/>
                <c:pt idx="0">
                  <c:v>Doprava a skladování (p. b.)</c:v>
                </c:pt>
              </c:strCache>
            </c:strRef>
          </c:tx>
          <c:spPr>
            <a:solidFill>
              <a:srgbClr val="92D050"/>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růstu-4'!$D$46:$D$82</c:f>
              <c:numCache>
                <c:formatCode>0.0</c:formatCode>
                <c:ptCount val="37"/>
                <c:pt idx="0">
                  <c:v>0.28583707131499864</c:v>
                </c:pt>
                <c:pt idx="1">
                  <c:v>9.9073319502600551E-2</c:v>
                </c:pt>
                <c:pt idx="2">
                  <c:v>0.31769782750540138</c:v>
                </c:pt>
                <c:pt idx="3">
                  <c:v>0.12210619116400009</c:v>
                </c:pt>
                <c:pt idx="4">
                  <c:v>0.28220883268199926</c:v>
                </c:pt>
                <c:pt idx="5">
                  <c:v>6.1181950046598127E-2</c:v>
                </c:pt>
                <c:pt idx="6">
                  <c:v>0.16591602609100148</c:v>
                </c:pt>
                <c:pt idx="7">
                  <c:v>0.78068825847900136</c:v>
                </c:pt>
                <c:pt idx="8">
                  <c:v>1.5613141921709988</c:v>
                </c:pt>
                <c:pt idx="9">
                  <c:v>1.122930781783998</c:v>
                </c:pt>
                <c:pt idx="10">
                  <c:v>1.0641446548009998</c:v>
                </c:pt>
                <c:pt idx="11">
                  <c:v>0.59189353382399879</c:v>
                </c:pt>
                <c:pt idx="12">
                  <c:v>1.6915596254819993</c:v>
                </c:pt>
                <c:pt idx="13">
                  <c:v>1.8149616493690008</c:v>
                </c:pt>
                <c:pt idx="14">
                  <c:v>1.4972066301569984</c:v>
                </c:pt>
                <c:pt idx="15">
                  <c:v>0.48435757114800193</c:v>
                </c:pt>
                <c:pt idx="16">
                  <c:v>8.7680447270998052E-2</c:v>
                </c:pt>
                <c:pt idx="17">
                  <c:v>-0.13218522120399967</c:v>
                </c:pt>
                <c:pt idx="18">
                  <c:v>-0.30882816758200105</c:v>
                </c:pt>
                <c:pt idx="19">
                  <c:v>-7.2429796977600117E-2</c:v>
                </c:pt>
                <c:pt idx="20">
                  <c:v>-1.5388901719333996</c:v>
                </c:pt>
                <c:pt idx="21">
                  <c:v>-6.3630415493666987</c:v>
                </c:pt>
                <c:pt idx="22">
                  <c:v>-3.9404740003479741</c:v>
                </c:pt>
                <c:pt idx="23">
                  <c:v>-1.3606128435167992</c:v>
                </c:pt>
                <c:pt idx="24">
                  <c:v>0.40965221834459875</c:v>
                </c:pt>
                <c:pt idx="25">
                  <c:v>6.4837528919423981</c:v>
                </c:pt>
                <c:pt idx="26">
                  <c:v>3.6854899718831997</c:v>
                </c:pt>
                <c:pt idx="27">
                  <c:v>3.3199937148716865</c:v>
                </c:pt>
                <c:pt idx="28">
                  <c:v>3.9496411864825189</c:v>
                </c:pt>
                <c:pt idx="29">
                  <c:v>4.0151287396499988</c:v>
                </c:pt>
                <c:pt idx="30">
                  <c:v>3.2324019030773452</c:v>
                </c:pt>
                <c:pt idx="31">
                  <c:v>0.68972605928640229</c:v>
                </c:pt>
                <c:pt idx="32">
                  <c:v>-1.2121731839999985</c:v>
                </c:pt>
                <c:pt idx="33">
                  <c:v>-3.1010346750564892</c:v>
                </c:pt>
                <c:pt idx="34">
                  <c:v>-3.4701744696586818</c:v>
                </c:pt>
                <c:pt idx="35">
                  <c:v>-2.6074557512069574</c:v>
                </c:pt>
              </c:numCache>
            </c:numRef>
          </c:val>
          <c:extLst>
            <c:ext xmlns:c16="http://schemas.microsoft.com/office/drawing/2014/chart" uri="{C3380CC4-5D6E-409C-BE32-E72D297353CC}">
              <c16:uniqueId val="{00000000-29AE-46A1-8B8C-B4DF5FE252F2}"/>
            </c:ext>
          </c:extLst>
        </c:ser>
        <c:ser>
          <c:idx val="1"/>
          <c:order val="2"/>
          <c:tx>
            <c:strRef>
              <c:f>'Služby-příspěvkyk růstu-4'!$E$33</c:f>
              <c:strCache>
                <c:ptCount val="1"/>
                <c:pt idx="0">
                  <c:v>Ubytování, stravování a pohostinství (p. b.)</c:v>
                </c:pt>
              </c:strCache>
            </c:strRef>
          </c:tx>
          <c:spPr>
            <a:solidFill>
              <a:srgbClr val="00B0F0"/>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růstu-4'!$E$46:$E$82</c:f>
              <c:numCache>
                <c:formatCode>0.0</c:formatCode>
                <c:ptCount val="37"/>
                <c:pt idx="0">
                  <c:v>0.22716240604080018</c:v>
                </c:pt>
                <c:pt idx="1">
                  <c:v>0.65001523589900034</c:v>
                </c:pt>
                <c:pt idx="2">
                  <c:v>0.65043885271950042</c:v>
                </c:pt>
                <c:pt idx="3">
                  <c:v>0.40286531384040036</c:v>
                </c:pt>
                <c:pt idx="4">
                  <c:v>0.47082926396040031</c:v>
                </c:pt>
                <c:pt idx="5">
                  <c:v>0.17677577920749962</c:v>
                </c:pt>
                <c:pt idx="6">
                  <c:v>0.57113528170200001</c:v>
                </c:pt>
                <c:pt idx="7">
                  <c:v>0.60157631975219972</c:v>
                </c:pt>
                <c:pt idx="8">
                  <c:v>0.9154231899449996</c:v>
                </c:pt>
                <c:pt idx="9">
                  <c:v>1.2344281014258005</c:v>
                </c:pt>
                <c:pt idx="10">
                  <c:v>0.55621615324820017</c:v>
                </c:pt>
                <c:pt idx="11">
                  <c:v>0.45646654612940007</c:v>
                </c:pt>
                <c:pt idx="12">
                  <c:v>0.20372087178279991</c:v>
                </c:pt>
                <c:pt idx="13">
                  <c:v>5.3418687620000245E-2</c:v>
                </c:pt>
                <c:pt idx="14">
                  <c:v>6.3072083089999523E-2</c:v>
                </c:pt>
                <c:pt idx="15">
                  <c:v>-3.690856285000052E-2</c:v>
                </c:pt>
                <c:pt idx="16">
                  <c:v>-0.36352759744700047</c:v>
                </c:pt>
                <c:pt idx="17">
                  <c:v>-0.66972254409340026</c:v>
                </c:pt>
                <c:pt idx="18">
                  <c:v>0.55939150605359955</c:v>
                </c:pt>
                <c:pt idx="19">
                  <c:v>0.81136645955399955</c:v>
                </c:pt>
                <c:pt idx="20">
                  <c:v>-1.02121923221554</c:v>
                </c:pt>
                <c:pt idx="21">
                  <c:v>-4.7572576440565006</c:v>
                </c:pt>
                <c:pt idx="22">
                  <c:v>-1.8794605145432095</c:v>
                </c:pt>
                <c:pt idx="23">
                  <c:v>-4.4951618716172961</c:v>
                </c:pt>
                <c:pt idx="24">
                  <c:v>-3.6360862550249999</c:v>
                </c:pt>
                <c:pt idx="25">
                  <c:v>1.4024517634519886</c:v>
                </c:pt>
                <c:pt idx="26">
                  <c:v>0.66030614914950037</c:v>
                </c:pt>
                <c:pt idx="27">
                  <c:v>2.8952490941033862</c:v>
                </c:pt>
                <c:pt idx="28">
                  <c:v>2.8310456890179001</c:v>
                </c:pt>
                <c:pt idx="29">
                  <c:v>2.4351184699744954</c:v>
                </c:pt>
                <c:pt idx="30">
                  <c:v>-0.45789924306440666</c:v>
                </c:pt>
                <c:pt idx="31">
                  <c:v>0.56769798468950006</c:v>
                </c:pt>
                <c:pt idx="32">
                  <c:v>0.47156474449819968</c:v>
                </c:pt>
                <c:pt idx="33">
                  <c:v>-2.7669915753384261E-2</c:v>
                </c:pt>
                <c:pt idx="34">
                  <c:v>0.13134358555808825</c:v>
                </c:pt>
                <c:pt idx="35">
                  <c:v>7.6537115320104571E-2</c:v>
                </c:pt>
              </c:numCache>
            </c:numRef>
          </c:val>
          <c:extLst>
            <c:ext xmlns:c16="http://schemas.microsoft.com/office/drawing/2014/chart" uri="{C3380CC4-5D6E-409C-BE32-E72D297353CC}">
              <c16:uniqueId val="{00000001-29AE-46A1-8B8C-B4DF5FE252F2}"/>
            </c:ext>
          </c:extLst>
        </c:ser>
        <c:ser>
          <c:idx val="2"/>
          <c:order val="3"/>
          <c:tx>
            <c:strRef>
              <c:f>'Služby-příspěvkyk růstu-4'!$F$33</c:f>
              <c:strCache>
                <c:ptCount val="1"/>
                <c:pt idx="0">
                  <c:v>Informační a komunikační činnosti (p. b.)</c:v>
                </c:pt>
              </c:strCache>
            </c:strRef>
          </c:tx>
          <c:spPr>
            <a:solidFill>
              <a:srgbClr val="E6E100"/>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růstu-4'!$F$46:$F$82</c:f>
              <c:numCache>
                <c:formatCode>0.0</c:formatCode>
                <c:ptCount val="37"/>
                <c:pt idx="0">
                  <c:v>1.3475600006119992</c:v>
                </c:pt>
                <c:pt idx="1">
                  <c:v>0.66866302459200067</c:v>
                </c:pt>
                <c:pt idx="2">
                  <c:v>0.76957802431699907</c:v>
                </c:pt>
                <c:pt idx="3">
                  <c:v>1.4886414789369995</c:v>
                </c:pt>
                <c:pt idx="4">
                  <c:v>0.31877743705500039</c:v>
                </c:pt>
                <c:pt idx="5">
                  <c:v>0.20661529177999968</c:v>
                </c:pt>
                <c:pt idx="6">
                  <c:v>0.33414735394100048</c:v>
                </c:pt>
                <c:pt idx="7">
                  <c:v>-1.5907952160003447E-3</c:v>
                </c:pt>
                <c:pt idx="8">
                  <c:v>0.81368973776000075</c:v>
                </c:pt>
                <c:pt idx="9">
                  <c:v>0.85417546131300082</c:v>
                </c:pt>
                <c:pt idx="10">
                  <c:v>0.70502890964199894</c:v>
                </c:pt>
                <c:pt idx="11">
                  <c:v>0.57956639880599936</c:v>
                </c:pt>
                <c:pt idx="12">
                  <c:v>1.4478889516160005</c:v>
                </c:pt>
                <c:pt idx="13">
                  <c:v>0.80994689822300014</c:v>
                </c:pt>
                <c:pt idx="14">
                  <c:v>1.4688126825399994</c:v>
                </c:pt>
                <c:pt idx="15">
                  <c:v>1.086122449493</c:v>
                </c:pt>
                <c:pt idx="16">
                  <c:v>0.58941772132699954</c:v>
                </c:pt>
                <c:pt idx="17">
                  <c:v>1.4226829106699992</c:v>
                </c:pt>
                <c:pt idx="18">
                  <c:v>1.6743952337219994</c:v>
                </c:pt>
                <c:pt idx="19">
                  <c:v>0.80346819102189926</c:v>
                </c:pt>
                <c:pt idx="20">
                  <c:v>0.70778641415200061</c:v>
                </c:pt>
                <c:pt idx="21">
                  <c:v>-0.1282918788954005</c:v>
                </c:pt>
                <c:pt idx="22">
                  <c:v>-0.45078576191000025</c:v>
                </c:pt>
                <c:pt idx="23">
                  <c:v>-0.76558883395124844</c:v>
                </c:pt>
                <c:pt idx="24">
                  <c:v>0.73364927391400159</c:v>
                </c:pt>
                <c:pt idx="25">
                  <c:v>1.7201356748114756</c:v>
                </c:pt>
                <c:pt idx="26">
                  <c:v>1.736451508697799</c:v>
                </c:pt>
                <c:pt idx="27">
                  <c:v>2.1182789324493134</c:v>
                </c:pt>
                <c:pt idx="28">
                  <c:v>1.7507684699530985</c:v>
                </c:pt>
                <c:pt idx="29">
                  <c:v>0.98401837425599858</c:v>
                </c:pt>
                <c:pt idx="30">
                  <c:v>0.77271762675483868</c:v>
                </c:pt>
                <c:pt idx="31">
                  <c:v>0.37523087044705927</c:v>
                </c:pt>
                <c:pt idx="32">
                  <c:v>0.58518462551160166</c:v>
                </c:pt>
                <c:pt idx="33">
                  <c:v>-1.1979290428213106E-2</c:v>
                </c:pt>
                <c:pt idx="34">
                  <c:v>-0.79548596103973734</c:v>
                </c:pt>
                <c:pt idx="35">
                  <c:v>-0.79444877935572744</c:v>
                </c:pt>
              </c:numCache>
            </c:numRef>
          </c:val>
          <c:extLst>
            <c:ext xmlns:c16="http://schemas.microsoft.com/office/drawing/2014/chart" uri="{C3380CC4-5D6E-409C-BE32-E72D297353CC}">
              <c16:uniqueId val="{00000002-29AE-46A1-8B8C-B4DF5FE252F2}"/>
            </c:ext>
          </c:extLst>
        </c:ser>
        <c:ser>
          <c:idx val="4"/>
          <c:order val="4"/>
          <c:tx>
            <c:strRef>
              <c:f>'Služby-příspěvkyk růstu-4'!$G$33</c:f>
              <c:strCache>
                <c:ptCount val="1"/>
                <c:pt idx="0">
                  <c:v>Činnosti v oblasti nemovitostí (p. b.)</c:v>
                </c:pt>
              </c:strCache>
            </c:strRef>
          </c:tx>
          <c:spPr>
            <a:solidFill>
              <a:schemeClr val="accent5">
                <a:lumMod val="60000"/>
                <a:lumOff val="40000"/>
              </a:schemeClr>
            </a:solidFill>
            <a:ln>
              <a:noFill/>
              <a:prstDash val="sysDash"/>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růstu-4'!$G$46:$G$82</c:f>
              <c:numCache>
                <c:formatCode>0.0</c:formatCode>
                <c:ptCount val="37"/>
                <c:pt idx="0">
                  <c:v>4.746770298419966E-2</c:v>
                </c:pt>
                <c:pt idx="1">
                  <c:v>-7.1736494634002381E-3</c:v>
                </c:pt>
                <c:pt idx="2">
                  <c:v>0.12594742008660062</c:v>
                </c:pt>
                <c:pt idx="3">
                  <c:v>2.5503553016999546E-2</c:v>
                </c:pt>
                <c:pt idx="4">
                  <c:v>0.25581412202700016</c:v>
                </c:pt>
                <c:pt idx="5">
                  <c:v>-5.8871280300053285E-4</c:v>
                </c:pt>
                <c:pt idx="6">
                  <c:v>0.14820611830979977</c:v>
                </c:pt>
                <c:pt idx="7">
                  <c:v>-6.673245353100031E-2</c:v>
                </c:pt>
                <c:pt idx="8">
                  <c:v>0.21337518275449996</c:v>
                </c:pt>
                <c:pt idx="9">
                  <c:v>0.44510148149939993</c:v>
                </c:pt>
                <c:pt idx="10">
                  <c:v>-2.3161044655499695E-2</c:v>
                </c:pt>
                <c:pt idx="11">
                  <c:v>0.13973557355700003</c:v>
                </c:pt>
                <c:pt idx="12">
                  <c:v>2.4776891451000493E-2</c:v>
                </c:pt>
                <c:pt idx="13">
                  <c:v>-0.24771466350479987</c:v>
                </c:pt>
                <c:pt idx="14">
                  <c:v>-0.12634060942140016</c:v>
                </c:pt>
                <c:pt idx="15">
                  <c:v>-0.22296155792339972</c:v>
                </c:pt>
                <c:pt idx="16">
                  <c:v>-0.59230274151539974</c:v>
                </c:pt>
                <c:pt idx="17">
                  <c:v>-0.14941666489739952</c:v>
                </c:pt>
                <c:pt idx="18">
                  <c:v>0.15857003378880019</c:v>
                </c:pt>
                <c:pt idx="19">
                  <c:v>0.41231320665960003</c:v>
                </c:pt>
                <c:pt idx="20">
                  <c:v>0.43752910629419994</c:v>
                </c:pt>
                <c:pt idx="21">
                  <c:v>-0.31303453713669938</c:v>
                </c:pt>
                <c:pt idx="22">
                  <c:v>-0.26031344919999999</c:v>
                </c:pt>
                <c:pt idx="23">
                  <c:v>-0.23208025015669992</c:v>
                </c:pt>
                <c:pt idx="24">
                  <c:v>-0.20731164771140034</c:v>
                </c:pt>
                <c:pt idx="25">
                  <c:v>0.47336791233434949</c:v>
                </c:pt>
                <c:pt idx="26">
                  <c:v>-3.5112849205001595E-3</c:v>
                </c:pt>
                <c:pt idx="27">
                  <c:v>0.23993527263719985</c:v>
                </c:pt>
                <c:pt idx="28">
                  <c:v>0.9435611339855996</c:v>
                </c:pt>
                <c:pt idx="29">
                  <c:v>0.47235288863200026</c:v>
                </c:pt>
                <c:pt idx="30">
                  <c:v>0.21997137895263114</c:v>
                </c:pt>
                <c:pt idx="31">
                  <c:v>0.35037642189999946</c:v>
                </c:pt>
                <c:pt idx="32">
                  <c:v>0.14376268903080025</c:v>
                </c:pt>
                <c:pt idx="33">
                  <c:v>-0.15324197268959586</c:v>
                </c:pt>
                <c:pt idx="34">
                  <c:v>-0.26274484182986496</c:v>
                </c:pt>
                <c:pt idx="35">
                  <c:v>-0.20582510967658743</c:v>
                </c:pt>
              </c:numCache>
            </c:numRef>
          </c:val>
          <c:extLst>
            <c:ext xmlns:c16="http://schemas.microsoft.com/office/drawing/2014/chart" uri="{C3380CC4-5D6E-409C-BE32-E72D297353CC}">
              <c16:uniqueId val="{00000003-29AE-46A1-8B8C-B4DF5FE252F2}"/>
            </c:ext>
          </c:extLst>
        </c:ser>
        <c:ser>
          <c:idx val="5"/>
          <c:order val="5"/>
          <c:tx>
            <c:strRef>
              <c:f>'Služby-příspěvkyk růstu-4'!$H$33</c:f>
              <c:strCache>
                <c:ptCount val="1"/>
                <c:pt idx="0">
                  <c:v>Profesní, vědecké a technické činnosti (p. b.)</c:v>
                </c:pt>
              </c:strCache>
            </c:strRef>
          </c:tx>
          <c:spPr>
            <a:solidFill>
              <a:schemeClr val="accent6">
                <a:lumMod val="60000"/>
                <a:lumOff val="40000"/>
              </a:schemeClr>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růstu-4'!$H$46:$H$82</c:f>
              <c:numCache>
                <c:formatCode>0.0</c:formatCode>
                <c:ptCount val="37"/>
                <c:pt idx="0">
                  <c:v>1.0880520996029996</c:v>
                </c:pt>
                <c:pt idx="1">
                  <c:v>0.74361697973999985</c:v>
                </c:pt>
                <c:pt idx="2">
                  <c:v>1.1124163133600007</c:v>
                </c:pt>
                <c:pt idx="3">
                  <c:v>-4.565689538760101E-2</c:v>
                </c:pt>
                <c:pt idx="4">
                  <c:v>-0.42777544952319951</c:v>
                </c:pt>
                <c:pt idx="5">
                  <c:v>-1.3881659651599989</c:v>
                </c:pt>
                <c:pt idx="6">
                  <c:v>3.2450629870800683E-2</c:v>
                </c:pt>
                <c:pt idx="7">
                  <c:v>-0.31316142237530059</c:v>
                </c:pt>
                <c:pt idx="8">
                  <c:v>0.97301367041999931</c:v>
                </c:pt>
                <c:pt idx="9">
                  <c:v>0.61036630698759931</c:v>
                </c:pt>
                <c:pt idx="10">
                  <c:v>0.29822562376110068</c:v>
                </c:pt>
                <c:pt idx="11">
                  <c:v>0.39661775964799895</c:v>
                </c:pt>
                <c:pt idx="12">
                  <c:v>1.0432277278803002</c:v>
                </c:pt>
                <c:pt idx="13">
                  <c:v>0.5277616084097011</c:v>
                </c:pt>
                <c:pt idx="14">
                  <c:v>0.33063617776669868</c:v>
                </c:pt>
                <c:pt idx="15">
                  <c:v>-0.3275368981885991</c:v>
                </c:pt>
                <c:pt idx="16">
                  <c:v>-0.22084952351709861</c:v>
                </c:pt>
                <c:pt idx="17">
                  <c:v>0.93052352491439916</c:v>
                </c:pt>
                <c:pt idx="18">
                  <c:v>-1.1995249704883002</c:v>
                </c:pt>
                <c:pt idx="19">
                  <c:v>0.1316248734900006</c:v>
                </c:pt>
                <c:pt idx="20">
                  <c:v>-1.2601566612770994</c:v>
                </c:pt>
                <c:pt idx="21">
                  <c:v>-3.4366386991859987</c:v>
                </c:pt>
                <c:pt idx="22">
                  <c:v>-1.7291196666688515</c:v>
                </c:pt>
                <c:pt idx="23">
                  <c:v>-1.6772597720676004</c:v>
                </c:pt>
                <c:pt idx="24">
                  <c:v>-1.834895122862068</c:v>
                </c:pt>
                <c:pt idx="25">
                  <c:v>2.6513460826800999</c:v>
                </c:pt>
                <c:pt idx="26">
                  <c:v>1.7501471294470006</c:v>
                </c:pt>
                <c:pt idx="27">
                  <c:v>2.2391889197628854</c:v>
                </c:pt>
                <c:pt idx="28">
                  <c:v>2.2880086403976008</c:v>
                </c:pt>
                <c:pt idx="29">
                  <c:v>1.3870310019777765</c:v>
                </c:pt>
                <c:pt idx="30">
                  <c:v>0.99205605247825979</c:v>
                </c:pt>
                <c:pt idx="31">
                  <c:v>0.14530154378571325</c:v>
                </c:pt>
                <c:pt idx="32">
                  <c:v>0.81602007421679967</c:v>
                </c:pt>
                <c:pt idx="33">
                  <c:v>0.78459906651394551</c:v>
                </c:pt>
                <c:pt idx="34">
                  <c:v>0.13265701351618375</c:v>
                </c:pt>
                <c:pt idx="35">
                  <c:v>0.82931011112074027</c:v>
                </c:pt>
              </c:numCache>
            </c:numRef>
          </c:val>
          <c:extLst>
            <c:ext xmlns:c16="http://schemas.microsoft.com/office/drawing/2014/chart" uri="{C3380CC4-5D6E-409C-BE32-E72D297353CC}">
              <c16:uniqueId val="{00000004-29AE-46A1-8B8C-B4DF5FE252F2}"/>
            </c:ext>
          </c:extLst>
        </c:ser>
        <c:ser>
          <c:idx val="6"/>
          <c:order val="6"/>
          <c:tx>
            <c:strRef>
              <c:f>'Služby-příspěvkyk růstu-4'!$I$33</c:f>
              <c:strCache>
                <c:ptCount val="1"/>
                <c:pt idx="0">
                  <c:v>Administr. a podpůrné čin. (příspěvek v p. b.)</c:v>
                </c:pt>
              </c:strCache>
            </c:strRef>
          </c:tx>
          <c:spPr>
            <a:solidFill>
              <a:schemeClr val="accent1">
                <a:lumMod val="20000"/>
                <a:lumOff val="80000"/>
              </a:schemeClr>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růstu-4'!$I$46:$I$82</c:f>
              <c:numCache>
                <c:formatCode>0.0</c:formatCode>
                <c:ptCount val="37"/>
                <c:pt idx="0">
                  <c:v>0.43712925900860061</c:v>
                </c:pt>
                <c:pt idx="1">
                  <c:v>0.52715289377499985</c:v>
                </c:pt>
                <c:pt idx="2">
                  <c:v>0.30410241097500013</c:v>
                </c:pt>
                <c:pt idx="3">
                  <c:v>0.36652377459450047</c:v>
                </c:pt>
                <c:pt idx="4">
                  <c:v>0.38200556495039989</c:v>
                </c:pt>
                <c:pt idx="5">
                  <c:v>5.5683904032899467E-2</c:v>
                </c:pt>
                <c:pt idx="6">
                  <c:v>0.25322776738810082</c:v>
                </c:pt>
                <c:pt idx="7">
                  <c:v>0.50752865690419957</c:v>
                </c:pt>
                <c:pt idx="8">
                  <c:v>1.2867283782210006</c:v>
                </c:pt>
                <c:pt idx="9">
                  <c:v>1.1106873038032994</c:v>
                </c:pt>
                <c:pt idx="10">
                  <c:v>0.67802933227800077</c:v>
                </c:pt>
                <c:pt idx="11">
                  <c:v>0.27967830350980011</c:v>
                </c:pt>
                <c:pt idx="12">
                  <c:v>0.54732406709499937</c:v>
                </c:pt>
                <c:pt idx="13">
                  <c:v>0.38206091352559962</c:v>
                </c:pt>
                <c:pt idx="14">
                  <c:v>0.39483194314119968</c:v>
                </c:pt>
                <c:pt idx="15">
                  <c:v>-3.3562302980400686E-2</c:v>
                </c:pt>
                <c:pt idx="16">
                  <c:v>-1.2004885543983994</c:v>
                </c:pt>
                <c:pt idx="17">
                  <c:v>0.45312965092039981</c:v>
                </c:pt>
                <c:pt idx="18">
                  <c:v>-0.39654158277710005</c:v>
                </c:pt>
                <c:pt idx="19">
                  <c:v>1.3094816479706997</c:v>
                </c:pt>
                <c:pt idx="20">
                  <c:v>-1.1435941660679998</c:v>
                </c:pt>
                <c:pt idx="21">
                  <c:v>-5.2829127749359994</c:v>
                </c:pt>
                <c:pt idx="22">
                  <c:v>-4.9399258629473684</c:v>
                </c:pt>
                <c:pt idx="23">
                  <c:v>-2.9775292557339998</c:v>
                </c:pt>
                <c:pt idx="24">
                  <c:v>-1.3803871191254993</c:v>
                </c:pt>
                <c:pt idx="25">
                  <c:v>2.251687473777273</c:v>
                </c:pt>
                <c:pt idx="26">
                  <c:v>2.1163559463200001</c:v>
                </c:pt>
                <c:pt idx="27">
                  <c:v>1.4329116973832057</c:v>
                </c:pt>
                <c:pt idx="28">
                  <c:v>1.7129852472567739</c:v>
                </c:pt>
                <c:pt idx="29">
                  <c:v>3.1129785365130851</c:v>
                </c:pt>
                <c:pt idx="30">
                  <c:v>2.2148572488354494</c:v>
                </c:pt>
                <c:pt idx="31">
                  <c:v>0.75746546197560027</c:v>
                </c:pt>
                <c:pt idx="32">
                  <c:v>0.4450247864243998</c:v>
                </c:pt>
                <c:pt idx="33">
                  <c:v>0.170529957678209</c:v>
                </c:pt>
                <c:pt idx="34">
                  <c:v>-0.14267488053800539</c:v>
                </c:pt>
                <c:pt idx="35">
                  <c:v>-4.4558662537113318E-2</c:v>
                </c:pt>
              </c:numCache>
            </c:numRef>
          </c:val>
          <c:extLst>
            <c:ext xmlns:c16="http://schemas.microsoft.com/office/drawing/2014/chart" uri="{C3380CC4-5D6E-409C-BE32-E72D297353CC}">
              <c16:uniqueId val="{00000005-29AE-46A1-8B8C-B4DF5FE252F2}"/>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Služby celkem (meziroční růst v %)</c:v>
                </c:pt>
              </c:strCache>
            </c:strRef>
          </c:tx>
          <c:spPr>
            <a:ln>
              <a:noFill/>
            </a:ln>
          </c:spPr>
          <c:marker>
            <c:symbol val="dot"/>
            <c:size val="7"/>
            <c:spPr>
              <a:solidFill>
                <a:schemeClr val="tx1">
                  <a:lumMod val="95000"/>
                  <a:lumOff val="5000"/>
                </a:schemeClr>
              </a:solidFill>
              <a:ln>
                <a:noFill/>
              </a:ln>
            </c:spPr>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růstu-4'!$C$46:$C$82</c:f>
              <c:numCache>
                <c:formatCode>0.0</c:formatCode>
                <c:ptCount val="37"/>
                <c:pt idx="0">
                  <c:v>3.4824690008999966</c:v>
                </c:pt>
                <c:pt idx="1">
                  <c:v>2.7934385740000067</c:v>
                </c:pt>
                <c:pt idx="2">
                  <c:v>3.3397363911000042</c:v>
                </c:pt>
                <c:pt idx="3">
                  <c:v>2.4240605071999966</c:v>
                </c:pt>
                <c:pt idx="4">
                  <c:v>1.3060861837000033</c:v>
                </c:pt>
                <c:pt idx="5">
                  <c:v>-1.1913006246000037</c:v>
                </c:pt>
                <c:pt idx="6">
                  <c:v>1.5541405019999956</c:v>
                </c:pt>
                <c:pt idx="7">
                  <c:v>1.2878413721000044</c:v>
                </c:pt>
                <c:pt idx="8">
                  <c:v>5.6991785797000034</c:v>
                </c:pt>
                <c:pt idx="9">
                  <c:v>5.5722364333000058</c:v>
                </c:pt>
                <c:pt idx="10">
                  <c:v>3.3112064832999977</c:v>
                </c:pt>
                <c:pt idx="11">
                  <c:v>2.4385054390999983</c:v>
                </c:pt>
                <c:pt idx="12">
                  <c:v>4.8776432854999996</c:v>
                </c:pt>
                <c:pt idx="13">
                  <c:v>3.1428894752999952</c:v>
                </c:pt>
                <c:pt idx="14">
                  <c:v>3.5062767616000059</c:v>
                </c:pt>
                <c:pt idx="15">
                  <c:v>0.9447540274999966</c:v>
                </c:pt>
                <c:pt idx="16">
                  <c:v>-2.0638978244000015</c:v>
                </c:pt>
                <c:pt idx="17">
                  <c:v>2.0119271263999963</c:v>
                </c:pt>
                <c:pt idx="18">
                  <c:v>0.46201626920000649</c:v>
                </c:pt>
                <c:pt idx="19">
                  <c:v>3.6792793010999958</c:v>
                </c:pt>
                <c:pt idx="20">
                  <c:v>-3.7161332750000042</c:v>
                </c:pt>
                <c:pt idx="21">
                  <c:v>-20.482789201800003</c:v>
                </c:pt>
                <c:pt idx="22">
                  <c:v>-13.818107271499997</c:v>
                </c:pt>
                <c:pt idx="23">
                  <c:v>-12.693117899800001</c:v>
                </c:pt>
                <c:pt idx="24">
                  <c:v>-6.3646362811000046</c:v>
                </c:pt>
                <c:pt idx="25">
                  <c:v>14.470981226999996</c:v>
                </c:pt>
                <c:pt idx="26">
                  <c:v>9.8386905822000017</c:v>
                </c:pt>
                <c:pt idx="27">
                  <c:v>12.462541081799998</c:v>
                </c:pt>
                <c:pt idx="28">
                  <c:v>13.600090225800002</c:v>
                </c:pt>
                <c:pt idx="29">
                  <c:v>12.5749843607</c:v>
                </c:pt>
                <c:pt idx="30">
                  <c:v>6.8786234319999977</c:v>
                </c:pt>
                <c:pt idx="31">
                  <c:v>3.1497656532000065</c:v>
                </c:pt>
                <c:pt idx="32">
                  <c:v>1.5892440251000011</c:v>
                </c:pt>
                <c:pt idx="33">
                  <c:v>-1.6569565763000043</c:v>
                </c:pt>
                <c:pt idx="34">
                  <c:v>-3.8373140064000069</c:v>
                </c:pt>
                <c:pt idx="35">
                  <c:v>-2.1957594593999943</c:v>
                </c:pt>
              </c:numCache>
            </c:numRef>
          </c:val>
          <c:smooth val="0"/>
          <c:extLst>
            <c:ext xmlns:c16="http://schemas.microsoft.com/office/drawing/2014/chart" uri="{C3380CC4-5D6E-409C-BE32-E72D297353CC}">
              <c16:uniqueId val="{00000006-29AE-46A1-8B8C-B4DF5FE252F2}"/>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85000"/>
                    <a:lumOff val="15000"/>
                  </a:schemeClr>
                </a:solidFill>
              </a:ln>
            </c:spPr>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růstu-4'!$J$46:$J$82</c:f>
              <c:numCache>
                <c:formatCode>#\ ##0.0</c:formatCode>
                <c:ptCount val="37"/>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pt idx="33" formatCode="0.0">
                  <c:v>28</c:v>
                </c:pt>
                <c:pt idx="34" formatCode="0.0">
                  <c:v>25.7</c:v>
                </c:pt>
                <c:pt idx="35" formatCode="0.0">
                  <c:v>22.7</c:v>
                </c:pt>
                <c:pt idx="36" formatCode="0.0">
                  <c:v>21.3</c:v>
                </c:pt>
              </c:numCache>
            </c:numRef>
          </c:val>
          <c:smooth val="0"/>
          <c:extLst>
            <c:ext xmlns:c16="http://schemas.microsoft.com/office/drawing/2014/chart" uri="{C3380CC4-5D6E-409C-BE32-E72D297353CC}">
              <c16:uniqueId val="{00000007-29AE-46A1-8B8C-B4DF5FE252F2}"/>
            </c:ext>
          </c:extLst>
        </c:ser>
        <c:ser>
          <c:idx val="8"/>
          <c:order val="8"/>
          <c:tx>
            <c:strRef>
              <c:f>'Služby-příspěvkyk růstu-4'!$K$33</c:f>
              <c:strCache>
                <c:ptCount val="1"/>
                <c:pt idx="0">
                  <c:v>Bariéra růstu: nedostatečná poptávka</c:v>
                </c:pt>
              </c:strCache>
            </c:strRef>
          </c:tx>
          <c:spPr>
            <a:ln w="15875">
              <a:solidFill>
                <a:srgbClr val="CA945E"/>
              </a:solidFill>
              <a:prstDash val="solid"/>
            </a:ln>
          </c:spPr>
          <c:marker>
            <c:symbol val="none"/>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růstu-4'!$K$46:$K$82</c:f>
              <c:numCache>
                <c:formatCode>#\ ##0.0</c:formatCode>
                <c:ptCount val="37"/>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pt idx="31">
                  <c:v>17.600000000000001</c:v>
                </c:pt>
                <c:pt idx="32">
                  <c:v>25.4</c:v>
                </c:pt>
                <c:pt idx="33">
                  <c:v>19.100000000000001</c:v>
                </c:pt>
                <c:pt idx="34">
                  <c:v>26</c:v>
                </c:pt>
                <c:pt idx="35">
                  <c:v>23</c:v>
                </c:pt>
                <c:pt idx="36">
                  <c:v>18.5</c:v>
                </c:pt>
              </c:numCache>
            </c:numRef>
          </c:val>
          <c:smooth val="0"/>
          <c:extLst>
            <c:ext xmlns:c16="http://schemas.microsoft.com/office/drawing/2014/chart" uri="{C3380CC4-5D6E-409C-BE32-E72D297353CC}">
              <c16:uniqueId val="{00000008-29AE-46A1-8B8C-B4DF5FE252F2}"/>
            </c:ext>
          </c:extLst>
        </c:ser>
        <c:ser>
          <c:idx val="9"/>
          <c:order val="9"/>
          <c:tx>
            <c:strRef>
              <c:f>'Služby-příspěvkyk růstu-4'!$L$33</c:f>
              <c:strCache>
                <c:ptCount val="1"/>
                <c:pt idx="0">
                  <c:v>Bariéra růstu: nedostatek pracovníků</c:v>
                </c:pt>
              </c:strCache>
            </c:strRef>
          </c:tx>
          <c:spPr>
            <a:ln w="15875">
              <a:solidFill>
                <a:srgbClr val="CA945E"/>
              </a:solidFill>
              <a:prstDash val="sysDash"/>
            </a:ln>
          </c:spPr>
          <c:marker>
            <c:symbol val="none"/>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růstu-4'!$L$46:$L$82</c:f>
              <c:numCache>
                <c:formatCode>#\ ##0.0</c:formatCode>
                <c:ptCount val="37"/>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pt idx="33">
                  <c:v>9.6999999999999993</c:v>
                </c:pt>
                <c:pt idx="34">
                  <c:v>9.1999999999999993</c:v>
                </c:pt>
                <c:pt idx="35">
                  <c:v>12.3</c:v>
                </c:pt>
                <c:pt idx="36">
                  <c:v>8.3000000000000007</c:v>
                </c:pt>
              </c:numCache>
            </c:numRef>
          </c:val>
          <c:smooth val="0"/>
          <c:extLst>
            <c:ext xmlns:c16="http://schemas.microsoft.com/office/drawing/2014/chart" uri="{C3380CC4-5D6E-409C-BE32-E72D297353CC}">
              <c16:uniqueId val="{00000009-29AE-46A1-8B8C-B4DF5FE252F2}"/>
            </c:ext>
          </c:extLst>
        </c:ser>
        <c:ser>
          <c:idx val="10"/>
          <c:order val="10"/>
          <c:tx>
            <c:strRef>
              <c:f>'Služby-příspěvkyk růstu-4'!$M$33</c:f>
              <c:strCache>
                <c:ptCount val="1"/>
                <c:pt idx="0">
                  <c:v>Tržby celkem (báze 2021=100, stálé ceny)</c:v>
                </c:pt>
              </c:strCache>
            </c:strRef>
          </c:tx>
          <c:spPr>
            <a:ln w="15875">
              <a:solidFill>
                <a:schemeClr val="tx1"/>
              </a:solidFill>
            </a:ln>
          </c:spPr>
          <c:marker>
            <c:symbol val="none"/>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růstu-4'!$M$46:$M$82</c:f>
              <c:numCache>
                <c:formatCode>0.0</c:formatCode>
                <c:ptCount val="37"/>
                <c:pt idx="0">
                  <c:v>96.573148776699995</c:v>
                </c:pt>
                <c:pt idx="1">
                  <c:v>97.567742240000001</c:v>
                </c:pt>
                <c:pt idx="2">
                  <c:v>97.872994153299999</c:v>
                </c:pt>
                <c:pt idx="3">
                  <c:v>98.145121336700001</c:v>
                </c:pt>
                <c:pt idx="4">
                  <c:v>97.141074036700005</c:v>
                </c:pt>
                <c:pt idx="5">
                  <c:v>97.220842383299996</c:v>
                </c:pt>
                <c:pt idx="6">
                  <c:v>99.043083436700002</c:v>
                </c:pt>
                <c:pt idx="7">
                  <c:v>100.26520352</c:v>
                </c:pt>
                <c:pt idx="8">
                  <c:v>101.4620500267</c:v>
                </c:pt>
                <c:pt idx="9">
                  <c:v>102.45930216329999</c:v>
                </c:pt>
                <c:pt idx="10">
                  <c:v>102.1784036567</c:v>
                </c:pt>
                <c:pt idx="11">
                  <c:v>103.2635152233</c:v>
                </c:pt>
                <c:pt idx="12">
                  <c:v>106.70430386</c:v>
                </c:pt>
                <c:pt idx="13">
                  <c:v>105.25291280330001</c:v>
                </c:pt>
                <c:pt idx="14">
                  <c:v>105.36498890670001</c:v>
                </c:pt>
                <c:pt idx="15">
                  <c:v>103.79346463</c:v>
                </c:pt>
                <c:pt idx="16">
                  <c:v>104.82319352330001</c:v>
                </c:pt>
                <c:pt idx="17">
                  <c:v>107.08876361</c:v>
                </c:pt>
                <c:pt idx="18">
                  <c:v>106.1526654733</c:v>
                </c:pt>
                <c:pt idx="19">
                  <c:v>106.10865794670001</c:v>
                </c:pt>
                <c:pt idx="20">
                  <c:v>100.92295789329999</c:v>
                </c:pt>
                <c:pt idx="21">
                  <c:v>86.568180609999999</c:v>
                </c:pt>
                <c:pt idx="22">
                  <c:v>93.956559496699995</c:v>
                </c:pt>
                <c:pt idx="23">
                  <c:v>92.2317662767</c:v>
                </c:pt>
                <c:pt idx="24">
                  <c:v>93.022755186699996</c:v>
                </c:pt>
                <c:pt idx="25">
                  <c:v>97.951322020000006</c:v>
                </c:pt>
                <c:pt idx="26">
                  <c:v>102.3309606</c:v>
                </c:pt>
                <c:pt idx="27">
                  <c:v>104.3769040033</c:v>
                </c:pt>
                <c:pt idx="28">
                  <c:v>106.5382294633</c:v>
                </c:pt>
                <c:pt idx="29">
                  <c:v>108.99648315669999</c:v>
                </c:pt>
                <c:pt idx="30">
                  <c:v>109.3950518267</c:v>
                </c:pt>
                <c:pt idx="31">
                  <c:v>108.6642720767</c:v>
                </c:pt>
                <c:pt idx="32">
                  <c:v>108.3580972467</c:v>
                </c:pt>
                <c:pt idx="33">
                  <c:v>106.7674619233</c:v>
                </c:pt>
                <c:pt idx="34">
                  <c:v>105.64376545</c:v>
                </c:pt>
                <c:pt idx="35" formatCode="General">
                  <c:v>106.0791962</c:v>
                </c:pt>
              </c:numCache>
            </c:numRef>
          </c:val>
          <c:smooth val="0"/>
          <c:extLst>
            <c:ext xmlns:c16="http://schemas.microsoft.com/office/drawing/2014/chart" uri="{C3380CC4-5D6E-409C-BE32-E72D297353CC}">
              <c16:uniqueId val="{0000000A-29AE-46A1-8B8C-B4DF5FE252F2}"/>
            </c:ext>
          </c:extLst>
        </c:ser>
        <c:ser>
          <c:idx val="11"/>
          <c:order val="11"/>
          <c:tx>
            <c:strRef>
              <c:f>'Služby-příspěvkyk růstu-4'!$N$33</c:f>
              <c:strCache>
                <c:ptCount val="1"/>
                <c:pt idx="0">
                  <c:v>Tržby celkem (báze 2021=100, běžné ceny)</c:v>
                </c:pt>
              </c:strCache>
            </c:strRef>
          </c:tx>
          <c:spPr>
            <a:ln w="15875">
              <a:solidFill>
                <a:schemeClr val="bg2">
                  <a:lumMod val="25000"/>
                </a:schemeClr>
              </a:solidFill>
              <a:prstDash val="sysDash"/>
            </a:ln>
          </c:spPr>
          <c:marker>
            <c:symbol val="none"/>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růstu-4'!$N$46:$N$82</c:f>
              <c:numCache>
                <c:formatCode>0.0</c:formatCode>
                <c:ptCount val="37"/>
                <c:pt idx="0">
                  <c:v>87.052195600000005</c:v>
                </c:pt>
                <c:pt idx="1">
                  <c:v>87.976303153299995</c:v>
                </c:pt>
                <c:pt idx="2">
                  <c:v>88.373010003299996</c:v>
                </c:pt>
                <c:pt idx="3">
                  <c:v>88.620892873299994</c:v>
                </c:pt>
                <c:pt idx="4">
                  <c:v>87.738386106700005</c:v>
                </c:pt>
                <c:pt idx="5">
                  <c:v>88.030049489999996</c:v>
                </c:pt>
                <c:pt idx="6">
                  <c:v>89.823697393299994</c:v>
                </c:pt>
                <c:pt idx="7">
                  <c:v>91.207866260000003</c:v>
                </c:pt>
                <c:pt idx="8">
                  <c:v>92.834550640000003</c:v>
                </c:pt>
                <c:pt idx="9">
                  <c:v>94.103815076700002</c:v>
                </c:pt>
                <c:pt idx="10">
                  <c:v>94.369418403300003</c:v>
                </c:pt>
                <c:pt idx="11">
                  <c:v>95.836186386700007</c:v>
                </c:pt>
                <c:pt idx="12">
                  <c:v>99.311500843299996</c:v>
                </c:pt>
                <c:pt idx="13">
                  <c:v>98.708597956700004</c:v>
                </c:pt>
                <c:pt idx="14">
                  <c:v>99.642436860000004</c:v>
                </c:pt>
                <c:pt idx="15">
                  <c:v>98.769212440000004</c:v>
                </c:pt>
                <c:pt idx="16">
                  <c:v>99.79161551</c:v>
                </c:pt>
                <c:pt idx="17">
                  <c:v>103.22613569329999</c:v>
                </c:pt>
                <c:pt idx="18">
                  <c:v>102.99220393</c:v>
                </c:pt>
                <c:pt idx="19">
                  <c:v>103.49625471</c:v>
                </c:pt>
                <c:pt idx="20">
                  <c:v>98.534612966699996</c:v>
                </c:pt>
                <c:pt idx="21">
                  <c:v>84.950969126700002</c:v>
                </c:pt>
                <c:pt idx="22">
                  <c:v>92.709010469999996</c:v>
                </c:pt>
                <c:pt idx="23">
                  <c:v>91.428986266699994</c:v>
                </c:pt>
                <c:pt idx="24">
                  <c:v>92.2143263233</c:v>
                </c:pt>
                <c:pt idx="25">
                  <c:v>97.246572043300006</c:v>
                </c:pt>
                <c:pt idx="26">
                  <c:v>102.39087888669999</c:v>
                </c:pt>
                <c:pt idx="27">
                  <c:v>105.9113077367</c:v>
                </c:pt>
                <c:pt idx="28">
                  <c:v>110.0352873433</c:v>
                </c:pt>
                <c:pt idx="29">
                  <c:v>115.0977962467</c:v>
                </c:pt>
                <c:pt idx="30">
                  <c:v>118.00030553329999</c:v>
                </c:pt>
                <c:pt idx="31">
                  <c:v>119.25167525000001</c:v>
                </c:pt>
                <c:pt idx="32">
                  <c:v>121.13230271330001</c:v>
                </c:pt>
                <c:pt idx="33">
                  <c:v>121.2918866533</c:v>
                </c:pt>
                <c:pt idx="34">
                  <c:v>121.4791639</c:v>
                </c:pt>
                <c:pt idx="35" formatCode="General">
                  <c:v>123.4654708467</c:v>
                </c:pt>
              </c:numCache>
            </c:numRef>
          </c:val>
          <c:smooth val="0"/>
          <c:extLst>
            <c:ext xmlns:c16="http://schemas.microsoft.com/office/drawing/2014/chart" uri="{C3380CC4-5D6E-409C-BE32-E72D297353CC}">
              <c16:uniqueId val="{0000000B-29AE-46A1-8B8C-B4DF5FE252F2}"/>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30"/>
        </c:scaling>
        <c:delete val="0"/>
        <c:axPos val="l"/>
        <c:majorGridlines>
          <c:spPr>
            <a:ln w="6350">
              <a:solidFill>
                <a:schemeClr val="bg1">
                  <a:lumMod val="75000"/>
                </a:schemeClr>
              </a:solidFill>
            </a:ln>
          </c:spPr>
        </c:majorGridlines>
        <c:title>
          <c:tx>
            <c:rich>
              <a:bodyPr/>
              <a:lstStyle/>
              <a:p>
                <a:pPr>
                  <a:defRPr sz="700" b="0" i="1"/>
                </a:pPr>
                <a:r>
                  <a:rPr lang="cs-CZ" sz="700" b="0" i="1"/>
                  <a:t>Tržby (příspěvky k</a:t>
                </a:r>
                <a:r>
                  <a:rPr lang="cs-CZ" sz="700" b="0" i="1" baseline="0"/>
                  <a:t> meziroční změně)</a:t>
                </a:r>
                <a:endParaRPr lang="cs-CZ" sz="700" b="0" i="1"/>
              </a:p>
            </c:rich>
          </c:tx>
          <c:layout>
            <c:manualLayout>
              <c:xMode val="edge"/>
              <c:yMode val="edge"/>
              <c:x val="0"/>
              <c:y val="0.1364926551121953"/>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5"/>
      </c:valAx>
      <c:valAx>
        <c:axId val="156575232"/>
        <c:scaling>
          <c:orientation val="minMax"/>
          <c:max val="15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baseline="0">
                    <a:effectLst/>
                  </a:rPr>
                  <a:t>Tržby (báze 2015=100)</a:t>
                </a:r>
                <a:r>
                  <a:rPr lang="cs-CZ" sz="700" b="0" i="1"/>
                  <a:t>, Saldo důvěry, bariéry růstu</a:t>
                </a:r>
              </a:p>
            </c:rich>
          </c:tx>
          <c:layout>
            <c:manualLayout>
              <c:xMode val="edge"/>
              <c:yMode val="edge"/>
              <c:x val="0.97059962406015032"/>
              <c:y val="7.2968499427262329E-2"/>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2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lumMod val="75000"/>
              <a:lumOff val="25000"/>
            </a:schemeClr>
          </a:solidFill>
        </a:ln>
      </c:spPr>
    </c:plotArea>
    <c:legend>
      <c:legendPos val="r"/>
      <c:layout>
        <c:manualLayout>
          <c:xMode val="edge"/>
          <c:yMode val="edge"/>
          <c:x val="2.7894149438737266E-3"/>
          <c:y val="0.80683901693256121"/>
          <c:w val="0.99229354112783008"/>
          <c:h val="0.18952404020147029"/>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61666861125732E-2"/>
          <c:y val="1.5803328678987455E-2"/>
          <c:w val="0.85082109029523101"/>
          <c:h val="0.73450542783153383"/>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5a'!$E$67:$E$103</c:f>
              <c:numCache>
                <c:formatCode>#\ ##0.0</c:formatCode>
                <c:ptCount val="37"/>
                <c:pt idx="0">
                  <c:v>1.7523817972228575</c:v>
                </c:pt>
                <c:pt idx="1">
                  <c:v>1.1495538604575486</c:v>
                </c:pt>
                <c:pt idx="2">
                  <c:v>1.851654245012579</c:v>
                </c:pt>
                <c:pt idx="3">
                  <c:v>1.4230053336458297</c:v>
                </c:pt>
                <c:pt idx="4">
                  <c:v>1.7335386338403211</c:v>
                </c:pt>
                <c:pt idx="5">
                  <c:v>1.4057978539692639</c:v>
                </c:pt>
                <c:pt idx="6">
                  <c:v>1.0226992305466713</c:v>
                </c:pt>
                <c:pt idx="7">
                  <c:v>-4.5727948098357493E-2</c:v>
                </c:pt>
                <c:pt idx="8">
                  <c:v>0.76530947894932633</c:v>
                </c:pt>
                <c:pt idx="9">
                  <c:v>1.3628557482991555</c:v>
                </c:pt>
                <c:pt idx="10">
                  <c:v>1.1031113273196382</c:v>
                </c:pt>
                <c:pt idx="11">
                  <c:v>0.92620191285996878</c:v>
                </c:pt>
                <c:pt idx="12">
                  <c:v>1.4716867951941146</c:v>
                </c:pt>
                <c:pt idx="13">
                  <c:v>0.53065594307662001</c:v>
                </c:pt>
                <c:pt idx="14">
                  <c:v>0.93178458575098189</c:v>
                </c:pt>
                <c:pt idx="15">
                  <c:v>0.38805043936963324</c:v>
                </c:pt>
                <c:pt idx="16">
                  <c:v>-0.29388750825225862</c:v>
                </c:pt>
                <c:pt idx="17">
                  <c:v>1.4252855332899248</c:v>
                </c:pt>
                <c:pt idx="18">
                  <c:v>0.13007735319413302</c:v>
                </c:pt>
                <c:pt idx="19">
                  <c:v>1.4154025710079869</c:v>
                </c:pt>
                <c:pt idx="20">
                  <c:v>0.68707923703683382</c:v>
                </c:pt>
                <c:pt idx="21">
                  <c:v>-1.8614966729136802</c:v>
                </c:pt>
                <c:pt idx="22">
                  <c:v>-0.64766112448952962</c:v>
                </c:pt>
                <c:pt idx="23">
                  <c:v>-0.28286695735560252</c:v>
                </c:pt>
                <c:pt idx="24">
                  <c:v>-0.60916134074836392</c:v>
                </c:pt>
                <c:pt idx="25">
                  <c:v>0.50128382451928355</c:v>
                </c:pt>
                <c:pt idx="26">
                  <c:v>-0.28821299682807039</c:v>
                </c:pt>
                <c:pt idx="27">
                  <c:v>1.7697621877811544E-3</c:v>
                </c:pt>
                <c:pt idx="28">
                  <c:v>-5.4187158541836714E-2</c:v>
                </c:pt>
                <c:pt idx="29">
                  <c:v>-1.1158473337373773</c:v>
                </c:pt>
                <c:pt idx="30">
                  <c:v>-2.2854641976144956</c:v>
                </c:pt>
                <c:pt idx="31">
                  <c:v>-3.2475751746395907</c:v>
                </c:pt>
                <c:pt idx="32">
                  <c:v>-3.1063169253902356</c:v>
                </c:pt>
                <c:pt idx="33">
                  <c:v>-2.8514177710009005</c:v>
                </c:pt>
                <c:pt idx="34">
                  <c:v>-1.6966817042429552</c:v>
                </c:pt>
                <c:pt idx="35">
                  <c:v>-0.73112177657293909</c:v>
                </c:pt>
              </c:numCache>
            </c:numRef>
          </c:val>
          <c:extLst>
            <c:ext xmlns:c16="http://schemas.microsoft.com/office/drawing/2014/chart" uri="{C3380CC4-5D6E-409C-BE32-E72D297353CC}">
              <c16:uniqueId val="{00000000-948E-432F-8A8C-5D15563EA9F2}"/>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5a'!$F$67:$F$103</c:f>
              <c:numCache>
                <c:formatCode>#\ ##0.0</c:formatCode>
                <c:ptCount val="37"/>
                <c:pt idx="0">
                  <c:v>3.196375922725744</c:v>
                </c:pt>
                <c:pt idx="1">
                  <c:v>3.8741896087490026</c:v>
                </c:pt>
                <c:pt idx="2">
                  <c:v>2.6728850705219784</c:v>
                </c:pt>
                <c:pt idx="3">
                  <c:v>3.6626826182851304</c:v>
                </c:pt>
                <c:pt idx="4">
                  <c:v>2.7862532923580798</c:v>
                </c:pt>
                <c:pt idx="5">
                  <c:v>2.5540667218407971</c:v>
                </c:pt>
                <c:pt idx="6">
                  <c:v>3.2508787600372759</c:v>
                </c:pt>
                <c:pt idx="7">
                  <c:v>3.4435667776451586</c:v>
                </c:pt>
                <c:pt idx="8">
                  <c:v>4.1783561564843161</c:v>
                </c:pt>
                <c:pt idx="9">
                  <c:v>4.4153226755500015</c:v>
                </c:pt>
                <c:pt idx="10">
                  <c:v>4.0607561596078439</c:v>
                </c:pt>
                <c:pt idx="11">
                  <c:v>4.5695527698288956</c:v>
                </c:pt>
                <c:pt idx="12">
                  <c:v>3.963036260303999</c:v>
                </c:pt>
                <c:pt idx="13">
                  <c:v>3.3542121185564358</c:v>
                </c:pt>
                <c:pt idx="14">
                  <c:v>2.577047135089233</c:v>
                </c:pt>
                <c:pt idx="15">
                  <c:v>3.7162196737466258</c:v>
                </c:pt>
                <c:pt idx="16">
                  <c:v>1.303288764236783</c:v>
                </c:pt>
                <c:pt idx="17">
                  <c:v>2.4531469805048736</c:v>
                </c:pt>
                <c:pt idx="18">
                  <c:v>4.2934983663490245</c:v>
                </c:pt>
                <c:pt idx="19">
                  <c:v>5.6709230985066315</c:v>
                </c:pt>
                <c:pt idx="20">
                  <c:v>-5.7511622856734265E-2</c:v>
                </c:pt>
                <c:pt idx="21">
                  <c:v>-0.33300612932107432</c:v>
                </c:pt>
                <c:pt idx="22">
                  <c:v>1.4198268570219985</c:v>
                </c:pt>
                <c:pt idx="23">
                  <c:v>-1.8469460892868841</c:v>
                </c:pt>
                <c:pt idx="24">
                  <c:v>0.21069868606508507</c:v>
                </c:pt>
                <c:pt idx="25">
                  <c:v>5.5818689703959059</c:v>
                </c:pt>
                <c:pt idx="26">
                  <c:v>3.6253978606922885</c:v>
                </c:pt>
                <c:pt idx="27">
                  <c:v>5.6718200386565263</c:v>
                </c:pt>
                <c:pt idx="28">
                  <c:v>5.9939161764103117</c:v>
                </c:pt>
                <c:pt idx="29">
                  <c:v>-0.95141051379742669</c:v>
                </c:pt>
                <c:pt idx="30">
                  <c:v>-3.941314921560565</c:v>
                </c:pt>
                <c:pt idx="31">
                  <c:v>-5.6408124918498608</c:v>
                </c:pt>
                <c:pt idx="32">
                  <c:v>-4.7801710791363758</c:v>
                </c:pt>
                <c:pt idx="33">
                  <c:v>-4.4944647990436248</c:v>
                </c:pt>
                <c:pt idx="34">
                  <c:v>-2.459911947479327</c:v>
                </c:pt>
                <c:pt idx="35">
                  <c:v>0.45367107877130941</c:v>
                </c:pt>
              </c:numCache>
            </c:numRef>
          </c:val>
          <c:extLst>
            <c:ext xmlns:c16="http://schemas.microsoft.com/office/drawing/2014/chart" uri="{C3380CC4-5D6E-409C-BE32-E72D297353CC}">
              <c16:uniqueId val="{00000001-948E-432F-8A8C-5D15563EA9F2}"/>
            </c:ext>
          </c:extLst>
        </c:ser>
        <c:ser>
          <c:idx val="4"/>
          <c:order val="3"/>
          <c:tx>
            <c:strRef>
              <c:f>'výkonnost odvětví 5a'!$G$66</c:f>
              <c:strCache>
                <c:ptCount val="1"/>
                <c:pt idx="0">
                  <c:v>Maloobchodní prodej PHM (příspěvek)</c:v>
                </c:pt>
              </c:strCache>
            </c:strRef>
          </c:tx>
          <c:spPr>
            <a:solidFill>
              <a:schemeClr val="accent6">
                <a:lumMod val="40000"/>
                <a:lumOff val="60000"/>
              </a:schemeClr>
            </a:solidFill>
            <a:ln w="15875">
              <a:noFill/>
            </a:ln>
          </c:spPr>
          <c:invertIfNegative val="0"/>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5a'!$G$67:$G$103</c:f>
              <c:numCache>
                <c:formatCode>#\ ##0.0</c:formatCode>
                <c:ptCount val="37"/>
                <c:pt idx="0">
                  <c:v>0.75440023430656378</c:v>
                </c:pt>
                <c:pt idx="1">
                  <c:v>0.588112843666875</c:v>
                </c:pt>
                <c:pt idx="2">
                  <c:v>0.78402402568450724</c:v>
                </c:pt>
                <c:pt idx="3">
                  <c:v>0.94331728244946667</c:v>
                </c:pt>
                <c:pt idx="4">
                  <c:v>0.6744248436917698</c:v>
                </c:pt>
                <c:pt idx="5">
                  <c:v>0.72348584188138532</c:v>
                </c:pt>
                <c:pt idx="6">
                  <c:v>0.62302098548854723</c:v>
                </c:pt>
                <c:pt idx="7">
                  <c:v>0.62533415443375595</c:v>
                </c:pt>
                <c:pt idx="8">
                  <c:v>0.54805568528260806</c:v>
                </c:pt>
                <c:pt idx="9">
                  <c:v>0.75356148860252614</c:v>
                </c:pt>
                <c:pt idx="10">
                  <c:v>0.84316485479481218</c:v>
                </c:pt>
                <c:pt idx="11">
                  <c:v>0.68534345825768528</c:v>
                </c:pt>
                <c:pt idx="12">
                  <c:v>0.66536323714663226</c:v>
                </c:pt>
                <c:pt idx="13">
                  <c:v>0.59516252422904425</c:v>
                </c:pt>
                <c:pt idx="14">
                  <c:v>0.3739332000264744</c:v>
                </c:pt>
                <c:pt idx="15">
                  <c:v>0.43257407692417521</c:v>
                </c:pt>
                <c:pt idx="16">
                  <c:v>0.17809135629917194</c:v>
                </c:pt>
                <c:pt idx="17">
                  <c:v>0.36908315571938399</c:v>
                </c:pt>
                <c:pt idx="18">
                  <c:v>0.27107333589466731</c:v>
                </c:pt>
                <c:pt idx="19">
                  <c:v>0.19660561540526125</c:v>
                </c:pt>
                <c:pt idx="20">
                  <c:v>-0.75718611502805722</c:v>
                </c:pt>
                <c:pt idx="21">
                  <c:v>-1.9736345702533769</c:v>
                </c:pt>
                <c:pt idx="22">
                  <c:v>8.4968496843834063E-2</c:v>
                </c:pt>
                <c:pt idx="23">
                  <c:v>-1.074545645994486</c:v>
                </c:pt>
                <c:pt idx="24">
                  <c:v>-0.67301218948182628</c:v>
                </c:pt>
                <c:pt idx="25">
                  <c:v>1.0669589571071818</c:v>
                </c:pt>
                <c:pt idx="26">
                  <c:v>0.3703216291833335</c:v>
                </c:pt>
                <c:pt idx="27">
                  <c:v>0.92324400000698958</c:v>
                </c:pt>
                <c:pt idx="28">
                  <c:v>1.2433005946850226</c:v>
                </c:pt>
                <c:pt idx="29">
                  <c:v>-0.71068023392919111</c:v>
                </c:pt>
                <c:pt idx="30">
                  <c:v>-1.4491015165369834</c:v>
                </c:pt>
                <c:pt idx="31">
                  <c:v>-0.43033854530280263</c:v>
                </c:pt>
                <c:pt idx="32">
                  <c:v>9.4230238000043806E-2</c:v>
                </c:pt>
                <c:pt idx="33">
                  <c:v>1.0480329296267459</c:v>
                </c:pt>
                <c:pt idx="34">
                  <c:v>1.0256337590180515</c:v>
                </c:pt>
                <c:pt idx="35">
                  <c:v>0.21060542780679914</c:v>
                </c:pt>
              </c:numCache>
            </c:numRef>
          </c:val>
          <c:extLst>
            <c:ext xmlns:c16="http://schemas.microsoft.com/office/drawing/2014/chart" uri="{C3380CC4-5D6E-409C-BE32-E72D297353CC}">
              <c16:uniqueId val="{00000002-948E-432F-8A8C-5D15563EA9F2}"/>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5a'!$D$67:$D$103</c:f>
              <c:numCache>
                <c:formatCode>#\ ##0.0</c:formatCode>
                <c:ptCount val="37"/>
                <c:pt idx="0">
                  <c:v>5.5650157121000063</c:v>
                </c:pt>
                <c:pt idx="1">
                  <c:v>5.3140316102000043</c:v>
                </c:pt>
                <c:pt idx="2">
                  <c:v>5.261668949500006</c:v>
                </c:pt>
                <c:pt idx="3">
                  <c:v>5.8260167462999988</c:v>
                </c:pt>
                <c:pt idx="4">
                  <c:v>5.1163484119999936</c:v>
                </c:pt>
                <c:pt idx="5">
                  <c:v>4.584747701699996</c:v>
                </c:pt>
                <c:pt idx="6">
                  <c:v>4.6478731618999944</c:v>
                </c:pt>
                <c:pt idx="7">
                  <c:v>3.5966109598000031</c:v>
                </c:pt>
                <c:pt idx="8">
                  <c:v>5.068305469799995</c:v>
                </c:pt>
                <c:pt idx="9">
                  <c:v>6.2034114922000043</c:v>
                </c:pt>
                <c:pt idx="10">
                  <c:v>5.6856724027999945</c:v>
                </c:pt>
                <c:pt idx="11">
                  <c:v>5.8244576314999961</c:v>
                </c:pt>
                <c:pt idx="12">
                  <c:v>5.9658330699000004</c:v>
                </c:pt>
                <c:pt idx="13">
                  <c:v>4.3854129643000022</c:v>
                </c:pt>
                <c:pt idx="14">
                  <c:v>3.8380531616000013</c:v>
                </c:pt>
                <c:pt idx="15">
                  <c:v>4.3570454750999943</c:v>
                </c:pt>
                <c:pt idx="16">
                  <c:v>1.1052891966999994</c:v>
                </c:pt>
                <c:pt idx="17">
                  <c:v>4.2167027101999963</c:v>
                </c:pt>
                <c:pt idx="18">
                  <c:v>4.5117376484000005</c:v>
                </c:pt>
                <c:pt idx="19">
                  <c:v>7.2113533302999997</c:v>
                </c:pt>
                <c:pt idx="20">
                  <c:v>-0.15887647600000321</c:v>
                </c:pt>
                <c:pt idx="21">
                  <c:v>-4.2817243594000018</c:v>
                </c:pt>
                <c:pt idx="22">
                  <c:v>0.81643935670000189</c:v>
                </c:pt>
                <c:pt idx="23">
                  <c:v>-3.1393056612999999</c:v>
                </c:pt>
                <c:pt idx="24">
                  <c:v>-1.1439148176999936</c:v>
                </c:pt>
                <c:pt idx="25">
                  <c:v>6.9808481568999952</c:v>
                </c:pt>
                <c:pt idx="26">
                  <c:v>3.5922909883999949</c:v>
                </c:pt>
                <c:pt idx="27">
                  <c:v>6.4971048250999957</c:v>
                </c:pt>
                <c:pt idx="28">
                  <c:v>6.787429436599993</c:v>
                </c:pt>
                <c:pt idx="29">
                  <c:v>-2.8193720724000002</c:v>
                </c:pt>
                <c:pt idx="30">
                  <c:v>-7.6549734265999945</c:v>
                </c:pt>
                <c:pt idx="31">
                  <c:v>-9.3198503552000034</c:v>
                </c:pt>
                <c:pt idx="32">
                  <c:v>-7.7722789596000013</c:v>
                </c:pt>
                <c:pt idx="33">
                  <c:v>-6.2841710961999979</c:v>
                </c:pt>
                <c:pt idx="34">
                  <c:v>-3.1490125172000063</c:v>
                </c:pt>
                <c:pt idx="35">
                  <c:v>-0.12992440070000555</c:v>
                </c:pt>
              </c:numCache>
            </c:numRef>
          </c:val>
          <c:smooth val="0"/>
          <c:extLst>
            <c:ext xmlns:c16="http://schemas.microsoft.com/office/drawing/2014/chart" uri="{C3380CC4-5D6E-409C-BE32-E72D297353CC}">
              <c16:uniqueId val="{00000003-948E-432F-8A8C-5D15563EA9F2}"/>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Maloobchod, bez motor. segm. (2021=100)</c:v>
                </c:pt>
              </c:strCache>
            </c:strRef>
          </c:tx>
          <c:spPr>
            <a:ln w="15875">
              <a:solidFill>
                <a:schemeClr val="tx1">
                  <a:lumMod val="95000"/>
                  <a:lumOff val="5000"/>
                </a:schemeClr>
              </a:solidFill>
              <a:prstDash val="solid"/>
            </a:ln>
          </c:spPr>
          <c:marker>
            <c:symbol val="none"/>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5a'!$H$67:$H$103</c:f>
              <c:numCache>
                <c:formatCode>#\ ##0.0</c:formatCode>
                <c:ptCount val="37"/>
                <c:pt idx="0">
                  <c:v>79.387619700000002</c:v>
                </c:pt>
                <c:pt idx="1">
                  <c:v>80.3062253433</c:v>
                </c:pt>
                <c:pt idx="2">
                  <c:v>81.199263806700003</c:v>
                </c:pt>
                <c:pt idx="3">
                  <c:v>82.829916143299997</c:v>
                </c:pt>
                <c:pt idx="4">
                  <c:v>83.359185409999995</c:v>
                </c:pt>
                <c:pt idx="5">
                  <c:v>84.084432476700002</c:v>
                </c:pt>
                <c:pt idx="6">
                  <c:v>85.181352770000004</c:v>
                </c:pt>
                <c:pt idx="7">
                  <c:v>85.88258064</c:v>
                </c:pt>
                <c:pt idx="8">
                  <c:v>87.4984558867</c:v>
                </c:pt>
                <c:pt idx="9">
                  <c:v>89.139402750000002</c:v>
                </c:pt>
                <c:pt idx="10">
                  <c:v>90.153519266700002</c:v>
                </c:pt>
                <c:pt idx="11">
                  <c:v>90.503926663300007</c:v>
                </c:pt>
                <c:pt idx="12">
                  <c:v>93.105140056699994</c:v>
                </c:pt>
                <c:pt idx="13">
                  <c:v>93.1742804167</c:v>
                </c:pt>
                <c:pt idx="14">
                  <c:v>93.514300739999996</c:v>
                </c:pt>
                <c:pt idx="15">
                  <c:v>93.457195813300004</c:v>
                </c:pt>
                <c:pt idx="16">
                  <c:v>95.080488453300006</c:v>
                </c:pt>
                <c:pt idx="17">
                  <c:v>97.775211506700003</c:v>
                </c:pt>
                <c:pt idx="18">
                  <c:v>97.432309173299998</c:v>
                </c:pt>
                <c:pt idx="19">
                  <c:v>98.591741543300003</c:v>
                </c:pt>
                <c:pt idx="20">
                  <c:v>95.1745252467</c:v>
                </c:pt>
                <c:pt idx="21">
                  <c:v>94.2238113433</c:v>
                </c:pt>
                <c:pt idx="22">
                  <c:v>98.2489351567</c:v>
                </c:pt>
                <c:pt idx="23">
                  <c:v>95.276546670000002</c:v>
                </c:pt>
                <c:pt idx="24">
                  <c:v>93.120732363299993</c:v>
                </c:pt>
                <c:pt idx="25">
                  <c:v>100.6970061967</c:v>
                </c:pt>
                <c:pt idx="26">
                  <c:v>102.0775216733</c:v>
                </c:pt>
                <c:pt idx="27">
                  <c:v>101.56045996669999</c:v>
                </c:pt>
                <c:pt idx="28">
                  <c:v>99.689017316700003</c:v>
                </c:pt>
                <c:pt idx="29">
                  <c:v>97.852227529999993</c:v>
                </c:pt>
                <c:pt idx="30">
                  <c:v>94.9484332233</c:v>
                </c:pt>
                <c:pt idx="31">
                  <c:v>92.739781856700006</c:v>
                </c:pt>
                <c:pt idx="32">
                  <c:v>91.820017989999997</c:v>
                </c:pt>
                <c:pt idx="33">
                  <c:v>91.486667793300001</c:v>
                </c:pt>
                <c:pt idx="34">
                  <c:v>91.832769183300002</c:v>
                </c:pt>
                <c:pt idx="35">
                  <c:v>92.480947256700006</c:v>
                </c:pt>
              </c:numCache>
            </c:numRef>
          </c:val>
          <c:smooth val="0"/>
          <c:extLst>
            <c:ext xmlns:c16="http://schemas.microsoft.com/office/drawing/2014/chart" uri="{C3380CC4-5D6E-409C-BE32-E72D297353CC}">
              <c16:uniqueId val="{00000004-948E-432F-8A8C-5D15563EA9F2}"/>
            </c:ext>
          </c:extLst>
        </c:ser>
        <c:ser>
          <c:idx val="2"/>
          <c:order val="5"/>
          <c:tx>
            <c:strRef>
              <c:f>'výkonnost odvětví 5a'!$I$66</c:f>
              <c:strCache>
                <c:ptCount val="1"/>
                <c:pt idx="0">
                  <c:v>z toho: maloobchod.prodej PHM (2021=100)</c:v>
                </c:pt>
              </c:strCache>
            </c:strRef>
          </c:tx>
          <c:spPr>
            <a:ln w="15875">
              <a:solidFill>
                <a:schemeClr val="bg2">
                  <a:lumMod val="50000"/>
                </a:schemeClr>
              </a:solidFill>
              <a:prstDash val="sysDash"/>
            </a:ln>
          </c:spPr>
          <c:marker>
            <c:symbol val="none"/>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5a'!$I$67:$I$103</c:f>
              <c:numCache>
                <c:formatCode>#\ ##0.0</c:formatCode>
                <c:ptCount val="37"/>
                <c:pt idx="0">
                  <c:v>86.524761636700006</c:v>
                </c:pt>
                <c:pt idx="1">
                  <c:v>87.411957833299994</c:v>
                </c:pt>
                <c:pt idx="2">
                  <c:v>89.056815003300002</c:v>
                </c:pt>
                <c:pt idx="3">
                  <c:v>90.635829810000004</c:v>
                </c:pt>
                <c:pt idx="4">
                  <c:v>91.354174043300006</c:v>
                </c:pt>
                <c:pt idx="5">
                  <c:v>92.452717846699997</c:v>
                </c:pt>
                <c:pt idx="6">
                  <c:v>93.451031206699994</c:v>
                </c:pt>
                <c:pt idx="7">
                  <c:v>94.790568546700001</c:v>
                </c:pt>
                <c:pt idx="8">
                  <c:v>96.066324203299999</c:v>
                </c:pt>
                <c:pt idx="9">
                  <c:v>97.673183713300006</c:v>
                </c:pt>
                <c:pt idx="10">
                  <c:v>99.237647573299995</c:v>
                </c:pt>
                <c:pt idx="11">
                  <c:v>100.2896053067</c:v>
                </c:pt>
                <c:pt idx="12">
                  <c:v>101.9259088133</c:v>
                </c:pt>
                <c:pt idx="13">
                  <c:v>102.3498273733</c:v>
                </c:pt>
                <c:pt idx="14">
                  <c:v>102.00124114330001</c:v>
                </c:pt>
                <c:pt idx="15">
                  <c:v>101.92222832669999</c:v>
                </c:pt>
                <c:pt idx="16">
                  <c:v>105.52141971330001</c:v>
                </c:pt>
                <c:pt idx="17">
                  <c:v>106.7492027433</c:v>
                </c:pt>
                <c:pt idx="18">
                  <c:v>102.2677534367</c:v>
                </c:pt>
                <c:pt idx="19">
                  <c:v>102.38734820329999</c:v>
                </c:pt>
                <c:pt idx="20">
                  <c:v>101.74032914999999</c:v>
                </c:pt>
                <c:pt idx="21">
                  <c:v>89.521872973300006</c:v>
                </c:pt>
                <c:pt idx="22">
                  <c:v>98.536132409999993</c:v>
                </c:pt>
                <c:pt idx="23">
                  <c:v>92.227044199999995</c:v>
                </c:pt>
                <c:pt idx="24">
                  <c:v>96.337185626700006</c:v>
                </c:pt>
                <c:pt idx="25">
                  <c:v>101.04246166999999</c:v>
                </c:pt>
                <c:pt idx="26">
                  <c:v>102.21868815329999</c:v>
                </c:pt>
                <c:pt idx="27">
                  <c:v>100.16278036999999</c:v>
                </c:pt>
                <c:pt idx="28">
                  <c:v>100.58357590999999</c:v>
                </c:pt>
                <c:pt idx="29">
                  <c:v>96.011938103299997</c:v>
                </c:pt>
                <c:pt idx="30">
                  <c:v>95.327974240000003</c:v>
                </c:pt>
                <c:pt idx="31">
                  <c:v>98.001312830000003</c:v>
                </c:pt>
                <c:pt idx="32">
                  <c:v>99.337867446700002</c:v>
                </c:pt>
                <c:pt idx="33">
                  <c:v>101.7315474767</c:v>
                </c:pt>
                <c:pt idx="34">
                  <c:v>102.5722280567</c:v>
                </c:pt>
                <c:pt idx="35">
                  <c:v>102.33722072330001</c:v>
                </c:pt>
              </c:numCache>
            </c:numRef>
          </c:val>
          <c:smooth val="0"/>
          <c:extLst>
            <c:ext xmlns:c16="http://schemas.microsoft.com/office/drawing/2014/chart" uri="{C3380CC4-5D6E-409C-BE32-E72D297353CC}">
              <c16:uniqueId val="{00000005-948E-432F-8A8C-5D15563EA9F2}"/>
            </c:ext>
          </c:extLst>
        </c:ser>
        <c:ser>
          <c:idx val="6"/>
          <c:order val="6"/>
          <c:tx>
            <c:strRef>
              <c:f>'výkonnost odvětví 5a'!$J$66</c:f>
              <c:strCache>
                <c:ptCount val="1"/>
                <c:pt idx="0">
                  <c:v>Obchod a opravy motor. vozidel (2021=100)</c:v>
                </c:pt>
              </c:strCache>
            </c:strRef>
          </c:tx>
          <c:spPr>
            <a:ln w="15875">
              <a:solidFill>
                <a:srgbClr val="984807"/>
              </a:solidFill>
              <a:prstDash val="solid"/>
            </a:ln>
          </c:spPr>
          <c:marker>
            <c:symbol val="none"/>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5a'!$J$67:$J$103</c:f>
              <c:numCache>
                <c:formatCode>#\ ##0.0</c:formatCode>
                <c:ptCount val="37"/>
                <c:pt idx="0">
                  <c:v>94.876410473299998</c:v>
                </c:pt>
                <c:pt idx="1">
                  <c:v>97.695799643300006</c:v>
                </c:pt>
                <c:pt idx="2">
                  <c:v>100.06974644669999</c:v>
                </c:pt>
                <c:pt idx="3">
                  <c:v>102.95079615</c:v>
                </c:pt>
                <c:pt idx="4">
                  <c:v>104.2505530033</c:v>
                </c:pt>
                <c:pt idx="5">
                  <c:v>105.7391903267</c:v>
                </c:pt>
                <c:pt idx="6">
                  <c:v>107.83085998670001</c:v>
                </c:pt>
                <c:pt idx="7">
                  <c:v>108.3916669833</c:v>
                </c:pt>
                <c:pt idx="8">
                  <c:v>109.6607583333</c:v>
                </c:pt>
                <c:pt idx="9">
                  <c:v>110.11505321999999</c:v>
                </c:pt>
                <c:pt idx="10">
                  <c:v>109.31164355999999</c:v>
                </c:pt>
                <c:pt idx="11">
                  <c:v>110.27179532</c:v>
                </c:pt>
                <c:pt idx="12">
                  <c:v>108.78251946669999</c:v>
                </c:pt>
                <c:pt idx="13">
                  <c:v>108.49123695</c:v>
                </c:pt>
                <c:pt idx="14">
                  <c:v>108.3772654867</c:v>
                </c:pt>
                <c:pt idx="15">
                  <c:v>106.77434101</c:v>
                </c:pt>
                <c:pt idx="16">
                  <c:v>108.7007365533</c:v>
                </c:pt>
                <c:pt idx="17">
                  <c:v>109.26996463</c:v>
                </c:pt>
                <c:pt idx="18">
                  <c:v>107.48895487670001</c:v>
                </c:pt>
                <c:pt idx="19">
                  <c:v>107.35668517000001</c:v>
                </c:pt>
                <c:pt idx="20">
                  <c:v>95.100964756699994</c:v>
                </c:pt>
                <c:pt idx="21">
                  <c:v>78.817161313300005</c:v>
                </c:pt>
                <c:pt idx="22">
                  <c:v>99.582288770000005</c:v>
                </c:pt>
                <c:pt idx="23">
                  <c:v>99.444996476699998</c:v>
                </c:pt>
                <c:pt idx="24">
                  <c:v>101.4815698533</c:v>
                </c:pt>
                <c:pt idx="25">
                  <c:v>101.20538912000001</c:v>
                </c:pt>
                <c:pt idx="26">
                  <c:v>98.547187789999995</c:v>
                </c:pt>
                <c:pt idx="27">
                  <c:v>97.296073133299998</c:v>
                </c:pt>
                <c:pt idx="28">
                  <c:v>96.634273013300003</c:v>
                </c:pt>
                <c:pt idx="29">
                  <c:v>95.490189773300003</c:v>
                </c:pt>
                <c:pt idx="30">
                  <c:v>95.478794416699998</c:v>
                </c:pt>
                <c:pt idx="31">
                  <c:v>96.020386646700004</c:v>
                </c:pt>
                <c:pt idx="32">
                  <c:v>98.921513309999995</c:v>
                </c:pt>
                <c:pt idx="33">
                  <c:v>99.495656653300003</c:v>
                </c:pt>
                <c:pt idx="34">
                  <c:v>100.74736775</c:v>
                </c:pt>
                <c:pt idx="35">
                  <c:v>101.88866950000001</c:v>
                </c:pt>
              </c:numCache>
            </c:numRef>
          </c:val>
          <c:smooth val="0"/>
          <c:extLst>
            <c:ext xmlns:c16="http://schemas.microsoft.com/office/drawing/2014/chart" uri="{C3380CC4-5D6E-409C-BE32-E72D297353CC}">
              <c16:uniqueId val="{00000006-948E-432F-8A8C-5D15563EA9F2}"/>
            </c:ext>
          </c:extLst>
        </c:ser>
        <c:ser>
          <c:idx val="7"/>
          <c:order val="7"/>
          <c:tx>
            <c:strRef>
              <c:f>'výkonnost odvětví 5a'!$K$66</c:f>
              <c:strCache>
                <c:ptCount val="1"/>
              </c:strCache>
            </c:strRef>
          </c:tx>
          <c:spPr>
            <a:ln w="3175">
              <a:noFill/>
              <a:prstDash val="sysDash"/>
            </a:ln>
          </c:spPr>
          <c:marker>
            <c:symbol val="none"/>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5a'!$K$67:$K$103</c:f>
              <c:numCache>
                <c:formatCode>General</c:formatCode>
                <c:ptCount val="37"/>
              </c:numCache>
            </c:numRef>
          </c:val>
          <c:smooth val="0"/>
          <c:extLst>
            <c:ext xmlns:c16="http://schemas.microsoft.com/office/drawing/2014/chart" uri="{C3380CC4-5D6E-409C-BE32-E72D297353CC}">
              <c16:uniqueId val="{00000007-948E-432F-8A8C-5D15563EA9F2}"/>
            </c:ext>
          </c:extLst>
        </c:ser>
        <c:ser>
          <c:idx val="8"/>
          <c:order val="8"/>
          <c:tx>
            <c:strRef>
              <c:f>'výkonnost odvětví 5a'!$L$66</c:f>
              <c:strCache>
                <c:ptCount val="1"/>
                <c:pt idx="0">
                  <c:v>Saldo indikátoru důvěry spotřebitelů</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5a'!$L$67:$L$103</c:f>
              <c:numCache>
                <c:formatCode>0.0</c:formatCode>
                <c:ptCount val="37"/>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pt idx="33">
                  <c:v>-20.3</c:v>
                </c:pt>
                <c:pt idx="34">
                  <c:v>-18</c:v>
                </c:pt>
                <c:pt idx="35">
                  <c:v>-18.3</c:v>
                </c:pt>
                <c:pt idx="36">
                  <c:v>-15.8</c:v>
                </c:pt>
              </c:numCache>
            </c:numRef>
          </c:val>
          <c:smooth val="0"/>
          <c:extLst>
            <c:ext xmlns:c16="http://schemas.microsoft.com/office/drawing/2014/chart" uri="{C3380CC4-5D6E-409C-BE32-E72D297353CC}">
              <c16:uniqueId val="{00000008-948E-432F-8A8C-5D15563EA9F2}"/>
            </c:ext>
          </c:extLst>
        </c:ser>
        <c:ser>
          <c:idx val="9"/>
          <c:order val="9"/>
          <c:tx>
            <c:strRef>
              <c:f>'výkonnost odvětví 5a'!$M$66</c:f>
              <c:strCache>
                <c:ptCount val="1"/>
                <c:pt idx="0">
                  <c:v>Saldo indikátoru důvěry obchodníků</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5a'!$M$67:$M$103</c:f>
              <c:numCache>
                <c:formatCode>0.0</c:formatCode>
                <c:ptCount val="37"/>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pt idx="33">
                  <c:v>13.3</c:v>
                </c:pt>
                <c:pt idx="34">
                  <c:v>5.7</c:v>
                </c:pt>
                <c:pt idx="35">
                  <c:v>3.3</c:v>
                </c:pt>
                <c:pt idx="36">
                  <c:v>1.7</c:v>
                </c:pt>
              </c:numCache>
            </c:numRef>
          </c:val>
          <c:smooth val="0"/>
          <c:extLst>
            <c:ext xmlns:c16="http://schemas.microsoft.com/office/drawing/2014/chart" uri="{C3380CC4-5D6E-409C-BE32-E72D297353CC}">
              <c16:uniqueId val="{00000009-948E-432F-8A8C-5D15563EA9F2}"/>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2"/>
          <c:min val="-10"/>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(příspěvky k meziroč. změně)</a:t>
                </a:r>
                <a:endParaRPr lang="cs-CZ" sz="750" b="0" i="1"/>
              </a:p>
            </c:rich>
          </c:tx>
          <c:layout>
            <c:manualLayout>
              <c:xMode val="edge"/>
              <c:yMode val="edge"/>
              <c:x val="2.6086947381477195E-3"/>
              <c:y val="0.16393316671713359"/>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2"/>
      </c:valAx>
      <c:valAx>
        <c:axId val="1875563695"/>
        <c:scaling>
          <c:orientation val="minMax"/>
          <c:max val="125"/>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2015=100), </a:t>
                </a:r>
                <a:r>
                  <a:rPr lang="cs-CZ" sz="750" b="0" i="1" u="none" strike="noStrike" baseline="0">
                    <a:effectLst/>
                    <a:latin typeface="Arial" panose="020B0604020202020204" pitchFamily="34" charset="0"/>
                    <a:cs typeface="Arial" panose="020B0604020202020204" pitchFamily="34" charset="0"/>
                  </a:rPr>
                  <a:t>Saldo důvěry</a:t>
                </a:r>
                <a:endParaRPr lang="cs-CZ" sz="750" b="0" i="1">
                  <a:latin typeface="Arial" panose="020B0604020202020204" pitchFamily="34" charset="0"/>
                  <a:cs typeface="Arial" panose="020B0604020202020204" pitchFamily="34" charset="0"/>
                </a:endParaRPr>
              </a:p>
            </c:rich>
          </c:tx>
          <c:layout>
            <c:manualLayout>
              <c:xMode val="edge"/>
              <c:yMode val="edge"/>
              <c:x val="0.96896265019335537"/>
              <c:y val="0.1743397117509615"/>
            </c:manualLayout>
          </c:layout>
          <c:overlay val="0"/>
        </c:title>
        <c:numFmt formatCode="#,##0" sourceLinked="0"/>
        <c:majorTickMark val="out"/>
        <c:minorTickMark val="none"/>
        <c:tickLblPos val="nextTo"/>
        <c:txPr>
          <a:bodyPr/>
          <a:lstStyle/>
          <a:p>
            <a:pPr>
              <a:defRPr sz="800"/>
            </a:pPr>
            <a:endParaRPr lang="cs-CZ"/>
          </a:p>
        </c:txPr>
        <c:crossAx val="1875570767"/>
        <c:crosses val="max"/>
        <c:crossBetween val="between"/>
        <c:majorUnit val="15"/>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5.1385534144624996E-3"/>
          <c:y val="0.837216076019483"/>
          <c:w val="0.98691543107779145"/>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069916774473987E-2"/>
          <c:y val="4.1542453145792614E-2"/>
          <c:w val="0.88202003907252535"/>
          <c:h val="0.82832098852603697"/>
        </c:manualLayout>
      </c:layout>
      <c:barChart>
        <c:barDir val="col"/>
        <c:grouping val="clustered"/>
        <c:varyColors val="0"/>
        <c:ser>
          <c:idx val="2"/>
          <c:order val="2"/>
          <c:tx>
            <c:strRef>
              <c:f>'Vnější vztahy_a'!$D$4</c:f>
              <c:strCache>
                <c:ptCount val="1"/>
                <c:pt idx="0">
                  <c:v>Bilance</c:v>
                </c:pt>
              </c:strCache>
            </c:strRef>
          </c:tx>
          <c:spPr>
            <a:solidFill>
              <a:schemeClr val="bg1">
                <a:lumMod val="50000"/>
              </a:schemeClr>
            </a:solidFill>
            <a:ln>
              <a:noFill/>
            </a:ln>
            <a:effectLst/>
          </c:spPr>
          <c:invertIfNegative val="0"/>
          <c:cat>
            <c:strRef>
              <c:f>'Vnější vztahy_a'!$A$8:$A$22</c:f>
              <c:strCache>
                <c:ptCount val="15"/>
                <c:pt idx="0">
                  <c:v>2009</c:v>
                </c:pt>
                <c:pt idx="1">
                  <c:v>2010</c:v>
                </c:pt>
                <c:pt idx="2">
                  <c:v>2011</c:v>
                </c:pt>
                <c:pt idx="3">
                  <c:v>2012</c:v>
                </c:pt>
                <c:pt idx="4">
                  <c:v>2013</c:v>
                </c:pt>
                <c:pt idx="5">
                  <c:v>2014</c:v>
                </c:pt>
                <c:pt idx="6">
                  <c:v> 2015</c:v>
                </c:pt>
                <c:pt idx="7">
                  <c:v>2016</c:v>
                </c:pt>
                <c:pt idx="8">
                  <c:v>2017</c:v>
                </c:pt>
                <c:pt idx="9">
                  <c:v>2018</c:v>
                </c:pt>
                <c:pt idx="10">
                  <c:v>2019</c:v>
                </c:pt>
                <c:pt idx="11">
                  <c:v>2020</c:v>
                </c:pt>
                <c:pt idx="12">
                  <c:v>2021</c:v>
                </c:pt>
                <c:pt idx="13">
                  <c:v>2022</c:v>
                </c:pt>
                <c:pt idx="14">
                  <c:v>2023</c:v>
                </c:pt>
              </c:strCache>
            </c:strRef>
          </c:cat>
          <c:val>
            <c:numRef>
              <c:f>'Vnější vztahy_a'!$D$8:$D$22</c:f>
              <c:numCache>
                <c:formatCode>General</c:formatCode>
                <c:ptCount val="15"/>
                <c:pt idx="0">
                  <c:v>31.067</c:v>
                </c:pt>
                <c:pt idx="1">
                  <c:v>-20.579000000000001</c:v>
                </c:pt>
                <c:pt idx="2">
                  <c:v>11.977</c:v>
                </c:pt>
                <c:pt idx="3">
                  <c:v>64.410000000000025</c:v>
                </c:pt>
                <c:pt idx="4">
                  <c:v>106.518</c:v>
                </c:pt>
                <c:pt idx="5">
                  <c:v>146.00899999999999</c:v>
                </c:pt>
                <c:pt idx="6">
                  <c:v>130.97677807700001</c:v>
                </c:pt>
                <c:pt idx="7">
                  <c:v>163.65449183600001</c:v>
                </c:pt>
                <c:pt idx="8">
                  <c:v>163.46634792600011</c:v>
                </c:pt>
                <c:pt idx="9">
                  <c:v>98.465823833000002</c:v>
                </c:pt>
                <c:pt idx="10">
                  <c:v>145.694717411</c:v>
                </c:pt>
                <c:pt idx="11">
                  <c:v>179.640176981</c:v>
                </c:pt>
                <c:pt idx="12">
                  <c:v>-9.2046428370000068</c:v>
                </c:pt>
                <c:pt idx="13">
                  <c:v>-204.81458465799997</c:v>
                </c:pt>
                <c:pt idx="14">
                  <c:v>124.91999666100011</c:v>
                </c:pt>
              </c:numCache>
            </c:numRef>
          </c:val>
          <c:extLst>
            <c:ext xmlns:c16="http://schemas.microsoft.com/office/drawing/2014/chart" uri="{C3380CC4-5D6E-409C-BE32-E72D297353CC}">
              <c16:uniqueId val="{00000000-A2BE-410B-BDF8-A7C19E92D222}"/>
            </c:ext>
          </c:extLst>
        </c:ser>
        <c:dLbls>
          <c:showLegendKey val="0"/>
          <c:showVal val="0"/>
          <c:showCatName val="0"/>
          <c:showSerName val="0"/>
          <c:showPercent val="0"/>
          <c:showBubbleSize val="0"/>
        </c:dLbls>
        <c:gapWidth val="90"/>
        <c:axId val="193988096"/>
        <c:axId val="193986560"/>
      </c:barChart>
      <c:lineChart>
        <c:grouping val="standard"/>
        <c:varyColors val="0"/>
        <c:ser>
          <c:idx val="0"/>
          <c:order val="0"/>
          <c:tx>
            <c:strRef>
              <c:f>'Vnější vztahy_a'!$B$4</c:f>
              <c:strCache>
                <c:ptCount val="1"/>
                <c:pt idx="0">
                  <c:v>Vývoz</c:v>
                </c:pt>
              </c:strCache>
            </c:strRef>
          </c:tx>
          <c:spPr>
            <a:ln w="6350" cap="rnd">
              <a:noFill/>
              <a:prstDash val="sysDot"/>
              <a:round/>
            </a:ln>
            <a:effectLst/>
          </c:spPr>
          <c:marker>
            <c:symbol val="dash"/>
            <c:size val="10"/>
            <c:spPr>
              <a:solidFill>
                <a:schemeClr val="accent1"/>
              </a:solidFill>
              <a:ln w="9525">
                <a:solidFill>
                  <a:schemeClr val="accent1"/>
                </a:solidFill>
              </a:ln>
              <a:effectLst/>
            </c:spPr>
          </c:marker>
          <c:cat>
            <c:strRef>
              <c:f>'Vnější vztahy_a'!$A$8:$A$22</c:f>
              <c:strCache>
                <c:ptCount val="15"/>
                <c:pt idx="0">
                  <c:v>2009</c:v>
                </c:pt>
                <c:pt idx="1">
                  <c:v>2010</c:v>
                </c:pt>
                <c:pt idx="2">
                  <c:v>2011</c:v>
                </c:pt>
                <c:pt idx="3">
                  <c:v>2012</c:v>
                </c:pt>
                <c:pt idx="4">
                  <c:v>2013</c:v>
                </c:pt>
                <c:pt idx="5">
                  <c:v>2014</c:v>
                </c:pt>
                <c:pt idx="6">
                  <c:v> 2015</c:v>
                </c:pt>
                <c:pt idx="7">
                  <c:v>2016</c:v>
                </c:pt>
                <c:pt idx="8">
                  <c:v>2017</c:v>
                </c:pt>
                <c:pt idx="9">
                  <c:v>2018</c:v>
                </c:pt>
                <c:pt idx="10">
                  <c:v>2019</c:v>
                </c:pt>
                <c:pt idx="11">
                  <c:v>2020</c:v>
                </c:pt>
                <c:pt idx="12">
                  <c:v>2021</c:v>
                </c:pt>
                <c:pt idx="13">
                  <c:v>2022</c:v>
                </c:pt>
                <c:pt idx="14">
                  <c:v>2023</c:v>
                </c:pt>
              </c:strCache>
            </c:strRef>
          </c:cat>
          <c:val>
            <c:numRef>
              <c:f>'Vnější vztahy_a'!$B$8:$B$22</c:f>
              <c:numCache>
                <c:formatCode>General</c:formatCode>
                <c:ptCount val="15"/>
                <c:pt idx="0">
                  <c:v>-10.811895519442077</c:v>
                </c:pt>
                <c:pt idx="1">
                  <c:v>14.827022335007914</c:v>
                </c:pt>
                <c:pt idx="2">
                  <c:v>10.112037607700056</c:v>
                </c:pt>
                <c:pt idx="3">
                  <c:v>6.0251090942966021</c:v>
                </c:pt>
                <c:pt idx="4">
                  <c:v>2.2153513610284983</c:v>
                </c:pt>
                <c:pt idx="5">
                  <c:v>13.027208809035857</c:v>
                </c:pt>
                <c:pt idx="6">
                  <c:v>3.6127681635768893</c:v>
                </c:pt>
                <c:pt idx="7">
                  <c:v>1.107429654176461</c:v>
                </c:pt>
                <c:pt idx="8">
                  <c:v>6.4802705295808387</c:v>
                </c:pt>
                <c:pt idx="9">
                  <c:v>2.9418083571864679</c:v>
                </c:pt>
                <c:pt idx="10">
                  <c:v>2.0884439685547389</c:v>
                </c:pt>
                <c:pt idx="11">
                  <c:v>-7.0747075448299492</c:v>
                </c:pt>
                <c:pt idx="12">
                  <c:v>13.140723420675508</c:v>
                </c:pt>
                <c:pt idx="13">
                  <c:v>13.550170704130695</c:v>
                </c:pt>
                <c:pt idx="14">
                  <c:v>1.0303976290863086</c:v>
                </c:pt>
              </c:numCache>
            </c:numRef>
          </c:val>
          <c:smooth val="0"/>
          <c:extLst>
            <c:ext xmlns:c16="http://schemas.microsoft.com/office/drawing/2014/chart" uri="{C3380CC4-5D6E-409C-BE32-E72D297353CC}">
              <c16:uniqueId val="{00000001-A2BE-410B-BDF8-A7C19E92D222}"/>
            </c:ext>
          </c:extLst>
        </c:ser>
        <c:ser>
          <c:idx val="1"/>
          <c:order val="1"/>
          <c:tx>
            <c:strRef>
              <c:f>'Vnější vztahy_a'!$C$4</c:f>
              <c:strCache>
                <c:ptCount val="1"/>
                <c:pt idx="0">
                  <c:v>Dovoz</c:v>
                </c:pt>
              </c:strCache>
            </c:strRef>
          </c:tx>
          <c:spPr>
            <a:ln w="6350" cap="rnd">
              <a:noFill/>
              <a:prstDash val="sysDot"/>
              <a:round/>
            </a:ln>
            <a:effectLst/>
          </c:spPr>
          <c:marker>
            <c:symbol val="dash"/>
            <c:size val="10"/>
            <c:spPr>
              <a:solidFill>
                <a:schemeClr val="accent2"/>
              </a:solidFill>
              <a:ln w="9525">
                <a:solidFill>
                  <a:schemeClr val="accent2"/>
                </a:solidFill>
              </a:ln>
              <a:effectLst/>
            </c:spPr>
          </c:marker>
          <c:cat>
            <c:strRef>
              <c:f>'Vnější vztahy_a'!$A$8:$A$22</c:f>
              <c:strCache>
                <c:ptCount val="15"/>
                <c:pt idx="0">
                  <c:v>2009</c:v>
                </c:pt>
                <c:pt idx="1">
                  <c:v>2010</c:v>
                </c:pt>
                <c:pt idx="2">
                  <c:v>2011</c:v>
                </c:pt>
                <c:pt idx="3">
                  <c:v>2012</c:v>
                </c:pt>
                <c:pt idx="4">
                  <c:v>2013</c:v>
                </c:pt>
                <c:pt idx="5">
                  <c:v>2014</c:v>
                </c:pt>
                <c:pt idx="6">
                  <c:v> 2015</c:v>
                </c:pt>
                <c:pt idx="7">
                  <c:v>2016</c:v>
                </c:pt>
                <c:pt idx="8">
                  <c:v>2017</c:v>
                </c:pt>
                <c:pt idx="9">
                  <c:v>2018</c:v>
                </c:pt>
                <c:pt idx="10">
                  <c:v>2019</c:v>
                </c:pt>
                <c:pt idx="11">
                  <c:v>2020</c:v>
                </c:pt>
                <c:pt idx="12">
                  <c:v>2021</c:v>
                </c:pt>
                <c:pt idx="13">
                  <c:v>2022</c:v>
                </c:pt>
                <c:pt idx="14">
                  <c:v>2023</c:v>
                </c:pt>
              </c:strCache>
            </c:strRef>
          </c:cat>
          <c:val>
            <c:numRef>
              <c:f>'Vnější vztahy_a'!$C$8:$C$22</c:f>
              <c:numCache>
                <c:formatCode>General</c:formatCode>
                <c:ptCount val="15"/>
                <c:pt idx="0">
                  <c:v>-13.849775964188694</c:v>
                </c:pt>
                <c:pt idx="1">
                  <c:v>17.636423931022897</c:v>
                </c:pt>
                <c:pt idx="2">
                  <c:v>8.6415161627225636</c:v>
                </c:pt>
                <c:pt idx="3">
                  <c:v>4.0042767307394715</c:v>
                </c:pt>
                <c:pt idx="4">
                  <c:v>0.68681070942259692</c:v>
                </c:pt>
                <c:pt idx="5">
                  <c:v>12.071376353644107</c:v>
                </c:pt>
                <c:pt idx="6">
                  <c:v>4.2889556626306211</c:v>
                </c:pt>
                <c:pt idx="7">
                  <c:v>0.11038963287046213</c:v>
                </c:pt>
                <c:pt idx="8">
                  <c:v>6.8245079237178103</c:v>
                </c:pt>
                <c:pt idx="9">
                  <c:v>5.0260247733996772</c:v>
                </c:pt>
                <c:pt idx="10">
                  <c:v>0.804322617226783</c:v>
                </c:pt>
                <c:pt idx="11">
                  <c:v>-8.3226511448622968</c:v>
                </c:pt>
                <c:pt idx="12">
                  <c:v>19.675778990593603</c:v>
                </c:pt>
                <c:pt idx="13">
                  <c:v>18.545883799731584</c:v>
                </c:pt>
                <c:pt idx="14">
                  <c:v>-6.1646446995663968</c:v>
                </c:pt>
              </c:numCache>
            </c:numRef>
          </c:val>
          <c:smooth val="0"/>
          <c:extLst>
            <c:ext xmlns:c16="http://schemas.microsoft.com/office/drawing/2014/chart" uri="{C3380CC4-5D6E-409C-BE32-E72D297353CC}">
              <c16:uniqueId val="{00000002-A2BE-410B-BDF8-A7C19E92D222}"/>
            </c:ext>
          </c:extLst>
        </c:ser>
        <c:dLbls>
          <c:showLegendKey val="0"/>
          <c:showVal val="0"/>
          <c:showCatName val="0"/>
          <c:showSerName val="0"/>
          <c:showPercent val="0"/>
          <c:showBubbleSize val="0"/>
        </c:dLbls>
        <c:marker val="1"/>
        <c:smooth val="0"/>
        <c:axId val="191616896"/>
        <c:axId val="191666432"/>
      </c:lineChart>
      <c:catAx>
        <c:axId val="1916168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91666432"/>
        <c:crosses val="autoZero"/>
        <c:auto val="1"/>
        <c:lblAlgn val="ctr"/>
        <c:lblOffset val="100"/>
        <c:noMultiLvlLbl val="0"/>
      </c:catAx>
      <c:valAx>
        <c:axId val="191666432"/>
        <c:scaling>
          <c:orientation val="minMax"/>
          <c:max val="21"/>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91616896"/>
        <c:crosses val="autoZero"/>
        <c:crossBetween val="between"/>
        <c:majorUnit val="3"/>
      </c:valAx>
      <c:valAx>
        <c:axId val="193986560"/>
        <c:scaling>
          <c:orientation val="minMax"/>
          <c:max val="210"/>
          <c:min val="-21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93988096"/>
        <c:crosses val="max"/>
        <c:crossBetween val="between"/>
        <c:majorUnit val="35"/>
      </c:valAx>
      <c:catAx>
        <c:axId val="193988096"/>
        <c:scaling>
          <c:orientation val="minMax"/>
        </c:scaling>
        <c:delete val="1"/>
        <c:axPos val="b"/>
        <c:numFmt formatCode="General" sourceLinked="1"/>
        <c:majorTickMark val="out"/>
        <c:minorTickMark val="none"/>
        <c:tickLblPos val="none"/>
        <c:crossAx val="193986560"/>
        <c:crosses val="autoZero"/>
        <c:auto val="1"/>
        <c:lblAlgn val="ctr"/>
        <c:lblOffset val="100"/>
        <c:noMultiLvlLbl val="0"/>
      </c:catAx>
      <c:spPr>
        <a:noFill/>
        <a:ln>
          <a:noFill/>
        </a:ln>
        <a:effectLst/>
      </c:spPr>
    </c:plotArea>
    <c:legend>
      <c:legendPos val="b"/>
      <c:layout>
        <c:manualLayout>
          <c:xMode val="edge"/>
          <c:yMode val="edge"/>
          <c:x val="5.1326213683763972E-2"/>
          <c:y val="0.92486185348631977"/>
          <c:w val="0.92928082460835815"/>
          <c:h val="5.606565908127839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9a58d24f60b264923fe9c7150327a53c">
  <xsd:schema xmlns:xsd="http://www.w3.org/2001/XMLSchema" xmlns:xs="http://www.w3.org/2001/XMLSchema" xmlns:p="http://schemas.microsoft.com/office/2006/metadata/properties" xmlns:ns3="b8c0c86d-151e-4fca-b0d5-747e6692fa1d" targetNamespace="http://schemas.microsoft.com/office/2006/metadata/properties" ma:root="true" ma:fieldsID="91c8efd7c542b57fe84d8bfb95d003d1"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b8c0c86d-151e-4fca-b0d5-747e6692fa1d"/>
    <ds:schemaRef ds:uri="http://purl.org/dc/dcmitype/"/>
  </ds:schemaRefs>
</ds:datastoreItem>
</file>

<file path=customXml/itemProps3.xml><?xml version="1.0" encoding="utf-8"?>
<ds:datastoreItem xmlns:ds="http://schemas.openxmlformats.org/officeDocument/2006/customXml" ds:itemID="{E5E561CC-7D6C-40EF-AB10-C45997A7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7A2CD-E87B-4798-BBAB-8FFDE6CC8DC2}">
  <ds:schemaRefs>
    <ds:schemaRef ds:uri="http://schemas.openxmlformats.org/officeDocument/2006/bibliography"/>
  </ds:schemaRefs>
</ds:datastoreItem>
</file>

<file path=customXml/itemProps5.xml><?xml version="1.0" encoding="utf-8"?>
<ds:datastoreItem xmlns:ds="http://schemas.openxmlformats.org/officeDocument/2006/customXml" ds:itemID="{FF7A8104-C576-4753-98A4-5CFAA294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46</Pages>
  <Words>18938</Words>
  <Characters>111741</Characters>
  <Application>Microsoft Office Word</Application>
  <DocSecurity>0</DocSecurity>
  <Lines>931</Lines>
  <Paragraphs>260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Zábojníková Karolína</cp:lastModifiedBy>
  <cp:revision>3</cp:revision>
  <cp:lastPrinted>2023-06-09T17:23:00Z</cp:lastPrinted>
  <dcterms:created xsi:type="dcterms:W3CDTF">2024-03-21T10:53:00Z</dcterms:created>
  <dcterms:modified xsi:type="dcterms:W3CDTF">2024-03-21T10:53:00Z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ies>
</file>