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08" w:rsidRPr="00FD7F08" w:rsidRDefault="00FD7F08" w:rsidP="00FD7F08">
      <w:pPr>
        <w:spacing w:after="80" w:line="288" w:lineRule="auto"/>
        <w:rPr>
          <w:rFonts w:ascii="Arial" w:eastAsia="Times New Roman" w:hAnsi="Arial" w:cs="Times New Roman"/>
          <w:b/>
          <w:color w:val="747678"/>
          <w:sz w:val="32"/>
          <w:szCs w:val="24"/>
          <w:lang w:eastAsia="cs-CZ"/>
        </w:rPr>
      </w:pPr>
      <w:r w:rsidRPr="00FD7F08">
        <w:rPr>
          <w:rFonts w:ascii="Arial" w:eastAsia="Times New Roman" w:hAnsi="Arial" w:cs="Times New Roman"/>
          <w:b/>
          <w:color w:val="747678"/>
          <w:sz w:val="32"/>
          <w:szCs w:val="24"/>
          <w:lang w:eastAsia="cs-CZ"/>
        </w:rPr>
        <w:t>Obsah</w:t>
      </w:r>
    </w:p>
    <w:p w:rsidR="00FD7F08" w:rsidRPr="00FD7F08" w:rsidRDefault="00FD7F08" w:rsidP="00FD7F08">
      <w:pPr>
        <w:spacing w:after="240" w:line="288" w:lineRule="auto"/>
        <w:rPr>
          <w:rFonts w:ascii="Arial" w:eastAsia="Times New Roman" w:hAnsi="Arial" w:cs="Times New Roman"/>
          <w:sz w:val="20"/>
          <w:szCs w:val="24"/>
          <w:lang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Komentář k vývoji indexů cen tržních služeb v produkční sféře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7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Souhrn indexů cen tržních služeb na úrovni oddílů CZ-CPA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11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Indexy cen tržních služeb na úrovni oddílů, skupin a nižších úrovních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předchozí období = 100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12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stejné období předchozího roku = 100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16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průměr roku 2005 = 100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20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podíl klouzavých průměrů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24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Průměrné ceny vybraných podnikatelských služeb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27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Metodické vysvětlivky (CZ)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28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>Metodické vysvětlivky (ENG)</w:t>
      </w:r>
      <w:r w:rsidRPr="00FD7F08">
        <w:rPr>
          <w:rFonts w:ascii="Arial" w:eastAsia="Times New Roman" w:hAnsi="Arial" w:cs="Times New Roman"/>
          <w:sz w:val="24"/>
          <w:szCs w:val="24"/>
          <w:lang w:eastAsia="cs-CZ"/>
        </w:rPr>
        <w:tab/>
        <w:t>34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sz w:val="24"/>
          <w:szCs w:val="24"/>
          <w:lang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0"/>
          <w:szCs w:val="24"/>
          <w:lang w:eastAsia="cs-CZ"/>
        </w:rPr>
      </w:pPr>
    </w:p>
    <w:p w:rsidR="00FD7F08" w:rsidRPr="00FD7F08" w:rsidRDefault="00FD7F08" w:rsidP="00FD7F08">
      <w:pPr>
        <w:spacing w:after="80" w:line="288" w:lineRule="auto"/>
        <w:rPr>
          <w:rFonts w:ascii="Arial" w:eastAsia="Times New Roman" w:hAnsi="Arial" w:cs="Times New Roman"/>
          <w:b/>
          <w:i/>
          <w:color w:val="747678"/>
          <w:sz w:val="32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b/>
          <w:i/>
          <w:color w:val="747678"/>
          <w:sz w:val="32"/>
          <w:szCs w:val="24"/>
          <w:lang w:val="en-US" w:eastAsia="cs-CZ"/>
        </w:rPr>
        <w:t>Contents</w:t>
      </w:r>
    </w:p>
    <w:p w:rsidR="00FD7F08" w:rsidRPr="00FD7F08" w:rsidRDefault="00FD7F08" w:rsidP="00FD7F08">
      <w:pPr>
        <w:spacing w:after="240" w:line="288" w:lineRule="auto"/>
        <w:rPr>
          <w:rFonts w:ascii="Arial" w:eastAsia="Times New Roman" w:hAnsi="Arial" w:cs="Times New Roman"/>
          <w:sz w:val="20"/>
          <w:szCs w:val="24"/>
          <w:lang w:val="en-US"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Price indices comment of market services in the business sphere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7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Summary of price indices of market services at the sections CZ-CPA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11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Price indices of market services at the level of sections, groups and lower levels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previous month = 100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12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corresponding period of the last year = 100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16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average 2005 = 100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20</w:t>
      </w:r>
    </w:p>
    <w:p w:rsidR="00FD7F08" w:rsidRPr="00FD7F08" w:rsidRDefault="00FD7F08" w:rsidP="00FD7F08">
      <w:pPr>
        <w:numPr>
          <w:ilvl w:val="0"/>
          <w:numId w:val="1"/>
        </w:num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ratio of rolling averages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24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Average prices of selected business services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27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Methodological notes (CZ)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28</w:t>
      </w:r>
    </w:p>
    <w:p w:rsidR="00FD7F08" w:rsidRPr="00FD7F08" w:rsidRDefault="00FD7F08" w:rsidP="00FD7F08">
      <w:pPr>
        <w:tabs>
          <w:tab w:val="right" w:leader="dot" w:pos="9639"/>
        </w:tabs>
        <w:spacing w:after="0" w:line="288" w:lineRule="auto"/>
        <w:rPr>
          <w:rFonts w:ascii="Arial" w:eastAsia="Times New Roman" w:hAnsi="Arial" w:cs="Times New Roman"/>
          <w:i/>
          <w:sz w:val="24"/>
          <w:szCs w:val="24"/>
          <w:lang w:val="en-US" w:eastAsia="cs-CZ"/>
        </w:rPr>
      </w:pP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>Methodological notes (ENG)</w:t>
      </w:r>
      <w:r w:rsidRPr="00FD7F08">
        <w:rPr>
          <w:rFonts w:ascii="Arial" w:eastAsia="Times New Roman" w:hAnsi="Arial" w:cs="Times New Roman"/>
          <w:i/>
          <w:sz w:val="24"/>
          <w:szCs w:val="24"/>
          <w:lang w:val="en-US" w:eastAsia="cs-CZ"/>
        </w:rPr>
        <w:tab/>
        <w:t>34</w:t>
      </w:r>
    </w:p>
    <w:p w:rsidR="00836F20" w:rsidRDefault="00836F20">
      <w:bookmarkStart w:id="0" w:name="_GoBack"/>
      <w:bookmarkEnd w:id="0"/>
    </w:p>
    <w:sectPr w:rsidR="00836F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975" w:rsidRDefault="003D2975" w:rsidP="00FD7F08">
      <w:pPr>
        <w:spacing w:after="0" w:line="240" w:lineRule="auto"/>
      </w:pPr>
      <w:r>
        <w:separator/>
      </w:r>
    </w:p>
  </w:endnote>
  <w:endnote w:type="continuationSeparator" w:id="0">
    <w:p w:rsidR="003D2975" w:rsidRDefault="003D2975" w:rsidP="00FD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F08" w:rsidRPr="00F1639F" w:rsidRDefault="00FD7F08" w:rsidP="00FD7F08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264" behindDoc="0" locked="0" layoutInCell="1" allowOverlap="1" wp14:anchorId="469676C6" wp14:editId="15575F47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1639F">
      <w:rPr>
        <w:szCs w:val="16"/>
      </w:rPr>
      <w:tab/>
    </w:r>
    <w:r>
      <w:rPr>
        <w:rStyle w:val="ZpatChar"/>
        <w:szCs w:val="16"/>
      </w:rPr>
      <w:t>2017</w:t>
    </w:r>
    <w:r w:rsidRPr="00F1639F">
      <w:rPr>
        <w:szCs w:val="16"/>
      </w:rPr>
      <w:tab/>
    </w:r>
  </w:p>
  <w:p w:rsidR="00FD7F08" w:rsidRDefault="00FD7F0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975" w:rsidRDefault="003D2975" w:rsidP="00FD7F08">
      <w:pPr>
        <w:spacing w:after="0" w:line="240" w:lineRule="auto"/>
      </w:pPr>
      <w:r>
        <w:separator/>
      </w:r>
    </w:p>
  </w:footnote>
  <w:footnote w:type="continuationSeparator" w:id="0">
    <w:p w:rsidR="003D2975" w:rsidRDefault="003D2975" w:rsidP="00FD7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F08" w:rsidRPr="00D90F68" w:rsidRDefault="00FD7F08" w:rsidP="00FD7F08">
    <w:pPr>
      <w:pStyle w:val="Zhlav"/>
    </w:pPr>
    <w:r w:rsidRPr="00D90F68">
      <w:t>Indexy cen tržních služeb v </w:t>
    </w:r>
    <w:r>
      <w:t>produkční</w:t>
    </w:r>
    <w:r w:rsidRPr="00D90F68">
      <w:t xml:space="preserve"> sféře</w:t>
    </w:r>
  </w:p>
  <w:p w:rsidR="00FD7F08" w:rsidRPr="00D90F68" w:rsidRDefault="00FD7F08" w:rsidP="00FD7F08">
    <w:pPr>
      <w:pStyle w:val="Zhlav"/>
      <w:rPr>
        <w:i/>
        <w:lang w:val="en-US"/>
      </w:rPr>
    </w:pPr>
    <w:r w:rsidRPr="00D90F68">
      <w:rPr>
        <w:i/>
        <w:lang w:val="en-US"/>
      </w:rPr>
      <w:t>Price indices of market services in the business sphere</w:t>
    </w:r>
  </w:p>
  <w:p w:rsidR="00FD7F08" w:rsidRDefault="00FD7F0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4266B"/>
    <w:multiLevelType w:val="hybridMultilevel"/>
    <w:tmpl w:val="92A2B3C8"/>
    <w:lvl w:ilvl="0" w:tplc="A92EF4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08"/>
    <w:rsid w:val="003D2975"/>
    <w:rsid w:val="00695854"/>
    <w:rsid w:val="00836F20"/>
    <w:rsid w:val="00FD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FD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7F08"/>
  </w:style>
  <w:style w:type="paragraph" w:styleId="Zpat">
    <w:name w:val="footer"/>
    <w:basedOn w:val="Normln"/>
    <w:link w:val="ZpatChar"/>
    <w:uiPriority w:val="99"/>
    <w:unhideWhenUsed/>
    <w:qFormat/>
    <w:rsid w:val="00FD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7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qFormat/>
    <w:rsid w:val="00FD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7F08"/>
  </w:style>
  <w:style w:type="paragraph" w:styleId="Zpat">
    <w:name w:val="footer"/>
    <w:basedOn w:val="Normln"/>
    <w:link w:val="ZpatChar"/>
    <w:uiPriority w:val="99"/>
    <w:unhideWhenUsed/>
    <w:qFormat/>
    <w:rsid w:val="00FD7F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7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Šťastná</dc:creator>
  <cp:lastModifiedBy>Andrea Šťastná</cp:lastModifiedBy>
  <cp:revision>1</cp:revision>
  <dcterms:created xsi:type="dcterms:W3CDTF">2017-01-23T10:46:00Z</dcterms:created>
  <dcterms:modified xsi:type="dcterms:W3CDTF">2017-01-23T10:48:00Z</dcterms:modified>
</cp:coreProperties>
</file>