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54C" w:rsidRPr="0000699C" w:rsidRDefault="00341839" w:rsidP="00580E7F">
      <w:pPr>
        <w:pStyle w:val="Nadpis1a"/>
        <w:tabs>
          <w:tab w:val="left" w:pos="851"/>
        </w:tabs>
        <w:spacing w:line="276" w:lineRule="auto"/>
        <w:rPr>
          <w:i w:val="0"/>
          <w:sz w:val="24"/>
          <w:szCs w:val="24"/>
        </w:rPr>
      </w:pPr>
      <w:r w:rsidRPr="009966B7">
        <w:rPr>
          <w:i w:val="0"/>
          <w:sz w:val="24"/>
          <w:szCs w:val="24"/>
        </w:rPr>
        <w:t>4.</w:t>
      </w:r>
      <w:r w:rsidRPr="009966B7">
        <w:rPr>
          <w:i w:val="0"/>
          <w:sz w:val="24"/>
          <w:szCs w:val="24"/>
        </w:rPr>
        <w:tab/>
      </w:r>
      <w:r w:rsidR="0051354C" w:rsidRPr="00797BC3">
        <w:rPr>
          <w:i w:val="0"/>
          <w:sz w:val="24"/>
          <w:szCs w:val="24"/>
        </w:rPr>
        <w:t>Osoby</w:t>
      </w:r>
      <w:r w:rsidR="0051354C" w:rsidRPr="0000699C">
        <w:rPr>
          <w:i w:val="0"/>
          <w:sz w:val="24"/>
          <w:szCs w:val="24"/>
        </w:rPr>
        <w:t xml:space="preserve"> </w:t>
      </w:r>
      <w:r w:rsidR="004F4C67">
        <w:rPr>
          <w:i w:val="0"/>
          <w:sz w:val="24"/>
          <w:szCs w:val="24"/>
        </w:rPr>
        <w:t xml:space="preserve">bydlící </w:t>
      </w:r>
      <w:r w:rsidR="0051354C" w:rsidRPr="0000699C">
        <w:rPr>
          <w:i w:val="0"/>
          <w:sz w:val="24"/>
          <w:szCs w:val="24"/>
        </w:rPr>
        <w:t>v zařízeních</w:t>
      </w:r>
    </w:p>
    <w:p w:rsidR="0051354C" w:rsidRDefault="0051354C" w:rsidP="0051354C">
      <w:pPr>
        <w:rPr>
          <w:szCs w:val="20"/>
        </w:rPr>
      </w:pPr>
    </w:p>
    <w:p w:rsidR="0051354C" w:rsidRPr="00217930" w:rsidRDefault="0060534A" w:rsidP="0000699C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217930">
        <w:rPr>
          <w:rFonts w:cs="Arial"/>
          <w:sz w:val="20"/>
          <w:szCs w:val="20"/>
        </w:rPr>
        <w:t>Ubytování v zařízení nesplňuje parametry bydlení v</w:t>
      </w:r>
      <w:r w:rsidR="00100B0F" w:rsidRPr="00217930">
        <w:rPr>
          <w:rFonts w:cs="Arial"/>
          <w:sz w:val="20"/>
          <w:szCs w:val="20"/>
        </w:rPr>
        <w:t> </w:t>
      </w:r>
      <w:r w:rsidRPr="00217930">
        <w:rPr>
          <w:rFonts w:cs="Arial"/>
          <w:sz w:val="20"/>
          <w:szCs w:val="20"/>
        </w:rPr>
        <w:t>bytech</w:t>
      </w:r>
      <w:r w:rsidR="00100B0F" w:rsidRPr="00217930">
        <w:rPr>
          <w:rFonts w:cs="Arial"/>
          <w:sz w:val="20"/>
          <w:szCs w:val="20"/>
        </w:rPr>
        <w:t>, naopak poskytuje bydlícím osobám některé služby</w:t>
      </w:r>
      <w:r w:rsidRPr="00217930">
        <w:rPr>
          <w:rFonts w:cs="Arial"/>
          <w:sz w:val="20"/>
          <w:szCs w:val="20"/>
        </w:rPr>
        <w:t xml:space="preserve">. </w:t>
      </w:r>
      <w:r w:rsidR="00774640" w:rsidRPr="00217930">
        <w:rPr>
          <w:rFonts w:cs="Arial"/>
          <w:sz w:val="20"/>
          <w:szCs w:val="20"/>
        </w:rPr>
        <w:t>Celkem bylo k 26.</w:t>
      </w:r>
      <w:r w:rsidR="00E06791">
        <w:rPr>
          <w:rFonts w:cs="Arial"/>
          <w:sz w:val="20"/>
          <w:szCs w:val="20"/>
        </w:rPr>
        <w:t xml:space="preserve"> </w:t>
      </w:r>
      <w:r w:rsidR="00774640" w:rsidRPr="00217930">
        <w:rPr>
          <w:rFonts w:cs="Arial"/>
          <w:sz w:val="20"/>
          <w:szCs w:val="20"/>
        </w:rPr>
        <w:t>3.</w:t>
      </w:r>
      <w:r w:rsidR="00E06791">
        <w:rPr>
          <w:rFonts w:cs="Arial"/>
          <w:sz w:val="20"/>
          <w:szCs w:val="20"/>
        </w:rPr>
        <w:t xml:space="preserve"> </w:t>
      </w:r>
      <w:r w:rsidR="00774640" w:rsidRPr="00217930">
        <w:rPr>
          <w:rFonts w:cs="Arial"/>
          <w:sz w:val="20"/>
          <w:szCs w:val="20"/>
        </w:rPr>
        <w:t xml:space="preserve">2011 ve všech typech zařízení sečteno </w:t>
      </w:r>
      <w:r w:rsidR="00774640" w:rsidRPr="00217930">
        <w:rPr>
          <w:sz w:val="20"/>
          <w:szCs w:val="20"/>
        </w:rPr>
        <w:t>194 456 osob.</w:t>
      </w:r>
    </w:p>
    <w:p w:rsidR="00774640" w:rsidRPr="00217930" w:rsidRDefault="00774640" w:rsidP="0000699C">
      <w:pPr>
        <w:jc w:val="both"/>
        <w:rPr>
          <w:sz w:val="20"/>
          <w:szCs w:val="20"/>
        </w:rPr>
      </w:pPr>
    </w:p>
    <w:p w:rsidR="007E70B2" w:rsidRPr="00217930" w:rsidRDefault="0051354C" w:rsidP="00006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217930">
        <w:rPr>
          <w:sz w:val="20"/>
          <w:szCs w:val="20"/>
        </w:rPr>
        <w:t>Osoby v zařízeních netvoř</w:t>
      </w:r>
      <w:r w:rsidR="006A31EB" w:rsidRPr="00217930">
        <w:rPr>
          <w:sz w:val="20"/>
          <w:szCs w:val="20"/>
        </w:rPr>
        <w:t>ily</w:t>
      </w:r>
      <w:r w:rsidRPr="00217930">
        <w:rPr>
          <w:sz w:val="20"/>
          <w:szCs w:val="20"/>
        </w:rPr>
        <w:t xml:space="preserve"> homogenní skupinu, kterou by bylo možné popsat společnými charakteristikami. Základní třídění osob v zařízení </w:t>
      </w:r>
      <w:r w:rsidR="00D7658E" w:rsidRPr="00217930">
        <w:rPr>
          <w:sz w:val="20"/>
          <w:szCs w:val="20"/>
        </w:rPr>
        <w:t>se odvíjí od</w:t>
      </w:r>
      <w:r w:rsidRPr="00217930">
        <w:rPr>
          <w:sz w:val="20"/>
          <w:szCs w:val="20"/>
        </w:rPr>
        <w:t xml:space="preserve"> druhu zařízení</w:t>
      </w:r>
      <w:r w:rsidR="00D7658E" w:rsidRPr="00217930">
        <w:rPr>
          <w:sz w:val="20"/>
          <w:szCs w:val="20"/>
        </w:rPr>
        <w:t xml:space="preserve">, </w:t>
      </w:r>
      <w:r w:rsidRPr="00217930">
        <w:rPr>
          <w:sz w:val="20"/>
          <w:szCs w:val="20"/>
        </w:rPr>
        <w:t xml:space="preserve">ne ve všech případech </w:t>
      </w:r>
      <w:r w:rsidR="0047261A" w:rsidRPr="00217930">
        <w:rPr>
          <w:sz w:val="20"/>
          <w:szCs w:val="20"/>
        </w:rPr>
        <w:t>byl</w:t>
      </w:r>
      <w:r w:rsidRPr="00217930">
        <w:rPr>
          <w:sz w:val="20"/>
          <w:szCs w:val="20"/>
        </w:rPr>
        <w:t xml:space="preserve"> ale druh zařízení zjištěn. </w:t>
      </w:r>
      <w:r w:rsidR="008C4593" w:rsidRPr="00217930">
        <w:rPr>
          <w:sz w:val="20"/>
          <w:szCs w:val="20"/>
        </w:rPr>
        <w:t>Z</w:t>
      </w:r>
      <w:r w:rsidR="008C4593" w:rsidRPr="00217930">
        <w:rPr>
          <w:rFonts w:cs="Arial"/>
          <w:sz w:val="20"/>
          <w:szCs w:val="20"/>
        </w:rPr>
        <w:t xml:space="preserve">působ provedení cenzu </w:t>
      </w:r>
      <w:r w:rsidR="0047261A" w:rsidRPr="00217930">
        <w:rPr>
          <w:rFonts w:cs="Arial"/>
          <w:sz w:val="20"/>
          <w:szCs w:val="20"/>
        </w:rPr>
        <w:t xml:space="preserve">ho </w:t>
      </w:r>
      <w:r w:rsidR="008C4593" w:rsidRPr="00217930">
        <w:rPr>
          <w:rFonts w:cs="Arial"/>
          <w:sz w:val="20"/>
          <w:szCs w:val="20"/>
        </w:rPr>
        <w:t xml:space="preserve">umožnil určit pouze v případě, kdy bylo </w:t>
      </w:r>
      <w:r w:rsidR="0047261A" w:rsidRPr="00217930">
        <w:rPr>
          <w:rFonts w:cs="Arial"/>
          <w:sz w:val="20"/>
          <w:szCs w:val="20"/>
        </w:rPr>
        <w:t xml:space="preserve">zařízení </w:t>
      </w:r>
      <w:r w:rsidR="008C4593" w:rsidRPr="00217930">
        <w:rPr>
          <w:rFonts w:cs="Arial"/>
          <w:sz w:val="20"/>
          <w:szCs w:val="20"/>
        </w:rPr>
        <w:t>současně druhem domu</w:t>
      </w:r>
      <w:r w:rsidR="00F709AC" w:rsidRPr="00217930">
        <w:rPr>
          <w:rFonts w:cs="Arial"/>
          <w:sz w:val="20"/>
          <w:szCs w:val="20"/>
        </w:rPr>
        <w:t>.</w:t>
      </w:r>
      <w:r w:rsidR="007E70B2" w:rsidRPr="00217930">
        <w:rPr>
          <w:rFonts w:cs="Arial"/>
          <w:sz w:val="20"/>
          <w:szCs w:val="20"/>
        </w:rPr>
        <w:t xml:space="preserve"> Kromě </w:t>
      </w:r>
      <w:r w:rsidR="0047261A" w:rsidRPr="00217930">
        <w:rPr>
          <w:rFonts w:cs="Arial"/>
          <w:sz w:val="20"/>
          <w:szCs w:val="20"/>
        </w:rPr>
        <w:t>druhu domu typu</w:t>
      </w:r>
      <w:r w:rsidR="007E70B2" w:rsidRPr="00217930">
        <w:rPr>
          <w:rFonts w:cs="Arial"/>
          <w:sz w:val="20"/>
          <w:szCs w:val="20"/>
        </w:rPr>
        <w:t xml:space="preserve"> domovů pro seniory, ubytoven, domovů mládeže, klášterů a konventů nebo </w:t>
      </w:r>
      <w:r w:rsidR="00E06791">
        <w:rPr>
          <w:rFonts w:cs="Arial"/>
          <w:sz w:val="20"/>
          <w:szCs w:val="20"/>
        </w:rPr>
        <w:t>zařízení so</w:t>
      </w:r>
      <w:r w:rsidR="0060534A" w:rsidRPr="00217930">
        <w:rPr>
          <w:rFonts w:cs="Arial"/>
          <w:sz w:val="20"/>
          <w:szCs w:val="20"/>
        </w:rPr>
        <w:t xml:space="preserve">ciálních služeb, </w:t>
      </w:r>
      <w:r w:rsidR="007E70B2" w:rsidRPr="00217930">
        <w:rPr>
          <w:rFonts w:cs="Arial"/>
          <w:sz w:val="20"/>
          <w:szCs w:val="20"/>
        </w:rPr>
        <w:t xml:space="preserve">byly </w:t>
      </w:r>
      <w:r w:rsidR="0060534A" w:rsidRPr="00217930">
        <w:rPr>
          <w:rFonts w:cs="Arial"/>
          <w:sz w:val="20"/>
          <w:szCs w:val="20"/>
        </w:rPr>
        <w:t>sečteny</w:t>
      </w:r>
      <w:r w:rsidR="007E70B2" w:rsidRPr="00217930">
        <w:rPr>
          <w:rFonts w:cs="Arial"/>
          <w:sz w:val="20"/>
          <w:szCs w:val="20"/>
        </w:rPr>
        <w:t xml:space="preserve"> i osoby v zařízeních, která byla součástí jiných druhů domu. Např. tak </w:t>
      </w:r>
      <w:r w:rsidR="0060534A" w:rsidRPr="00217930">
        <w:rPr>
          <w:rFonts w:cs="Arial"/>
          <w:sz w:val="20"/>
          <w:szCs w:val="20"/>
        </w:rPr>
        <w:t>téměř pětina všech osob v zařízení (37,6</w:t>
      </w:r>
      <w:r w:rsidR="007E70B2" w:rsidRPr="00217930">
        <w:rPr>
          <w:rFonts w:cs="Arial"/>
          <w:sz w:val="20"/>
          <w:szCs w:val="20"/>
        </w:rPr>
        <w:t xml:space="preserve"> tis. osob</w:t>
      </w:r>
      <w:r w:rsidR="0060534A" w:rsidRPr="00217930">
        <w:rPr>
          <w:rFonts w:cs="Arial"/>
          <w:sz w:val="20"/>
          <w:szCs w:val="20"/>
        </w:rPr>
        <w:t>)</w:t>
      </w:r>
      <w:r w:rsidR="007E70B2" w:rsidRPr="00217930">
        <w:rPr>
          <w:rFonts w:cs="Arial"/>
          <w:sz w:val="20"/>
          <w:szCs w:val="20"/>
        </w:rPr>
        <w:t xml:space="preserve"> </w:t>
      </w:r>
      <w:r w:rsidR="0060534A" w:rsidRPr="00217930">
        <w:rPr>
          <w:rFonts w:cs="Arial"/>
          <w:sz w:val="20"/>
          <w:szCs w:val="20"/>
        </w:rPr>
        <w:t>připadla na obytné domy (zařízení bylo</w:t>
      </w:r>
      <w:r w:rsidR="007E70B2" w:rsidRPr="00217930">
        <w:rPr>
          <w:rFonts w:cs="Arial"/>
          <w:sz w:val="20"/>
          <w:szCs w:val="20"/>
        </w:rPr>
        <w:t xml:space="preserve"> </w:t>
      </w:r>
      <w:r w:rsidR="0060534A" w:rsidRPr="00217930">
        <w:rPr>
          <w:rFonts w:cs="Arial"/>
          <w:sz w:val="20"/>
          <w:szCs w:val="20"/>
        </w:rPr>
        <w:t xml:space="preserve">většinou </w:t>
      </w:r>
      <w:r w:rsidR="007E70B2" w:rsidRPr="00217930">
        <w:rPr>
          <w:rFonts w:cs="Arial"/>
          <w:sz w:val="20"/>
          <w:szCs w:val="20"/>
        </w:rPr>
        <w:t>součástí bytových domů</w:t>
      </w:r>
      <w:r w:rsidR="0047261A" w:rsidRPr="00217930">
        <w:rPr>
          <w:rFonts w:cs="Arial"/>
          <w:sz w:val="20"/>
          <w:szCs w:val="20"/>
        </w:rPr>
        <w:t>)</w:t>
      </w:r>
      <w:r w:rsidR="0060534A" w:rsidRPr="00217930">
        <w:rPr>
          <w:rFonts w:cs="Arial"/>
          <w:sz w:val="20"/>
          <w:szCs w:val="20"/>
        </w:rPr>
        <w:t>.</w:t>
      </w:r>
      <w:r w:rsidR="007E70B2" w:rsidRPr="00217930">
        <w:rPr>
          <w:rFonts w:cs="Arial"/>
          <w:b/>
          <w:bCs/>
          <w:sz w:val="20"/>
          <w:szCs w:val="20"/>
        </w:rPr>
        <w:t xml:space="preserve"> „Zařízením“ při sčítání se totiž rozuměl především způsob bydlení osob - </w:t>
      </w:r>
      <w:r w:rsidR="007E70B2" w:rsidRPr="00217930">
        <w:rPr>
          <w:rFonts w:cs="Arial"/>
          <w:sz w:val="20"/>
          <w:szCs w:val="20"/>
        </w:rPr>
        <w:t>odlišný od bydlení v bytech a mimo byty. Charakteristickým</w:t>
      </w:r>
      <w:r w:rsidR="00CE1BB5">
        <w:rPr>
          <w:rFonts w:cs="Arial"/>
          <w:sz w:val="20"/>
          <w:szCs w:val="20"/>
        </w:rPr>
        <w:t>i</w:t>
      </w:r>
      <w:r w:rsidR="007E70B2" w:rsidRPr="00217930">
        <w:rPr>
          <w:rFonts w:cs="Arial"/>
          <w:sz w:val="20"/>
          <w:szCs w:val="20"/>
        </w:rPr>
        <w:t xml:space="preserve"> rys</w:t>
      </w:r>
      <w:r w:rsidR="00CE1BB5">
        <w:rPr>
          <w:rFonts w:cs="Arial"/>
          <w:sz w:val="20"/>
          <w:szCs w:val="20"/>
        </w:rPr>
        <w:t>y</w:t>
      </w:r>
      <w:r w:rsidR="007E70B2" w:rsidRPr="00217930">
        <w:rPr>
          <w:rFonts w:cs="Arial"/>
          <w:sz w:val="20"/>
          <w:szCs w:val="20"/>
        </w:rPr>
        <w:t xml:space="preserve"> kromě společného bydlení (1, 2 nebo více osob bydlí např. společně v pokoji)</w:t>
      </w:r>
      <w:r w:rsidR="0060534A" w:rsidRPr="00217930">
        <w:rPr>
          <w:rFonts w:cs="Arial"/>
          <w:sz w:val="20"/>
          <w:szCs w:val="20"/>
        </w:rPr>
        <w:t xml:space="preserve"> </w:t>
      </w:r>
      <w:r w:rsidR="00CE1BB5">
        <w:rPr>
          <w:rFonts w:cs="Arial"/>
          <w:sz w:val="20"/>
          <w:szCs w:val="20"/>
        </w:rPr>
        <w:t>m</w:t>
      </w:r>
      <w:r w:rsidR="00407ED2">
        <w:rPr>
          <w:rFonts w:cs="Arial"/>
          <w:sz w:val="20"/>
          <w:szCs w:val="20"/>
        </w:rPr>
        <w:t>ůže</w:t>
      </w:r>
      <w:r w:rsidR="00CE1BB5">
        <w:rPr>
          <w:rFonts w:cs="Arial"/>
          <w:sz w:val="20"/>
          <w:szCs w:val="20"/>
        </w:rPr>
        <w:t xml:space="preserve"> být i </w:t>
      </w:r>
      <w:r w:rsidR="00CE1BB5" w:rsidRPr="00217930">
        <w:rPr>
          <w:rFonts w:cs="Arial"/>
          <w:sz w:val="20"/>
          <w:szCs w:val="20"/>
        </w:rPr>
        <w:t xml:space="preserve">společné vybavení </w:t>
      </w:r>
      <w:r w:rsidR="00CE1BB5">
        <w:rPr>
          <w:rFonts w:cs="Arial"/>
          <w:sz w:val="20"/>
          <w:szCs w:val="20"/>
        </w:rPr>
        <w:t>(např.</w:t>
      </w:r>
      <w:r w:rsidR="00CE1BB5" w:rsidRPr="00217930">
        <w:rPr>
          <w:rFonts w:cs="Arial"/>
          <w:sz w:val="20"/>
          <w:szCs w:val="20"/>
        </w:rPr>
        <w:t xml:space="preserve"> kuchyň, sociální zařízení, koupelny, haly</w:t>
      </w:r>
      <w:r w:rsidR="00CE1BB5">
        <w:rPr>
          <w:rFonts w:cs="Arial"/>
          <w:sz w:val="20"/>
          <w:szCs w:val="20"/>
        </w:rPr>
        <w:t xml:space="preserve">) </w:t>
      </w:r>
      <w:r w:rsidR="00CE1BB5" w:rsidRPr="00217930">
        <w:rPr>
          <w:rFonts w:cs="Arial"/>
          <w:sz w:val="20"/>
          <w:szCs w:val="20"/>
        </w:rPr>
        <w:t xml:space="preserve">a </w:t>
      </w:r>
      <w:r w:rsidR="00407ED2">
        <w:rPr>
          <w:rFonts w:cs="Arial"/>
          <w:sz w:val="20"/>
          <w:szCs w:val="20"/>
        </w:rPr>
        <w:t xml:space="preserve">zajištění </w:t>
      </w:r>
      <w:r w:rsidR="00CE1BB5" w:rsidRPr="00217930">
        <w:rPr>
          <w:rFonts w:cs="Arial"/>
          <w:sz w:val="20"/>
          <w:szCs w:val="20"/>
        </w:rPr>
        <w:t>někter</w:t>
      </w:r>
      <w:r w:rsidR="00407ED2">
        <w:rPr>
          <w:rFonts w:cs="Arial"/>
          <w:sz w:val="20"/>
          <w:szCs w:val="20"/>
        </w:rPr>
        <w:t>ých</w:t>
      </w:r>
      <w:r w:rsidR="00CE1BB5" w:rsidRPr="00217930">
        <w:rPr>
          <w:rFonts w:cs="Arial"/>
          <w:sz w:val="20"/>
          <w:szCs w:val="20"/>
        </w:rPr>
        <w:t xml:space="preserve"> služ</w:t>
      </w:r>
      <w:r w:rsidR="00407ED2">
        <w:rPr>
          <w:rFonts w:cs="Arial"/>
          <w:sz w:val="20"/>
          <w:szCs w:val="20"/>
        </w:rPr>
        <w:t>eb</w:t>
      </w:r>
      <w:r w:rsidR="00CE1BB5" w:rsidRPr="00217930">
        <w:rPr>
          <w:rFonts w:cs="Arial"/>
          <w:sz w:val="20"/>
          <w:szCs w:val="20"/>
        </w:rPr>
        <w:t xml:space="preserve"> </w:t>
      </w:r>
      <w:r w:rsidR="00407ED2">
        <w:rPr>
          <w:rFonts w:cs="Arial"/>
          <w:sz w:val="20"/>
          <w:szCs w:val="20"/>
        </w:rPr>
        <w:t>(</w:t>
      </w:r>
      <w:r w:rsidR="00CE1BB5" w:rsidRPr="00217930">
        <w:rPr>
          <w:rFonts w:cs="Arial"/>
          <w:sz w:val="20"/>
          <w:szCs w:val="20"/>
        </w:rPr>
        <w:t>např. stravování, praní prádla, úklid apod.</w:t>
      </w:r>
      <w:r w:rsidR="00407ED2">
        <w:rPr>
          <w:rFonts w:cs="Arial"/>
          <w:sz w:val="20"/>
          <w:szCs w:val="20"/>
        </w:rPr>
        <w:t>)</w:t>
      </w:r>
    </w:p>
    <w:p w:rsidR="00F709AC" w:rsidRPr="00217930" w:rsidRDefault="00F709AC" w:rsidP="00006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E96922" w:rsidRPr="00217930" w:rsidRDefault="0047261A" w:rsidP="00006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217930">
        <w:rPr>
          <w:rFonts w:cs="Arial"/>
          <w:sz w:val="20"/>
          <w:szCs w:val="20"/>
        </w:rPr>
        <w:t>Údaje o o</w:t>
      </w:r>
      <w:r w:rsidR="00F709AC" w:rsidRPr="00217930">
        <w:rPr>
          <w:rFonts w:cs="Arial"/>
          <w:sz w:val="20"/>
          <w:szCs w:val="20"/>
        </w:rPr>
        <w:t>sob</w:t>
      </w:r>
      <w:r w:rsidRPr="00217930">
        <w:rPr>
          <w:rFonts w:cs="Arial"/>
          <w:sz w:val="20"/>
          <w:szCs w:val="20"/>
        </w:rPr>
        <w:t>ách</w:t>
      </w:r>
      <w:r w:rsidR="00F709AC" w:rsidRPr="00217930">
        <w:rPr>
          <w:rFonts w:cs="Arial"/>
          <w:sz w:val="20"/>
          <w:szCs w:val="20"/>
        </w:rPr>
        <w:t xml:space="preserve"> bydlící</w:t>
      </w:r>
      <w:r w:rsidRPr="00217930">
        <w:rPr>
          <w:rFonts w:cs="Arial"/>
          <w:sz w:val="20"/>
          <w:szCs w:val="20"/>
        </w:rPr>
        <w:t>ch</w:t>
      </w:r>
      <w:r w:rsidR="00F709AC" w:rsidRPr="00217930">
        <w:rPr>
          <w:rFonts w:cs="Arial"/>
          <w:sz w:val="20"/>
          <w:szCs w:val="20"/>
        </w:rPr>
        <w:t xml:space="preserve"> v zařízení </w:t>
      </w:r>
      <w:r w:rsidRPr="00217930">
        <w:rPr>
          <w:rFonts w:cs="Arial"/>
          <w:sz w:val="20"/>
          <w:szCs w:val="20"/>
        </w:rPr>
        <w:t xml:space="preserve">v roce 2011 </w:t>
      </w:r>
      <w:r w:rsidR="00F709AC" w:rsidRPr="00217930">
        <w:rPr>
          <w:rFonts w:cs="Arial"/>
          <w:sz w:val="20"/>
          <w:szCs w:val="20"/>
        </w:rPr>
        <w:t>byly významnou měrou ovlivněny změnou metodiky konceptu bydlícího obyvatelstva. Na rozdíl od předchozích sčítání byl</w:t>
      </w:r>
      <w:r w:rsidRPr="00217930">
        <w:rPr>
          <w:rFonts w:cs="Arial"/>
          <w:sz w:val="20"/>
          <w:szCs w:val="20"/>
        </w:rPr>
        <w:t>a</w:t>
      </w:r>
      <w:r w:rsidR="00F709AC" w:rsidRPr="00217930">
        <w:rPr>
          <w:rFonts w:cs="Arial"/>
          <w:sz w:val="20"/>
          <w:szCs w:val="20"/>
        </w:rPr>
        <w:t xml:space="preserve"> tak v souladu s mezinárodní metodikou </w:t>
      </w:r>
      <w:r w:rsidRPr="00217930">
        <w:rPr>
          <w:rFonts w:cs="Arial"/>
          <w:sz w:val="20"/>
          <w:szCs w:val="20"/>
        </w:rPr>
        <w:t>odvozena adresa obvyklého pobytu</w:t>
      </w:r>
      <w:r w:rsidR="00F709AC" w:rsidRPr="00217930">
        <w:rPr>
          <w:rFonts w:cs="Arial"/>
          <w:sz w:val="20"/>
          <w:szCs w:val="20"/>
        </w:rPr>
        <w:t xml:space="preserve"> </w:t>
      </w:r>
      <w:r w:rsidRPr="00217930">
        <w:rPr>
          <w:rFonts w:cs="Arial"/>
          <w:sz w:val="20"/>
          <w:szCs w:val="20"/>
        </w:rPr>
        <w:t>pro</w:t>
      </w:r>
      <w:r w:rsidR="00F709AC" w:rsidRPr="00217930">
        <w:rPr>
          <w:rFonts w:cs="Arial"/>
          <w:sz w:val="20"/>
          <w:szCs w:val="20"/>
        </w:rPr>
        <w:t xml:space="preserve"> osoby </w:t>
      </w:r>
      <w:r w:rsidRPr="00217930">
        <w:rPr>
          <w:rFonts w:cs="Arial"/>
          <w:sz w:val="20"/>
          <w:szCs w:val="20"/>
        </w:rPr>
        <w:t xml:space="preserve">např. </w:t>
      </w:r>
      <w:r w:rsidR="00F709AC" w:rsidRPr="00217930">
        <w:rPr>
          <w:rFonts w:cs="Arial"/>
          <w:sz w:val="20"/>
          <w:szCs w:val="20"/>
        </w:rPr>
        <w:t>ve věznicích (necelých 14,5 tis. osob)</w:t>
      </w:r>
      <w:r w:rsidRPr="00217930">
        <w:rPr>
          <w:rFonts w:cs="Arial"/>
          <w:sz w:val="20"/>
          <w:szCs w:val="20"/>
        </w:rPr>
        <w:t xml:space="preserve">, </w:t>
      </w:r>
      <w:r w:rsidR="00F709AC" w:rsidRPr="00217930">
        <w:rPr>
          <w:rFonts w:cs="Arial"/>
          <w:sz w:val="20"/>
          <w:szCs w:val="20"/>
        </w:rPr>
        <w:t xml:space="preserve"> studentských kolejí</w:t>
      </w:r>
      <w:r w:rsidRPr="00217930">
        <w:rPr>
          <w:rFonts w:cs="Arial"/>
          <w:sz w:val="20"/>
          <w:szCs w:val="20"/>
        </w:rPr>
        <w:t>ch</w:t>
      </w:r>
      <w:r w:rsidR="00F709AC" w:rsidRPr="00217930">
        <w:rPr>
          <w:rFonts w:cs="Arial"/>
          <w:sz w:val="20"/>
          <w:szCs w:val="20"/>
        </w:rPr>
        <w:t xml:space="preserve"> (téměř 11,5 tis. osob), </w:t>
      </w:r>
      <w:r w:rsidRPr="00217930">
        <w:rPr>
          <w:rFonts w:cs="Arial"/>
          <w:sz w:val="20"/>
          <w:szCs w:val="20"/>
        </w:rPr>
        <w:t>zařízeních sociálních služeb (15 tis. osob)</w:t>
      </w:r>
      <w:r w:rsidR="003620C3" w:rsidRPr="00217930">
        <w:rPr>
          <w:rFonts w:cs="Arial"/>
          <w:sz w:val="20"/>
          <w:szCs w:val="20"/>
        </w:rPr>
        <w:t>, v zařízeních pro krátkodobé ubytování (10,8 tis.)</w:t>
      </w:r>
      <w:r w:rsidRPr="00217930">
        <w:rPr>
          <w:rFonts w:cs="Arial"/>
          <w:sz w:val="20"/>
          <w:szCs w:val="20"/>
        </w:rPr>
        <w:t xml:space="preserve"> apod., tedy </w:t>
      </w:r>
      <w:r w:rsidR="00E96922" w:rsidRPr="00217930">
        <w:rPr>
          <w:rFonts w:cs="Arial"/>
          <w:sz w:val="20"/>
          <w:szCs w:val="20"/>
        </w:rPr>
        <w:t xml:space="preserve">i pro osoby, </w:t>
      </w:r>
      <w:r w:rsidR="00F709AC" w:rsidRPr="00217930">
        <w:rPr>
          <w:rFonts w:cs="Arial"/>
          <w:sz w:val="20"/>
          <w:szCs w:val="20"/>
        </w:rPr>
        <w:t xml:space="preserve">které podle konceptu trvalého bydliště byly při sčítání 2001 </w:t>
      </w:r>
      <w:r w:rsidR="00E96922" w:rsidRPr="00217930">
        <w:rPr>
          <w:rFonts w:cs="Arial"/>
          <w:sz w:val="20"/>
          <w:szCs w:val="20"/>
        </w:rPr>
        <w:t xml:space="preserve">i </w:t>
      </w:r>
      <w:r w:rsidR="00980DFB" w:rsidRPr="00217930">
        <w:rPr>
          <w:rFonts w:cs="Arial"/>
          <w:sz w:val="20"/>
          <w:szCs w:val="20"/>
        </w:rPr>
        <w:t xml:space="preserve">v </w:t>
      </w:r>
      <w:r w:rsidR="00E96922" w:rsidRPr="00217930">
        <w:rPr>
          <w:rFonts w:cs="Arial"/>
          <w:sz w:val="20"/>
          <w:szCs w:val="20"/>
        </w:rPr>
        <w:t>dřívějších cenzech</w:t>
      </w:r>
      <w:r w:rsidR="00F709AC" w:rsidRPr="00217930">
        <w:rPr>
          <w:rFonts w:cs="Arial"/>
          <w:sz w:val="20"/>
          <w:szCs w:val="20"/>
        </w:rPr>
        <w:t xml:space="preserve"> vždy zařazeny na svou evidenční adresu.</w:t>
      </w:r>
      <w:r w:rsidR="00E96922" w:rsidRPr="00217930">
        <w:rPr>
          <w:rFonts w:cs="Arial"/>
          <w:sz w:val="20"/>
          <w:szCs w:val="20"/>
        </w:rPr>
        <w:t xml:space="preserve"> </w:t>
      </w:r>
    </w:p>
    <w:p w:rsidR="00F31F91" w:rsidRDefault="00F31F91" w:rsidP="00885A87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tbl>
      <w:tblPr>
        <w:tblW w:w="9378" w:type="dxa"/>
        <w:jc w:val="center"/>
        <w:tblInd w:w="-88" w:type="dxa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2496"/>
        <w:gridCol w:w="809"/>
        <w:gridCol w:w="851"/>
        <w:gridCol w:w="872"/>
        <w:gridCol w:w="785"/>
        <w:gridCol w:w="752"/>
        <w:gridCol w:w="687"/>
        <w:gridCol w:w="752"/>
        <w:gridCol w:w="687"/>
        <w:gridCol w:w="382"/>
        <w:gridCol w:w="305"/>
      </w:tblGrid>
      <w:tr w:rsidR="006D33FE" w:rsidRPr="006D33FE" w:rsidTr="00264BF8">
        <w:trPr>
          <w:trHeight w:val="255"/>
          <w:jc w:val="center"/>
        </w:trPr>
        <w:tc>
          <w:tcPr>
            <w:tcW w:w="9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FE" w:rsidRPr="00E06791" w:rsidRDefault="00760C72" w:rsidP="00407ED2">
            <w:pPr>
              <w:suppressAutoHyphens w:val="0"/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Tab. č. 11 </w:t>
            </w:r>
            <w:r w:rsidR="006D33FE" w:rsidRPr="00E06791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Osoby v zařízeních podle pohlaví a podle druhu domu k </w:t>
            </w:r>
            <w:r w:rsidR="00A33915" w:rsidRPr="00E06791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 xml:space="preserve">26. 3. </w:t>
            </w:r>
            <w:r w:rsidR="00264BF8" w:rsidRPr="00E06791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2</w:t>
            </w:r>
            <w:r w:rsidR="00A33915" w:rsidRPr="00E06791">
              <w:rPr>
                <w:rFonts w:cs="Arial"/>
                <w:b/>
                <w:bCs/>
                <w:noProof w:val="0"/>
                <w:color w:val="000000"/>
                <w:sz w:val="20"/>
                <w:szCs w:val="20"/>
                <w:lang w:eastAsia="cs-CZ"/>
              </w:rPr>
              <w:t>011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Osoby v zařízeních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91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 xml:space="preserve">Struktura dle druhu domu </w:t>
            </w:r>
          </w:p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v 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91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 xml:space="preserve">Struktura dle pohlaví </w:t>
            </w:r>
          </w:p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v %</w:t>
            </w:r>
          </w:p>
        </w:tc>
      </w:tr>
      <w:tr w:rsidR="006D33FE" w:rsidRPr="006D33FE" w:rsidTr="00264BF8">
        <w:trPr>
          <w:trHeight w:val="510"/>
          <w:jc w:val="center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FE" w:rsidRPr="006D33FE" w:rsidRDefault="006D33FE" w:rsidP="006D33FE">
            <w:pPr>
              <w:suppressAutoHyphens w:val="0"/>
              <w:jc w:val="center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ženy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Osoby v zařízeních celkem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194 456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110 641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83 815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56,9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43,1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z toho: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obytné domy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37 607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23 987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13 620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19,3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21,7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16,3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63,8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36,2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ubytovny a svobodárny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28 143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19 983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8 160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14,5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18,1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71,0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29,0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studentské koleje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11 446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6 068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5 378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5,9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6,4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53,0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47,0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zařízení pro děti a mládež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3 992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2 257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1 735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56,5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43,5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zařízení pro seniory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35 010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9 415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25 595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8,5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30,5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26,9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73,1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F31F91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ústavy soc</w:t>
            </w:r>
            <w:r w:rsidR="00F31F91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iální</w:t>
            </w: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 xml:space="preserve"> péče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15 015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7 644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7 371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6,9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8,8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50,9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49,1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kláštery a konventy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610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0,4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15,6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84,4</w:t>
            </w:r>
          </w:p>
        </w:tc>
      </w:tr>
      <w:tr w:rsidR="006D33FE" w:rsidRPr="006D33FE" w:rsidTr="00264BF8">
        <w:trPr>
          <w:trHeight w:val="255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ind w:firstLineChars="100" w:firstLine="180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věznice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14 455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13 798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657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7,4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12,5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100,0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95,5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FE" w:rsidRPr="006D33FE" w:rsidRDefault="006D33FE" w:rsidP="006D33FE">
            <w:pPr>
              <w:suppressAutoHyphens w:val="0"/>
              <w:jc w:val="right"/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</w:pPr>
            <w:r w:rsidRPr="006D33FE">
              <w:rPr>
                <w:rFonts w:cs="Arial"/>
                <w:noProof w:val="0"/>
                <w:color w:val="000000"/>
                <w:sz w:val="18"/>
                <w:szCs w:val="18"/>
                <w:lang w:eastAsia="cs-CZ"/>
              </w:rPr>
              <w:t>4,5</w:t>
            </w:r>
          </w:p>
        </w:tc>
      </w:tr>
    </w:tbl>
    <w:p w:rsidR="006D33FE" w:rsidRPr="00217930" w:rsidRDefault="006D33FE" w:rsidP="00885A87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p w:rsidR="00F31F91" w:rsidRPr="00217930" w:rsidRDefault="00F31F91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217930">
        <w:rPr>
          <w:rFonts w:cs="Arial"/>
          <w:sz w:val="20"/>
          <w:szCs w:val="20"/>
        </w:rPr>
        <w:t>V úhrnu u osob v zařízení byla shoda adresy obvyklého a trvalého bydliště pouze u 51 % osob (pro srovnání: v bytech to bylo téměř 90%). S ohledem na tuto skutečnost jsou absolutní i relativní údaje v časové řadě v podstatě nesrovnatelné. Nejvyšší shoda adresy obvyklého a trvalého bydliště - kolem 70</w:t>
      </w:r>
      <w:r w:rsidRPr="00217930">
        <w:rPr>
          <w:sz w:val="20"/>
          <w:szCs w:val="20"/>
        </w:rPr>
        <w:t> </w:t>
      </w:r>
      <w:r w:rsidRPr="00217930">
        <w:rPr>
          <w:rFonts w:cs="Arial"/>
          <w:sz w:val="20"/>
          <w:szCs w:val="20"/>
        </w:rPr>
        <w:t xml:space="preserve">% - byla v zařízeních v obytných domech, v klášterech a konventech a v ústavech sociální péče. </w:t>
      </w:r>
      <w:r w:rsidR="007A5222" w:rsidRPr="00217930">
        <w:rPr>
          <w:rFonts w:cs="Arial"/>
          <w:sz w:val="20"/>
          <w:szCs w:val="20"/>
        </w:rPr>
        <w:t xml:space="preserve">V zařízeních pro seniory mělo 60 % bydlících osob jak obvyklý tak trvalý pobyt. V ubytovnách se tento </w:t>
      </w:r>
      <w:r w:rsidR="007A5222" w:rsidRPr="00217930">
        <w:rPr>
          <w:rFonts w:cs="Arial"/>
          <w:sz w:val="20"/>
          <w:szCs w:val="20"/>
        </w:rPr>
        <w:lastRenderedPageBreak/>
        <w:t>podíl blížil hodnotě 58 % bydlících osob. Naopak nejnižší hodnoty shody adresy obvyklého i trvalého pobytu byly logicky v zařízeních pro děti a mládež a v azylových zařízeních.</w:t>
      </w:r>
    </w:p>
    <w:p w:rsidR="00264BF8" w:rsidRPr="00217930" w:rsidRDefault="00264BF8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7A5222" w:rsidRPr="00217930" w:rsidRDefault="007A5222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217930">
        <w:rPr>
          <w:rFonts w:cs="Arial"/>
          <w:sz w:val="20"/>
          <w:szCs w:val="20"/>
        </w:rPr>
        <w:t>Struktura osob v zařízeních vykazovala významné rozdíly podle pohlaví. Ženy měly</w:t>
      </w:r>
      <w:r w:rsidR="00F70323" w:rsidRPr="00217930">
        <w:rPr>
          <w:rFonts w:cs="Arial"/>
          <w:sz w:val="20"/>
          <w:szCs w:val="20"/>
        </w:rPr>
        <w:t xml:space="preserve"> dle předpokladu</w:t>
      </w:r>
      <w:r w:rsidRPr="00217930">
        <w:rPr>
          <w:rFonts w:cs="Arial"/>
          <w:sz w:val="20"/>
          <w:szCs w:val="20"/>
        </w:rPr>
        <w:t xml:space="preserve"> významné zastoupení v klášterech a konventech (více než čtyři pětiny osob v tomto druhu zařízení) a v zařízeních pro seniory (téměř tři čtvrtiny osob v těchto zařízeních)</w:t>
      </w:r>
      <w:r w:rsidR="00F70323" w:rsidRPr="00217930">
        <w:rPr>
          <w:rFonts w:cs="Arial"/>
          <w:sz w:val="20"/>
          <w:szCs w:val="20"/>
        </w:rPr>
        <w:t>. V ústavech sociální péče, studentských kolejích, příp. v zařízeních pro děti a mládež byly podíly mužů a žen vyrovnanější. Naopak v ubytovnách, ale zejména věznicích byla převaha mužů.</w:t>
      </w:r>
    </w:p>
    <w:p w:rsidR="00264BF8" w:rsidRPr="00217930" w:rsidRDefault="00264BF8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D20394" w:rsidRPr="00217930" w:rsidRDefault="00D20394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 xml:space="preserve">Doplnění osob z administrativního zdroje mělo vliv i na osoby v zařízení, a to poměrně významný. Pětina osob </w:t>
      </w:r>
      <w:r w:rsidR="007C6437" w:rsidRPr="00217930">
        <w:rPr>
          <w:sz w:val="20"/>
          <w:szCs w:val="20"/>
        </w:rPr>
        <w:t xml:space="preserve">v zařízení </w:t>
      </w:r>
      <w:r w:rsidRPr="00217930">
        <w:rPr>
          <w:sz w:val="20"/>
          <w:szCs w:val="20"/>
        </w:rPr>
        <w:t>-  přesně 41 625 - nebyl</w:t>
      </w:r>
      <w:r w:rsidR="007C6437" w:rsidRPr="00217930">
        <w:rPr>
          <w:sz w:val="20"/>
          <w:szCs w:val="20"/>
        </w:rPr>
        <w:t>a</w:t>
      </w:r>
      <w:r w:rsidRPr="00217930">
        <w:rPr>
          <w:sz w:val="20"/>
          <w:szCs w:val="20"/>
        </w:rPr>
        <w:t xml:space="preserve"> sečten</w:t>
      </w:r>
      <w:r w:rsidR="007C6437" w:rsidRPr="00217930">
        <w:rPr>
          <w:sz w:val="20"/>
          <w:szCs w:val="20"/>
        </w:rPr>
        <w:t>a</w:t>
      </w:r>
      <w:r w:rsidRPr="00217930">
        <w:rPr>
          <w:sz w:val="20"/>
          <w:szCs w:val="20"/>
        </w:rPr>
        <w:t xml:space="preserve"> prostřednictv</w:t>
      </w:r>
      <w:r w:rsidR="007C6437" w:rsidRPr="00217930">
        <w:rPr>
          <w:sz w:val="20"/>
          <w:szCs w:val="20"/>
        </w:rPr>
        <w:t>ím sčítacích formulářů, ale byl</w:t>
      </w:r>
      <w:r w:rsidR="00DA05FC" w:rsidRPr="00217930">
        <w:rPr>
          <w:sz w:val="20"/>
          <w:szCs w:val="20"/>
        </w:rPr>
        <w:t>y u nich pouze základní údaje</w:t>
      </w:r>
      <w:r w:rsidRPr="00217930">
        <w:rPr>
          <w:sz w:val="20"/>
          <w:szCs w:val="20"/>
        </w:rPr>
        <w:t xml:space="preserve"> doplněn</w:t>
      </w:r>
      <w:r w:rsidR="00DA05FC" w:rsidRPr="00217930">
        <w:rPr>
          <w:sz w:val="20"/>
          <w:szCs w:val="20"/>
        </w:rPr>
        <w:t>y</w:t>
      </w:r>
      <w:r w:rsidRPr="00217930">
        <w:rPr>
          <w:sz w:val="20"/>
          <w:szCs w:val="20"/>
        </w:rPr>
        <w:t xml:space="preserve"> z registru. Většinou to byli cizinci (39 925 osob), nejvíce pak občané Ukrajiny (22 337 osob). Podle adresy v </w:t>
      </w:r>
      <w:r w:rsidR="004F1C91" w:rsidRPr="00217930">
        <w:rPr>
          <w:sz w:val="20"/>
          <w:szCs w:val="20"/>
        </w:rPr>
        <w:t>I</w:t>
      </w:r>
      <w:r w:rsidRPr="00217930">
        <w:rPr>
          <w:sz w:val="20"/>
          <w:szCs w:val="20"/>
        </w:rPr>
        <w:t>nformačním systému evidence obyvatel byly tyto osoby zařazeny většinou do</w:t>
      </w:r>
      <w:r w:rsidR="004C011D" w:rsidRPr="00217930">
        <w:rPr>
          <w:sz w:val="20"/>
          <w:szCs w:val="20"/>
        </w:rPr>
        <w:t xml:space="preserve"> </w:t>
      </w:r>
      <w:r w:rsidR="004F1C91" w:rsidRPr="00217930">
        <w:rPr>
          <w:sz w:val="20"/>
          <w:szCs w:val="20"/>
        </w:rPr>
        <w:t xml:space="preserve">ubytovacích zařízení v rámci </w:t>
      </w:r>
      <w:r w:rsidR="004C011D" w:rsidRPr="00217930">
        <w:rPr>
          <w:sz w:val="20"/>
          <w:szCs w:val="20"/>
        </w:rPr>
        <w:t xml:space="preserve">bytových </w:t>
      </w:r>
      <w:r w:rsidR="004F1C91" w:rsidRPr="00217930">
        <w:rPr>
          <w:sz w:val="20"/>
          <w:szCs w:val="20"/>
        </w:rPr>
        <w:t xml:space="preserve">domů </w:t>
      </w:r>
      <w:r w:rsidR="004C011D" w:rsidRPr="00217930">
        <w:rPr>
          <w:sz w:val="20"/>
          <w:szCs w:val="20"/>
        </w:rPr>
        <w:t xml:space="preserve">a </w:t>
      </w:r>
      <w:r w:rsidR="004F1C91" w:rsidRPr="00217930">
        <w:rPr>
          <w:sz w:val="20"/>
          <w:szCs w:val="20"/>
        </w:rPr>
        <w:t xml:space="preserve">do </w:t>
      </w:r>
      <w:r w:rsidR="00264BF8" w:rsidRPr="00217930">
        <w:rPr>
          <w:sz w:val="20"/>
          <w:szCs w:val="20"/>
        </w:rPr>
        <w:t>ubytoven.</w:t>
      </w:r>
    </w:p>
    <w:p w:rsidR="00264BF8" w:rsidRPr="00217930" w:rsidRDefault="00264BF8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ED3099" w:rsidRPr="00217930" w:rsidRDefault="00774640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217930">
        <w:rPr>
          <w:rFonts w:cs="Arial"/>
          <w:sz w:val="20"/>
          <w:szCs w:val="20"/>
        </w:rPr>
        <w:t xml:space="preserve">Poprvé v historii byly </w:t>
      </w:r>
      <w:r w:rsidR="00596D24" w:rsidRPr="00217930">
        <w:rPr>
          <w:rFonts w:cs="Arial"/>
          <w:sz w:val="20"/>
          <w:szCs w:val="20"/>
        </w:rPr>
        <w:t xml:space="preserve">v roce 2011 </w:t>
      </w:r>
      <w:r w:rsidRPr="00217930">
        <w:rPr>
          <w:rFonts w:cs="Arial"/>
          <w:sz w:val="20"/>
          <w:szCs w:val="20"/>
        </w:rPr>
        <w:t>sečteny v zařízení i rodiny</w:t>
      </w:r>
      <w:r w:rsidR="00D20394" w:rsidRPr="00217930">
        <w:rPr>
          <w:rFonts w:cs="Arial"/>
          <w:sz w:val="20"/>
          <w:szCs w:val="20"/>
        </w:rPr>
        <w:t xml:space="preserve">. Počet osob v rodinách bydlících v zařízeních činil  8 407 osob, tedy pouhých 4,3 % z osob obvykle bydlících v zařízení. Více jak polovina z tohoto počtu bydlela v různých typech ubytoven v bytových domech a </w:t>
      </w:r>
      <w:r w:rsidR="00ED3099" w:rsidRPr="00217930">
        <w:rPr>
          <w:rFonts w:cs="Arial"/>
          <w:sz w:val="20"/>
          <w:szCs w:val="20"/>
        </w:rPr>
        <w:t xml:space="preserve">dále </w:t>
      </w:r>
      <w:r w:rsidR="00D20394" w:rsidRPr="00217930">
        <w:rPr>
          <w:rFonts w:cs="Arial"/>
          <w:sz w:val="20"/>
          <w:szCs w:val="20"/>
        </w:rPr>
        <w:t>v domech, které byly přímo jako ubytovny označeny. Necelých 17 % rodin v zařízeních připadlo na domovy důchodců a penziony pro důchodce</w:t>
      </w:r>
      <w:r w:rsidR="00ED3099" w:rsidRPr="00217930">
        <w:rPr>
          <w:rFonts w:cs="Arial"/>
          <w:sz w:val="20"/>
          <w:szCs w:val="20"/>
        </w:rPr>
        <w:t>.</w:t>
      </w:r>
      <w:r w:rsidR="00D20394" w:rsidRPr="00217930">
        <w:rPr>
          <w:rFonts w:cs="Arial"/>
          <w:sz w:val="20"/>
          <w:szCs w:val="20"/>
        </w:rPr>
        <w:t xml:space="preserve"> </w:t>
      </w:r>
      <w:r w:rsidR="00ED3099" w:rsidRPr="00217930">
        <w:rPr>
          <w:rFonts w:cs="Arial"/>
          <w:sz w:val="20"/>
          <w:szCs w:val="20"/>
        </w:rPr>
        <w:t>D</w:t>
      </w:r>
      <w:r w:rsidR="00D20394" w:rsidRPr="00217930">
        <w:rPr>
          <w:rFonts w:cs="Arial"/>
          <w:sz w:val="20"/>
          <w:szCs w:val="20"/>
        </w:rPr>
        <w:t>alších 12,5 % tvořily rodiny v</w:t>
      </w:r>
      <w:r w:rsidR="00ED3099" w:rsidRPr="00217930">
        <w:rPr>
          <w:rFonts w:cs="Arial"/>
          <w:sz w:val="20"/>
          <w:szCs w:val="20"/>
        </w:rPr>
        <w:t> azylových domech pro osoby v tíživé sociální situaci. V úhrnu osob v rodinách v zařízeních byly téměř stejně zastoupeny manželské páry a neúplné rodiny osamělých matek s dětmi; tyto dva typy domácností tvořily více než tři čtvrtiny v počtu všech osob v rodinách v zařízeních. Manželské páry byly nejčastěj</w:t>
      </w:r>
      <w:r w:rsidR="00A40282" w:rsidRPr="00217930">
        <w:rPr>
          <w:rFonts w:cs="Arial"/>
          <w:sz w:val="20"/>
          <w:szCs w:val="20"/>
        </w:rPr>
        <w:t>i zastoupeny</w:t>
      </w:r>
      <w:r w:rsidR="00ED3099" w:rsidRPr="00217930">
        <w:rPr>
          <w:rFonts w:cs="Arial"/>
          <w:sz w:val="20"/>
          <w:szCs w:val="20"/>
        </w:rPr>
        <w:t xml:space="preserve"> v domovech </w:t>
      </w:r>
      <w:r w:rsidR="00A40282" w:rsidRPr="00217930">
        <w:rPr>
          <w:rFonts w:cs="Arial"/>
          <w:sz w:val="20"/>
          <w:szCs w:val="20"/>
        </w:rPr>
        <w:t>důchodců, neúplné rodiny v ubytovnách v rámci bytových domů.</w:t>
      </w:r>
    </w:p>
    <w:p w:rsidR="00264BF8" w:rsidRPr="00217930" w:rsidRDefault="00264BF8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:rsidR="00492844" w:rsidRPr="00217930" w:rsidRDefault="00774640" w:rsidP="00264BF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217930">
        <w:rPr>
          <w:rFonts w:cs="Arial"/>
          <w:sz w:val="20"/>
          <w:szCs w:val="20"/>
        </w:rPr>
        <w:t>Jako jednotlivé osoby v zaříze</w:t>
      </w:r>
      <w:r w:rsidR="007C6437" w:rsidRPr="00217930">
        <w:rPr>
          <w:rFonts w:cs="Arial"/>
          <w:sz w:val="20"/>
          <w:szCs w:val="20"/>
        </w:rPr>
        <w:t>ní obvykle bydlelo 186 049 osob. Jejich základní charakteristiky se lišily podle druhu zařízení</w:t>
      </w:r>
      <w:r w:rsidR="003620C3" w:rsidRPr="00217930">
        <w:rPr>
          <w:rFonts w:cs="Arial"/>
          <w:sz w:val="20"/>
          <w:szCs w:val="20"/>
        </w:rPr>
        <w:t>. K nejpočetněji zastoupeným patřilo bydlení v zařízeních pro seniory, bydlení v </w:t>
      </w:r>
      <w:r w:rsidR="00264BF8" w:rsidRPr="00217930">
        <w:rPr>
          <w:rFonts w:cs="Arial"/>
          <w:sz w:val="20"/>
          <w:szCs w:val="20"/>
        </w:rPr>
        <w:t>ubytovnách</w:t>
      </w:r>
      <w:r w:rsidR="003620C3" w:rsidRPr="00217930">
        <w:rPr>
          <w:rFonts w:cs="Arial"/>
          <w:sz w:val="20"/>
          <w:szCs w:val="20"/>
        </w:rPr>
        <w:t xml:space="preserve"> a bydlení v zařízeních, která byla součástí obytných domů.</w:t>
      </w:r>
    </w:p>
    <w:p w:rsidR="008C4593" w:rsidRPr="00217930" w:rsidRDefault="008C4593" w:rsidP="00264BF8">
      <w:pPr>
        <w:rPr>
          <w:sz w:val="20"/>
          <w:szCs w:val="20"/>
        </w:rPr>
      </w:pPr>
    </w:p>
    <w:p w:rsidR="00960A32" w:rsidRPr="00217930" w:rsidRDefault="00960A32" w:rsidP="00264BF8">
      <w:pPr>
        <w:rPr>
          <w:sz w:val="20"/>
          <w:szCs w:val="20"/>
        </w:rPr>
      </w:pPr>
    </w:p>
    <w:p w:rsidR="00BE7A51" w:rsidRPr="00BA2890" w:rsidRDefault="00433AF9" w:rsidP="00264BF8">
      <w:pPr>
        <w:spacing w:line="276" w:lineRule="auto"/>
        <w:rPr>
          <w:b/>
          <w:sz w:val="22"/>
          <w:szCs w:val="22"/>
        </w:rPr>
      </w:pPr>
      <w:r w:rsidRPr="00BA2890">
        <w:rPr>
          <w:b/>
          <w:sz w:val="22"/>
          <w:szCs w:val="22"/>
        </w:rPr>
        <w:t>4.1</w:t>
      </w:r>
      <w:r w:rsidRPr="00BA2890">
        <w:rPr>
          <w:b/>
          <w:sz w:val="22"/>
          <w:szCs w:val="22"/>
        </w:rPr>
        <w:tab/>
      </w:r>
      <w:r w:rsidR="00BE7A51" w:rsidRPr="00BA2890">
        <w:rPr>
          <w:b/>
          <w:sz w:val="22"/>
          <w:szCs w:val="22"/>
        </w:rPr>
        <w:t>Zařízení pro seniory</w:t>
      </w:r>
    </w:p>
    <w:p w:rsidR="003C3568" w:rsidRDefault="00112079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 xml:space="preserve">V zařízeních pro seniory bydlelo jako jednotlivci nebo rodiny v roce 2011 celkem 35 010 osob. V roce 2001 to bylo 32 688 osob.  </w:t>
      </w:r>
    </w:p>
    <w:p w:rsidR="003C3568" w:rsidRDefault="003C3568" w:rsidP="00264BF8">
      <w:pPr>
        <w:spacing w:line="276" w:lineRule="auto"/>
        <w:jc w:val="both"/>
        <w:rPr>
          <w:sz w:val="20"/>
          <w:szCs w:val="20"/>
        </w:rPr>
      </w:pPr>
    </w:p>
    <w:p w:rsidR="003C3568" w:rsidRPr="003C3568" w:rsidRDefault="003C3568" w:rsidP="003C3568">
      <w:pPr>
        <w:spacing w:line="276" w:lineRule="auto"/>
        <w:jc w:val="both"/>
        <w:rPr>
          <w:b/>
          <w:sz w:val="20"/>
          <w:szCs w:val="20"/>
        </w:rPr>
      </w:pPr>
      <w:r w:rsidRPr="003C3568">
        <w:rPr>
          <w:b/>
          <w:sz w:val="20"/>
          <w:szCs w:val="20"/>
        </w:rPr>
        <w:t>Graf č. 9 Osoby v zařízeních pro seniory v letech 1991 - 2011</w:t>
      </w:r>
    </w:p>
    <w:p w:rsidR="004675C1" w:rsidRDefault="001F2998" w:rsidP="00264BF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lang w:eastAsia="cs-CZ"/>
        </w:rPr>
        <w:drawing>
          <wp:anchor distT="36195" distB="71755" distL="114300" distR="114300" simplePos="0" relativeHeight="25167564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85090</wp:posOffset>
            </wp:positionV>
            <wp:extent cx="3928745" cy="2124075"/>
            <wp:effectExtent l="19050" t="0" r="14605" b="0"/>
            <wp:wrapSquare wrapText="bothSides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B5F6A" w:rsidRDefault="00112079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 xml:space="preserve">Růst počtu osob o 7 % </w:t>
      </w:r>
      <w:r w:rsidR="00666CC7" w:rsidRPr="00217930">
        <w:rPr>
          <w:sz w:val="20"/>
          <w:szCs w:val="20"/>
        </w:rPr>
        <w:t xml:space="preserve">není výrazný, zvláště pokud se porovná s vývojem počtu osob bydlících v bytech rovněž v zařízeních pro seniory. Celkově vzrostl počet bydlících osob  v penzionech a domovech důchodců o více než třetinu, růst </w:t>
      </w:r>
      <w:r w:rsidR="000061AF" w:rsidRPr="00217930">
        <w:rPr>
          <w:sz w:val="20"/>
          <w:szCs w:val="20"/>
        </w:rPr>
        <w:t xml:space="preserve">počtu </w:t>
      </w:r>
      <w:r w:rsidR="00666CC7" w:rsidRPr="00217930">
        <w:rPr>
          <w:sz w:val="20"/>
          <w:szCs w:val="20"/>
        </w:rPr>
        <w:t xml:space="preserve">osob v bytech byl ale mnohonásobně </w:t>
      </w:r>
      <w:r w:rsidR="000E10FC" w:rsidRPr="00217930">
        <w:rPr>
          <w:sz w:val="20"/>
          <w:szCs w:val="20"/>
        </w:rPr>
        <w:t>rychlejší</w:t>
      </w:r>
      <w:r w:rsidR="00666CC7" w:rsidRPr="00217930">
        <w:rPr>
          <w:sz w:val="20"/>
          <w:szCs w:val="20"/>
        </w:rPr>
        <w:t xml:space="preserve"> než růst počtu osob hromadně ubytovaných v</w:t>
      </w:r>
      <w:r w:rsidR="000061AF" w:rsidRPr="00217930">
        <w:rPr>
          <w:sz w:val="20"/>
          <w:szCs w:val="20"/>
        </w:rPr>
        <w:t xml:space="preserve"> těchto typech </w:t>
      </w:r>
      <w:r w:rsidR="00666CC7" w:rsidRPr="00217930">
        <w:rPr>
          <w:sz w:val="20"/>
          <w:szCs w:val="20"/>
        </w:rPr>
        <w:lastRenderedPageBreak/>
        <w:t>zařízení. Změnila se tak podstatným způsobem proporce bydlících osob ve prospěch osob v bytech. Výsledky sčítání</w:t>
      </w:r>
      <w:r w:rsidR="000E10FC" w:rsidRPr="00217930">
        <w:rPr>
          <w:sz w:val="20"/>
          <w:szCs w:val="20"/>
        </w:rPr>
        <w:t xml:space="preserve"> </w:t>
      </w:r>
      <w:r w:rsidR="00666CC7" w:rsidRPr="00217930">
        <w:rPr>
          <w:sz w:val="20"/>
          <w:szCs w:val="20"/>
        </w:rPr>
        <w:t xml:space="preserve">potvrdily, že nároky na speciální </w:t>
      </w:r>
      <w:r w:rsidR="00AB5F6A" w:rsidRPr="00217930">
        <w:rPr>
          <w:sz w:val="20"/>
          <w:szCs w:val="20"/>
        </w:rPr>
        <w:t>zařízení pro seniory</w:t>
      </w:r>
      <w:r w:rsidR="00E736AC" w:rsidRPr="00217930">
        <w:rPr>
          <w:sz w:val="20"/>
          <w:szCs w:val="20"/>
        </w:rPr>
        <w:t xml:space="preserve"> - vzhledem k</w:t>
      </w:r>
      <w:r w:rsidR="003774F2">
        <w:rPr>
          <w:sz w:val="20"/>
          <w:szCs w:val="20"/>
        </w:rPr>
        <w:t xml:space="preserve">e zvyšování </w:t>
      </w:r>
      <w:r w:rsidR="00E736AC" w:rsidRPr="00217930">
        <w:rPr>
          <w:sz w:val="20"/>
          <w:szCs w:val="20"/>
        </w:rPr>
        <w:t>jejich počtu v populaci -</w:t>
      </w:r>
      <w:r w:rsidR="00AB5F6A" w:rsidRPr="00217930">
        <w:rPr>
          <w:sz w:val="20"/>
          <w:szCs w:val="20"/>
        </w:rPr>
        <w:t xml:space="preserve"> rostou, současně je ale</w:t>
      </w:r>
      <w:r w:rsidR="00E736AC" w:rsidRPr="00217930">
        <w:rPr>
          <w:sz w:val="20"/>
          <w:szCs w:val="20"/>
        </w:rPr>
        <w:t xml:space="preserve"> zřejmý</w:t>
      </w:r>
      <w:r w:rsidR="00AB5F6A" w:rsidRPr="00217930">
        <w:rPr>
          <w:sz w:val="20"/>
          <w:szCs w:val="20"/>
        </w:rPr>
        <w:t xml:space="preserve"> trend </w:t>
      </w:r>
      <w:r w:rsidR="00E736AC" w:rsidRPr="00217930">
        <w:rPr>
          <w:sz w:val="20"/>
          <w:szCs w:val="20"/>
        </w:rPr>
        <w:t>poptávky po vyšším</w:t>
      </w:r>
      <w:r w:rsidR="00AB5F6A" w:rsidRPr="00217930">
        <w:rPr>
          <w:sz w:val="20"/>
          <w:szCs w:val="20"/>
        </w:rPr>
        <w:t xml:space="preserve"> komfortu bydlení a zvýšení počtu seniorů směřuje zejména do objektů s byty, které nabízejí v podstatě stejný životní styl</w:t>
      </w:r>
      <w:r w:rsidR="0074450D" w:rsidRPr="00217930">
        <w:rPr>
          <w:sz w:val="20"/>
          <w:szCs w:val="20"/>
        </w:rPr>
        <w:t>, jaký měly osoby v předchozím bydlení</w:t>
      </w:r>
      <w:r w:rsidR="000E10FC" w:rsidRPr="00217930">
        <w:rPr>
          <w:sz w:val="20"/>
          <w:szCs w:val="20"/>
        </w:rPr>
        <w:t>, ale</w:t>
      </w:r>
      <w:r w:rsidR="00AB5F6A" w:rsidRPr="00217930">
        <w:rPr>
          <w:sz w:val="20"/>
          <w:szCs w:val="20"/>
        </w:rPr>
        <w:t xml:space="preserve"> s přidanou hodnotou nabízených služeb.</w:t>
      </w:r>
    </w:p>
    <w:p w:rsidR="003C3568" w:rsidRDefault="003C3568" w:rsidP="00264BF8">
      <w:pPr>
        <w:spacing w:line="276" w:lineRule="auto"/>
        <w:jc w:val="both"/>
        <w:rPr>
          <w:sz w:val="20"/>
          <w:szCs w:val="20"/>
        </w:rPr>
      </w:pPr>
    </w:p>
    <w:p w:rsidR="00576861" w:rsidRDefault="00576861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 xml:space="preserve">Ve věkové struktuře hromadně bydlících osob v zařízeních pro seniory </w:t>
      </w:r>
      <w:r w:rsidR="0043470F" w:rsidRPr="00217930">
        <w:rPr>
          <w:sz w:val="20"/>
          <w:szCs w:val="20"/>
        </w:rPr>
        <w:t>jednoznačně převažovaly osoby starší 80</w:t>
      </w:r>
      <w:r w:rsidR="000E10FC" w:rsidRPr="00217930">
        <w:rPr>
          <w:sz w:val="20"/>
          <w:szCs w:val="20"/>
        </w:rPr>
        <w:t> </w:t>
      </w:r>
      <w:r w:rsidR="0043470F" w:rsidRPr="00217930">
        <w:rPr>
          <w:sz w:val="20"/>
          <w:szCs w:val="20"/>
        </w:rPr>
        <w:t>let. Polovinu všech osob (50,5 %) tvořily osoby ve věku 80 - 89 let, dalších téměř 13 % pak osoby v</w:t>
      </w:r>
      <w:r w:rsidR="00BA2890">
        <w:rPr>
          <w:sz w:val="20"/>
          <w:szCs w:val="20"/>
        </w:rPr>
        <w:t>e</w:t>
      </w:r>
      <w:r w:rsidR="0043470F" w:rsidRPr="00217930">
        <w:rPr>
          <w:sz w:val="20"/>
          <w:szCs w:val="20"/>
        </w:rPr>
        <w:t xml:space="preserve"> věku 90 let a více. Více než pětina (22 %) připadla na osoby ve věku 70 - 79 let. Osoby do 69 let a mladší tvořily v zařízeních pro seniory necelých 15 % osob.</w:t>
      </w:r>
      <w:r w:rsidR="009B2919" w:rsidRPr="00217930">
        <w:rPr>
          <w:sz w:val="20"/>
          <w:szCs w:val="20"/>
        </w:rPr>
        <w:t xml:space="preserve"> </w:t>
      </w:r>
      <w:r w:rsidR="004B2DC6">
        <w:rPr>
          <w:sz w:val="20"/>
          <w:szCs w:val="20"/>
        </w:rPr>
        <w:t>Ve vztahu k celkovému počtu obyvatel příslušného věku je jednoznačná závislost: se zvyšujícím se věkem osoby roste i podíl osob, které opouští své byty a volí pro své bydlení zařízení. Zatímco z celkového počtu osob ve věku 70 – 79 let jich v zařízení bydlela necelá 2 %, z počtu osob ve věku 80 – 89 let to bylo 7,4 % a u devadesátiletých a starších již 17,8 % jejich počtu.</w:t>
      </w:r>
    </w:p>
    <w:p w:rsidR="008749FF" w:rsidRDefault="008749FF" w:rsidP="00264BF8">
      <w:pPr>
        <w:spacing w:line="276" w:lineRule="auto"/>
        <w:jc w:val="both"/>
        <w:rPr>
          <w:sz w:val="20"/>
          <w:szCs w:val="20"/>
        </w:rPr>
      </w:pPr>
    </w:p>
    <w:p w:rsidR="004B2DC6" w:rsidRDefault="008749FF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>Z hlediska pohlaví byla relace osob v zařízeních pro seniory zhruba 1:3 ve prospěch žen. Z celkového počtu žen jich bylo 15,6 % bezdětných, třem pětinám žen se naopak v průběhu života narodily dvě a více dětí.</w:t>
      </w:r>
    </w:p>
    <w:p w:rsidR="008749FF" w:rsidRDefault="008749FF" w:rsidP="00264BF8">
      <w:pPr>
        <w:spacing w:line="276" w:lineRule="auto"/>
        <w:jc w:val="both"/>
        <w:rPr>
          <w:sz w:val="20"/>
          <w:szCs w:val="20"/>
        </w:rPr>
      </w:pPr>
    </w:p>
    <w:p w:rsidR="00BA2890" w:rsidRDefault="009B2919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>Pouhých 1 408 osob (4,0 %)</w:t>
      </w:r>
      <w:r w:rsidR="004B2DC6">
        <w:rPr>
          <w:sz w:val="20"/>
          <w:szCs w:val="20"/>
        </w:rPr>
        <w:t xml:space="preserve"> v zařízeních</w:t>
      </w:r>
      <w:r w:rsidRPr="00217930">
        <w:rPr>
          <w:sz w:val="20"/>
          <w:szCs w:val="20"/>
        </w:rPr>
        <w:t xml:space="preserve"> žilo v rodině, většinou to byly manželské páry. Ostatních 33</w:t>
      </w:r>
      <w:r w:rsidR="00CA2329" w:rsidRPr="00217930">
        <w:rPr>
          <w:sz w:val="20"/>
          <w:szCs w:val="20"/>
        </w:rPr>
        <w:t> 602 osob žilo jako jed</w:t>
      </w:r>
      <w:r w:rsidR="00FA4F8D" w:rsidRPr="00217930">
        <w:rPr>
          <w:sz w:val="20"/>
          <w:szCs w:val="20"/>
        </w:rPr>
        <w:t>n</w:t>
      </w:r>
      <w:r w:rsidR="00CA2329" w:rsidRPr="00217930">
        <w:rPr>
          <w:sz w:val="20"/>
          <w:szCs w:val="20"/>
        </w:rPr>
        <w:t xml:space="preserve">otlivé osoby. </w:t>
      </w:r>
    </w:p>
    <w:p w:rsidR="008749FF" w:rsidRDefault="008749FF" w:rsidP="00264BF8">
      <w:pPr>
        <w:spacing w:line="276" w:lineRule="auto"/>
        <w:jc w:val="both"/>
        <w:rPr>
          <w:sz w:val="20"/>
          <w:szCs w:val="20"/>
        </w:rPr>
      </w:pPr>
    </w:p>
    <w:p w:rsidR="007C022F" w:rsidRPr="00217930" w:rsidRDefault="00956BAB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>Téměř čtyři pětiny osob v zařízeních pro seniory žilo ve stejné obci i před rokem.</w:t>
      </w:r>
    </w:p>
    <w:p w:rsidR="000E10FC" w:rsidRPr="00217930" w:rsidRDefault="000E10FC" w:rsidP="00264BF8">
      <w:pPr>
        <w:spacing w:line="276" w:lineRule="auto"/>
        <w:rPr>
          <w:sz w:val="20"/>
          <w:szCs w:val="20"/>
        </w:rPr>
      </w:pPr>
    </w:p>
    <w:p w:rsidR="00A0300C" w:rsidRPr="00217930" w:rsidRDefault="00A0300C" w:rsidP="00264BF8">
      <w:pPr>
        <w:spacing w:line="276" w:lineRule="auto"/>
        <w:jc w:val="both"/>
        <w:rPr>
          <w:sz w:val="20"/>
          <w:szCs w:val="20"/>
        </w:rPr>
      </w:pPr>
      <w:r w:rsidRPr="00217930">
        <w:rPr>
          <w:sz w:val="20"/>
          <w:szCs w:val="20"/>
        </w:rPr>
        <w:t xml:space="preserve">Rozložení zařízení </w:t>
      </w:r>
      <w:r w:rsidR="00BE54A1" w:rsidRPr="00217930">
        <w:rPr>
          <w:sz w:val="20"/>
          <w:szCs w:val="20"/>
        </w:rPr>
        <w:t xml:space="preserve">pro seniory </w:t>
      </w:r>
      <w:r w:rsidRPr="00217930">
        <w:rPr>
          <w:sz w:val="20"/>
          <w:szCs w:val="20"/>
        </w:rPr>
        <w:t>i osob v nich bydlících v jednotlivých krajích odpovíd</w:t>
      </w:r>
      <w:r w:rsidR="006C1DC5" w:rsidRPr="00217930">
        <w:rPr>
          <w:sz w:val="20"/>
          <w:szCs w:val="20"/>
        </w:rPr>
        <w:t>aly</w:t>
      </w:r>
      <w:r w:rsidRPr="00217930">
        <w:rPr>
          <w:sz w:val="20"/>
          <w:szCs w:val="20"/>
        </w:rPr>
        <w:t xml:space="preserve"> v podstatě </w:t>
      </w:r>
      <w:r w:rsidR="006C1DC5" w:rsidRPr="00217930">
        <w:rPr>
          <w:sz w:val="20"/>
          <w:szCs w:val="20"/>
        </w:rPr>
        <w:t xml:space="preserve">váze jednotlivých krajů na celkovém počtu obyvatel republiky. </w:t>
      </w:r>
      <w:r w:rsidR="004C0C78" w:rsidRPr="00217930">
        <w:rPr>
          <w:sz w:val="20"/>
          <w:szCs w:val="20"/>
        </w:rPr>
        <w:t>V absolutním vyjádření nejvíce</w:t>
      </w:r>
      <w:r w:rsidR="006C1DC5" w:rsidRPr="00217930">
        <w:rPr>
          <w:sz w:val="20"/>
          <w:szCs w:val="20"/>
        </w:rPr>
        <w:t xml:space="preserve"> </w:t>
      </w:r>
      <w:r w:rsidR="00EF568B" w:rsidRPr="00217930">
        <w:rPr>
          <w:sz w:val="20"/>
          <w:szCs w:val="20"/>
        </w:rPr>
        <w:t xml:space="preserve">seniorů v zařízeních </w:t>
      </w:r>
      <w:r w:rsidR="006C1DC5" w:rsidRPr="00217930">
        <w:rPr>
          <w:sz w:val="20"/>
          <w:szCs w:val="20"/>
        </w:rPr>
        <w:t>měly Moravskoslezský, Středočeský a Jihomoravský kraj</w:t>
      </w:r>
      <w:r w:rsidR="00EF568B" w:rsidRPr="00217930">
        <w:rPr>
          <w:sz w:val="20"/>
          <w:szCs w:val="20"/>
        </w:rPr>
        <w:t>, nejméně jich bylo v Libereckém a Karlovarském kraji</w:t>
      </w:r>
      <w:r w:rsidR="003F5EFE" w:rsidRPr="00217930">
        <w:rPr>
          <w:sz w:val="20"/>
          <w:szCs w:val="20"/>
        </w:rPr>
        <w:t>. Jediná Praha uvedeným relacím neodpovídala.</w:t>
      </w:r>
      <w:r w:rsidR="00EF568B" w:rsidRPr="00217930">
        <w:rPr>
          <w:sz w:val="20"/>
          <w:szCs w:val="20"/>
        </w:rPr>
        <w:t xml:space="preserve"> Zatímco na celkovém počtu obyvatel se podílela 12,2, % (druhé nejvyšší zastoupení po Středočeském kraji), podíl počtu osob v zařízeních pro seniory v Praze byl pouze 5,5 % (až desátý kraj v pořadí). Podle relace počtu seniorů v zařízení k celkovému počtu obyvatel kraje byla Praha hodnotou </w:t>
      </w:r>
      <w:r w:rsidR="00BA2890">
        <w:rPr>
          <w:sz w:val="20"/>
          <w:szCs w:val="20"/>
        </w:rPr>
        <w:t>3</w:t>
      </w:r>
      <w:r w:rsidR="000F3DA7" w:rsidRPr="00217930">
        <w:rPr>
          <w:sz w:val="20"/>
          <w:szCs w:val="20"/>
        </w:rPr>
        <w:t xml:space="preserve"> </w:t>
      </w:r>
      <w:r w:rsidR="0005747A" w:rsidRPr="00217930">
        <w:rPr>
          <w:sz w:val="20"/>
          <w:szCs w:val="20"/>
        </w:rPr>
        <w:t>‰</w:t>
      </w:r>
      <w:r w:rsidR="00EF568B" w:rsidRPr="00217930">
        <w:rPr>
          <w:sz w:val="20"/>
          <w:szCs w:val="20"/>
        </w:rPr>
        <w:t xml:space="preserve">  až</w:t>
      </w:r>
      <w:r w:rsidR="003F5EFE" w:rsidRPr="00217930">
        <w:rPr>
          <w:sz w:val="20"/>
          <w:szCs w:val="20"/>
        </w:rPr>
        <w:t xml:space="preserve"> dvanáctá</w:t>
      </w:r>
      <w:r w:rsidR="0005747A" w:rsidRPr="00217930">
        <w:rPr>
          <w:sz w:val="20"/>
          <w:szCs w:val="20"/>
        </w:rPr>
        <w:t>.</w:t>
      </w:r>
    </w:p>
    <w:p w:rsidR="0005747A" w:rsidRDefault="0005747A" w:rsidP="00264BF8">
      <w:pPr>
        <w:spacing w:line="276" w:lineRule="auto"/>
        <w:rPr>
          <w:szCs w:val="20"/>
        </w:rPr>
      </w:pPr>
    </w:p>
    <w:p w:rsidR="00B109CA" w:rsidRDefault="00B109CA" w:rsidP="00B109CA">
      <w:pPr>
        <w:keepNext/>
        <w:keepLines/>
        <w:spacing w:line="276" w:lineRule="auto"/>
        <w:jc w:val="both"/>
        <w:rPr>
          <w:b/>
          <w:sz w:val="20"/>
          <w:szCs w:val="20"/>
        </w:rPr>
      </w:pPr>
      <w:r w:rsidRPr="00B109CA">
        <w:rPr>
          <w:b/>
          <w:sz w:val="20"/>
          <w:szCs w:val="20"/>
        </w:rPr>
        <w:t>Graf č. 10 Domy pro seniory (bez bytů) podle vlastníka domu</w:t>
      </w:r>
      <w:r>
        <w:rPr>
          <w:b/>
          <w:sz w:val="20"/>
          <w:szCs w:val="20"/>
        </w:rPr>
        <w:t xml:space="preserve"> </w:t>
      </w:r>
    </w:p>
    <w:p w:rsidR="00B109CA" w:rsidRPr="00B109CA" w:rsidRDefault="00B109CA" w:rsidP="00B109CA">
      <w:pPr>
        <w:keepNext/>
        <w:keepLines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 26. 3. 2011</w:t>
      </w:r>
    </w:p>
    <w:p w:rsidR="00A0300C" w:rsidRPr="00217930" w:rsidRDefault="00B109CA" w:rsidP="0021793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19685</wp:posOffset>
            </wp:positionV>
            <wp:extent cx="3067050" cy="2009775"/>
            <wp:effectExtent l="19050" t="0" r="19050" b="0"/>
            <wp:wrapSquare wrapText="bothSides"/>
            <wp:docPr id="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0300C" w:rsidRPr="00217930">
        <w:rPr>
          <w:sz w:val="20"/>
          <w:szCs w:val="20"/>
        </w:rPr>
        <w:t xml:space="preserve">Rozvoj </w:t>
      </w:r>
      <w:r w:rsidR="0075761B" w:rsidRPr="00217930">
        <w:rPr>
          <w:sz w:val="20"/>
          <w:szCs w:val="20"/>
        </w:rPr>
        <w:t>zaříze</w:t>
      </w:r>
      <w:r w:rsidR="008749FF">
        <w:rPr>
          <w:sz w:val="20"/>
          <w:szCs w:val="20"/>
        </w:rPr>
        <w:t>n</w:t>
      </w:r>
      <w:r w:rsidR="0075761B" w:rsidRPr="00217930">
        <w:rPr>
          <w:sz w:val="20"/>
          <w:szCs w:val="20"/>
        </w:rPr>
        <w:t>í pro seniory je samozřejmě ovlivněn potřebami příslušného regionu</w:t>
      </w:r>
      <w:r w:rsidR="00306C5A">
        <w:rPr>
          <w:sz w:val="20"/>
          <w:szCs w:val="20"/>
        </w:rPr>
        <w:t xml:space="preserve"> a jeho celkovým rozvojem</w:t>
      </w:r>
      <w:r w:rsidR="0075761B" w:rsidRPr="00217930">
        <w:rPr>
          <w:sz w:val="20"/>
          <w:szCs w:val="20"/>
        </w:rPr>
        <w:t>, ale současně je limitován</w:t>
      </w:r>
      <w:r w:rsidR="00306C5A">
        <w:rPr>
          <w:sz w:val="20"/>
          <w:szCs w:val="20"/>
        </w:rPr>
        <w:t xml:space="preserve"> i</w:t>
      </w:r>
      <w:r w:rsidR="0075761B" w:rsidRPr="00217930">
        <w:rPr>
          <w:sz w:val="20"/>
          <w:szCs w:val="20"/>
        </w:rPr>
        <w:t xml:space="preserve"> finančními možnostmi zřizovatelů nebo nových investorů.</w:t>
      </w:r>
      <w:r w:rsidR="009C16DE">
        <w:rPr>
          <w:sz w:val="20"/>
          <w:szCs w:val="20"/>
        </w:rPr>
        <w:t xml:space="preserve"> K 26.</w:t>
      </w:r>
      <w:r w:rsidR="00BA2890">
        <w:rPr>
          <w:sz w:val="20"/>
          <w:szCs w:val="20"/>
        </w:rPr>
        <w:t xml:space="preserve"> </w:t>
      </w:r>
      <w:r w:rsidR="009C16DE">
        <w:rPr>
          <w:sz w:val="20"/>
          <w:szCs w:val="20"/>
        </w:rPr>
        <w:t>3.</w:t>
      </w:r>
      <w:r w:rsidR="00BA2890">
        <w:rPr>
          <w:sz w:val="20"/>
          <w:szCs w:val="20"/>
        </w:rPr>
        <w:t xml:space="preserve"> </w:t>
      </w:r>
      <w:r w:rsidR="009C16DE">
        <w:rPr>
          <w:sz w:val="20"/>
          <w:szCs w:val="20"/>
        </w:rPr>
        <w:t>2011 bylo v České republice 394 zařízení pro seniory (bez bytů), z nich bylo 67 neobydlených.</w:t>
      </w:r>
      <w:r w:rsidR="0075761B" w:rsidRPr="00217930">
        <w:rPr>
          <w:sz w:val="20"/>
          <w:szCs w:val="20"/>
        </w:rPr>
        <w:t xml:space="preserve"> </w:t>
      </w:r>
      <w:r w:rsidR="00D71F47" w:rsidRPr="00217930">
        <w:rPr>
          <w:sz w:val="20"/>
          <w:szCs w:val="20"/>
        </w:rPr>
        <w:t xml:space="preserve">Většina zařízení určená pro bydlení seniorů je ve vlastnictví obce příp. státu. </w:t>
      </w:r>
      <w:r w:rsidR="0005747A" w:rsidRPr="00217930">
        <w:rPr>
          <w:sz w:val="20"/>
          <w:szCs w:val="20"/>
        </w:rPr>
        <w:t>Zhruba čtvrtina zařízení</w:t>
      </w:r>
      <w:r w:rsidR="00D71F47" w:rsidRPr="00217930">
        <w:rPr>
          <w:sz w:val="20"/>
          <w:szCs w:val="20"/>
        </w:rPr>
        <w:t xml:space="preserve"> má za vlastníka jinou právnickou nebo fyzickou osobu. Lze předpokládat, že vlastník domu je </w:t>
      </w:r>
      <w:r w:rsidR="0005747A" w:rsidRPr="00217930">
        <w:rPr>
          <w:sz w:val="20"/>
          <w:szCs w:val="20"/>
        </w:rPr>
        <w:t>současně</w:t>
      </w:r>
      <w:r w:rsidR="00D71F47" w:rsidRPr="00217930">
        <w:rPr>
          <w:sz w:val="20"/>
          <w:szCs w:val="20"/>
        </w:rPr>
        <w:t xml:space="preserve"> i zřizovatelem nebo provozovatelem zařízení. </w:t>
      </w:r>
      <w:r w:rsidR="00217930">
        <w:rPr>
          <w:sz w:val="20"/>
          <w:szCs w:val="20"/>
        </w:rPr>
        <w:t xml:space="preserve"> </w:t>
      </w:r>
    </w:p>
    <w:p w:rsidR="00CF1FE3" w:rsidRDefault="00CF1FE3" w:rsidP="00264BF8">
      <w:pPr>
        <w:spacing w:line="276" w:lineRule="auto"/>
        <w:rPr>
          <w:szCs w:val="20"/>
        </w:rPr>
      </w:pPr>
    </w:p>
    <w:p w:rsidR="00802AFC" w:rsidRPr="00653754" w:rsidRDefault="00406B1F" w:rsidP="00264BF8">
      <w:pPr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lastRenderedPageBreak/>
        <w:t xml:space="preserve">Z celkového počtu osob v zařízeních pro seniory jich 60 % mělo v příslušném zařízení i trvalý pobyt. Podíl byl u mužů </w:t>
      </w:r>
      <w:r w:rsidR="001C4BD3" w:rsidRPr="00653754">
        <w:rPr>
          <w:sz w:val="20"/>
          <w:szCs w:val="20"/>
        </w:rPr>
        <w:t>mírně</w:t>
      </w:r>
      <w:r w:rsidRPr="00653754">
        <w:rPr>
          <w:sz w:val="20"/>
          <w:szCs w:val="20"/>
        </w:rPr>
        <w:t xml:space="preserve"> (</w:t>
      </w:r>
      <w:r w:rsidR="001C4BD3" w:rsidRPr="00653754">
        <w:rPr>
          <w:sz w:val="20"/>
          <w:szCs w:val="20"/>
        </w:rPr>
        <w:t xml:space="preserve">o </w:t>
      </w:r>
      <w:r w:rsidRPr="00653754">
        <w:rPr>
          <w:sz w:val="20"/>
          <w:szCs w:val="20"/>
        </w:rPr>
        <w:t xml:space="preserve">2,5 procentního bodu) vyšší než u žen. Ostatní dvě pětiny </w:t>
      </w:r>
      <w:r w:rsidR="001C4BD3" w:rsidRPr="00653754">
        <w:rPr>
          <w:sz w:val="20"/>
          <w:szCs w:val="20"/>
        </w:rPr>
        <w:t xml:space="preserve">osob </w:t>
      </w:r>
      <w:r w:rsidRPr="00653754">
        <w:rPr>
          <w:sz w:val="20"/>
          <w:szCs w:val="20"/>
        </w:rPr>
        <w:t>žily v zařízení obvykle (tedy dlouhodobě), trvalý pobyt měly ale na jiné adrese</w:t>
      </w:r>
      <w:r w:rsidR="001C4BD3" w:rsidRPr="00653754">
        <w:rPr>
          <w:sz w:val="20"/>
          <w:szCs w:val="20"/>
        </w:rPr>
        <w:t>, přitom zhruba v polovině případů byla tato evidenční adresa trvalého pobytu ve stejné obci.</w:t>
      </w:r>
    </w:p>
    <w:p w:rsidR="00DA2841" w:rsidRDefault="00DA2841" w:rsidP="00264BF8">
      <w:pPr>
        <w:spacing w:line="276" w:lineRule="auto"/>
        <w:jc w:val="both"/>
        <w:rPr>
          <w:sz w:val="20"/>
          <w:szCs w:val="20"/>
        </w:rPr>
      </w:pPr>
    </w:p>
    <w:p w:rsidR="00A06082" w:rsidRPr="00653754" w:rsidRDefault="00DA2841" w:rsidP="00264BF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Senioři</w:t>
      </w:r>
      <w:r w:rsidR="00A06082" w:rsidRPr="00653754">
        <w:rPr>
          <w:sz w:val="20"/>
          <w:szCs w:val="20"/>
        </w:rPr>
        <w:t xml:space="preserve"> v zařízení častěji než celá populace vyplnil</w:t>
      </w:r>
      <w:r>
        <w:rPr>
          <w:sz w:val="20"/>
          <w:szCs w:val="20"/>
        </w:rPr>
        <w:t>i</w:t>
      </w:r>
      <w:r w:rsidR="00A06082" w:rsidRPr="00653754">
        <w:rPr>
          <w:sz w:val="20"/>
          <w:szCs w:val="20"/>
        </w:rPr>
        <w:t xml:space="preserve"> ve sčítacím formuláři dobrovoln</w:t>
      </w:r>
      <w:r w:rsidR="006561DB" w:rsidRPr="00653754">
        <w:rPr>
          <w:sz w:val="20"/>
          <w:szCs w:val="20"/>
        </w:rPr>
        <w:t>ou</w:t>
      </w:r>
      <w:r w:rsidR="00A06082" w:rsidRPr="00653754">
        <w:rPr>
          <w:sz w:val="20"/>
          <w:szCs w:val="20"/>
        </w:rPr>
        <w:t xml:space="preserve"> otázk</w:t>
      </w:r>
      <w:r w:rsidR="006561DB" w:rsidRPr="00653754">
        <w:rPr>
          <w:sz w:val="20"/>
          <w:szCs w:val="20"/>
        </w:rPr>
        <w:t>u na n</w:t>
      </w:r>
      <w:r w:rsidR="00A06082" w:rsidRPr="00653754">
        <w:rPr>
          <w:sz w:val="20"/>
          <w:szCs w:val="20"/>
        </w:rPr>
        <w:t>árodnost</w:t>
      </w:r>
      <w:r w:rsidR="006561DB" w:rsidRPr="00653754">
        <w:rPr>
          <w:sz w:val="20"/>
          <w:szCs w:val="20"/>
        </w:rPr>
        <w:t xml:space="preserve">; </w:t>
      </w:r>
      <w:r w:rsidR="00A06082" w:rsidRPr="00653754">
        <w:rPr>
          <w:sz w:val="20"/>
          <w:szCs w:val="20"/>
        </w:rPr>
        <w:t>neuvedlo</w:t>
      </w:r>
      <w:r w:rsidR="006561DB" w:rsidRPr="00653754">
        <w:rPr>
          <w:sz w:val="20"/>
          <w:szCs w:val="20"/>
        </w:rPr>
        <w:t xml:space="preserve"> ji</w:t>
      </w:r>
      <w:r w:rsidR="00A06082" w:rsidRPr="00653754">
        <w:rPr>
          <w:sz w:val="20"/>
          <w:szCs w:val="20"/>
        </w:rPr>
        <w:t xml:space="preserve"> pouze 19 % osob v zařízení pro seniory (obyvatelstvo celkem - 25 %)</w:t>
      </w:r>
      <w:r w:rsidR="006561DB" w:rsidRPr="00653754">
        <w:rPr>
          <w:sz w:val="20"/>
          <w:szCs w:val="20"/>
        </w:rPr>
        <w:t xml:space="preserve">. </w:t>
      </w:r>
      <w:r w:rsidR="00A06082" w:rsidRPr="00653754">
        <w:rPr>
          <w:sz w:val="20"/>
          <w:szCs w:val="20"/>
        </w:rPr>
        <w:t>Ve struktuře podle národnosti měla převahu národnost česká (73,6 %), moravská (2,8 %) a slovenská (2,1 %)</w:t>
      </w:r>
      <w:r w:rsidR="006561DB" w:rsidRPr="00653754">
        <w:rPr>
          <w:sz w:val="20"/>
          <w:szCs w:val="20"/>
        </w:rPr>
        <w:t>.</w:t>
      </w:r>
    </w:p>
    <w:p w:rsidR="009725E2" w:rsidRPr="00653754" w:rsidRDefault="009725E2" w:rsidP="00264BF8">
      <w:pPr>
        <w:spacing w:line="276" w:lineRule="auto"/>
        <w:jc w:val="both"/>
        <w:rPr>
          <w:sz w:val="20"/>
          <w:szCs w:val="20"/>
        </w:rPr>
      </w:pPr>
    </w:p>
    <w:p w:rsidR="000061AF" w:rsidRPr="00653754" w:rsidRDefault="00DA2841" w:rsidP="00264BF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případě</w:t>
      </w:r>
      <w:r w:rsidR="006561DB" w:rsidRPr="00653754">
        <w:rPr>
          <w:sz w:val="20"/>
          <w:szCs w:val="20"/>
        </w:rPr>
        <w:t xml:space="preserve"> druhé dobrovolné otázky - o vztahu k náboženské víře - byl podíl neuvedených odpovědí (43,0</w:t>
      </w:r>
      <w:r w:rsidR="00BA2890">
        <w:rPr>
          <w:sz w:val="20"/>
          <w:szCs w:val="20"/>
        </w:rPr>
        <w:t> </w:t>
      </w:r>
      <w:r w:rsidR="006561DB" w:rsidRPr="00653754">
        <w:rPr>
          <w:sz w:val="20"/>
          <w:szCs w:val="20"/>
        </w:rPr>
        <w:t xml:space="preserve">%) srovnatelný s celorepublikou hodnotou (44,7 %). </w:t>
      </w:r>
      <w:r w:rsidR="009725E2" w:rsidRPr="00653754">
        <w:rPr>
          <w:sz w:val="20"/>
          <w:szCs w:val="20"/>
        </w:rPr>
        <w:t xml:space="preserve">Osoby, které svůj vztah k víře deklarovaly, měly ale odlišnou strukturu odpovědí než byla v populaci celkem. Z celkového počtu osob v zařízeních pro seniory  jich 28,8, % uvedlo Církev římskokatolickou (populace celkem - 10,4 %), volbu bez </w:t>
      </w:r>
      <w:r w:rsidR="00BB400A" w:rsidRPr="00653754">
        <w:rPr>
          <w:sz w:val="20"/>
          <w:szCs w:val="20"/>
        </w:rPr>
        <w:t xml:space="preserve">náboženské </w:t>
      </w:r>
      <w:r w:rsidR="009725E2" w:rsidRPr="00653754">
        <w:rPr>
          <w:sz w:val="20"/>
          <w:szCs w:val="20"/>
        </w:rPr>
        <w:t xml:space="preserve">víry uvedlo </w:t>
      </w:r>
      <w:r w:rsidR="00BB400A" w:rsidRPr="00653754">
        <w:rPr>
          <w:sz w:val="20"/>
          <w:szCs w:val="20"/>
        </w:rPr>
        <w:t xml:space="preserve"> 15,8 % osob (populace celkem 34,5 %). Odlišná struktura odpovědí měla přímou vazbu na věk osob v těchto zařízeních.</w:t>
      </w:r>
    </w:p>
    <w:p w:rsidR="00ED078D" w:rsidRPr="00653754" w:rsidRDefault="00ED078D" w:rsidP="0051354C">
      <w:pPr>
        <w:rPr>
          <w:sz w:val="20"/>
          <w:szCs w:val="20"/>
        </w:rPr>
      </w:pPr>
    </w:p>
    <w:p w:rsidR="00ED078D" w:rsidRPr="00653754" w:rsidRDefault="00ED078D" w:rsidP="0051354C">
      <w:pPr>
        <w:rPr>
          <w:sz w:val="20"/>
          <w:szCs w:val="20"/>
        </w:rPr>
      </w:pPr>
    </w:p>
    <w:p w:rsidR="00ED078D" w:rsidRPr="00E74AD7" w:rsidRDefault="00433AF9" w:rsidP="0051354C">
      <w:pPr>
        <w:rPr>
          <w:b/>
          <w:sz w:val="22"/>
          <w:szCs w:val="22"/>
        </w:rPr>
      </w:pPr>
      <w:r w:rsidRPr="00E74AD7">
        <w:rPr>
          <w:b/>
          <w:sz w:val="22"/>
          <w:szCs w:val="22"/>
        </w:rPr>
        <w:t>4.2</w:t>
      </w:r>
      <w:r w:rsidRPr="00E74AD7">
        <w:rPr>
          <w:b/>
          <w:sz w:val="22"/>
          <w:szCs w:val="22"/>
        </w:rPr>
        <w:tab/>
      </w:r>
      <w:r w:rsidR="00ED078D" w:rsidRPr="00E74AD7">
        <w:rPr>
          <w:b/>
          <w:sz w:val="22"/>
          <w:szCs w:val="22"/>
        </w:rPr>
        <w:t>Ubytovny</w:t>
      </w:r>
      <w:r w:rsidR="00D30AEB" w:rsidRPr="00E74AD7">
        <w:rPr>
          <w:b/>
          <w:sz w:val="22"/>
          <w:szCs w:val="22"/>
        </w:rPr>
        <w:t xml:space="preserve"> </w:t>
      </w:r>
    </w:p>
    <w:p w:rsidR="008749FF" w:rsidRDefault="00ED078D" w:rsidP="008749FF">
      <w:pPr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 xml:space="preserve">V domech, které byly na domovním listu označeny jako ubytovny, mělo obvyklý pobyt  k datu sčítání celkem </w:t>
      </w:r>
      <w:r w:rsidR="004009D7" w:rsidRPr="00653754">
        <w:rPr>
          <w:sz w:val="20"/>
          <w:szCs w:val="20"/>
        </w:rPr>
        <w:t>28 143 osob, v tom bylo 71 % mužů a 29 % žen. V rodinách žilo v ubytovnách jen 1</w:t>
      </w:r>
      <w:r w:rsidR="00AF50AF" w:rsidRPr="00653754">
        <w:rPr>
          <w:sz w:val="20"/>
          <w:szCs w:val="20"/>
        </w:rPr>
        <w:t xml:space="preserve"> </w:t>
      </w:r>
      <w:r w:rsidR="004009D7" w:rsidRPr="00653754">
        <w:rPr>
          <w:sz w:val="20"/>
          <w:szCs w:val="20"/>
        </w:rPr>
        <w:t>806 osob (841 mužů a  965 žen).</w:t>
      </w:r>
    </w:p>
    <w:p w:rsidR="008749FF" w:rsidRDefault="008749FF" w:rsidP="008749FF">
      <w:pPr>
        <w:spacing w:line="276" w:lineRule="auto"/>
        <w:jc w:val="both"/>
        <w:rPr>
          <w:sz w:val="20"/>
          <w:szCs w:val="20"/>
        </w:rPr>
      </w:pPr>
    </w:p>
    <w:p w:rsidR="008749FF" w:rsidRPr="00B109CA" w:rsidRDefault="008749FF" w:rsidP="008749FF">
      <w:pPr>
        <w:keepNext/>
        <w:keepLines/>
        <w:spacing w:line="276" w:lineRule="auto"/>
        <w:jc w:val="both"/>
        <w:rPr>
          <w:b/>
          <w:sz w:val="20"/>
          <w:szCs w:val="20"/>
        </w:rPr>
      </w:pPr>
      <w:r w:rsidRPr="00B109CA">
        <w:rPr>
          <w:b/>
          <w:sz w:val="20"/>
          <w:szCs w:val="20"/>
        </w:rPr>
        <w:t>Graf č. 1</w:t>
      </w:r>
      <w:r>
        <w:rPr>
          <w:b/>
          <w:sz w:val="20"/>
          <w:szCs w:val="20"/>
        </w:rPr>
        <w:t>1</w:t>
      </w:r>
      <w:r w:rsidRPr="00B109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Věková struktura osob v ubytovnách k 26. 3. 2011</w:t>
      </w:r>
    </w:p>
    <w:p w:rsidR="00D75AB0" w:rsidRDefault="001770AA" w:rsidP="008749F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113030</wp:posOffset>
            </wp:positionV>
            <wp:extent cx="3886200" cy="2476500"/>
            <wp:effectExtent l="19050" t="0" r="19050" b="0"/>
            <wp:wrapSquare wrapText="bothSides"/>
            <wp:docPr id="24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009D7" w:rsidRPr="00653754">
        <w:rPr>
          <w:sz w:val="20"/>
          <w:szCs w:val="20"/>
        </w:rPr>
        <w:t xml:space="preserve"> </w:t>
      </w:r>
    </w:p>
    <w:p w:rsidR="004009D7" w:rsidRPr="00653754" w:rsidRDefault="004009D7" w:rsidP="00653754">
      <w:pPr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 xml:space="preserve">Ve struktuře podle věku </w:t>
      </w:r>
      <w:r w:rsidR="00AF50AF" w:rsidRPr="00653754">
        <w:rPr>
          <w:sz w:val="20"/>
          <w:szCs w:val="20"/>
        </w:rPr>
        <w:t>měl jednoznačnou převahu produktivní věk. Více než 93 % osob bylo ve věku 15 - 64 let, přičemž desetiletky věku mezi 20 a 49 lety byly zastoupeny v podstatě rovnoměrně (rozdíl mezi nimi byl maximálně pouhých 2,2 procentního bodu).</w:t>
      </w:r>
    </w:p>
    <w:p w:rsidR="0097751D" w:rsidRPr="00653754" w:rsidRDefault="0097751D" w:rsidP="00653754">
      <w:pPr>
        <w:spacing w:line="276" w:lineRule="auto"/>
        <w:jc w:val="both"/>
        <w:rPr>
          <w:sz w:val="20"/>
          <w:szCs w:val="20"/>
        </w:rPr>
      </w:pPr>
    </w:p>
    <w:p w:rsidR="0097751D" w:rsidRPr="00653754" w:rsidRDefault="00D22D5F" w:rsidP="00653754">
      <w:pPr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>Z celkového počtu osob v ubytovnách dvě pětiny nevyplnily sčítací formuláře, ale byly za ně pouze doplněny údaje z administrativního zdroje</w:t>
      </w:r>
      <w:r w:rsidR="00AD7182" w:rsidRPr="00653754">
        <w:rPr>
          <w:sz w:val="20"/>
          <w:szCs w:val="20"/>
        </w:rPr>
        <w:t xml:space="preserve"> (tedy pouze věk, pohlaví, státní občanství a rodinný stav)</w:t>
      </w:r>
      <w:r w:rsidRPr="00653754">
        <w:rPr>
          <w:sz w:val="20"/>
          <w:szCs w:val="20"/>
        </w:rPr>
        <w:t xml:space="preserve">. Tento  vysoký počet významně ovlivnil hodnoty deklaratorních charakteristik </w:t>
      </w:r>
      <w:r w:rsidR="00AD7182" w:rsidRPr="00653754">
        <w:rPr>
          <w:sz w:val="20"/>
          <w:szCs w:val="20"/>
        </w:rPr>
        <w:t xml:space="preserve">. Např. ekonomická aktivita </w:t>
      </w:r>
      <w:r w:rsidR="00972D8E" w:rsidRPr="00653754">
        <w:rPr>
          <w:sz w:val="20"/>
          <w:szCs w:val="20"/>
        </w:rPr>
        <w:t xml:space="preserve">zůstala nezjištěna téměř u poloviny osob bydlících v ubytovnách (47,4 %); vztaženo pouze k osobám v produktivním věku byl podíl nezjištěné ekonomické aktivity ještě vyšší (50,4 %) . S omezením pouze na osoby, které vyplnily sčítací formuláře, </w:t>
      </w:r>
      <w:r w:rsidR="00E77EDA" w:rsidRPr="00653754">
        <w:rPr>
          <w:sz w:val="20"/>
          <w:szCs w:val="20"/>
        </w:rPr>
        <w:t>byla</w:t>
      </w:r>
      <w:r w:rsidR="00972D8E" w:rsidRPr="00653754">
        <w:rPr>
          <w:sz w:val="20"/>
          <w:szCs w:val="20"/>
        </w:rPr>
        <w:t xml:space="preserve"> nezjištěná ekonomická aktivita  </w:t>
      </w:r>
      <w:r w:rsidR="00E74AD7">
        <w:rPr>
          <w:sz w:val="20"/>
          <w:szCs w:val="20"/>
        </w:rPr>
        <w:t>na úrovni</w:t>
      </w:r>
      <w:r w:rsidR="00E77EDA" w:rsidRPr="00653754">
        <w:rPr>
          <w:sz w:val="20"/>
          <w:szCs w:val="20"/>
        </w:rPr>
        <w:t xml:space="preserve"> 12,6 %.</w:t>
      </w:r>
    </w:p>
    <w:p w:rsidR="00E74AD7" w:rsidRDefault="00E74AD7" w:rsidP="00653754">
      <w:pPr>
        <w:spacing w:line="276" w:lineRule="auto"/>
        <w:jc w:val="both"/>
        <w:rPr>
          <w:sz w:val="20"/>
          <w:szCs w:val="20"/>
        </w:rPr>
      </w:pPr>
    </w:p>
    <w:p w:rsidR="00E77EDA" w:rsidRDefault="00E77EDA" w:rsidP="00653754">
      <w:pPr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>Z porovnání struktury osob v ubytovnách podle ekonomické aktivity a téže struktury za obyvatelstvo celkem je zřejmé specifické složení osob v tomto typu zařízení.</w:t>
      </w:r>
    </w:p>
    <w:p w:rsidR="001770AA" w:rsidRDefault="001770AA" w:rsidP="00653754">
      <w:pPr>
        <w:spacing w:line="276" w:lineRule="auto"/>
        <w:jc w:val="both"/>
        <w:rPr>
          <w:sz w:val="20"/>
          <w:szCs w:val="20"/>
        </w:rPr>
      </w:pPr>
    </w:p>
    <w:p w:rsidR="001770AA" w:rsidRDefault="001770AA" w:rsidP="00C117FF">
      <w:pPr>
        <w:tabs>
          <w:tab w:val="left" w:pos="993"/>
        </w:tabs>
        <w:spacing w:line="276" w:lineRule="auto"/>
        <w:ind w:firstLine="993"/>
        <w:rPr>
          <w:b/>
          <w:bCs/>
          <w:sz w:val="20"/>
          <w:szCs w:val="20"/>
        </w:rPr>
      </w:pPr>
      <w:r w:rsidRPr="001770AA">
        <w:rPr>
          <w:b/>
          <w:sz w:val="20"/>
          <w:szCs w:val="20"/>
        </w:rPr>
        <w:lastRenderedPageBreak/>
        <w:t>Graf č. 12</w:t>
      </w:r>
      <w:r>
        <w:rPr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Porovnání struktur obyvatel podle ekonomické aktivity</w:t>
      </w:r>
      <w:r>
        <w:rPr>
          <w:b/>
          <w:bCs/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k 26.</w:t>
      </w:r>
      <w:r>
        <w:rPr>
          <w:b/>
          <w:bCs/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2011</w:t>
      </w:r>
    </w:p>
    <w:p w:rsidR="001929D6" w:rsidRDefault="001929D6" w:rsidP="001770AA">
      <w:pPr>
        <w:spacing w:line="276" w:lineRule="auto"/>
        <w:jc w:val="center"/>
        <w:rPr>
          <w:b/>
          <w:bCs/>
          <w:sz w:val="20"/>
          <w:szCs w:val="20"/>
        </w:rPr>
      </w:pPr>
      <w:r w:rsidRPr="001929D6">
        <w:rPr>
          <w:b/>
          <w:bCs/>
          <w:sz w:val="20"/>
          <w:szCs w:val="20"/>
          <w:bdr w:val="single" w:sz="4" w:space="0" w:color="auto"/>
          <w:lang w:eastAsia="cs-CZ"/>
        </w:rPr>
        <w:drawing>
          <wp:inline distT="0" distB="0" distL="0" distR="0">
            <wp:extent cx="4768947" cy="2700997"/>
            <wp:effectExtent l="0" t="0" r="0" b="0"/>
            <wp:docPr id="32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29D6" w:rsidRPr="001770AA" w:rsidRDefault="001929D6" w:rsidP="001770AA">
      <w:pPr>
        <w:spacing w:line="276" w:lineRule="auto"/>
        <w:jc w:val="center"/>
        <w:rPr>
          <w:sz w:val="20"/>
          <w:szCs w:val="20"/>
        </w:rPr>
      </w:pPr>
    </w:p>
    <w:p w:rsidR="00EC7146" w:rsidRDefault="00EC7146" w:rsidP="001770AA">
      <w:pPr>
        <w:jc w:val="center"/>
        <w:rPr>
          <w:szCs w:val="20"/>
        </w:rPr>
      </w:pPr>
    </w:p>
    <w:p w:rsidR="00EC7146" w:rsidRDefault="00EC7146" w:rsidP="001770AA">
      <w:pPr>
        <w:jc w:val="center"/>
        <w:rPr>
          <w:szCs w:val="20"/>
        </w:rPr>
      </w:pPr>
    </w:p>
    <w:p w:rsidR="00EC7146" w:rsidRDefault="00E77EDA" w:rsidP="00653754">
      <w:pPr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 xml:space="preserve">Bez ohledu na vyšší podíl nezjištěné ekonomické aktivity převažuje </w:t>
      </w:r>
      <w:r w:rsidR="004A16CC" w:rsidRPr="00653754">
        <w:rPr>
          <w:sz w:val="20"/>
          <w:szCs w:val="20"/>
        </w:rPr>
        <w:t xml:space="preserve">u osob v ubytovnách </w:t>
      </w:r>
      <w:r w:rsidRPr="00653754">
        <w:rPr>
          <w:sz w:val="20"/>
          <w:szCs w:val="20"/>
        </w:rPr>
        <w:t>zastoupení ekonomicky aktivních,</w:t>
      </w:r>
      <w:r w:rsidR="004A16CC" w:rsidRPr="00653754">
        <w:rPr>
          <w:sz w:val="20"/>
          <w:szCs w:val="20"/>
        </w:rPr>
        <w:t xml:space="preserve"> a to</w:t>
      </w:r>
      <w:r w:rsidRPr="00653754">
        <w:rPr>
          <w:sz w:val="20"/>
          <w:szCs w:val="20"/>
        </w:rPr>
        <w:t xml:space="preserve"> jak o něco vyšší podíl zaměstnaných (o 2,8 procentního bodu), tak zejména trojnásobně vyšší zastoupení nezaměstnaných</w:t>
      </w:r>
      <w:r w:rsidR="00F64BE1" w:rsidRPr="00653754">
        <w:rPr>
          <w:sz w:val="20"/>
          <w:szCs w:val="20"/>
        </w:rPr>
        <w:t xml:space="preserve">. Úměrně tomu je v ubytovnách výrazně nižší podíl osob ekonomicky neaktivních. Toto složení odpovídá </w:t>
      </w:r>
      <w:r w:rsidR="00D82095" w:rsidRPr="00653754">
        <w:rPr>
          <w:sz w:val="20"/>
          <w:szCs w:val="20"/>
        </w:rPr>
        <w:t xml:space="preserve">skutečnosti, že některé ubytovny slouží ubytování pracujících </w:t>
      </w:r>
      <w:r w:rsidR="004A16CC" w:rsidRPr="00653754">
        <w:rPr>
          <w:sz w:val="20"/>
          <w:szCs w:val="20"/>
        </w:rPr>
        <w:t>osob, některé ubytovny jsou určeny k ubytování osob v tíživé sociální situaci. Např. tak cizinci na ubytovnách patřili  většinou do kategorie osob pracujících a měli významně vyšší zastoupení zaměstnaných osob (69 %)</w:t>
      </w:r>
      <w:r w:rsidR="00B516F4" w:rsidRPr="00653754">
        <w:rPr>
          <w:sz w:val="20"/>
          <w:szCs w:val="20"/>
        </w:rPr>
        <w:t xml:space="preserve">, občané ČR vč. osob bez občanství a s nezjištěným občanstvím </w:t>
      </w:r>
      <w:r w:rsidR="001361EF" w:rsidRPr="00653754">
        <w:rPr>
          <w:sz w:val="20"/>
          <w:szCs w:val="20"/>
        </w:rPr>
        <w:t>byli v pětině případů nezaměstnaní a více než třetina z nich byla ekonomicky neaktivní.</w:t>
      </w:r>
    </w:p>
    <w:p w:rsidR="001770AA" w:rsidRDefault="001770AA" w:rsidP="00653754">
      <w:pPr>
        <w:spacing w:line="276" w:lineRule="auto"/>
        <w:jc w:val="both"/>
        <w:rPr>
          <w:sz w:val="20"/>
          <w:szCs w:val="20"/>
        </w:rPr>
      </w:pPr>
    </w:p>
    <w:p w:rsidR="001929D6" w:rsidRDefault="001770AA" w:rsidP="001929D6">
      <w:pPr>
        <w:spacing w:line="276" w:lineRule="auto"/>
        <w:ind w:left="993"/>
        <w:rPr>
          <w:b/>
          <w:bCs/>
          <w:sz w:val="20"/>
          <w:szCs w:val="20"/>
        </w:rPr>
      </w:pPr>
      <w:r w:rsidRPr="001770AA">
        <w:rPr>
          <w:b/>
          <w:sz w:val="20"/>
          <w:szCs w:val="20"/>
        </w:rPr>
        <w:t>Graf č. 1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Porovnání struktur</w:t>
      </w:r>
      <w:r>
        <w:rPr>
          <w:b/>
          <w:bCs/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obyvatel v</w:t>
      </w:r>
      <w:r>
        <w:rPr>
          <w:b/>
          <w:bCs/>
          <w:sz w:val="20"/>
          <w:szCs w:val="20"/>
        </w:rPr>
        <w:t> </w:t>
      </w:r>
      <w:r w:rsidRPr="001770AA">
        <w:rPr>
          <w:b/>
          <w:bCs/>
          <w:sz w:val="20"/>
          <w:szCs w:val="20"/>
        </w:rPr>
        <w:t>ubytovnách</w:t>
      </w:r>
      <w:r>
        <w:rPr>
          <w:b/>
          <w:bCs/>
          <w:sz w:val="20"/>
          <w:szCs w:val="20"/>
        </w:rPr>
        <w:t xml:space="preserve"> </w:t>
      </w:r>
      <w:r w:rsidRPr="001770AA">
        <w:rPr>
          <w:b/>
          <w:bCs/>
          <w:sz w:val="20"/>
          <w:szCs w:val="20"/>
        </w:rPr>
        <w:t>podle ekonomické</w:t>
      </w:r>
      <w:r>
        <w:rPr>
          <w:b/>
          <w:bCs/>
          <w:sz w:val="20"/>
          <w:szCs w:val="20"/>
        </w:rPr>
        <w:t xml:space="preserve"> </w:t>
      </w:r>
      <w:r w:rsidR="001929D6">
        <w:rPr>
          <w:b/>
          <w:bCs/>
          <w:sz w:val="20"/>
          <w:szCs w:val="20"/>
        </w:rPr>
        <w:t xml:space="preserve">aktivity </w:t>
      </w:r>
    </w:p>
    <w:p w:rsidR="001770AA" w:rsidRPr="001770AA" w:rsidRDefault="001929D6" w:rsidP="001929D6">
      <w:pPr>
        <w:spacing w:line="276" w:lineRule="auto"/>
        <w:ind w:left="9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1770AA" w:rsidRPr="001770AA">
        <w:rPr>
          <w:b/>
          <w:bCs/>
          <w:sz w:val="20"/>
          <w:szCs w:val="20"/>
        </w:rPr>
        <w:t>občanství</w:t>
      </w:r>
      <w:r>
        <w:rPr>
          <w:b/>
          <w:bCs/>
          <w:sz w:val="20"/>
          <w:szCs w:val="20"/>
        </w:rPr>
        <w:t xml:space="preserve"> </w:t>
      </w:r>
      <w:r w:rsidR="001770AA" w:rsidRPr="001770AA">
        <w:rPr>
          <w:b/>
          <w:bCs/>
          <w:sz w:val="20"/>
          <w:szCs w:val="20"/>
        </w:rPr>
        <w:t>k 26.</w:t>
      </w:r>
      <w:r>
        <w:rPr>
          <w:b/>
          <w:bCs/>
          <w:sz w:val="20"/>
          <w:szCs w:val="20"/>
        </w:rPr>
        <w:t xml:space="preserve"> </w:t>
      </w:r>
      <w:r w:rsidR="001770AA" w:rsidRPr="001770AA"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 xml:space="preserve"> </w:t>
      </w:r>
      <w:r w:rsidR="001770AA" w:rsidRPr="001770AA">
        <w:rPr>
          <w:b/>
          <w:bCs/>
          <w:sz w:val="20"/>
          <w:szCs w:val="20"/>
        </w:rPr>
        <w:t>2011</w:t>
      </w:r>
    </w:p>
    <w:p w:rsidR="00B516F4" w:rsidRDefault="00B516F4" w:rsidP="001770AA">
      <w:pPr>
        <w:jc w:val="center"/>
        <w:rPr>
          <w:szCs w:val="20"/>
        </w:rPr>
      </w:pPr>
      <w:r w:rsidRPr="00B516F4">
        <w:rPr>
          <w:szCs w:val="20"/>
          <w:bdr w:val="single" w:sz="4" w:space="0" w:color="auto"/>
          <w:lang w:eastAsia="cs-CZ"/>
        </w:rPr>
        <w:drawing>
          <wp:inline distT="0" distB="0" distL="0" distR="0">
            <wp:extent cx="4733925" cy="2743200"/>
            <wp:effectExtent l="0" t="0" r="0" b="0"/>
            <wp:docPr id="17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7146" w:rsidRDefault="00EC7146" w:rsidP="0051354C">
      <w:pPr>
        <w:rPr>
          <w:szCs w:val="20"/>
        </w:rPr>
      </w:pPr>
    </w:p>
    <w:p w:rsidR="00EC7146" w:rsidRDefault="00EC7146" w:rsidP="0051354C">
      <w:pPr>
        <w:rPr>
          <w:szCs w:val="20"/>
        </w:rPr>
      </w:pPr>
    </w:p>
    <w:p w:rsidR="00EC7146" w:rsidRPr="00E74AD7" w:rsidRDefault="00433AF9" w:rsidP="00653754">
      <w:pPr>
        <w:keepNext/>
        <w:keepLines/>
        <w:spacing w:line="276" w:lineRule="auto"/>
        <w:rPr>
          <w:b/>
          <w:sz w:val="22"/>
          <w:szCs w:val="22"/>
        </w:rPr>
      </w:pPr>
      <w:r w:rsidRPr="00E74AD7">
        <w:rPr>
          <w:b/>
          <w:sz w:val="22"/>
          <w:szCs w:val="22"/>
        </w:rPr>
        <w:t>4.3</w:t>
      </w:r>
      <w:r w:rsidRPr="00E74AD7">
        <w:rPr>
          <w:b/>
          <w:sz w:val="22"/>
          <w:szCs w:val="22"/>
        </w:rPr>
        <w:tab/>
      </w:r>
      <w:r w:rsidR="00EC7146" w:rsidRPr="00E74AD7">
        <w:rPr>
          <w:b/>
          <w:sz w:val="22"/>
          <w:szCs w:val="22"/>
        </w:rPr>
        <w:t>Ubytovací zařízení v obytných domech</w:t>
      </w:r>
    </w:p>
    <w:p w:rsidR="00461252" w:rsidRPr="00653754" w:rsidRDefault="00461252" w:rsidP="00DA2841">
      <w:pPr>
        <w:keepNext/>
        <w:keepLines/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>V ubytovacích zařízeních v obytných domech bydlelo 37 607 osob, v tom bylo téměř 24 tisíc mužů a 13,6 tisíc žen.</w:t>
      </w:r>
      <w:r w:rsidR="00DA2841">
        <w:rPr>
          <w:sz w:val="20"/>
          <w:szCs w:val="20"/>
        </w:rPr>
        <w:t xml:space="preserve"> Skupina osob bydlících tímto způsobem je nejméně čitelná zejména proto, že d</w:t>
      </w:r>
      <w:r w:rsidRPr="00653754">
        <w:rPr>
          <w:sz w:val="20"/>
          <w:szCs w:val="20"/>
        </w:rPr>
        <w:t xml:space="preserve">ruh zařízení v těchto případech nebylo možné </w:t>
      </w:r>
      <w:r w:rsidR="007C022F" w:rsidRPr="00653754">
        <w:rPr>
          <w:sz w:val="20"/>
          <w:szCs w:val="20"/>
        </w:rPr>
        <w:t xml:space="preserve">přesně </w:t>
      </w:r>
      <w:r w:rsidRPr="00653754">
        <w:rPr>
          <w:sz w:val="20"/>
          <w:szCs w:val="20"/>
        </w:rPr>
        <w:t>identifikovat</w:t>
      </w:r>
      <w:r w:rsidR="00DA2841">
        <w:rPr>
          <w:sz w:val="20"/>
          <w:szCs w:val="20"/>
        </w:rPr>
        <w:t>. Osoby byly sečteny sčítacím komisařem jako bydlící v zařízení</w:t>
      </w:r>
      <w:r w:rsidRPr="00653754">
        <w:rPr>
          <w:sz w:val="20"/>
          <w:szCs w:val="20"/>
        </w:rPr>
        <w:t xml:space="preserve">, </w:t>
      </w:r>
      <w:r w:rsidR="00DA2841">
        <w:rPr>
          <w:sz w:val="20"/>
          <w:szCs w:val="20"/>
        </w:rPr>
        <w:t xml:space="preserve">na stejné adrese měly pak i obvyklý pobyt, domy ale </w:t>
      </w:r>
      <w:r w:rsidRPr="00653754">
        <w:rPr>
          <w:sz w:val="20"/>
          <w:szCs w:val="20"/>
        </w:rPr>
        <w:t xml:space="preserve">byly označeny jako obytné </w:t>
      </w:r>
      <w:r w:rsidR="00DA2841">
        <w:rPr>
          <w:sz w:val="20"/>
          <w:szCs w:val="20"/>
        </w:rPr>
        <w:t xml:space="preserve">– </w:t>
      </w:r>
      <w:r w:rsidRPr="00653754">
        <w:rPr>
          <w:sz w:val="20"/>
          <w:szCs w:val="20"/>
        </w:rPr>
        <w:t>převažovala v nich funkce bydlení</w:t>
      </w:r>
      <w:r w:rsidR="00DA2841">
        <w:rPr>
          <w:sz w:val="20"/>
          <w:szCs w:val="20"/>
        </w:rPr>
        <w:t xml:space="preserve"> v bytech</w:t>
      </w:r>
      <w:r w:rsidRPr="00653754">
        <w:rPr>
          <w:sz w:val="20"/>
          <w:szCs w:val="20"/>
        </w:rPr>
        <w:t xml:space="preserve">. </w:t>
      </w:r>
    </w:p>
    <w:p w:rsidR="00DA2841" w:rsidRDefault="00DA2841" w:rsidP="00653754">
      <w:pPr>
        <w:keepNext/>
        <w:keepLines/>
        <w:spacing w:line="276" w:lineRule="auto"/>
        <w:jc w:val="both"/>
        <w:rPr>
          <w:sz w:val="20"/>
          <w:szCs w:val="20"/>
        </w:rPr>
      </w:pPr>
    </w:p>
    <w:p w:rsidR="0053587E" w:rsidRDefault="007315B5" w:rsidP="00653754">
      <w:pPr>
        <w:keepNext/>
        <w:keepLines/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 xml:space="preserve">I v této skupině </w:t>
      </w:r>
      <w:r w:rsidR="00DF4439" w:rsidRPr="00653754">
        <w:rPr>
          <w:sz w:val="20"/>
          <w:szCs w:val="20"/>
        </w:rPr>
        <w:t>bydlících</w:t>
      </w:r>
      <w:r w:rsidRPr="00653754">
        <w:rPr>
          <w:sz w:val="20"/>
          <w:szCs w:val="20"/>
        </w:rPr>
        <w:t xml:space="preserve"> bylo významné zastoupení osob</w:t>
      </w:r>
      <w:r w:rsidR="0053587E" w:rsidRPr="00653754">
        <w:rPr>
          <w:sz w:val="20"/>
          <w:szCs w:val="20"/>
        </w:rPr>
        <w:t>, o kterých byly k dispozici údaje pouze v rozsahu dat z</w:t>
      </w:r>
      <w:r w:rsidRPr="00653754">
        <w:rPr>
          <w:sz w:val="20"/>
          <w:szCs w:val="20"/>
        </w:rPr>
        <w:t xml:space="preserve"> administrativního zdroje </w:t>
      </w:r>
      <w:r w:rsidR="0053587E" w:rsidRPr="00653754">
        <w:rPr>
          <w:sz w:val="20"/>
          <w:szCs w:val="20"/>
        </w:rPr>
        <w:t xml:space="preserve">- takových osob byla téměř polovina </w:t>
      </w:r>
      <w:r w:rsidRPr="00653754">
        <w:rPr>
          <w:sz w:val="20"/>
          <w:szCs w:val="20"/>
        </w:rPr>
        <w:t>(48,3 %)</w:t>
      </w:r>
      <w:r w:rsidR="006F4A12" w:rsidRPr="00653754">
        <w:rPr>
          <w:sz w:val="20"/>
          <w:szCs w:val="20"/>
        </w:rPr>
        <w:t>; většinou to byli cizinci</w:t>
      </w:r>
      <w:r w:rsidR="0091209F">
        <w:rPr>
          <w:sz w:val="20"/>
          <w:szCs w:val="20"/>
        </w:rPr>
        <w:t>.</w:t>
      </w:r>
      <w:r w:rsidRPr="00653754">
        <w:rPr>
          <w:sz w:val="20"/>
          <w:szCs w:val="20"/>
        </w:rPr>
        <w:t xml:space="preserve"> </w:t>
      </w:r>
    </w:p>
    <w:p w:rsidR="00F245C4" w:rsidRPr="00653754" w:rsidRDefault="00F245C4" w:rsidP="00653754">
      <w:pPr>
        <w:keepNext/>
        <w:keepLines/>
        <w:spacing w:line="276" w:lineRule="auto"/>
        <w:jc w:val="both"/>
        <w:rPr>
          <w:sz w:val="20"/>
          <w:szCs w:val="20"/>
        </w:rPr>
      </w:pPr>
    </w:p>
    <w:p w:rsidR="0053587E" w:rsidRPr="00653754" w:rsidRDefault="00EC7146" w:rsidP="00653754">
      <w:pPr>
        <w:keepNext/>
        <w:keepLines/>
        <w:spacing w:line="276" w:lineRule="auto"/>
        <w:jc w:val="both"/>
        <w:rPr>
          <w:sz w:val="20"/>
          <w:szCs w:val="20"/>
        </w:rPr>
      </w:pPr>
      <w:r w:rsidRPr="00653754">
        <w:rPr>
          <w:sz w:val="20"/>
          <w:szCs w:val="20"/>
        </w:rPr>
        <w:t xml:space="preserve">Z hlediska věku </w:t>
      </w:r>
      <w:r w:rsidR="0053587E" w:rsidRPr="00653754">
        <w:rPr>
          <w:sz w:val="20"/>
          <w:szCs w:val="20"/>
        </w:rPr>
        <w:t xml:space="preserve">jednoznačně převažovaly osoby </w:t>
      </w:r>
      <w:r w:rsidRPr="00653754">
        <w:rPr>
          <w:sz w:val="20"/>
          <w:szCs w:val="20"/>
        </w:rPr>
        <w:t>v produktivním věku (</w:t>
      </w:r>
      <w:r w:rsidR="0053587E" w:rsidRPr="00653754">
        <w:rPr>
          <w:sz w:val="20"/>
          <w:szCs w:val="20"/>
        </w:rPr>
        <w:t>84,5</w:t>
      </w:r>
      <w:r w:rsidRPr="00653754">
        <w:rPr>
          <w:sz w:val="20"/>
          <w:szCs w:val="20"/>
        </w:rPr>
        <w:t xml:space="preserve"> %)</w:t>
      </w:r>
      <w:r w:rsidR="00A21966">
        <w:rPr>
          <w:sz w:val="20"/>
          <w:szCs w:val="20"/>
        </w:rPr>
        <w:t>. Mužů bylo více výrazně více než žen (64 % vers. 36 %). Z pohledu věku a pohlaví se charakteristiky této skupiny osob blížily charakteristikám osob v ubytovnách a svobodárnách.</w:t>
      </w:r>
      <w:r w:rsidRPr="00653754">
        <w:rPr>
          <w:sz w:val="20"/>
          <w:szCs w:val="20"/>
        </w:rPr>
        <w:t xml:space="preserve"> Ekonomická aktivita</w:t>
      </w:r>
      <w:r w:rsidR="0053587E" w:rsidRPr="00653754">
        <w:rPr>
          <w:sz w:val="20"/>
          <w:szCs w:val="20"/>
        </w:rPr>
        <w:t xml:space="preserve"> </w:t>
      </w:r>
      <w:r w:rsidR="00735BF0" w:rsidRPr="00653754">
        <w:rPr>
          <w:sz w:val="20"/>
          <w:szCs w:val="20"/>
        </w:rPr>
        <w:t>o</w:t>
      </w:r>
      <w:r w:rsidR="0053587E" w:rsidRPr="00653754">
        <w:rPr>
          <w:sz w:val="20"/>
          <w:szCs w:val="20"/>
        </w:rPr>
        <w:t>sob</w:t>
      </w:r>
      <w:r w:rsidR="00A21966">
        <w:rPr>
          <w:sz w:val="20"/>
          <w:szCs w:val="20"/>
        </w:rPr>
        <w:t xml:space="preserve"> ale </w:t>
      </w:r>
      <w:r w:rsidR="0091209F">
        <w:rPr>
          <w:sz w:val="20"/>
          <w:szCs w:val="20"/>
        </w:rPr>
        <w:t xml:space="preserve">tuto </w:t>
      </w:r>
      <w:r w:rsidR="00A21966">
        <w:rPr>
          <w:sz w:val="20"/>
          <w:szCs w:val="20"/>
        </w:rPr>
        <w:t xml:space="preserve">podobnost nepotvrdila. </w:t>
      </w:r>
      <w:r w:rsidR="00386878">
        <w:rPr>
          <w:sz w:val="20"/>
          <w:szCs w:val="20"/>
        </w:rPr>
        <w:t xml:space="preserve">Důvodem může být vysoký podíl osob, u kterých informace o ekonomické aktivitě chybí. </w:t>
      </w:r>
    </w:p>
    <w:p w:rsidR="00C042BD" w:rsidRDefault="00C042BD" w:rsidP="00580E7F">
      <w:pPr>
        <w:suppressAutoHyphens w:val="0"/>
        <w:rPr>
          <w:szCs w:val="20"/>
        </w:rPr>
      </w:pPr>
    </w:p>
    <w:sectPr w:rsidR="00C042BD" w:rsidSect="002C669A">
      <w:headerReference w:type="default" r:id="rId13"/>
      <w:pgSz w:w="11905" w:h="16837"/>
      <w:pgMar w:top="2269" w:right="851" w:bottom="1418" w:left="158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F2" w:rsidRDefault="003A10F2">
      <w:r>
        <w:separator/>
      </w:r>
    </w:p>
  </w:endnote>
  <w:endnote w:type="continuationSeparator" w:id="0">
    <w:p w:rsidR="003A10F2" w:rsidRDefault="003A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F2" w:rsidRDefault="003A10F2">
      <w:r>
        <w:separator/>
      </w:r>
    </w:p>
  </w:footnote>
  <w:footnote w:type="continuationSeparator" w:id="0">
    <w:p w:rsidR="003A10F2" w:rsidRDefault="003A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9" w:type="dxa"/>
      <w:tblInd w:w="108" w:type="dxa"/>
      <w:tblLayout w:type="fixed"/>
      <w:tblLook w:val="0000"/>
    </w:tblPr>
    <w:tblGrid>
      <w:gridCol w:w="2835"/>
      <w:gridCol w:w="3079"/>
      <w:gridCol w:w="3655"/>
    </w:tblGrid>
    <w:tr w:rsidR="001F2998" w:rsidTr="00220D4D">
      <w:tc>
        <w:tcPr>
          <w:tcW w:w="2835" w:type="dxa"/>
          <w:vAlign w:val="center"/>
        </w:tcPr>
        <w:p w:rsidR="001F2998" w:rsidRDefault="001F2998" w:rsidP="00375D96">
          <w:pPr>
            <w:pStyle w:val="Zhlav"/>
            <w:tabs>
              <w:tab w:val="right" w:pos="9072"/>
            </w:tabs>
            <w:snapToGrid w:val="0"/>
            <w:rPr>
              <w:sz w:val="20"/>
              <w:lang w:val="en-GB"/>
            </w:rPr>
          </w:pPr>
          <w:r>
            <w:rPr>
              <w:lang w:eastAsia="cs-CZ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1673860" cy="828040"/>
                <wp:effectExtent l="19050" t="0" r="2540" b="0"/>
                <wp:wrapTopAndBottom/>
                <wp:docPr id="19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86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9" w:type="dxa"/>
          <w:vAlign w:val="center"/>
        </w:tcPr>
        <w:p w:rsidR="001F2998" w:rsidRDefault="001F2998" w:rsidP="00375D96">
          <w:pPr>
            <w:pStyle w:val="Zhlav"/>
            <w:tabs>
              <w:tab w:val="left" w:pos="709"/>
              <w:tab w:val="right" w:pos="9072"/>
            </w:tabs>
            <w:snapToGrid w:val="0"/>
            <w:jc w:val="center"/>
            <w:rPr>
              <w:b/>
              <w:sz w:val="28"/>
              <w:lang w:val="en-GB"/>
            </w:rPr>
          </w:pPr>
        </w:p>
      </w:tc>
      <w:tc>
        <w:tcPr>
          <w:tcW w:w="3655" w:type="dxa"/>
          <w:vAlign w:val="center"/>
        </w:tcPr>
        <w:p w:rsidR="001F2998" w:rsidRDefault="001F2998" w:rsidP="00375D96">
          <w:pPr>
            <w:pStyle w:val="Zhlav"/>
            <w:tabs>
              <w:tab w:val="left" w:pos="709"/>
              <w:tab w:val="right" w:pos="9072"/>
            </w:tabs>
            <w:snapToGrid w:val="0"/>
            <w:jc w:val="right"/>
            <w:rPr>
              <w:sz w:val="20"/>
              <w:lang w:val="en-GB"/>
            </w:rPr>
          </w:pPr>
          <w:r>
            <w:rPr>
              <w:sz w:val="20"/>
              <w:lang w:eastAsia="cs-CZ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261620</wp:posOffset>
                </wp:positionV>
                <wp:extent cx="1741170" cy="450215"/>
                <wp:effectExtent l="19050" t="0" r="0" b="0"/>
                <wp:wrapNone/>
                <wp:docPr id="18" name="Obráze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617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F2998" w:rsidRDefault="001F2998">
    <w:pPr>
      <w:pStyle w:val="Zhlav"/>
      <w:tabs>
        <w:tab w:val="left" w:pos="709"/>
        <w:tab w:val="right" w:pos="9072"/>
      </w:tabs>
      <w:rPr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360"/>
      </w:pPr>
      <w:rPr>
        <w:rFonts w:ascii="Arial" w:hAnsi="Arial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i/>
        <w:sz w:val="19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160" w:hanging="360"/>
      </w:pPr>
      <w:rPr>
        <w:rFonts w:ascii="Arial" w:hAnsi="Arial"/>
        <w:b w:val="0"/>
        <w:i/>
        <w:sz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7E21487"/>
    <w:multiLevelType w:val="hybridMultilevel"/>
    <w:tmpl w:val="A162A7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280E"/>
    <w:multiLevelType w:val="hybridMultilevel"/>
    <w:tmpl w:val="7CEA95E4"/>
    <w:lvl w:ilvl="0" w:tplc="C21ADF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21C9E"/>
    <w:multiLevelType w:val="hybridMultilevel"/>
    <w:tmpl w:val="344227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1BF"/>
    <w:multiLevelType w:val="hybridMultilevel"/>
    <w:tmpl w:val="9852FDFC"/>
    <w:lvl w:ilvl="0" w:tplc="5578748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F082C05"/>
    <w:multiLevelType w:val="hybridMultilevel"/>
    <w:tmpl w:val="08DE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B372C"/>
    <w:multiLevelType w:val="hybridMultilevel"/>
    <w:tmpl w:val="C5C81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110DD"/>
    <w:multiLevelType w:val="multilevel"/>
    <w:tmpl w:val="D3D41B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1246C9F"/>
    <w:multiLevelType w:val="hybridMultilevel"/>
    <w:tmpl w:val="CBEA4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D0BFB"/>
    <w:multiLevelType w:val="hybridMultilevel"/>
    <w:tmpl w:val="9378FAC4"/>
    <w:lvl w:ilvl="0" w:tplc="5888C5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DC11A06"/>
    <w:multiLevelType w:val="hybridMultilevel"/>
    <w:tmpl w:val="943E9F4A"/>
    <w:lvl w:ilvl="0" w:tplc="22546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D1782"/>
    <w:multiLevelType w:val="hybridMultilevel"/>
    <w:tmpl w:val="9DFC6328"/>
    <w:lvl w:ilvl="0" w:tplc="27B21D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264DA5"/>
    <w:multiLevelType w:val="hybridMultilevel"/>
    <w:tmpl w:val="F1D65D52"/>
    <w:lvl w:ilvl="0" w:tplc="22546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90407"/>
    <w:multiLevelType w:val="hybridMultilevel"/>
    <w:tmpl w:val="715C4E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EB04C4"/>
    <w:multiLevelType w:val="hybridMultilevel"/>
    <w:tmpl w:val="A75A9E5A"/>
    <w:lvl w:ilvl="0" w:tplc="D62AC1F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D836F37"/>
    <w:multiLevelType w:val="hybridMultilevel"/>
    <w:tmpl w:val="E57E9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10"/>
  </w:num>
  <w:num w:numId="13">
    <w:abstractNumId w:val="12"/>
  </w:num>
  <w:num w:numId="14">
    <w:abstractNumId w:val="6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cs-CZ" w:vendorID="7" w:dllVersion="514" w:checkStyle="1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A43350"/>
    <w:rsid w:val="000027BD"/>
    <w:rsid w:val="000061AF"/>
    <w:rsid w:val="0000699C"/>
    <w:rsid w:val="00013296"/>
    <w:rsid w:val="0001649E"/>
    <w:rsid w:val="00024FFB"/>
    <w:rsid w:val="00033EF7"/>
    <w:rsid w:val="00034AD1"/>
    <w:rsid w:val="0003647C"/>
    <w:rsid w:val="00037C67"/>
    <w:rsid w:val="00046889"/>
    <w:rsid w:val="0004727B"/>
    <w:rsid w:val="00047E82"/>
    <w:rsid w:val="0005747A"/>
    <w:rsid w:val="00061472"/>
    <w:rsid w:val="00061F3F"/>
    <w:rsid w:val="00067BCE"/>
    <w:rsid w:val="00072F99"/>
    <w:rsid w:val="00082788"/>
    <w:rsid w:val="00084B9C"/>
    <w:rsid w:val="0008568E"/>
    <w:rsid w:val="000867F7"/>
    <w:rsid w:val="00091E81"/>
    <w:rsid w:val="000933E8"/>
    <w:rsid w:val="000A2D41"/>
    <w:rsid w:val="000A7854"/>
    <w:rsid w:val="000B7DED"/>
    <w:rsid w:val="000C0495"/>
    <w:rsid w:val="000C0514"/>
    <w:rsid w:val="000C2170"/>
    <w:rsid w:val="000C4C22"/>
    <w:rsid w:val="000C6FA3"/>
    <w:rsid w:val="000D02C3"/>
    <w:rsid w:val="000D1E4D"/>
    <w:rsid w:val="000D2754"/>
    <w:rsid w:val="000D57B9"/>
    <w:rsid w:val="000E10FC"/>
    <w:rsid w:val="000E43EC"/>
    <w:rsid w:val="000E5F8B"/>
    <w:rsid w:val="000F3DA7"/>
    <w:rsid w:val="00100B0F"/>
    <w:rsid w:val="00100BD6"/>
    <w:rsid w:val="00100BE2"/>
    <w:rsid w:val="00112079"/>
    <w:rsid w:val="00112B68"/>
    <w:rsid w:val="001133B5"/>
    <w:rsid w:val="00123BB9"/>
    <w:rsid w:val="001361EF"/>
    <w:rsid w:val="00137CBE"/>
    <w:rsid w:val="00144135"/>
    <w:rsid w:val="00144A68"/>
    <w:rsid w:val="001475BB"/>
    <w:rsid w:val="00160035"/>
    <w:rsid w:val="00165156"/>
    <w:rsid w:val="00165DC3"/>
    <w:rsid w:val="00165E65"/>
    <w:rsid w:val="00171994"/>
    <w:rsid w:val="001770AA"/>
    <w:rsid w:val="00185204"/>
    <w:rsid w:val="00185D3A"/>
    <w:rsid w:val="001867B3"/>
    <w:rsid w:val="00190A4D"/>
    <w:rsid w:val="00192052"/>
    <w:rsid w:val="001929D6"/>
    <w:rsid w:val="00192BC1"/>
    <w:rsid w:val="001948FF"/>
    <w:rsid w:val="001A021A"/>
    <w:rsid w:val="001A35EA"/>
    <w:rsid w:val="001B3330"/>
    <w:rsid w:val="001B557E"/>
    <w:rsid w:val="001C15A1"/>
    <w:rsid w:val="001C2D10"/>
    <w:rsid w:val="001C4BD3"/>
    <w:rsid w:val="001C6ADC"/>
    <w:rsid w:val="001D5A67"/>
    <w:rsid w:val="001E4771"/>
    <w:rsid w:val="001E730D"/>
    <w:rsid w:val="001F2998"/>
    <w:rsid w:val="001F7B1F"/>
    <w:rsid w:val="00202DE1"/>
    <w:rsid w:val="00203689"/>
    <w:rsid w:val="00205C4C"/>
    <w:rsid w:val="002070C6"/>
    <w:rsid w:val="00217930"/>
    <w:rsid w:val="00220D4D"/>
    <w:rsid w:val="002262F3"/>
    <w:rsid w:val="002337AE"/>
    <w:rsid w:val="002371AD"/>
    <w:rsid w:val="00240500"/>
    <w:rsid w:val="002451DB"/>
    <w:rsid w:val="002460A4"/>
    <w:rsid w:val="002503A3"/>
    <w:rsid w:val="002521AC"/>
    <w:rsid w:val="00256B0A"/>
    <w:rsid w:val="00262417"/>
    <w:rsid w:val="00263C0C"/>
    <w:rsid w:val="0026488A"/>
    <w:rsid w:val="00264BF8"/>
    <w:rsid w:val="00266D4E"/>
    <w:rsid w:val="002714B1"/>
    <w:rsid w:val="00280C69"/>
    <w:rsid w:val="00282C4C"/>
    <w:rsid w:val="00286DC6"/>
    <w:rsid w:val="00290472"/>
    <w:rsid w:val="0029061A"/>
    <w:rsid w:val="002971B1"/>
    <w:rsid w:val="002A6808"/>
    <w:rsid w:val="002B2884"/>
    <w:rsid w:val="002B2E31"/>
    <w:rsid w:val="002C2385"/>
    <w:rsid w:val="002C36A9"/>
    <w:rsid w:val="002C669A"/>
    <w:rsid w:val="002C6AB4"/>
    <w:rsid w:val="002D2B6E"/>
    <w:rsid w:val="002D3629"/>
    <w:rsid w:val="002D74C1"/>
    <w:rsid w:val="002F1ECE"/>
    <w:rsid w:val="00300C83"/>
    <w:rsid w:val="003019C6"/>
    <w:rsid w:val="00301D97"/>
    <w:rsid w:val="003031C0"/>
    <w:rsid w:val="00305B4D"/>
    <w:rsid w:val="00306C5A"/>
    <w:rsid w:val="00315C1E"/>
    <w:rsid w:val="00331266"/>
    <w:rsid w:val="00333073"/>
    <w:rsid w:val="00333BE2"/>
    <w:rsid w:val="00336D49"/>
    <w:rsid w:val="00341839"/>
    <w:rsid w:val="00355BF6"/>
    <w:rsid w:val="0035684E"/>
    <w:rsid w:val="00360705"/>
    <w:rsid w:val="00360A03"/>
    <w:rsid w:val="00361FA5"/>
    <w:rsid w:val="003620C3"/>
    <w:rsid w:val="0036434D"/>
    <w:rsid w:val="00370F79"/>
    <w:rsid w:val="0037279D"/>
    <w:rsid w:val="003728C9"/>
    <w:rsid w:val="003730BB"/>
    <w:rsid w:val="00373752"/>
    <w:rsid w:val="00374029"/>
    <w:rsid w:val="00375D96"/>
    <w:rsid w:val="003774F2"/>
    <w:rsid w:val="00380306"/>
    <w:rsid w:val="00385D95"/>
    <w:rsid w:val="00386878"/>
    <w:rsid w:val="0039015A"/>
    <w:rsid w:val="0039282B"/>
    <w:rsid w:val="00394D79"/>
    <w:rsid w:val="00397E72"/>
    <w:rsid w:val="003A027D"/>
    <w:rsid w:val="003A060A"/>
    <w:rsid w:val="003A10F2"/>
    <w:rsid w:val="003A44FD"/>
    <w:rsid w:val="003B0EED"/>
    <w:rsid w:val="003B29E3"/>
    <w:rsid w:val="003B3622"/>
    <w:rsid w:val="003B68CB"/>
    <w:rsid w:val="003B794D"/>
    <w:rsid w:val="003C2331"/>
    <w:rsid w:val="003C3568"/>
    <w:rsid w:val="003C5019"/>
    <w:rsid w:val="003C5316"/>
    <w:rsid w:val="003D07B5"/>
    <w:rsid w:val="003E16DB"/>
    <w:rsid w:val="003E596D"/>
    <w:rsid w:val="003F0458"/>
    <w:rsid w:val="003F3012"/>
    <w:rsid w:val="003F465C"/>
    <w:rsid w:val="003F5EFE"/>
    <w:rsid w:val="003F5FFE"/>
    <w:rsid w:val="003F627B"/>
    <w:rsid w:val="003F67A8"/>
    <w:rsid w:val="004009D7"/>
    <w:rsid w:val="00402F28"/>
    <w:rsid w:val="00406B1F"/>
    <w:rsid w:val="00406B82"/>
    <w:rsid w:val="00407ED2"/>
    <w:rsid w:val="00413F59"/>
    <w:rsid w:val="00416794"/>
    <w:rsid w:val="0042539C"/>
    <w:rsid w:val="0042568C"/>
    <w:rsid w:val="00426029"/>
    <w:rsid w:val="00433AF9"/>
    <w:rsid w:val="0043470F"/>
    <w:rsid w:val="00434CB4"/>
    <w:rsid w:val="00437BD7"/>
    <w:rsid w:val="00441D06"/>
    <w:rsid w:val="00443222"/>
    <w:rsid w:val="00443FFA"/>
    <w:rsid w:val="00447F97"/>
    <w:rsid w:val="00450FD7"/>
    <w:rsid w:val="004532F5"/>
    <w:rsid w:val="00461252"/>
    <w:rsid w:val="0046418F"/>
    <w:rsid w:val="00464653"/>
    <w:rsid w:val="004675C1"/>
    <w:rsid w:val="004701CA"/>
    <w:rsid w:val="00471506"/>
    <w:rsid w:val="0047261A"/>
    <w:rsid w:val="00474198"/>
    <w:rsid w:val="004808AA"/>
    <w:rsid w:val="0048109A"/>
    <w:rsid w:val="00482E89"/>
    <w:rsid w:val="00492844"/>
    <w:rsid w:val="00493AEB"/>
    <w:rsid w:val="00494D30"/>
    <w:rsid w:val="004A16CC"/>
    <w:rsid w:val="004A5D14"/>
    <w:rsid w:val="004B12AB"/>
    <w:rsid w:val="004B2DC6"/>
    <w:rsid w:val="004C011D"/>
    <w:rsid w:val="004C0502"/>
    <w:rsid w:val="004C0C78"/>
    <w:rsid w:val="004C4847"/>
    <w:rsid w:val="004C5116"/>
    <w:rsid w:val="004D30D8"/>
    <w:rsid w:val="004D4B17"/>
    <w:rsid w:val="004D60B0"/>
    <w:rsid w:val="004D7FC2"/>
    <w:rsid w:val="004E1261"/>
    <w:rsid w:val="004E27E8"/>
    <w:rsid w:val="004E7E4F"/>
    <w:rsid w:val="004F1145"/>
    <w:rsid w:val="004F1C91"/>
    <w:rsid w:val="004F4C67"/>
    <w:rsid w:val="004F71A1"/>
    <w:rsid w:val="004F756D"/>
    <w:rsid w:val="005039F6"/>
    <w:rsid w:val="005043DD"/>
    <w:rsid w:val="0051354C"/>
    <w:rsid w:val="00513E37"/>
    <w:rsid w:val="00515740"/>
    <w:rsid w:val="00520968"/>
    <w:rsid w:val="00531924"/>
    <w:rsid w:val="00533EBF"/>
    <w:rsid w:val="0053587E"/>
    <w:rsid w:val="00537191"/>
    <w:rsid w:val="005421DD"/>
    <w:rsid w:val="00547DC5"/>
    <w:rsid w:val="00557239"/>
    <w:rsid w:val="00557D92"/>
    <w:rsid w:val="0056190C"/>
    <w:rsid w:val="00563BB4"/>
    <w:rsid w:val="00566545"/>
    <w:rsid w:val="0056725A"/>
    <w:rsid w:val="00572438"/>
    <w:rsid w:val="00572831"/>
    <w:rsid w:val="00572B3A"/>
    <w:rsid w:val="00576717"/>
    <w:rsid w:val="00576861"/>
    <w:rsid w:val="005776A2"/>
    <w:rsid w:val="00580E7F"/>
    <w:rsid w:val="00586100"/>
    <w:rsid w:val="00593406"/>
    <w:rsid w:val="00596D24"/>
    <w:rsid w:val="005A15AE"/>
    <w:rsid w:val="005A20B0"/>
    <w:rsid w:val="005A2BAA"/>
    <w:rsid w:val="005B7456"/>
    <w:rsid w:val="005C32F8"/>
    <w:rsid w:val="005D5808"/>
    <w:rsid w:val="005D66DF"/>
    <w:rsid w:val="005E1E43"/>
    <w:rsid w:val="005E5343"/>
    <w:rsid w:val="005F44BD"/>
    <w:rsid w:val="0060050E"/>
    <w:rsid w:val="0060534A"/>
    <w:rsid w:val="00611EA2"/>
    <w:rsid w:val="00613DCD"/>
    <w:rsid w:val="00627A32"/>
    <w:rsid w:val="00633C42"/>
    <w:rsid w:val="00634E58"/>
    <w:rsid w:val="00640086"/>
    <w:rsid w:val="00653754"/>
    <w:rsid w:val="006561DB"/>
    <w:rsid w:val="006563B4"/>
    <w:rsid w:val="00656EF6"/>
    <w:rsid w:val="00664601"/>
    <w:rsid w:val="00666CC7"/>
    <w:rsid w:val="00674E34"/>
    <w:rsid w:val="0068051B"/>
    <w:rsid w:val="00683BE4"/>
    <w:rsid w:val="0068496D"/>
    <w:rsid w:val="00690BB3"/>
    <w:rsid w:val="00692997"/>
    <w:rsid w:val="00694020"/>
    <w:rsid w:val="006A2980"/>
    <w:rsid w:val="006A31EB"/>
    <w:rsid w:val="006A54EA"/>
    <w:rsid w:val="006C1DC5"/>
    <w:rsid w:val="006C4926"/>
    <w:rsid w:val="006D33FE"/>
    <w:rsid w:val="006D7537"/>
    <w:rsid w:val="006E0203"/>
    <w:rsid w:val="006E41A1"/>
    <w:rsid w:val="006E4E84"/>
    <w:rsid w:val="006E6536"/>
    <w:rsid w:val="006E6AB4"/>
    <w:rsid w:val="006F3A7C"/>
    <w:rsid w:val="006F4A12"/>
    <w:rsid w:val="006F59C7"/>
    <w:rsid w:val="00712232"/>
    <w:rsid w:val="007156E9"/>
    <w:rsid w:val="00717C4E"/>
    <w:rsid w:val="00720280"/>
    <w:rsid w:val="007206C0"/>
    <w:rsid w:val="00721DF9"/>
    <w:rsid w:val="00725E0C"/>
    <w:rsid w:val="007315B5"/>
    <w:rsid w:val="007346C9"/>
    <w:rsid w:val="0073476F"/>
    <w:rsid w:val="00735BF0"/>
    <w:rsid w:val="00735FC8"/>
    <w:rsid w:val="00741BDA"/>
    <w:rsid w:val="00742168"/>
    <w:rsid w:val="0074450D"/>
    <w:rsid w:val="00746369"/>
    <w:rsid w:val="00754193"/>
    <w:rsid w:val="007560B0"/>
    <w:rsid w:val="007564B9"/>
    <w:rsid w:val="0075761B"/>
    <w:rsid w:val="007607E6"/>
    <w:rsid w:val="00760C72"/>
    <w:rsid w:val="00762FD9"/>
    <w:rsid w:val="00765C76"/>
    <w:rsid w:val="0076670A"/>
    <w:rsid w:val="0077255D"/>
    <w:rsid w:val="00774640"/>
    <w:rsid w:val="00775164"/>
    <w:rsid w:val="007757B8"/>
    <w:rsid w:val="00777A4C"/>
    <w:rsid w:val="00782C08"/>
    <w:rsid w:val="007962B8"/>
    <w:rsid w:val="00797948"/>
    <w:rsid w:val="00797BC3"/>
    <w:rsid w:val="007A34AA"/>
    <w:rsid w:val="007A44C6"/>
    <w:rsid w:val="007A5222"/>
    <w:rsid w:val="007B34CD"/>
    <w:rsid w:val="007B6288"/>
    <w:rsid w:val="007C022F"/>
    <w:rsid w:val="007C6437"/>
    <w:rsid w:val="007C6E1A"/>
    <w:rsid w:val="007D2C10"/>
    <w:rsid w:val="007D35A0"/>
    <w:rsid w:val="007E61AF"/>
    <w:rsid w:val="007E70B2"/>
    <w:rsid w:val="007F05D2"/>
    <w:rsid w:val="007F0C7C"/>
    <w:rsid w:val="007F2E8C"/>
    <w:rsid w:val="007F7617"/>
    <w:rsid w:val="007F78D3"/>
    <w:rsid w:val="0080236A"/>
    <w:rsid w:val="00802AFC"/>
    <w:rsid w:val="00807462"/>
    <w:rsid w:val="00807764"/>
    <w:rsid w:val="008103D6"/>
    <w:rsid w:val="008110EF"/>
    <w:rsid w:val="008115DB"/>
    <w:rsid w:val="00811CB1"/>
    <w:rsid w:val="00813644"/>
    <w:rsid w:val="00813743"/>
    <w:rsid w:val="008220BB"/>
    <w:rsid w:val="00825DC1"/>
    <w:rsid w:val="00826508"/>
    <w:rsid w:val="00830A13"/>
    <w:rsid w:val="00833EE1"/>
    <w:rsid w:val="00834423"/>
    <w:rsid w:val="00834432"/>
    <w:rsid w:val="00840075"/>
    <w:rsid w:val="00841A52"/>
    <w:rsid w:val="0084286F"/>
    <w:rsid w:val="00844633"/>
    <w:rsid w:val="0084560C"/>
    <w:rsid w:val="008463AC"/>
    <w:rsid w:val="00846713"/>
    <w:rsid w:val="00850952"/>
    <w:rsid w:val="00851E06"/>
    <w:rsid w:val="00852146"/>
    <w:rsid w:val="00864782"/>
    <w:rsid w:val="0087228E"/>
    <w:rsid w:val="008732F0"/>
    <w:rsid w:val="008749FF"/>
    <w:rsid w:val="00877E12"/>
    <w:rsid w:val="0088193B"/>
    <w:rsid w:val="00885A87"/>
    <w:rsid w:val="00890A66"/>
    <w:rsid w:val="00890DD9"/>
    <w:rsid w:val="00893EFF"/>
    <w:rsid w:val="008A0C74"/>
    <w:rsid w:val="008A11CE"/>
    <w:rsid w:val="008A2104"/>
    <w:rsid w:val="008A4180"/>
    <w:rsid w:val="008B0B49"/>
    <w:rsid w:val="008C4593"/>
    <w:rsid w:val="008C59E1"/>
    <w:rsid w:val="008D140A"/>
    <w:rsid w:val="008D1F14"/>
    <w:rsid w:val="008D44AD"/>
    <w:rsid w:val="008E478F"/>
    <w:rsid w:val="008F2C5C"/>
    <w:rsid w:val="009022A0"/>
    <w:rsid w:val="00904EA7"/>
    <w:rsid w:val="0091209F"/>
    <w:rsid w:val="0091696C"/>
    <w:rsid w:val="00920338"/>
    <w:rsid w:val="009227D1"/>
    <w:rsid w:val="00925CEF"/>
    <w:rsid w:val="00926496"/>
    <w:rsid w:val="009306A0"/>
    <w:rsid w:val="00930C18"/>
    <w:rsid w:val="0093417B"/>
    <w:rsid w:val="00956BAB"/>
    <w:rsid w:val="00957985"/>
    <w:rsid w:val="00960A32"/>
    <w:rsid w:val="009662F2"/>
    <w:rsid w:val="00971BE2"/>
    <w:rsid w:val="009725E2"/>
    <w:rsid w:val="00972D8E"/>
    <w:rsid w:val="00976CD1"/>
    <w:rsid w:val="0097751D"/>
    <w:rsid w:val="00980DFB"/>
    <w:rsid w:val="00981981"/>
    <w:rsid w:val="009829E6"/>
    <w:rsid w:val="00992EF3"/>
    <w:rsid w:val="00994BF3"/>
    <w:rsid w:val="009966B7"/>
    <w:rsid w:val="009A1D50"/>
    <w:rsid w:val="009A629E"/>
    <w:rsid w:val="009B266B"/>
    <w:rsid w:val="009B2919"/>
    <w:rsid w:val="009B32DE"/>
    <w:rsid w:val="009B5FC7"/>
    <w:rsid w:val="009C16DE"/>
    <w:rsid w:val="009D0018"/>
    <w:rsid w:val="009D3BBA"/>
    <w:rsid w:val="009E029E"/>
    <w:rsid w:val="009F0BD8"/>
    <w:rsid w:val="009F3141"/>
    <w:rsid w:val="00A0300C"/>
    <w:rsid w:val="00A06082"/>
    <w:rsid w:val="00A07130"/>
    <w:rsid w:val="00A13732"/>
    <w:rsid w:val="00A16FFB"/>
    <w:rsid w:val="00A21780"/>
    <w:rsid w:val="00A21966"/>
    <w:rsid w:val="00A27222"/>
    <w:rsid w:val="00A30C16"/>
    <w:rsid w:val="00A33915"/>
    <w:rsid w:val="00A3535B"/>
    <w:rsid w:val="00A40282"/>
    <w:rsid w:val="00A4116D"/>
    <w:rsid w:val="00A4183C"/>
    <w:rsid w:val="00A41999"/>
    <w:rsid w:val="00A43350"/>
    <w:rsid w:val="00A45B5A"/>
    <w:rsid w:val="00A4679E"/>
    <w:rsid w:val="00A50EC1"/>
    <w:rsid w:val="00A54910"/>
    <w:rsid w:val="00A576F4"/>
    <w:rsid w:val="00A57CF9"/>
    <w:rsid w:val="00A62C9C"/>
    <w:rsid w:val="00A66E34"/>
    <w:rsid w:val="00A6769D"/>
    <w:rsid w:val="00A710D8"/>
    <w:rsid w:val="00A84380"/>
    <w:rsid w:val="00A8515D"/>
    <w:rsid w:val="00A92FC8"/>
    <w:rsid w:val="00AA0854"/>
    <w:rsid w:val="00AA40D3"/>
    <w:rsid w:val="00AB094A"/>
    <w:rsid w:val="00AB0AC0"/>
    <w:rsid w:val="00AB2D60"/>
    <w:rsid w:val="00AB3F12"/>
    <w:rsid w:val="00AB46F5"/>
    <w:rsid w:val="00AB5F6A"/>
    <w:rsid w:val="00AC2069"/>
    <w:rsid w:val="00AC7DB3"/>
    <w:rsid w:val="00AD7182"/>
    <w:rsid w:val="00AE066F"/>
    <w:rsid w:val="00AE1338"/>
    <w:rsid w:val="00AE45C3"/>
    <w:rsid w:val="00AF38BD"/>
    <w:rsid w:val="00AF50AF"/>
    <w:rsid w:val="00AF73E8"/>
    <w:rsid w:val="00B00744"/>
    <w:rsid w:val="00B02A61"/>
    <w:rsid w:val="00B02F11"/>
    <w:rsid w:val="00B078AE"/>
    <w:rsid w:val="00B109CA"/>
    <w:rsid w:val="00B201EA"/>
    <w:rsid w:val="00B225CF"/>
    <w:rsid w:val="00B24D10"/>
    <w:rsid w:val="00B258EC"/>
    <w:rsid w:val="00B35AC2"/>
    <w:rsid w:val="00B36551"/>
    <w:rsid w:val="00B36AF5"/>
    <w:rsid w:val="00B4210F"/>
    <w:rsid w:val="00B452EA"/>
    <w:rsid w:val="00B516F4"/>
    <w:rsid w:val="00B61275"/>
    <w:rsid w:val="00B679F7"/>
    <w:rsid w:val="00B70887"/>
    <w:rsid w:val="00B8291A"/>
    <w:rsid w:val="00B82F65"/>
    <w:rsid w:val="00B86F81"/>
    <w:rsid w:val="00B903FD"/>
    <w:rsid w:val="00B93AE1"/>
    <w:rsid w:val="00BA0583"/>
    <w:rsid w:val="00BA2890"/>
    <w:rsid w:val="00BB125D"/>
    <w:rsid w:val="00BB400A"/>
    <w:rsid w:val="00BB5235"/>
    <w:rsid w:val="00BB5905"/>
    <w:rsid w:val="00BB7C6C"/>
    <w:rsid w:val="00BC65EB"/>
    <w:rsid w:val="00BD48D5"/>
    <w:rsid w:val="00BE0728"/>
    <w:rsid w:val="00BE54A1"/>
    <w:rsid w:val="00BE7A51"/>
    <w:rsid w:val="00BF5AFA"/>
    <w:rsid w:val="00BF70FF"/>
    <w:rsid w:val="00C042BD"/>
    <w:rsid w:val="00C0594D"/>
    <w:rsid w:val="00C117FF"/>
    <w:rsid w:val="00C12AF8"/>
    <w:rsid w:val="00C15BD5"/>
    <w:rsid w:val="00C16D7E"/>
    <w:rsid w:val="00C321C7"/>
    <w:rsid w:val="00C416D7"/>
    <w:rsid w:val="00C431EE"/>
    <w:rsid w:val="00C444D7"/>
    <w:rsid w:val="00C5001A"/>
    <w:rsid w:val="00C570F4"/>
    <w:rsid w:val="00C722E8"/>
    <w:rsid w:val="00C72651"/>
    <w:rsid w:val="00C72AD3"/>
    <w:rsid w:val="00C73231"/>
    <w:rsid w:val="00C74CC1"/>
    <w:rsid w:val="00C80A23"/>
    <w:rsid w:val="00C83D68"/>
    <w:rsid w:val="00C84A14"/>
    <w:rsid w:val="00C90F6F"/>
    <w:rsid w:val="00CA2329"/>
    <w:rsid w:val="00CA4012"/>
    <w:rsid w:val="00CA5B63"/>
    <w:rsid w:val="00CA7B27"/>
    <w:rsid w:val="00CC098F"/>
    <w:rsid w:val="00CC112B"/>
    <w:rsid w:val="00CD63ED"/>
    <w:rsid w:val="00CE0D0A"/>
    <w:rsid w:val="00CE1BB5"/>
    <w:rsid w:val="00CE2695"/>
    <w:rsid w:val="00CF1FE3"/>
    <w:rsid w:val="00D01658"/>
    <w:rsid w:val="00D04D1D"/>
    <w:rsid w:val="00D05629"/>
    <w:rsid w:val="00D17C88"/>
    <w:rsid w:val="00D20394"/>
    <w:rsid w:val="00D2062A"/>
    <w:rsid w:val="00D22D5F"/>
    <w:rsid w:val="00D24D92"/>
    <w:rsid w:val="00D25021"/>
    <w:rsid w:val="00D30AEB"/>
    <w:rsid w:val="00D4082A"/>
    <w:rsid w:val="00D44169"/>
    <w:rsid w:val="00D474BC"/>
    <w:rsid w:val="00D524B1"/>
    <w:rsid w:val="00D56645"/>
    <w:rsid w:val="00D57959"/>
    <w:rsid w:val="00D60D29"/>
    <w:rsid w:val="00D61129"/>
    <w:rsid w:val="00D61A51"/>
    <w:rsid w:val="00D71F47"/>
    <w:rsid w:val="00D72689"/>
    <w:rsid w:val="00D73197"/>
    <w:rsid w:val="00D75AB0"/>
    <w:rsid w:val="00D7658E"/>
    <w:rsid w:val="00D7770A"/>
    <w:rsid w:val="00D82095"/>
    <w:rsid w:val="00D85544"/>
    <w:rsid w:val="00D85825"/>
    <w:rsid w:val="00D903DC"/>
    <w:rsid w:val="00D90880"/>
    <w:rsid w:val="00D96332"/>
    <w:rsid w:val="00DA05FC"/>
    <w:rsid w:val="00DA23D4"/>
    <w:rsid w:val="00DA2841"/>
    <w:rsid w:val="00DA2C4F"/>
    <w:rsid w:val="00DB1E5E"/>
    <w:rsid w:val="00DB2238"/>
    <w:rsid w:val="00DB2853"/>
    <w:rsid w:val="00DB4DF6"/>
    <w:rsid w:val="00DB5F54"/>
    <w:rsid w:val="00DC0C7F"/>
    <w:rsid w:val="00DC1985"/>
    <w:rsid w:val="00DD0301"/>
    <w:rsid w:val="00DD1433"/>
    <w:rsid w:val="00DD1E2B"/>
    <w:rsid w:val="00DD3831"/>
    <w:rsid w:val="00DD3F8E"/>
    <w:rsid w:val="00DE0DFA"/>
    <w:rsid w:val="00DF2482"/>
    <w:rsid w:val="00DF2AF0"/>
    <w:rsid w:val="00DF3194"/>
    <w:rsid w:val="00DF4439"/>
    <w:rsid w:val="00DF5A71"/>
    <w:rsid w:val="00E00460"/>
    <w:rsid w:val="00E00C0E"/>
    <w:rsid w:val="00E02AC7"/>
    <w:rsid w:val="00E03350"/>
    <w:rsid w:val="00E049E3"/>
    <w:rsid w:val="00E06791"/>
    <w:rsid w:val="00E1165F"/>
    <w:rsid w:val="00E17DA6"/>
    <w:rsid w:val="00E20DE8"/>
    <w:rsid w:val="00E378ED"/>
    <w:rsid w:val="00E47793"/>
    <w:rsid w:val="00E60CED"/>
    <w:rsid w:val="00E736AC"/>
    <w:rsid w:val="00E73ED3"/>
    <w:rsid w:val="00E74AD7"/>
    <w:rsid w:val="00E74EC8"/>
    <w:rsid w:val="00E77465"/>
    <w:rsid w:val="00E77EDA"/>
    <w:rsid w:val="00E80801"/>
    <w:rsid w:val="00E93FC1"/>
    <w:rsid w:val="00E955B5"/>
    <w:rsid w:val="00E96922"/>
    <w:rsid w:val="00EA0259"/>
    <w:rsid w:val="00EA379A"/>
    <w:rsid w:val="00EA38CF"/>
    <w:rsid w:val="00EA54FF"/>
    <w:rsid w:val="00EB1EDB"/>
    <w:rsid w:val="00EB4C96"/>
    <w:rsid w:val="00EB7E47"/>
    <w:rsid w:val="00EC2575"/>
    <w:rsid w:val="00EC7146"/>
    <w:rsid w:val="00ED01C9"/>
    <w:rsid w:val="00ED078D"/>
    <w:rsid w:val="00ED3099"/>
    <w:rsid w:val="00ED36CE"/>
    <w:rsid w:val="00ED42A5"/>
    <w:rsid w:val="00EE0737"/>
    <w:rsid w:val="00EF568B"/>
    <w:rsid w:val="00EF5C39"/>
    <w:rsid w:val="00F03DB2"/>
    <w:rsid w:val="00F1401C"/>
    <w:rsid w:val="00F14651"/>
    <w:rsid w:val="00F245C4"/>
    <w:rsid w:val="00F27438"/>
    <w:rsid w:val="00F309E9"/>
    <w:rsid w:val="00F31F91"/>
    <w:rsid w:val="00F373FD"/>
    <w:rsid w:val="00F429CD"/>
    <w:rsid w:val="00F44CB0"/>
    <w:rsid w:val="00F5229C"/>
    <w:rsid w:val="00F63CFB"/>
    <w:rsid w:val="00F64BE1"/>
    <w:rsid w:val="00F672CB"/>
    <w:rsid w:val="00F70323"/>
    <w:rsid w:val="00F709AC"/>
    <w:rsid w:val="00F723B5"/>
    <w:rsid w:val="00F7485B"/>
    <w:rsid w:val="00F74D06"/>
    <w:rsid w:val="00F85C69"/>
    <w:rsid w:val="00F90CA1"/>
    <w:rsid w:val="00F91AFA"/>
    <w:rsid w:val="00F91F8B"/>
    <w:rsid w:val="00F92ADE"/>
    <w:rsid w:val="00F9328B"/>
    <w:rsid w:val="00FA1C09"/>
    <w:rsid w:val="00FA4F8D"/>
    <w:rsid w:val="00FB3970"/>
    <w:rsid w:val="00FB4116"/>
    <w:rsid w:val="00FC1331"/>
    <w:rsid w:val="00FC6C6D"/>
    <w:rsid w:val="00FC7DD2"/>
    <w:rsid w:val="00FD0A2B"/>
    <w:rsid w:val="00FD1E05"/>
    <w:rsid w:val="00FD35EB"/>
    <w:rsid w:val="00FD74EF"/>
    <w:rsid w:val="00FE1445"/>
    <w:rsid w:val="00FE2C46"/>
    <w:rsid w:val="00FE7D05"/>
    <w:rsid w:val="00FF054E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8AA"/>
    <w:pPr>
      <w:suppressAutoHyphens/>
    </w:pPr>
    <w:rPr>
      <w:rFonts w:ascii="Arial" w:hAnsi="Arial"/>
      <w:noProof/>
      <w:sz w:val="19"/>
      <w:szCs w:val="24"/>
      <w:lang w:eastAsia="ar-SA"/>
    </w:rPr>
  </w:style>
  <w:style w:type="paragraph" w:styleId="Nadpis1">
    <w:name w:val="heading 1"/>
    <w:next w:val="Nadpis2"/>
    <w:qFormat/>
    <w:rsid w:val="004808AA"/>
    <w:pPr>
      <w:keepNext/>
      <w:pageBreakBefore/>
      <w:tabs>
        <w:tab w:val="num" w:pos="0"/>
      </w:tabs>
      <w:suppressAutoHyphens/>
      <w:spacing w:after="800"/>
      <w:ind w:left="851" w:hanging="851"/>
      <w:outlineLvl w:val="0"/>
    </w:pPr>
    <w:rPr>
      <w:rFonts w:ascii="Times New Roman Bold" w:eastAsia="Arial" w:hAnsi="Times New Roman Bold" w:cs="Arial"/>
      <w:bCs/>
      <w:color w:val="002776"/>
      <w:kern w:val="1"/>
      <w:sz w:val="60"/>
      <w:szCs w:val="32"/>
      <w:lang w:val="en-US" w:eastAsia="ar-SA"/>
    </w:rPr>
  </w:style>
  <w:style w:type="paragraph" w:styleId="Nadpis2">
    <w:name w:val="heading 2"/>
    <w:basedOn w:val="Nadpis1"/>
    <w:next w:val="Nadpis3"/>
    <w:qFormat/>
    <w:rsid w:val="004808AA"/>
    <w:pPr>
      <w:pageBreakBefore w:val="0"/>
      <w:tabs>
        <w:tab w:val="clear" w:pos="0"/>
      </w:tabs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qFormat/>
    <w:rsid w:val="004808AA"/>
    <w:p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qFormat/>
    <w:rsid w:val="004808AA"/>
    <w:pPr>
      <w:keepNext/>
      <w:keepLines/>
      <w:tabs>
        <w:tab w:val="num" w:pos="0"/>
      </w:tabs>
      <w:spacing w:before="240" w:after="240"/>
      <w:ind w:left="864" w:hanging="864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qFormat/>
    <w:rsid w:val="004808AA"/>
    <w:pPr>
      <w:keepNext/>
      <w:keepLines/>
      <w:tabs>
        <w:tab w:val="num" w:pos="0"/>
      </w:tabs>
      <w:spacing w:before="240" w:after="240"/>
      <w:ind w:left="1008" w:hanging="1008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qFormat/>
    <w:rsid w:val="004808AA"/>
    <w:pPr>
      <w:keepNext/>
      <w:keepLines/>
      <w:tabs>
        <w:tab w:val="num" w:pos="0"/>
      </w:tabs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qFormat/>
    <w:rsid w:val="004808AA"/>
    <w:pPr>
      <w:keepNext/>
      <w:keepLines/>
      <w:tabs>
        <w:tab w:val="num" w:pos="0"/>
      </w:tabs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qFormat/>
    <w:rsid w:val="004808AA"/>
    <w:pPr>
      <w:keepNext/>
      <w:keepLines/>
      <w:tabs>
        <w:tab w:val="num" w:pos="0"/>
      </w:tabs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qFormat/>
    <w:rsid w:val="004808AA"/>
    <w:pPr>
      <w:keepNext/>
      <w:keepLines/>
      <w:tabs>
        <w:tab w:val="num" w:pos="0"/>
      </w:tabs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sid w:val="004808AA"/>
    <w:rPr>
      <w:rFonts w:ascii="Symbol" w:hAnsi="Symbol"/>
    </w:rPr>
  </w:style>
  <w:style w:type="character" w:customStyle="1" w:styleId="WW8Num6z0">
    <w:name w:val="WW8Num6z0"/>
    <w:rsid w:val="004808AA"/>
    <w:rPr>
      <w:rFonts w:ascii="Symbol" w:hAnsi="Symbol"/>
    </w:rPr>
  </w:style>
  <w:style w:type="character" w:customStyle="1" w:styleId="WW8Num7z0">
    <w:name w:val="WW8Num7z0"/>
    <w:rsid w:val="004808AA"/>
    <w:rPr>
      <w:rFonts w:ascii="Symbol" w:hAnsi="Symbol"/>
    </w:rPr>
  </w:style>
  <w:style w:type="character" w:customStyle="1" w:styleId="WW8Num8z0">
    <w:name w:val="WW8Num8z0"/>
    <w:rsid w:val="004808AA"/>
    <w:rPr>
      <w:rFonts w:ascii="Symbol" w:hAnsi="Symbol"/>
      <w:b w:val="0"/>
      <w:i w:val="0"/>
      <w:sz w:val="19"/>
    </w:rPr>
  </w:style>
  <w:style w:type="character" w:customStyle="1" w:styleId="WW8Num10z0">
    <w:name w:val="WW8Num10z0"/>
    <w:rsid w:val="004808AA"/>
    <w:rPr>
      <w:rFonts w:ascii="Symbol" w:hAnsi="Symbol"/>
    </w:rPr>
  </w:style>
  <w:style w:type="character" w:customStyle="1" w:styleId="WW8Num11z0">
    <w:name w:val="WW8Num11z0"/>
    <w:rsid w:val="004808AA"/>
    <w:rPr>
      <w:b/>
    </w:rPr>
  </w:style>
  <w:style w:type="character" w:customStyle="1" w:styleId="WW8Num12z0">
    <w:name w:val="WW8Num12z0"/>
    <w:rsid w:val="004808AA"/>
    <w:rPr>
      <w:b/>
    </w:rPr>
  </w:style>
  <w:style w:type="character" w:customStyle="1" w:styleId="WW8Num13z0">
    <w:name w:val="WW8Num13z0"/>
    <w:rsid w:val="004808AA"/>
    <w:rPr>
      <w:rFonts w:ascii="Arial" w:hAnsi="Arial"/>
      <w:b/>
      <w:i w:val="0"/>
      <w:sz w:val="19"/>
    </w:rPr>
  </w:style>
  <w:style w:type="character" w:customStyle="1" w:styleId="WW8Num13z1">
    <w:name w:val="WW8Num13z1"/>
    <w:rsid w:val="004808AA"/>
    <w:rPr>
      <w:rFonts w:ascii="Arial" w:hAnsi="Arial"/>
      <w:b w:val="0"/>
      <w:i w:val="0"/>
      <w:sz w:val="19"/>
    </w:rPr>
  </w:style>
  <w:style w:type="character" w:customStyle="1" w:styleId="WW8Num13z4">
    <w:name w:val="WW8Num13z4"/>
    <w:rsid w:val="004808AA"/>
    <w:rPr>
      <w:rFonts w:ascii="Arial" w:hAnsi="Arial"/>
      <w:b w:val="0"/>
      <w:i/>
      <w:sz w:val="19"/>
    </w:rPr>
  </w:style>
  <w:style w:type="character" w:customStyle="1" w:styleId="WW8Num14z0">
    <w:name w:val="WW8Num14z0"/>
    <w:rsid w:val="004808AA"/>
    <w:rPr>
      <w:rFonts w:ascii="Symbol" w:hAnsi="Symbol"/>
    </w:rPr>
  </w:style>
  <w:style w:type="character" w:customStyle="1" w:styleId="WW8Num14z1">
    <w:name w:val="WW8Num14z1"/>
    <w:rsid w:val="004808AA"/>
    <w:rPr>
      <w:rFonts w:ascii="Courier New" w:hAnsi="Courier New" w:cs="Courier New"/>
    </w:rPr>
  </w:style>
  <w:style w:type="character" w:customStyle="1" w:styleId="WW8Num14z2">
    <w:name w:val="WW8Num14z2"/>
    <w:rsid w:val="004808AA"/>
    <w:rPr>
      <w:rFonts w:ascii="Wingdings" w:hAnsi="Wingdings"/>
    </w:rPr>
  </w:style>
  <w:style w:type="character" w:customStyle="1" w:styleId="WW8Num15z0">
    <w:name w:val="WW8Num15z0"/>
    <w:rsid w:val="004808AA"/>
    <w:rPr>
      <w:rFonts w:ascii="Wingdings" w:hAnsi="Wingdings"/>
      <w:color w:val="000080"/>
    </w:rPr>
  </w:style>
  <w:style w:type="character" w:customStyle="1" w:styleId="WW8Num15z1">
    <w:name w:val="WW8Num15z1"/>
    <w:rsid w:val="004808AA"/>
    <w:rPr>
      <w:rFonts w:ascii="Courier New" w:hAnsi="Courier New" w:cs="Courier New"/>
    </w:rPr>
  </w:style>
  <w:style w:type="character" w:customStyle="1" w:styleId="WW8Num15z2">
    <w:name w:val="WW8Num15z2"/>
    <w:rsid w:val="004808AA"/>
    <w:rPr>
      <w:rFonts w:ascii="Wingdings" w:hAnsi="Wingdings"/>
    </w:rPr>
  </w:style>
  <w:style w:type="character" w:customStyle="1" w:styleId="WW8Num15z3">
    <w:name w:val="WW8Num15z3"/>
    <w:rsid w:val="004808AA"/>
    <w:rPr>
      <w:rFonts w:ascii="Symbol" w:hAnsi="Symbol"/>
    </w:rPr>
  </w:style>
  <w:style w:type="character" w:customStyle="1" w:styleId="WW8Num16z0">
    <w:name w:val="WW8Num16z0"/>
    <w:rsid w:val="004808AA"/>
    <w:rPr>
      <w:rFonts w:ascii="Arial" w:hAnsi="Arial"/>
      <w:b/>
      <w:i w:val="0"/>
      <w:sz w:val="19"/>
    </w:rPr>
  </w:style>
  <w:style w:type="character" w:customStyle="1" w:styleId="WW8Num16z1">
    <w:name w:val="WW8Num16z1"/>
    <w:rsid w:val="004808AA"/>
    <w:rPr>
      <w:rFonts w:ascii="Arial" w:hAnsi="Arial"/>
      <w:b w:val="0"/>
      <w:i w:val="0"/>
      <w:sz w:val="19"/>
    </w:rPr>
  </w:style>
  <w:style w:type="character" w:customStyle="1" w:styleId="WW8Num16z4">
    <w:name w:val="WW8Num16z4"/>
    <w:rsid w:val="004808AA"/>
    <w:rPr>
      <w:rFonts w:ascii="Arial" w:hAnsi="Arial"/>
      <w:b w:val="0"/>
      <w:i/>
      <w:sz w:val="19"/>
    </w:rPr>
  </w:style>
  <w:style w:type="character" w:customStyle="1" w:styleId="WW8Num17z0">
    <w:name w:val="WW8Num17z0"/>
    <w:rsid w:val="004808AA"/>
    <w:rPr>
      <w:rFonts w:ascii="Arial" w:hAnsi="Arial"/>
      <w:b/>
      <w:i w:val="0"/>
      <w:sz w:val="19"/>
    </w:rPr>
  </w:style>
  <w:style w:type="character" w:customStyle="1" w:styleId="WW8Num17z1">
    <w:name w:val="WW8Num17z1"/>
    <w:rsid w:val="004808AA"/>
    <w:rPr>
      <w:rFonts w:ascii="Arial" w:hAnsi="Arial"/>
      <w:b w:val="0"/>
      <w:i w:val="0"/>
      <w:sz w:val="19"/>
    </w:rPr>
  </w:style>
  <w:style w:type="character" w:customStyle="1" w:styleId="WW8Num17z4">
    <w:name w:val="WW8Num17z4"/>
    <w:rsid w:val="004808AA"/>
    <w:rPr>
      <w:rFonts w:ascii="Arial" w:hAnsi="Arial"/>
      <w:b w:val="0"/>
      <w:i/>
      <w:sz w:val="19"/>
    </w:rPr>
  </w:style>
  <w:style w:type="character" w:customStyle="1" w:styleId="WW8Num19z0">
    <w:name w:val="WW8Num19z0"/>
    <w:rsid w:val="004808AA"/>
    <w:rPr>
      <w:rFonts w:ascii="Symbol" w:hAnsi="Symbol"/>
    </w:rPr>
  </w:style>
  <w:style w:type="character" w:customStyle="1" w:styleId="WW8Num19z1">
    <w:name w:val="WW8Num19z1"/>
    <w:rsid w:val="004808AA"/>
    <w:rPr>
      <w:rFonts w:ascii="Courier New" w:hAnsi="Courier New" w:cs="Courier New"/>
    </w:rPr>
  </w:style>
  <w:style w:type="character" w:customStyle="1" w:styleId="WW8Num19z2">
    <w:name w:val="WW8Num19z2"/>
    <w:rsid w:val="004808AA"/>
    <w:rPr>
      <w:rFonts w:ascii="Wingdings" w:hAnsi="Wingdings"/>
    </w:rPr>
  </w:style>
  <w:style w:type="character" w:customStyle="1" w:styleId="WW8Num21z0">
    <w:name w:val="WW8Num21z0"/>
    <w:rsid w:val="004808AA"/>
    <w:rPr>
      <w:rFonts w:ascii="Arial" w:hAnsi="Arial"/>
      <w:b/>
      <w:i w:val="0"/>
      <w:sz w:val="19"/>
    </w:rPr>
  </w:style>
  <w:style w:type="character" w:customStyle="1" w:styleId="WW8Num21z1">
    <w:name w:val="WW8Num21z1"/>
    <w:rsid w:val="004808AA"/>
    <w:rPr>
      <w:rFonts w:ascii="Arial" w:hAnsi="Arial"/>
      <w:b w:val="0"/>
      <w:i w:val="0"/>
      <w:sz w:val="19"/>
    </w:rPr>
  </w:style>
  <w:style w:type="character" w:customStyle="1" w:styleId="WW8Num21z4">
    <w:name w:val="WW8Num21z4"/>
    <w:rsid w:val="004808AA"/>
    <w:rPr>
      <w:rFonts w:ascii="Arial" w:hAnsi="Arial"/>
      <w:b w:val="0"/>
      <w:i/>
      <w:sz w:val="19"/>
    </w:rPr>
  </w:style>
  <w:style w:type="character" w:customStyle="1" w:styleId="WW8Num23z0">
    <w:name w:val="WW8Num23z0"/>
    <w:rsid w:val="004808AA"/>
    <w:rPr>
      <w:rFonts w:ascii="Arial" w:hAnsi="Arial"/>
      <w:b/>
      <w:i w:val="0"/>
      <w:sz w:val="19"/>
    </w:rPr>
  </w:style>
  <w:style w:type="character" w:customStyle="1" w:styleId="WW8Num23z1">
    <w:name w:val="WW8Num23z1"/>
    <w:rsid w:val="004808AA"/>
    <w:rPr>
      <w:rFonts w:ascii="Arial" w:hAnsi="Arial"/>
      <w:b w:val="0"/>
      <w:i w:val="0"/>
      <w:sz w:val="19"/>
    </w:rPr>
  </w:style>
  <w:style w:type="character" w:customStyle="1" w:styleId="WW8Num23z4">
    <w:name w:val="WW8Num23z4"/>
    <w:rsid w:val="004808AA"/>
    <w:rPr>
      <w:rFonts w:ascii="Arial" w:hAnsi="Arial"/>
      <w:b w:val="0"/>
      <w:i/>
      <w:sz w:val="19"/>
    </w:rPr>
  </w:style>
  <w:style w:type="character" w:customStyle="1" w:styleId="WW8Num24z0">
    <w:name w:val="WW8Num24z0"/>
    <w:rsid w:val="004808AA"/>
    <w:rPr>
      <w:rFonts w:ascii="Times New Roman" w:hAnsi="Times New Roman"/>
      <w:b w:val="0"/>
      <w:i w:val="0"/>
      <w:color w:val="002776"/>
      <w:sz w:val="60"/>
      <w:szCs w:val="32"/>
    </w:rPr>
  </w:style>
  <w:style w:type="character" w:customStyle="1" w:styleId="WW8Num24z1">
    <w:name w:val="WW8Num24z1"/>
    <w:rsid w:val="004808AA"/>
    <w:rPr>
      <w:rFonts w:ascii="Times New Roman Bold" w:hAnsi="Times New Roman Bold"/>
      <w:b/>
      <w:i w:val="0"/>
      <w:color w:val="000066"/>
      <w:sz w:val="24"/>
      <w:szCs w:val="24"/>
    </w:rPr>
  </w:style>
  <w:style w:type="character" w:customStyle="1" w:styleId="WW8Num25z0">
    <w:name w:val="WW8Num25z0"/>
    <w:rsid w:val="004808AA"/>
    <w:rPr>
      <w:rFonts w:ascii="Arial" w:hAnsi="Arial"/>
      <w:b/>
      <w:i w:val="0"/>
      <w:sz w:val="19"/>
    </w:rPr>
  </w:style>
  <w:style w:type="character" w:customStyle="1" w:styleId="WW8Num25z1">
    <w:name w:val="WW8Num25z1"/>
    <w:rsid w:val="004808AA"/>
    <w:rPr>
      <w:rFonts w:ascii="Arial" w:hAnsi="Arial"/>
      <w:b w:val="0"/>
      <w:i w:val="0"/>
      <w:sz w:val="19"/>
    </w:rPr>
  </w:style>
  <w:style w:type="character" w:customStyle="1" w:styleId="WW8Num25z4">
    <w:name w:val="WW8Num25z4"/>
    <w:rsid w:val="004808AA"/>
    <w:rPr>
      <w:rFonts w:ascii="Arial" w:hAnsi="Arial"/>
      <w:b w:val="0"/>
      <w:i/>
      <w:sz w:val="19"/>
    </w:rPr>
  </w:style>
  <w:style w:type="character" w:customStyle="1" w:styleId="WW8Num26z0">
    <w:name w:val="WW8Num26z0"/>
    <w:rsid w:val="004808AA"/>
    <w:rPr>
      <w:rFonts w:ascii="Arial" w:hAnsi="Arial"/>
      <w:b/>
      <w:i w:val="0"/>
      <w:sz w:val="19"/>
    </w:rPr>
  </w:style>
  <w:style w:type="character" w:customStyle="1" w:styleId="WW8Num26z1">
    <w:name w:val="WW8Num26z1"/>
    <w:rsid w:val="004808AA"/>
    <w:rPr>
      <w:rFonts w:ascii="Arial" w:hAnsi="Arial"/>
      <w:b w:val="0"/>
      <w:i w:val="0"/>
      <w:sz w:val="19"/>
    </w:rPr>
  </w:style>
  <w:style w:type="character" w:customStyle="1" w:styleId="WW8Num26z4">
    <w:name w:val="WW8Num26z4"/>
    <w:rsid w:val="004808AA"/>
    <w:rPr>
      <w:rFonts w:ascii="Arial" w:hAnsi="Arial"/>
      <w:b w:val="0"/>
      <w:i/>
      <w:sz w:val="19"/>
    </w:rPr>
  </w:style>
  <w:style w:type="character" w:customStyle="1" w:styleId="WW8Num27z0">
    <w:name w:val="WW8Num27z0"/>
    <w:rsid w:val="004808AA"/>
    <w:rPr>
      <w:rFonts w:ascii="Arial" w:hAnsi="Arial"/>
      <w:b/>
      <w:i w:val="0"/>
      <w:sz w:val="19"/>
    </w:rPr>
  </w:style>
  <w:style w:type="character" w:customStyle="1" w:styleId="WW8Num27z1">
    <w:name w:val="WW8Num27z1"/>
    <w:rsid w:val="004808AA"/>
    <w:rPr>
      <w:rFonts w:ascii="Arial" w:hAnsi="Arial"/>
      <w:b w:val="0"/>
      <w:i w:val="0"/>
      <w:sz w:val="19"/>
    </w:rPr>
  </w:style>
  <w:style w:type="character" w:customStyle="1" w:styleId="WW8Num27z4">
    <w:name w:val="WW8Num27z4"/>
    <w:rsid w:val="004808AA"/>
    <w:rPr>
      <w:rFonts w:ascii="Arial" w:hAnsi="Arial"/>
      <w:b w:val="0"/>
      <w:i/>
      <w:sz w:val="19"/>
    </w:rPr>
  </w:style>
  <w:style w:type="character" w:customStyle="1" w:styleId="WW8Num28z0">
    <w:name w:val="WW8Num28z0"/>
    <w:rsid w:val="004808AA"/>
    <w:rPr>
      <w:rFonts w:ascii="Times New Roman" w:hAnsi="Times New Roman"/>
      <w:b w:val="0"/>
      <w:i w:val="0"/>
      <w:color w:val="002776"/>
      <w:sz w:val="60"/>
    </w:rPr>
  </w:style>
  <w:style w:type="character" w:customStyle="1" w:styleId="WW8Num28z1">
    <w:name w:val="WW8Num28z1"/>
    <w:rsid w:val="004808AA"/>
    <w:rPr>
      <w:rFonts w:ascii="Arial" w:hAnsi="Arial"/>
      <w:b/>
      <w:i w:val="0"/>
      <w:color w:val="92D400"/>
      <w:sz w:val="24"/>
    </w:rPr>
  </w:style>
  <w:style w:type="character" w:customStyle="1" w:styleId="WW8Num28z2">
    <w:name w:val="WW8Num28z2"/>
    <w:rsid w:val="004808AA"/>
    <w:rPr>
      <w:rFonts w:ascii="Arial" w:hAnsi="Arial"/>
      <w:b/>
      <w:i w:val="0"/>
      <w:color w:val="3C8A2E"/>
      <w:sz w:val="24"/>
    </w:rPr>
  </w:style>
  <w:style w:type="character" w:customStyle="1" w:styleId="WW8Num28z3">
    <w:name w:val="WW8Num28z3"/>
    <w:rsid w:val="004808AA"/>
    <w:rPr>
      <w:rFonts w:ascii="Arial" w:hAnsi="Arial"/>
      <w:b/>
      <w:i w:val="0"/>
      <w:color w:val="auto"/>
      <w:sz w:val="24"/>
    </w:rPr>
  </w:style>
  <w:style w:type="character" w:customStyle="1" w:styleId="WW8Num28z4">
    <w:name w:val="WW8Num28z4"/>
    <w:rsid w:val="004808AA"/>
    <w:rPr>
      <w:rFonts w:ascii="Arial" w:hAnsi="Arial"/>
      <w:b/>
      <w:i/>
      <w:color w:val="000000"/>
      <w:sz w:val="24"/>
    </w:rPr>
  </w:style>
  <w:style w:type="character" w:customStyle="1" w:styleId="WW8Num28z5">
    <w:name w:val="WW8Num28z5"/>
    <w:rsid w:val="004808AA"/>
    <w:rPr>
      <w:rFonts w:ascii="Arial" w:hAnsi="Arial"/>
      <w:b w:val="0"/>
      <w:i/>
      <w:color w:val="auto"/>
      <w:sz w:val="24"/>
    </w:rPr>
  </w:style>
  <w:style w:type="character" w:customStyle="1" w:styleId="WW8Num29z0">
    <w:name w:val="WW8Num29z0"/>
    <w:rsid w:val="004808AA"/>
    <w:rPr>
      <w:rFonts w:ascii="Symbol" w:hAnsi="Symbol"/>
    </w:rPr>
  </w:style>
  <w:style w:type="character" w:customStyle="1" w:styleId="WW8Num29z1">
    <w:name w:val="WW8Num29z1"/>
    <w:rsid w:val="004808AA"/>
    <w:rPr>
      <w:rFonts w:ascii="Courier New" w:hAnsi="Courier New" w:cs="Courier New"/>
    </w:rPr>
  </w:style>
  <w:style w:type="character" w:customStyle="1" w:styleId="WW8Num29z2">
    <w:name w:val="WW8Num29z2"/>
    <w:rsid w:val="004808AA"/>
    <w:rPr>
      <w:rFonts w:ascii="Wingdings" w:hAnsi="Wingdings"/>
    </w:rPr>
  </w:style>
  <w:style w:type="character" w:customStyle="1" w:styleId="WW8Num30z0">
    <w:name w:val="WW8Num30z0"/>
    <w:rsid w:val="004808AA"/>
    <w:rPr>
      <w:rFonts w:ascii="Arial" w:hAnsi="Arial"/>
      <w:b/>
      <w:i w:val="0"/>
      <w:sz w:val="19"/>
    </w:rPr>
  </w:style>
  <w:style w:type="character" w:customStyle="1" w:styleId="WW8Num30z1">
    <w:name w:val="WW8Num30z1"/>
    <w:rsid w:val="004808AA"/>
    <w:rPr>
      <w:rFonts w:ascii="Arial" w:hAnsi="Arial"/>
      <w:b w:val="0"/>
      <w:i w:val="0"/>
      <w:sz w:val="19"/>
    </w:rPr>
  </w:style>
  <w:style w:type="character" w:customStyle="1" w:styleId="WW8Num30z4">
    <w:name w:val="WW8Num30z4"/>
    <w:rsid w:val="004808AA"/>
    <w:rPr>
      <w:rFonts w:ascii="Arial" w:hAnsi="Arial"/>
      <w:b w:val="0"/>
      <w:i/>
      <w:sz w:val="19"/>
    </w:rPr>
  </w:style>
  <w:style w:type="character" w:customStyle="1" w:styleId="WW8Num31z0">
    <w:name w:val="WW8Num31z0"/>
    <w:rsid w:val="004808AA"/>
    <w:rPr>
      <w:rFonts w:ascii="Arial" w:hAnsi="Arial"/>
      <w:b/>
      <w:i w:val="0"/>
      <w:sz w:val="19"/>
    </w:rPr>
  </w:style>
  <w:style w:type="character" w:customStyle="1" w:styleId="WW8Num31z1">
    <w:name w:val="WW8Num31z1"/>
    <w:rsid w:val="004808AA"/>
    <w:rPr>
      <w:rFonts w:ascii="Arial" w:hAnsi="Arial"/>
      <w:b w:val="0"/>
      <w:i w:val="0"/>
      <w:sz w:val="19"/>
    </w:rPr>
  </w:style>
  <w:style w:type="character" w:customStyle="1" w:styleId="WW8Num31z4">
    <w:name w:val="WW8Num31z4"/>
    <w:rsid w:val="004808AA"/>
    <w:rPr>
      <w:rFonts w:ascii="Arial" w:hAnsi="Arial"/>
      <w:b w:val="0"/>
      <w:i/>
      <w:sz w:val="19"/>
    </w:rPr>
  </w:style>
  <w:style w:type="character" w:customStyle="1" w:styleId="WW8Num32z0">
    <w:name w:val="WW8Num32z0"/>
    <w:rsid w:val="004808AA"/>
    <w:rPr>
      <w:rFonts w:ascii="Arial" w:hAnsi="Arial"/>
      <w:b/>
      <w:i w:val="0"/>
      <w:sz w:val="19"/>
    </w:rPr>
  </w:style>
  <w:style w:type="character" w:customStyle="1" w:styleId="WW8Num32z1">
    <w:name w:val="WW8Num32z1"/>
    <w:rsid w:val="004808AA"/>
    <w:rPr>
      <w:rFonts w:ascii="Arial" w:hAnsi="Arial"/>
      <w:b w:val="0"/>
      <w:i w:val="0"/>
      <w:sz w:val="19"/>
    </w:rPr>
  </w:style>
  <w:style w:type="character" w:customStyle="1" w:styleId="WW8Num32z4">
    <w:name w:val="WW8Num32z4"/>
    <w:rsid w:val="004808AA"/>
    <w:rPr>
      <w:rFonts w:ascii="Arial" w:hAnsi="Arial"/>
      <w:b w:val="0"/>
      <w:i/>
      <w:sz w:val="19"/>
    </w:rPr>
  </w:style>
  <w:style w:type="character" w:customStyle="1" w:styleId="WW8Num33z0">
    <w:name w:val="WW8Num33z0"/>
    <w:rsid w:val="004808AA"/>
    <w:rPr>
      <w:rFonts w:ascii="Arial" w:hAnsi="Arial"/>
      <w:b/>
      <w:i w:val="0"/>
      <w:sz w:val="19"/>
    </w:rPr>
  </w:style>
  <w:style w:type="character" w:customStyle="1" w:styleId="WW8Num33z1">
    <w:name w:val="WW8Num33z1"/>
    <w:rsid w:val="004808AA"/>
    <w:rPr>
      <w:rFonts w:ascii="Arial" w:hAnsi="Arial"/>
      <w:b w:val="0"/>
      <w:i w:val="0"/>
      <w:sz w:val="19"/>
    </w:rPr>
  </w:style>
  <w:style w:type="character" w:customStyle="1" w:styleId="WW8Num33z4">
    <w:name w:val="WW8Num33z4"/>
    <w:rsid w:val="004808AA"/>
    <w:rPr>
      <w:rFonts w:ascii="Arial" w:hAnsi="Arial"/>
      <w:b w:val="0"/>
      <w:i/>
      <w:sz w:val="19"/>
    </w:rPr>
  </w:style>
  <w:style w:type="character" w:customStyle="1" w:styleId="WW8Num34z0">
    <w:name w:val="WW8Num34z0"/>
    <w:rsid w:val="004808AA"/>
    <w:rPr>
      <w:rFonts w:ascii="Symbol" w:hAnsi="Symbol"/>
      <w:b w:val="0"/>
      <w:i w:val="0"/>
      <w:sz w:val="19"/>
    </w:rPr>
  </w:style>
  <w:style w:type="character" w:customStyle="1" w:styleId="WW8Num34z1">
    <w:name w:val="WW8Num34z1"/>
    <w:rsid w:val="004808AA"/>
    <w:rPr>
      <w:rFonts w:ascii="Courier New" w:hAnsi="Courier New" w:cs="Courier New"/>
    </w:rPr>
  </w:style>
  <w:style w:type="character" w:customStyle="1" w:styleId="WW8Num34z2">
    <w:name w:val="WW8Num34z2"/>
    <w:rsid w:val="004808AA"/>
    <w:rPr>
      <w:rFonts w:ascii="Wingdings" w:hAnsi="Wingdings"/>
    </w:rPr>
  </w:style>
  <w:style w:type="character" w:customStyle="1" w:styleId="WW8Num34z3">
    <w:name w:val="WW8Num34z3"/>
    <w:rsid w:val="004808AA"/>
    <w:rPr>
      <w:rFonts w:ascii="Symbol" w:hAnsi="Symbol"/>
    </w:rPr>
  </w:style>
  <w:style w:type="character" w:customStyle="1" w:styleId="WW8Num36z0">
    <w:name w:val="WW8Num36z0"/>
    <w:rsid w:val="004808AA"/>
    <w:rPr>
      <w:rFonts w:ascii="Arial" w:hAnsi="Arial"/>
      <w:b/>
      <w:i w:val="0"/>
      <w:sz w:val="19"/>
    </w:rPr>
  </w:style>
  <w:style w:type="character" w:customStyle="1" w:styleId="WW8Num36z1">
    <w:name w:val="WW8Num36z1"/>
    <w:rsid w:val="004808AA"/>
    <w:rPr>
      <w:rFonts w:ascii="Arial" w:hAnsi="Arial"/>
      <w:b w:val="0"/>
      <w:i w:val="0"/>
      <w:sz w:val="19"/>
    </w:rPr>
  </w:style>
  <w:style w:type="character" w:customStyle="1" w:styleId="WW8Num36z4">
    <w:name w:val="WW8Num36z4"/>
    <w:rsid w:val="004808AA"/>
    <w:rPr>
      <w:rFonts w:ascii="Arial" w:hAnsi="Arial"/>
      <w:b w:val="0"/>
      <w:i/>
      <w:sz w:val="19"/>
    </w:rPr>
  </w:style>
  <w:style w:type="character" w:styleId="slostrnky">
    <w:name w:val="page number"/>
    <w:semiHidden/>
    <w:rsid w:val="004808AA"/>
    <w:rPr>
      <w:rFonts w:ascii="Arial" w:hAnsi="Arial"/>
      <w:sz w:val="16"/>
    </w:rPr>
  </w:style>
  <w:style w:type="character" w:styleId="Hypertextovodkaz">
    <w:name w:val="Hyperlink"/>
    <w:semiHidden/>
    <w:rsid w:val="004808AA"/>
    <w:rPr>
      <w:rFonts w:ascii="Arial" w:hAnsi="Arial"/>
      <w:color w:val="00A1DE"/>
      <w:sz w:val="16"/>
      <w:u w:val="single"/>
    </w:rPr>
  </w:style>
  <w:style w:type="character" w:customStyle="1" w:styleId="HeaderChar">
    <w:name w:val="Header Char"/>
    <w:rsid w:val="004808AA"/>
    <w:rPr>
      <w:rFonts w:ascii="Arial" w:hAnsi="Arial"/>
      <w:sz w:val="16"/>
      <w:szCs w:val="24"/>
    </w:rPr>
  </w:style>
  <w:style w:type="character" w:customStyle="1" w:styleId="FooterChar">
    <w:name w:val="Footer Char"/>
    <w:rsid w:val="004808AA"/>
    <w:rPr>
      <w:sz w:val="24"/>
      <w:szCs w:val="24"/>
    </w:rPr>
  </w:style>
  <w:style w:type="character" w:customStyle="1" w:styleId="CaptionbodyChar">
    <w:name w:val="Caption body Char"/>
    <w:rsid w:val="004808AA"/>
    <w:rPr>
      <w:rFonts w:ascii="Arial" w:hAnsi="Arial"/>
      <w:color w:val="000000"/>
      <w:sz w:val="18"/>
      <w:lang w:val="en-US" w:eastAsia="ar-SA" w:bidi="ar-SA"/>
    </w:rPr>
  </w:style>
  <w:style w:type="character" w:customStyle="1" w:styleId="Bulletslevel1Char">
    <w:name w:val="Bullets level 1 Char"/>
    <w:rsid w:val="004808AA"/>
    <w:rPr>
      <w:rFonts w:ascii="Arial" w:eastAsia="Times" w:hAnsi="Arial"/>
      <w:color w:val="000000"/>
      <w:sz w:val="19"/>
      <w:lang w:val="en-GB"/>
    </w:rPr>
  </w:style>
  <w:style w:type="character" w:customStyle="1" w:styleId="Bulletslevel2Char">
    <w:name w:val="Bullets level 2 Char"/>
    <w:basedOn w:val="Bulletslevel1Char"/>
    <w:rsid w:val="004808AA"/>
  </w:style>
  <w:style w:type="character" w:customStyle="1" w:styleId="Heading4Char">
    <w:name w:val="Heading 4 Char"/>
    <w:rsid w:val="004808A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Heading5Char">
    <w:name w:val="Heading 5 Char"/>
    <w:rsid w:val="004808A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Heading6Char">
    <w:name w:val="Heading 6 Char"/>
    <w:rsid w:val="004808A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Heading7Char">
    <w:name w:val="Heading 7 Char"/>
    <w:rsid w:val="004808AA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Heading8Char">
    <w:name w:val="Heading 8 Char"/>
    <w:rsid w:val="004808AA"/>
    <w:rPr>
      <w:rFonts w:ascii="Arial" w:eastAsia="Times New Roman" w:hAnsi="Arial" w:cs="Times New Roman"/>
      <w:i/>
      <w:color w:val="404040"/>
    </w:rPr>
  </w:style>
  <w:style w:type="character" w:customStyle="1" w:styleId="Heading9Char">
    <w:name w:val="Heading 9 Char"/>
    <w:rsid w:val="004808AA"/>
    <w:rPr>
      <w:rFonts w:ascii="Arial" w:eastAsia="Times New Roman" w:hAnsi="Arial" w:cs="Times New Roman"/>
      <w:i/>
      <w:iCs/>
      <w:color w:val="404040"/>
      <w:sz w:val="18"/>
    </w:rPr>
  </w:style>
  <w:style w:type="character" w:customStyle="1" w:styleId="FootnoteCharacters">
    <w:name w:val="Footnote Characters"/>
    <w:rsid w:val="004808AA"/>
    <w:rPr>
      <w:rFonts w:ascii="Arial" w:hAnsi="Arial"/>
      <w:sz w:val="16"/>
      <w:vertAlign w:val="superscript"/>
    </w:rPr>
  </w:style>
  <w:style w:type="character" w:customStyle="1" w:styleId="FootnoteTextChar">
    <w:name w:val="Footnote Text Char"/>
    <w:rsid w:val="004808AA"/>
    <w:rPr>
      <w:rFonts w:ascii="Arial" w:hAnsi="Arial"/>
      <w:sz w:val="16"/>
    </w:rPr>
  </w:style>
  <w:style w:type="character" w:customStyle="1" w:styleId="BodyTextIndentChar">
    <w:name w:val="Body Text Indent Char"/>
    <w:rsid w:val="004808AA"/>
    <w:rPr>
      <w:rFonts w:ascii="Arial" w:hAnsi="Arial"/>
      <w:bCs/>
      <w:szCs w:val="24"/>
      <w:lang w:val="cs-CZ"/>
    </w:rPr>
  </w:style>
  <w:style w:type="character" w:styleId="Odkaznakoment">
    <w:name w:val="annotation reference"/>
    <w:uiPriority w:val="99"/>
    <w:semiHidden/>
    <w:rsid w:val="004808AA"/>
    <w:rPr>
      <w:sz w:val="16"/>
      <w:szCs w:val="16"/>
    </w:rPr>
  </w:style>
  <w:style w:type="character" w:customStyle="1" w:styleId="CommentTextChar">
    <w:name w:val="Comment Text Char"/>
    <w:rsid w:val="004808AA"/>
    <w:rPr>
      <w:rFonts w:ascii="Arial" w:hAnsi="Arial"/>
    </w:rPr>
  </w:style>
  <w:style w:type="character" w:customStyle="1" w:styleId="CommentSubjectChar">
    <w:name w:val="Comment Subject Char"/>
    <w:rsid w:val="004808AA"/>
    <w:rPr>
      <w:rFonts w:ascii="Arial" w:hAnsi="Arial"/>
      <w:b/>
      <w:bCs/>
    </w:rPr>
  </w:style>
  <w:style w:type="character" w:customStyle="1" w:styleId="PlainTextChar">
    <w:name w:val="Plain Text Char"/>
    <w:rsid w:val="004808AA"/>
    <w:rPr>
      <w:rFonts w:ascii="Arial" w:hAnsi="Arial"/>
      <w:color w:val="000000"/>
      <w:szCs w:val="21"/>
    </w:rPr>
  </w:style>
  <w:style w:type="paragraph" w:customStyle="1" w:styleId="Heading">
    <w:name w:val="Heading"/>
    <w:basedOn w:val="Normln"/>
    <w:next w:val="Zkladntext"/>
    <w:rsid w:val="004808AA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Zkladntext">
    <w:name w:val="Body Text"/>
    <w:basedOn w:val="Normln"/>
    <w:semiHidden/>
    <w:rsid w:val="004808AA"/>
    <w:pPr>
      <w:spacing w:after="120"/>
    </w:pPr>
  </w:style>
  <w:style w:type="paragraph" w:styleId="Seznam">
    <w:name w:val="List"/>
    <w:basedOn w:val="Zkladntext"/>
    <w:semiHidden/>
    <w:rsid w:val="004808AA"/>
    <w:rPr>
      <w:rFonts w:cs="Tahoma"/>
    </w:rPr>
  </w:style>
  <w:style w:type="paragraph" w:customStyle="1" w:styleId="Caption">
    <w:name w:val="Caption"/>
    <w:basedOn w:val="Normln"/>
    <w:rsid w:val="004808A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4808AA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4808AA"/>
    <w:rPr>
      <w:sz w:val="16"/>
    </w:rPr>
  </w:style>
  <w:style w:type="paragraph" w:styleId="Zpat">
    <w:name w:val="footer"/>
    <w:basedOn w:val="Normln"/>
    <w:semiHidden/>
    <w:rsid w:val="004808AA"/>
  </w:style>
  <w:style w:type="paragraph" w:styleId="Obsah1">
    <w:name w:val="toc 1"/>
    <w:basedOn w:val="Normln"/>
    <w:next w:val="Normln"/>
    <w:semiHidden/>
    <w:rsid w:val="004808AA"/>
    <w:pPr>
      <w:spacing w:after="240"/>
    </w:pPr>
    <w:rPr>
      <w:sz w:val="24"/>
    </w:rPr>
  </w:style>
  <w:style w:type="paragraph" w:styleId="Obsah2">
    <w:name w:val="toc 2"/>
    <w:basedOn w:val="Normln"/>
    <w:next w:val="Normln"/>
    <w:semiHidden/>
    <w:rsid w:val="004808AA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semiHidden/>
    <w:rsid w:val="004808AA"/>
    <w:pPr>
      <w:spacing w:after="240"/>
      <w:ind w:left="482"/>
    </w:pPr>
    <w:rPr>
      <w:sz w:val="24"/>
    </w:rPr>
  </w:style>
  <w:style w:type="paragraph" w:customStyle="1" w:styleId="Textbubliny1">
    <w:name w:val="Text bubliny1"/>
    <w:basedOn w:val="Normln"/>
    <w:rsid w:val="004808AA"/>
    <w:rPr>
      <w:rFonts w:ascii="Tahoma" w:hAnsi="Tahoma" w:cs="Tahoma"/>
      <w:sz w:val="16"/>
      <w:szCs w:val="16"/>
    </w:rPr>
  </w:style>
  <w:style w:type="paragraph" w:customStyle="1" w:styleId="Bodytext">
    <w:name w:val="Body text"/>
    <w:rsid w:val="004808AA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Legalentity">
    <w:name w:val="Legal entity"/>
    <w:basedOn w:val="Normln"/>
    <w:rsid w:val="004808AA"/>
    <w:pPr>
      <w:widowControl w:val="0"/>
      <w:autoSpaceDE w:val="0"/>
      <w:spacing w:after="90" w:line="180" w:lineRule="atLeast"/>
      <w:textAlignment w:val="center"/>
    </w:pPr>
    <w:rPr>
      <w:color w:val="000000"/>
      <w:sz w:val="15"/>
      <w:szCs w:val="20"/>
      <w:lang w:val="en-GB"/>
    </w:rPr>
  </w:style>
  <w:style w:type="paragraph" w:customStyle="1" w:styleId="smlouvaheading1">
    <w:name w:val="smlouva heading 1"/>
    <w:next w:val="Bodytext"/>
    <w:rsid w:val="004808AA"/>
    <w:pPr>
      <w:tabs>
        <w:tab w:val="num" w:pos="0"/>
        <w:tab w:val="left" w:pos="873"/>
      </w:tabs>
      <w:suppressAutoHyphens/>
      <w:spacing w:before="120" w:after="120"/>
      <w:ind w:left="360" w:hanging="360"/>
    </w:pPr>
    <w:rPr>
      <w:rFonts w:ascii="Arial" w:eastAsia="Arial" w:hAnsi="Arial"/>
      <w:b/>
      <w:color w:val="000000"/>
      <w:sz w:val="19"/>
      <w:szCs w:val="24"/>
      <w:lang w:eastAsia="ar-SA"/>
    </w:rPr>
  </w:style>
  <w:style w:type="paragraph" w:customStyle="1" w:styleId="CaptionIntroductionparagraph">
    <w:name w:val="Caption Introduction paragraph"/>
    <w:rsid w:val="004808AA"/>
    <w:pPr>
      <w:suppressAutoHyphens/>
    </w:pPr>
    <w:rPr>
      <w:rFonts w:ascii="Arial" w:eastAsia="Arial" w:hAnsi="Arial"/>
      <w:b/>
      <w:color w:val="00A1DE"/>
      <w:sz w:val="24"/>
      <w:szCs w:val="22"/>
      <w:lang w:eastAsia="ar-SA"/>
    </w:rPr>
  </w:style>
  <w:style w:type="paragraph" w:customStyle="1" w:styleId="smlouvaheading2">
    <w:name w:val="smlouva heading 2"/>
    <w:basedOn w:val="CaptionIntroductionparagraph"/>
    <w:next w:val="Bodytext"/>
    <w:rsid w:val="004808AA"/>
    <w:pPr>
      <w:tabs>
        <w:tab w:val="num" w:pos="0"/>
      </w:tabs>
      <w:ind w:left="360" w:hanging="360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"/>
    <w:rsid w:val="004808AA"/>
  </w:style>
  <w:style w:type="paragraph" w:customStyle="1" w:styleId="smlouvaheading4">
    <w:name w:val="smlouva heading 4"/>
    <w:basedOn w:val="smlouvaheading3"/>
    <w:next w:val="Bodytext"/>
    <w:rsid w:val="004808AA"/>
    <w:rPr>
      <w:color w:val="auto"/>
    </w:rPr>
  </w:style>
  <w:style w:type="paragraph" w:customStyle="1" w:styleId="smlouvabodytextbold">
    <w:name w:val="smlouva body text bold"/>
    <w:basedOn w:val="smlouvaheading4"/>
    <w:next w:val="Bodytext"/>
    <w:rsid w:val="004808AA"/>
    <w:pPr>
      <w:tabs>
        <w:tab w:val="clear" w:pos="0"/>
      </w:tabs>
      <w:ind w:left="0" w:firstLine="0"/>
    </w:pPr>
    <w:rPr>
      <w:b/>
    </w:rPr>
  </w:style>
  <w:style w:type="paragraph" w:customStyle="1" w:styleId="Bodytextbold">
    <w:name w:val="Body text bold"/>
    <w:basedOn w:val="smlouvabodytextbold"/>
    <w:next w:val="Bodytext"/>
    <w:rsid w:val="004808AA"/>
    <w:rPr>
      <w:color w:val="000000"/>
    </w:rPr>
  </w:style>
  <w:style w:type="paragraph" w:customStyle="1" w:styleId="Captionbody">
    <w:name w:val="Caption body"/>
    <w:rsid w:val="004808AA"/>
    <w:pPr>
      <w:suppressAutoHyphens/>
    </w:pPr>
    <w:rPr>
      <w:rFonts w:ascii="Arial" w:eastAsia="Arial" w:hAnsi="Arial"/>
      <w:color w:val="000000"/>
      <w:sz w:val="18"/>
      <w:lang w:val="en-US" w:eastAsia="ar-SA"/>
    </w:rPr>
  </w:style>
  <w:style w:type="paragraph" w:customStyle="1" w:styleId="Captionheading">
    <w:name w:val="Caption heading"/>
    <w:basedOn w:val="Captionbody"/>
    <w:rsid w:val="004808AA"/>
    <w:rPr>
      <w:b/>
    </w:rPr>
  </w:style>
  <w:style w:type="paragraph" w:customStyle="1" w:styleId="smlouvabodytext">
    <w:name w:val="smlouva body text"/>
    <w:basedOn w:val="Normln"/>
    <w:rsid w:val="004808AA"/>
    <w:rPr>
      <w:rFonts w:eastAsia="Times"/>
    </w:rPr>
  </w:style>
  <w:style w:type="paragraph" w:customStyle="1" w:styleId="Bulletslevel1">
    <w:name w:val="Bullets level 1"/>
    <w:basedOn w:val="Normln"/>
    <w:rsid w:val="004808AA"/>
    <w:pPr>
      <w:spacing w:before="120"/>
      <w:ind w:left="360"/>
    </w:pPr>
    <w:rPr>
      <w:rFonts w:eastAsia="Times"/>
      <w:color w:val="000000"/>
      <w:szCs w:val="20"/>
      <w:lang w:val="en-GB"/>
    </w:rPr>
  </w:style>
  <w:style w:type="paragraph" w:customStyle="1" w:styleId="Bulletslevel2">
    <w:name w:val="Bullets level 2"/>
    <w:basedOn w:val="Normln"/>
    <w:rsid w:val="004808AA"/>
    <w:pPr>
      <w:spacing w:before="120"/>
    </w:pPr>
    <w:rPr>
      <w:rFonts w:eastAsia="Times"/>
      <w:color w:val="000000"/>
      <w:szCs w:val="20"/>
      <w:lang w:val="en-GB"/>
    </w:rPr>
  </w:style>
  <w:style w:type="paragraph" w:customStyle="1" w:styleId="PulloutQuote">
    <w:name w:val="Pullout Quote"/>
    <w:rsid w:val="004808AA"/>
    <w:pPr>
      <w:pBdr>
        <w:top w:val="single" w:sz="4" w:space="4" w:color="00FFFF"/>
      </w:pBdr>
      <w:suppressAutoHyphens/>
      <w:spacing w:line="320" w:lineRule="exact"/>
    </w:pPr>
    <w:rPr>
      <w:rFonts w:eastAsia="Times"/>
      <w:color w:val="00A1DE"/>
      <w:sz w:val="32"/>
      <w:lang w:val="en-GB" w:eastAsia="ar-SA"/>
    </w:rPr>
  </w:style>
  <w:style w:type="paragraph" w:customStyle="1" w:styleId="Highlight1">
    <w:name w:val="Highlight 1"/>
    <w:basedOn w:val="Normln"/>
    <w:rsid w:val="004808AA"/>
    <w:rPr>
      <w:b/>
      <w:color w:val="3C8A2E"/>
      <w:sz w:val="20"/>
      <w:szCs w:val="16"/>
    </w:rPr>
  </w:style>
  <w:style w:type="paragraph" w:customStyle="1" w:styleId="Highlight2">
    <w:name w:val="Highlight 2"/>
    <w:basedOn w:val="Highlight1"/>
    <w:rsid w:val="004808AA"/>
    <w:rPr>
      <w:color w:val="92D400"/>
    </w:rPr>
  </w:style>
  <w:style w:type="paragraph" w:styleId="Obsah4">
    <w:name w:val="toc 4"/>
    <w:basedOn w:val="Normln"/>
    <w:next w:val="Normln"/>
    <w:semiHidden/>
    <w:rsid w:val="004808AA"/>
    <w:pPr>
      <w:spacing w:after="240"/>
      <w:ind w:left="720"/>
    </w:pPr>
  </w:style>
  <w:style w:type="paragraph" w:styleId="Obsah5">
    <w:name w:val="toc 5"/>
    <w:basedOn w:val="Normln"/>
    <w:next w:val="Normln"/>
    <w:semiHidden/>
    <w:rsid w:val="004808AA"/>
    <w:pPr>
      <w:spacing w:after="100"/>
      <w:ind w:left="960"/>
    </w:pPr>
  </w:style>
  <w:style w:type="paragraph" w:styleId="Textpoznpodarou">
    <w:name w:val="footnote text"/>
    <w:basedOn w:val="Normln"/>
    <w:semiHidden/>
    <w:rsid w:val="004808AA"/>
    <w:rPr>
      <w:sz w:val="16"/>
      <w:szCs w:val="20"/>
    </w:rPr>
  </w:style>
  <w:style w:type="paragraph" w:customStyle="1" w:styleId="Highlight3">
    <w:name w:val="Highlight 3"/>
    <w:basedOn w:val="Highlight2"/>
    <w:rsid w:val="004808AA"/>
    <w:rPr>
      <w:color w:val="00A1DE"/>
    </w:rPr>
  </w:style>
  <w:style w:type="paragraph" w:customStyle="1" w:styleId="Nadpisobsahu1">
    <w:name w:val="Nadpis obsahu1"/>
    <w:basedOn w:val="Nadpis1"/>
    <w:next w:val="Normln"/>
    <w:rsid w:val="004808AA"/>
    <w:pPr>
      <w:keepLines/>
      <w:pageBreakBefore w:val="0"/>
      <w:tabs>
        <w:tab w:val="clear" w:pos="0"/>
      </w:tabs>
      <w:spacing w:before="480" w:after="0" w:line="276" w:lineRule="auto"/>
      <w:ind w:left="0" w:firstLine="0"/>
    </w:pPr>
    <w:rPr>
      <w:rFonts w:ascii="Arial" w:eastAsia="Times New Roman" w:hAnsi="Arial" w:cs="Times New Roman"/>
      <w:b/>
      <w:color w:val="001D58"/>
      <w:sz w:val="28"/>
      <w:szCs w:val="28"/>
    </w:rPr>
  </w:style>
  <w:style w:type="paragraph" w:styleId="Zkladntextodsazen">
    <w:name w:val="Body Text Indent"/>
    <w:basedOn w:val="Normln"/>
    <w:semiHidden/>
    <w:rsid w:val="004808AA"/>
    <w:pPr>
      <w:widowControl w:val="0"/>
      <w:spacing w:line="360" w:lineRule="atLeast"/>
      <w:ind w:left="1440"/>
      <w:jc w:val="both"/>
      <w:textAlignment w:val="baseline"/>
    </w:pPr>
    <w:rPr>
      <w:bCs/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4808AA"/>
    <w:rPr>
      <w:sz w:val="20"/>
      <w:szCs w:val="20"/>
    </w:rPr>
  </w:style>
  <w:style w:type="paragraph" w:customStyle="1" w:styleId="CommentSubject">
    <w:name w:val="Comment Subject"/>
    <w:basedOn w:val="Textkomente"/>
    <w:next w:val="Textkomente"/>
    <w:rsid w:val="004808AA"/>
    <w:rPr>
      <w:b/>
      <w:bCs/>
    </w:rPr>
  </w:style>
  <w:style w:type="paragraph" w:styleId="Prosttext">
    <w:name w:val="Plain Text"/>
    <w:basedOn w:val="Normln"/>
    <w:semiHidden/>
    <w:rsid w:val="004808AA"/>
    <w:rPr>
      <w:color w:val="000000"/>
      <w:sz w:val="20"/>
      <w:szCs w:val="21"/>
    </w:rPr>
  </w:style>
  <w:style w:type="paragraph" w:customStyle="1" w:styleId="TableContents">
    <w:name w:val="Table Contents"/>
    <w:basedOn w:val="Normln"/>
    <w:rsid w:val="004808AA"/>
    <w:pPr>
      <w:suppressLineNumbers/>
    </w:pPr>
  </w:style>
  <w:style w:type="paragraph" w:customStyle="1" w:styleId="TableHeading">
    <w:name w:val="Table Heading"/>
    <w:basedOn w:val="TableContents"/>
    <w:rsid w:val="004808AA"/>
    <w:pPr>
      <w:jc w:val="center"/>
    </w:pPr>
    <w:rPr>
      <w:b/>
      <w:bCs/>
    </w:rPr>
  </w:style>
  <w:style w:type="paragraph" w:customStyle="1" w:styleId="Normln-web">
    <w:name w:val="Normální-web"/>
    <w:basedOn w:val="Normln"/>
    <w:rsid w:val="0051354C"/>
    <w:pPr>
      <w:suppressAutoHyphens w:val="0"/>
      <w:spacing w:before="120"/>
      <w:jc w:val="both"/>
    </w:pPr>
    <w:rPr>
      <w:sz w:val="24"/>
      <w:lang w:eastAsia="cs-CZ"/>
    </w:rPr>
  </w:style>
  <w:style w:type="paragraph" w:customStyle="1" w:styleId="Nadpis1a">
    <w:name w:val="Nadpis 1a"/>
    <w:basedOn w:val="Nadpis1"/>
    <w:next w:val="Normln-web"/>
    <w:rsid w:val="0051354C"/>
    <w:pPr>
      <w:pageBreakBefore w:val="0"/>
      <w:tabs>
        <w:tab w:val="clear" w:pos="0"/>
      </w:tabs>
      <w:suppressAutoHyphens w:val="0"/>
      <w:spacing w:before="240" w:after="120"/>
      <w:ind w:left="0" w:firstLine="0"/>
      <w:jc w:val="both"/>
    </w:pPr>
    <w:rPr>
      <w:rFonts w:ascii="Arial" w:eastAsia="Times New Roman" w:hAnsi="Arial"/>
      <w:b/>
      <w:i/>
      <w:color w:val="auto"/>
      <w:kern w:val="32"/>
      <w:sz w:val="32"/>
      <w:lang w:val="cs-CZ" w:eastAsia="cs-CZ"/>
    </w:rPr>
  </w:style>
  <w:style w:type="paragraph" w:customStyle="1" w:styleId="Textodstavce">
    <w:name w:val="Text odstavce"/>
    <w:basedOn w:val="Normln"/>
    <w:rsid w:val="0051354C"/>
    <w:pPr>
      <w:tabs>
        <w:tab w:val="num" w:pos="720"/>
        <w:tab w:val="left" w:pos="851"/>
      </w:tabs>
      <w:suppressAutoHyphens w:val="0"/>
      <w:spacing w:before="120" w:after="120"/>
      <w:ind w:left="720" w:hanging="720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54C"/>
    <w:rPr>
      <w:rFonts w:ascii="Arial" w:hAnsi="Arial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5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4C"/>
    <w:rPr>
      <w:rFonts w:ascii="Tahoma" w:hAnsi="Tahoma" w:cs="Tahoma"/>
      <w:sz w:val="16"/>
      <w:szCs w:val="16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4BF3"/>
    <w:rPr>
      <w:b/>
      <w:bCs/>
      <w:noProof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737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3752"/>
    <w:rPr>
      <w:rFonts w:ascii="Arial" w:hAnsi="Arial"/>
      <w:noProof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373752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73752"/>
    <w:rPr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B745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B7456"/>
    <w:rPr>
      <w:rFonts w:ascii="Tahoma" w:hAnsi="Tahoma" w:cs="Tahoma"/>
      <w:noProof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34183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1649E"/>
    <w:pPr>
      <w:suppressAutoHyphens w:val="0"/>
      <w:spacing w:before="100" w:beforeAutospacing="1" w:after="100" w:afterAutospacing="1"/>
    </w:pPr>
    <w:rPr>
      <w:rFonts w:ascii="Times New Roman" w:hAnsi="Times New Roman"/>
      <w:noProof w:val="0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avkova5238\Desktop\ANALYZA%20ZPUSOB%20BYDLEN&#205;\BYDLENI%20V%20BYTECH\&#269;asov&#225;%20&#345;ada_by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avkova5238\Desktop\ANALYZA%20ZPUSOB%20BYDLEN&#205;\za&#345;&#237;zen&#237;\domy%20pro%20seniory%20gra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avkova5238\Desktop\ANALYZA%20ZPUSOB%20BYDLEN&#205;\TABULKY%20PRILOHA\EA_POHLAV_VEK_DRUHDOMU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avkova5238\Desktop\ANALYZA%20ZPUSOB%20BYDLEN&#205;\TABULKY%20PRILOHA\EA_POHLAV_VEK_DRUHDOMU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oravkova5238\Plocha\ANALYZA%20ZPUSOB%20BYDLEN&#205;\TABULKY%20PRILOHA\EA_POHLAV_VEK_DRUHDO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percentStacked"/>
        <c:ser>
          <c:idx val="0"/>
          <c:order val="0"/>
          <c:tx>
            <c:strRef>
              <c:f>List2!$A$44</c:f>
              <c:strCache>
                <c:ptCount val="1"/>
                <c:pt idx="0">
                  <c:v>bydlení
 v bytech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numRef>
              <c:f>List2!$B$43:$D$43</c:f>
              <c:numCache>
                <c:formatCode>General</c:formatCode>
                <c:ptCount val="3"/>
                <c:pt idx="0">
                  <c:v>1991</c:v>
                </c:pt>
                <c:pt idx="1">
                  <c:v>2001</c:v>
                </c:pt>
                <c:pt idx="2">
                  <c:v>2011</c:v>
                </c:pt>
              </c:numCache>
            </c:numRef>
          </c:cat>
          <c:val>
            <c:numRef>
              <c:f>List2!$B$44:$D$44</c:f>
              <c:numCache>
                <c:formatCode>#,##0</c:formatCode>
                <c:ptCount val="3"/>
                <c:pt idx="0">
                  <c:v>1620</c:v>
                </c:pt>
                <c:pt idx="1">
                  <c:v>2678</c:v>
                </c:pt>
                <c:pt idx="2">
                  <c:v>12907</c:v>
                </c:pt>
              </c:numCache>
            </c:numRef>
          </c:val>
        </c:ser>
        <c:ser>
          <c:idx val="1"/>
          <c:order val="1"/>
          <c:tx>
            <c:strRef>
              <c:f>List2!$A$45</c:f>
              <c:strCache>
                <c:ptCount val="1"/>
                <c:pt idx="0">
                  <c:v>hromadně
 bydlící
 osoby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numRef>
              <c:f>List2!$B$43:$D$43</c:f>
              <c:numCache>
                <c:formatCode>General</c:formatCode>
                <c:ptCount val="3"/>
                <c:pt idx="0">
                  <c:v>1991</c:v>
                </c:pt>
                <c:pt idx="1">
                  <c:v>2001</c:v>
                </c:pt>
                <c:pt idx="2">
                  <c:v>2011</c:v>
                </c:pt>
              </c:numCache>
            </c:numRef>
          </c:cat>
          <c:val>
            <c:numRef>
              <c:f>List2!$B$45:$D$45</c:f>
              <c:numCache>
                <c:formatCode>#,##0</c:formatCode>
                <c:ptCount val="3"/>
                <c:pt idx="0">
                  <c:v>30886</c:v>
                </c:pt>
                <c:pt idx="1">
                  <c:v>32688</c:v>
                </c:pt>
                <c:pt idx="2">
                  <c:v>35010</c:v>
                </c:pt>
              </c:numCache>
            </c:numRef>
          </c:val>
        </c:ser>
        <c:gapWidth val="32"/>
        <c:overlap val="100"/>
        <c:axId val="114397952"/>
        <c:axId val="114399872"/>
      </c:barChart>
      <c:catAx>
        <c:axId val="114397952"/>
        <c:scaling>
          <c:orientation val="minMax"/>
        </c:scaling>
        <c:axPos val="l"/>
        <c:numFmt formatCode="General" sourceLinked="1"/>
        <c:tickLblPos val="nextTo"/>
        <c:crossAx val="114399872"/>
        <c:crosses val="autoZero"/>
        <c:auto val="1"/>
        <c:lblAlgn val="ctr"/>
        <c:lblOffset val="100"/>
      </c:catAx>
      <c:valAx>
        <c:axId val="114399872"/>
        <c:scaling>
          <c:orientation val="minMax"/>
        </c:scaling>
        <c:axPos val="b"/>
        <c:majorGridlines/>
        <c:numFmt formatCode="0%" sourceLinked="1"/>
        <c:tickLblPos val="nextTo"/>
        <c:crossAx val="11439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40419947506557"/>
          <c:y val="0.39776428988043383"/>
          <c:w val="0.18381802274715717"/>
          <c:h val="0.37113808690580491"/>
        </c:manualLayout>
      </c:layout>
    </c:legend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>
        <c:manualLayout>
          <c:layoutTarget val="inner"/>
          <c:xMode val="edge"/>
          <c:yMode val="edge"/>
          <c:x val="4.1003570205898222E-3"/>
          <c:y val="0.11044519908945032"/>
          <c:w val="0.5802477951125653"/>
          <c:h val="0.88549663519548205"/>
        </c:manualLayout>
      </c:layout>
      <c:pieChart>
        <c:varyColors val="1"/>
        <c:ser>
          <c:idx val="0"/>
          <c:order val="0"/>
          <c:explosion val="25"/>
          <c:dPt>
            <c:idx val="0"/>
            <c:spPr>
              <a:solidFill>
                <a:srgbClr val="FFC000"/>
              </a:solidFill>
            </c:spPr>
          </c:dPt>
          <c:dPt>
            <c:idx val="1"/>
            <c:explosion val="6"/>
          </c:dPt>
          <c:dPt>
            <c:idx val="2"/>
            <c:explosion val="13"/>
          </c:dPt>
          <c:dPt>
            <c:idx val="3"/>
            <c:explosion val="4"/>
          </c:dPt>
          <c:dPt>
            <c:idx val="4"/>
            <c:explosion val="1"/>
          </c:dPt>
          <c:dLbls>
            <c:dLbl>
              <c:idx val="1"/>
              <c:layout>
                <c:manualLayout>
                  <c:x val="-2.4189705815309191E-2"/>
                  <c:y val="-9.4732429279674058E-3"/>
                </c:manualLayout>
              </c:layout>
              <c:showPercent val="1"/>
            </c:dLbl>
            <c:dLbl>
              <c:idx val="3"/>
              <c:layout>
                <c:manualLayout>
                  <c:x val="1.598669731500954E-2"/>
                  <c:y val="-5.9316092597430141E-2"/>
                </c:manualLayout>
              </c:layout>
              <c:showPercent val="1"/>
            </c:dLbl>
            <c:dLbl>
              <c:idx val="4"/>
              <c:layout>
                <c:manualLayout>
                  <c:x val="-2.893261171137728E-2"/>
                  <c:y val="3.6484762321376658E-2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List1!$B$24:$B$28</c:f>
              <c:strCache>
                <c:ptCount val="5"/>
                <c:pt idx="0">
                  <c:v>Fyzická osoba</c:v>
                </c:pt>
                <c:pt idx="1">
                  <c:v>Jiná právnická osoba</c:v>
                </c:pt>
                <c:pt idx="2">
                  <c:v>Nezjištěno</c:v>
                </c:pt>
                <c:pt idx="3">
                  <c:v>Obec</c:v>
                </c:pt>
                <c:pt idx="4">
                  <c:v>Stát</c:v>
                </c:pt>
              </c:strCache>
            </c:strRef>
          </c:cat>
          <c:val>
            <c:numRef>
              <c:f>List1!$C$24:$C$28</c:f>
              <c:numCache>
                <c:formatCode>General</c:formatCode>
                <c:ptCount val="5"/>
                <c:pt idx="0">
                  <c:v>5</c:v>
                </c:pt>
                <c:pt idx="1">
                  <c:v>103</c:v>
                </c:pt>
                <c:pt idx="2">
                  <c:v>11</c:v>
                </c:pt>
                <c:pt idx="3">
                  <c:v>200</c:v>
                </c:pt>
                <c:pt idx="4">
                  <c:v>72</c:v>
                </c:pt>
              </c:numCache>
            </c:numRef>
          </c:val>
        </c:ser>
        <c:firstSliceAng val="306"/>
      </c:pieChart>
    </c:plotArea>
    <c:legend>
      <c:legendPos val="b"/>
      <c:layout>
        <c:manualLayout>
          <c:xMode val="edge"/>
          <c:yMode val="edge"/>
          <c:x val="0.5840599272916972"/>
          <c:y val="0.10427336393377369"/>
          <c:w val="0.41159029034414207"/>
          <c:h val="0.4154738714532725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1.68409886264217E-2"/>
          <c:y val="4.8611111111111112E-2"/>
          <c:w val="0.56944444444444464"/>
          <c:h val="0.94907407407407685"/>
        </c:manualLayout>
      </c:layout>
      <c:pieChart>
        <c:varyColors val="1"/>
        <c:ser>
          <c:idx val="0"/>
          <c:order val="0"/>
          <c:dPt>
            <c:idx val="1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4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6"/>
            <c:explosion val="8"/>
            <c:spPr>
              <a:solidFill>
                <a:schemeClr val="accent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8.4289151356080547E-3"/>
                  <c:y val="2.3148148148148147E-3"/>
                </c:manualLayout>
              </c:layout>
              <c:showPercent val="1"/>
            </c:dLbl>
            <c:dLbl>
              <c:idx val="1"/>
              <c:layout>
                <c:manualLayout>
                  <c:x val="-5.1025809273840756E-3"/>
                  <c:y val="4.236293379994204E-3"/>
                </c:manualLayout>
              </c:layout>
              <c:showPercent val="1"/>
            </c:dLbl>
            <c:dLbl>
              <c:idx val="2"/>
              <c:layout>
                <c:manualLayout>
                  <c:x val="-2.6061898512686012E-2"/>
                  <c:y val="8.1062263050452419E-3"/>
                </c:manualLayout>
              </c:layout>
              <c:showPercent val="1"/>
            </c:dLbl>
            <c:dLbl>
              <c:idx val="3"/>
              <c:layout>
                <c:manualLayout>
                  <c:x val="-1.0024960115279704E-2"/>
                  <c:y val="-9.9301433474661867E-3"/>
                </c:manualLayout>
              </c:layout>
              <c:showPercent val="1"/>
            </c:dLbl>
            <c:dLbl>
              <c:idx val="4"/>
              <c:layout>
                <c:manualLayout>
                  <c:x val="1.4680922237661482E-2"/>
                  <c:y val="-2.7581667676155903E-2"/>
                </c:manualLayout>
              </c:layout>
              <c:showPercent val="1"/>
            </c:dLbl>
            <c:dLbl>
              <c:idx val="5"/>
              <c:layout>
                <c:manualLayout>
                  <c:x val="1.016108280582574E-2"/>
                  <c:y val="-4.1910357359176295E-2"/>
                </c:manualLayout>
              </c:layout>
              <c:showPercent val="1"/>
            </c:dLbl>
            <c:dLbl>
              <c:idx val="6"/>
              <c:layout>
                <c:manualLayout>
                  <c:x val="-3.8472029231640162E-3"/>
                  <c:y val="1.6030688471633373E-4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'ubytovny vek'!$E$3:$E$9</c:f>
              <c:strCache>
                <c:ptCount val="7"/>
                <c:pt idx="0">
                  <c:v>Věk</c:v>
                </c:pt>
                <c:pt idx="1">
                  <c:v> 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50-64</c:v>
                </c:pt>
                <c:pt idx="6">
                  <c:v>65 a více (vč. nezj.)</c:v>
                </c:pt>
              </c:strCache>
            </c:strRef>
          </c:cat>
          <c:val>
            <c:numRef>
              <c:f>'ubytovny vek'!$F$3:$F$9</c:f>
              <c:numCache>
                <c:formatCode>General</c:formatCode>
                <c:ptCount val="7"/>
                <c:pt idx="1">
                  <c:v>1804</c:v>
                </c:pt>
                <c:pt idx="2">
                  <c:v>6961</c:v>
                </c:pt>
                <c:pt idx="3">
                  <c:v>6833</c:v>
                </c:pt>
                <c:pt idx="4">
                  <c:v>6346</c:v>
                </c:pt>
                <c:pt idx="5">
                  <c:v>5414</c:v>
                </c:pt>
                <c:pt idx="6">
                  <c:v>785</c:v>
                </c:pt>
              </c:numCache>
            </c:numRef>
          </c:val>
        </c:ser>
        <c:firstSliceAng val="342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8711337553394058"/>
          <c:y val="0.16166888754290379"/>
          <c:w val="0.29621995779939281"/>
          <c:h val="0.65429759741570936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9.8936927362607577E-2"/>
          <c:y val="0.10325058604315697"/>
          <c:w val="0.62623426672892879"/>
          <c:h val="0.74637494740638466"/>
        </c:manualLayout>
      </c:layout>
      <c:barChart>
        <c:barDir val="bar"/>
        <c:grouping val="percentStacked"/>
        <c:ser>
          <c:idx val="0"/>
          <c:order val="0"/>
          <c:tx>
            <c:strRef>
              <c:f>'graf ubytovny sečtení'!$A$8</c:f>
              <c:strCache>
                <c:ptCount val="1"/>
                <c:pt idx="0">
                  <c:v>zaměstnaní</c:v>
                </c:pt>
              </c:strCache>
            </c:strRef>
          </c:tx>
          <c:cat>
            <c:strRef>
              <c:f>'graf ubytovny sečtení'!$B$7:$C$7</c:f>
              <c:strCache>
                <c:ptCount val="2"/>
                <c:pt idx="0">
                  <c:v>populace
 celkem</c:v>
                </c:pt>
                <c:pt idx="1">
                  <c:v>osoby 
v ubytovnách</c:v>
                </c:pt>
              </c:strCache>
            </c:strRef>
          </c:cat>
          <c:val>
            <c:numRef>
              <c:f>'graf ubytovny sečtení'!$B$8:$C$8</c:f>
              <c:numCache>
                <c:formatCode>General</c:formatCode>
                <c:ptCount val="2"/>
                <c:pt idx="0">
                  <c:v>43.9</c:v>
                </c:pt>
                <c:pt idx="1">
                  <c:v>46.7</c:v>
                </c:pt>
              </c:numCache>
            </c:numRef>
          </c:val>
        </c:ser>
        <c:ser>
          <c:idx val="1"/>
          <c:order val="1"/>
          <c:tx>
            <c:strRef>
              <c:f>'graf ubytovny sečtení'!$A$9</c:f>
              <c:strCache>
                <c:ptCount val="1"/>
                <c:pt idx="0">
                  <c:v>nezaměstnaní </c:v>
                </c:pt>
              </c:strCache>
            </c:strRef>
          </c:tx>
          <c:cat>
            <c:strRef>
              <c:f>'graf ubytovny sečtení'!$B$7:$C$7</c:f>
              <c:strCache>
                <c:ptCount val="2"/>
                <c:pt idx="0">
                  <c:v>populace
 celkem</c:v>
                </c:pt>
                <c:pt idx="1">
                  <c:v>osoby 
v ubytovnách</c:v>
                </c:pt>
              </c:strCache>
            </c:strRef>
          </c:cat>
          <c:val>
            <c:numRef>
              <c:f>'graf ubytovny sečtení'!$B$9:$C$9</c:f>
              <c:numCache>
                <c:formatCode>General</c:formatCode>
                <c:ptCount val="2"/>
                <c:pt idx="0">
                  <c:v>4.8</c:v>
                </c:pt>
                <c:pt idx="1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'graf ubytovny sečtení'!$A$10</c:f>
              <c:strCache>
                <c:ptCount val="1"/>
                <c:pt idx="0">
                  <c:v>ekonomicky neakt.</c:v>
                </c:pt>
              </c:strCache>
            </c:strRef>
          </c:tx>
          <c:cat>
            <c:strRef>
              <c:f>'graf ubytovny sečtení'!$B$7:$C$7</c:f>
              <c:strCache>
                <c:ptCount val="2"/>
                <c:pt idx="0">
                  <c:v>populace
 celkem</c:v>
                </c:pt>
                <c:pt idx="1">
                  <c:v>osoby 
v ubytovnách</c:v>
                </c:pt>
              </c:strCache>
            </c:strRef>
          </c:cat>
          <c:val>
            <c:numRef>
              <c:f>'graf ubytovny sečtení'!$B$10:$C$10</c:f>
              <c:numCache>
                <c:formatCode>General</c:formatCode>
                <c:ptCount val="2"/>
                <c:pt idx="0">
                  <c:v>45.8</c:v>
                </c:pt>
                <c:pt idx="1">
                  <c:v>26</c:v>
                </c:pt>
              </c:numCache>
            </c:numRef>
          </c:val>
        </c:ser>
        <c:ser>
          <c:idx val="3"/>
          <c:order val="3"/>
          <c:tx>
            <c:strRef>
              <c:f>'graf ubytovny sečtení'!$A$11</c:f>
              <c:strCache>
                <c:ptCount val="1"/>
                <c:pt idx="0">
                  <c:v>nezj. ek. aktivita</c:v>
                </c:pt>
              </c:strCache>
            </c:strRef>
          </c:tx>
          <c:cat>
            <c:strRef>
              <c:f>'graf ubytovny sečtení'!$B$7:$C$7</c:f>
              <c:strCache>
                <c:ptCount val="2"/>
                <c:pt idx="0">
                  <c:v>populace
 celkem</c:v>
                </c:pt>
                <c:pt idx="1">
                  <c:v>osoby 
v ubytovnách</c:v>
                </c:pt>
              </c:strCache>
            </c:strRef>
          </c:cat>
          <c:val>
            <c:numRef>
              <c:f>'graf ubytovny sečtení'!$B$11:$C$11</c:f>
              <c:numCache>
                <c:formatCode>General</c:formatCode>
                <c:ptCount val="2"/>
                <c:pt idx="0">
                  <c:v>5.5</c:v>
                </c:pt>
                <c:pt idx="1">
                  <c:v>12.6</c:v>
                </c:pt>
              </c:numCache>
            </c:numRef>
          </c:val>
        </c:ser>
        <c:gapWidth val="30"/>
        <c:overlap val="100"/>
        <c:axId val="131211264"/>
        <c:axId val="131212800"/>
      </c:barChart>
      <c:catAx>
        <c:axId val="131211264"/>
        <c:scaling>
          <c:orientation val="minMax"/>
        </c:scaling>
        <c:axPos val="l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31212800"/>
        <c:crosses val="autoZero"/>
        <c:auto val="1"/>
        <c:lblAlgn val="ctr"/>
        <c:lblOffset val="100"/>
      </c:catAx>
      <c:valAx>
        <c:axId val="131212800"/>
        <c:scaling>
          <c:orientation val="minMax"/>
        </c:scaling>
        <c:axPos val="b"/>
        <c:majorGridlines/>
        <c:numFmt formatCode="0%" sourceLinked="1"/>
        <c:tickLblPos val="nextTo"/>
        <c:crossAx val="131211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04889189464864"/>
          <c:y val="0.27475867043337143"/>
          <c:w val="0.23817335716471025"/>
          <c:h val="0.49262968083188141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0.10646767745581215"/>
          <c:y val="6.9444444444444503E-2"/>
          <c:w val="0.64959351911996921"/>
          <c:h val="0.7801811752697575"/>
        </c:manualLayout>
      </c:layout>
      <c:barChart>
        <c:barDir val="bar"/>
        <c:grouping val="percentStacked"/>
        <c:ser>
          <c:idx val="0"/>
          <c:order val="0"/>
          <c:tx>
            <c:strRef>
              <c:f>'graf ubytovny sečtení'!$E$8</c:f>
              <c:strCache>
                <c:ptCount val="1"/>
                <c:pt idx="0">
                  <c:v>zaměstnaní</c:v>
                </c:pt>
              </c:strCache>
            </c:strRef>
          </c:tx>
          <c:cat>
            <c:strRef>
              <c:f>'graf ubytovny sečtení'!$F$7:$G$7</c:f>
              <c:strCache>
                <c:ptCount val="2"/>
                <c:pt idx="0">
                  <c:v>cizinci</c:v>
                </c:pt>
                <c:pt idx="1">
                  <c:v>občané ČR 
vč. nezj. obč.</c:v>
                </c:pt>
              </c:strCache>
            </c:strRef>
          </c:cat>
          <c:val>
            <c:numRef>
              <c:f>'graf ubytovny sečtení'!$F$8:$G$8</c:f>
              <c:numCache>
                <c:formatCode>0.0</c:formatCode>
                <c:ptCount val="2"/>
                <c:pt idx="0" formatCode="General">
                  <c:v>69.099999999999994</c:v>
                </c:pt>
                <c:pt idx="1">
                  <c:v>35.969005899445278</c:v>
                </c:pt>
              </c:numCache>
            </c:numRef>
          </c:val>
        </c:ser>
        <c:ser>
          <c:idx val="1"/>
          <c:order val="1"/>
          <c:tx>
            <c:strRef>
              <c:f>'graf ubytovny sečtení'!$E$9</c:f>
              <c:strCache>
                <c:ptCount val="1"/>
                <c:pt idx="0">
                  <c:v>nezaměstnaní </c:v>
                </c:pt>
              </c:strCache>
            </c:strRef>
          </c:tx>
          <c:cat>
            <c:strRef>
              <c:f>'graf ubytovny sečtení'!$F$7:$G$7</c:f>
              <c:strCache>
                <c:ptCount val="2"/>
                <c:pt idx="0">
                  <c:v>cizinci</c:v>
                </c:pt>
                <c:pt idx="1">
                  <c:v>občané ČR 
vč. nezj. obč.</c:v>
                </c:pt>
              </c:strCache>
            </c:strRef>
          </c:cat>
          <c:val>
            <c:numRef>
              <c:f>'graf ubytovny sečtení'!$F$9:$G$9</c:f>
              <c:numCache>
                <c:formatCode>0.0</c:formatCode>
                <c:ptCount val="2"/>
                <c:pt idx="0" formatCode="General">
                  <c:v>3.5</c:v>
                </c:pt>
                <c:pt idx="1">
                  <c:v>20.005283085321519</c:v>
                </c:pt>
              </c:numCache>
            </c:numRef>
          </c:val>
        </c:ser>
        <c:ser>
          <c:idx val="2"/>
          <c:order val="2"/>
          <c:tx>
            <c:strRef>
              <c:f>'graf ubytovny sečtení'!$E$10</c:f>
              <c:strCache>
                <c:ptCount val="1"/>
                <c:pt idx="0">
                  <c:v>ekonomicky neakt.</c:v>
                </c:pt>
              </c:strCache>
            </c:strRef>
          </c:tx>
          <c:cat>
            <c:strRef>
              <c:f>'graf ubytovny sečtení'!$F$7:$G$7</c:f>
              <c:strCache>
                <c:ptCount val="2"/>
                <c:pt idx="0">
                  <c:v>cizinci</c:v>
                </c:pt>
                <c:pt idx="1">
                  <c:v>občané ČR 
vč. nezj. obč.</c:v>
                </c:pt>
              </c:strCache>
            </c:strRef>
          </c:cat>
          <c:val>
            <c:numRef>
              <c:f>'graf ubytovny sečtení'!$F$10:$G$10</c:f>
              <c:numCache>
                <c:formatCode>0.0</c:formatCode>
                <c:ptCount val="2"/>
                <c:pt idx="0" formatCode="General">
                  <c:v>8.1</c:v>
                </c:pt>
                <c:pt idx="1">
                  <c:v>34.604208857973056</c:v>
                </c:pt>
              </c:numCache>
            </c:numRef>
          </c:val>
        </c:ser>
        <c:ser>
          <c:idx val="3"/>
          <c:order val="3"/>
          <c:tx>
            <c:strRef>
              <c:f>'graf ubytovny sečtení'!$E$11</c:f>
              <c:strCache>
                <c:ptCount val="1"/>
                <c:pt idx="0">
                  <c:v>nezj. ek. aktivita</c:v>
                </c:pt>
              </c:strCache>
            </c:strRef>
          </c:tx>
          <c:cat>
            <c:strRef>
              <c:f>'graf ubytovny sečtení'!$F$7:$G$7</c:f>
              <c:strCache>
                <c:ptCount val="2"/>
                <c:pt idx="0">
                  <c:v>cizinci</c:v>
                </c:pt>
                <c:pt idx="1">
                  <c:v>občané ČR 
vč. nezj. obč.</c:v>
                </c:pt>
              </c:strCache>
            </c:strRef>
          </c:cat>
          <c:val>
            <c:numRef>
              <c:f>'graf ubytovny sečtení'!$F$11:$G$11</c:f>
              <c:numCache>
                <c:formatCode>0.0</c:formatCode>
                <c:ptCount val="2"/>
                <c:pt idx="0" formatCode="General">
                  <c:v>19.3</c:v>
                </c:pt>
                <c:pt idx="1">
                  <c:v>9.4215021572598392</c:v>
                </c:pt>
              </c:numCache>
            </c:numRef>
          </c:val>
        </c:ser>
        <c:gapWidth val="32"/>
        <c:overlap val="100"/>
        <c:axId val="131226624"/>
        <c:axId val="131232512"/>
      </c:barChart>
      <c:catAx>
        <c:axId val="131226624"/>
        <c:scaling>
          <c:orientation val="minMax"/>
        </c:scaling>
        <c:axPos val="l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31232512"/>
        <c:crosses val="autoZero"/>
        <c:auto val="1"/>
        <c:lblAlgn val="ctr"/>
        <c:lblOffset val="100"/>
      </c:catAx>
      <c:valAx>
        <c:axId val="131232512"/>
        <c:scaling>
          <c:orientation val="minMax"/>
        </c:scaling>
        <c:axPos val="b"/>
        <c:majorGridlines/>
        <c:numFmt formatCode="0%" sourceLinked="1"/>
        <c:tickLblPos val="nextTo"/>
        <c:crossAx val="13122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682604815243172"/>
          <c:y val="0.27701006124234639"/>
          <c:w val="0.22992104860131921"/>
          <c:h val="0.48764654418197728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1838-DC6E-4034-8F9E-C18A6A64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1955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</dc:creator>
  <cp:lastModifiedBy>Štěpánka Morávková</cp:lastModifiedBy>
  <cp:revision>4</cp:revision>
  <cp:lastPrinted>2014-04-15T13:25:00Z</cp:lastPrinted>
  <dcterms:created xsi:type="dcterms:W3CDTF">2014-04-15T13:22:00Z</dcterms:created>
  <dcterms:modified xsi:type="dcterms:W3CDTF">2014-04-15T13:25:00Z</dcterms:modified>
</cp:coreProperties>
</file>