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14545" w14:textId="7F87BA54" w:rsidR="00921A5C" w:rsidRPr="006A5A11" w:rsidRDefault="00307E77" w:rsidP="00921A5C">
      <w:pPr>
        <w:pStyle w:val="Nadpis110"/>
      </w:pPr>
      <w:bookmarkStart w:id="0" w:name="_Toc57061286"/>
      <w:bookmarkStart w:id="1" w:name="_GoBack"/>
      <w:bookmarkEnd w:id="1"/>
      <w:r>
        <w:t>2. </w:t>
      </w:r>
      <w:r w:rsidR="00921A5C" w:rsidRPr="006A5A11">
        <w:t xml:space="preserve">Role průmyslu </w:t>
      </w:r>
      <w:r w:rsidRPr="006A5A11">
        <w:t>v</w:t>
      </w:r>
      <w:r>
        <w:t> </w:t>
      </w:r>
      <w:r w:rsidR="00921A5C" w:rsidRPr="006A5A11">
        <w:t>ekonomice</w:t>
      </w:r>
      <w:bookmarkEnd w:id="0"/>
    </w:p>
    <w:tbl>
      <w:tblPr>
        <w:tblW w:w="964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2"/>
        <w:gridCol w:w="197"/>
        <w:gridCol w:w="7670"/>
      </w:tblGrid>
      <w:tr w:rsidR="00097078" w14:paraId="17495532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B4D4B" w14:textId="77777777" w:rsidR="00097078" w:rsidRDefault="00097078" w:rsidP="00044059">
            <w:pPr>
              <w:pStyle w:val="Marginlie"/>
            </w:pPr>
            <w:r>
              <w:t>Na roli průmyslu v ekonomice lze nazírat z různých hledisek.</w:t>
            </w:r>
          </w:p>
          <w:p w14:paraId="67611F4B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736A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A63F5" w14:textId="6CA6F5B1" w:rsidR="00097078" w:rsidRDefault="00097078" w:rsidP="00044059">
            <w:pPr>
              <w:spacing w:after="220"/>
            </w:pPr>
            <w:r>
              <w:t>Průmysl</w:t>
            </w:r>
            <w:r>
              <w:rPr>
                <w:rStyle w:val="Znakapoznpodarou"/>
              </w:rPr>
              <w:footnoteReference w:id="1"/>
            </w:r>
            <w:r>
              <w:t xml:space="preserve"> představuje díky tradičně silnému ukotvení dlouhodobě nejvýznamnější segment tuzemské ekonom</w:t>
            </w:r>
            <w:r w:rsidR="00147081">
              <w:t>i</w:t>
            </w:r>
            <w:r>
              <w:t>ky. Tvoří páteř zahraničního obchodu ČR</w:t>
            </w:r>
            <w:r w:rsidR="00147081">
              <w:t>,</w:t>
            </w:r>
            <w:r>
              <w:t xml:space="preserve"> </w:t>
            </w:r>
            <w:r w:rsidR="00307E77">
              <w:t>a </w:t>
            </w:r>
            <w:r>
              <w:t>zprostředkovává tak nejvýznamnější hospodářské vazby zejména se státy EU. Plní funkci důležitého nositele</w:t>
            </w:r>
            <w:r w:rsidRPr="00F818C1">
              <w:t xml:space="preserve"> roz</w:t>
            </w:r>
            <w:r>
              <w:t xml:space="preserve">voje technologií, znalostí </w:t>
            </w:r>
            <w:r w:rsidR="00307E77">
              <w:t>i </w:t>
            </w:r>
            <w:r>
              <w:t xml:space="preserve">pracovních příležitostí </w:t>
            </w:r>
            <w:r w:rsidR="00307E77">
              <w:t>a </w:t>
            </w:r>
            <w:r>
              <w:t xml:space="preserve">zásadně tak přispívá </w:t>
            </w:r>
            <w:r w:rsidR="00147081">
              <w:t>k </w:t>
            </w:r>
            <w:r>
              <w:t xml:space="preserve">celkovému </w:t>
            </w:r>
            <w:r w:rsidR="00147081">
              <w:t xml:space="preserve">ekonomickému </w:t>
            </w:r>
            <w:r>
              <w:t xml:space="preserve">růstu. Význam průmyslu však překračuje úzce chápanou ekonomickou sféru. Vlivem své vysoké materiálové, resp. energetické náročnosti významně zasahuje </w:t>
            </w:r>
            <w:r w:rsidR="00307E77">
              <w:t>i </w:t>
            </w:r>
            <w:r>
              <w:t xml:space="preserve">do oblasti environmentální. Roli průmyslu v ekonomice lze posuzovat dle různých kritérií. Jedním z nejčastěji používaných, </w:t>
            </w:r>
            <w:r w:rsidR="00307E77">
              <w:t>a </w:t>
            </w:r>
            <w:r>
              <w:t>to nejen na národní úrovni, je podíl na zaměstnanosti či přidané hodnotě.</w:t>
            </w:r>
          </w:p>
        </w:tc>
      </w:tr>
      <w:tr w:rsidR="00097078" w14:paraId="5F4E4878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61290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30F61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1D9D3" w14:textId="4BD9D538" w:rsidR="00097078" w:rsidRPr="00741856" w:rsidRDefault="00097078" w:rsidP="00044059">
            <w:pPr>
              <w:spacing w:after="40"/>
              <w:jc w:val="left"/>
              <w:rPr>
                <w:b/>
              </w:rPr>
            </w:pPr>
            <w:r>
              <w:rPr>
                <w:b/>
              </w:rPr>
              <w:t>Graf</w:t>
            </w:r>
            <w:r w:rsidR="006E33D0">
              <w:rPr>
                <w:b/>
              </w:rPr>
              <w:t xml:space="preserve"> č. </w:t>
            </w:r>
            <w:r w:rsidR="00307E77">
              <w:rPr>
                <w:b/>
              </w:rPr>
              <w:t xml:space="preserve">1  </w:t>
            </w:r>
            <w:r>
              <w:rPr>
                <w:b/>
              </w:rPr>
              <w:t xml:space="preserve">Podíl průmyslu na všech odvětvích ekonomiky ČR z pohledu zaměstnanosti, objemu vyplacených mezd </w:t>
            </w:r>
            <w:r w:rsidR="00307E77">
              <w:rPr>
                <w:b/>
              </w:rPr>
              <w:t>a </w:t>
            </w:r>
            <w:r>
              <w:rPr>
                <w:b/>
              </w:rPr>
              <w:t xml:space="preserve">platů, hrubé přidané hodnoty a investic* </w:t>
            </w:r>
            <w:r w:rsidRPr="00C8155D">
              <w:t>(v</w:t>
            </w:r>
            <w:r w:rsidR="006E33D0">
              <w:t> %</w:t>
            </w:r>
            <w:r w:rsidRPr="00C8155D">
              <w:t>)</w:t>
            </w:r>
          </w:p>
        </w:tc>
      </w:tr>
      <w:tr w:rsidR="00097078" w14:paraId="7316E6D7" w14:textId="77777777" w:rsidTr="001B4422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F151C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9B421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0317A" w14:textId="77777777" w:rsidR="00097078" w:rsidRDefault="00097078" w:rsidP="00044059">
            <w:pPr>
              <w:spacing w:after="40"/>
            </w:pPr>
            <w:r>
              <w:rPr>
                <w:noProof/>
              </w:rPr>
              <w:drawing>
                <wp:inline distT="0" distB="0" distL="0" distR="0" wp14:anchorId="455F2E9A" wp14:editId="2D0D8979">
                  <wp:extent cx="4753842" cy="3343275"/>
                  <wp:effectExtent l="0" t="0" r="8890" b="0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097078" w14:paraId="570CC78C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2B7EC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6AF48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F08C4" w14:textId="3BA89F3F" w:rsidR="00097078" w:rsidRDefault="00097078" w:rsidP="0004405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*Investice jsou </w:t>
            </w:r>
            <w:r w:rsidR="00147081">
              <w:rPr>
                <w:sz w:val="16"/>
                <w:szCs w:val="16"/>
              </w:rPr>
              <w:t xml:space="preserve">chápány </w:t>
            </w:r>
            <w:r>
              <w:rPr>
                <w:sz w:val="16"/>
                <w:szCs w:val="16"/>
              </w:rPr>
              <w:t>v užším pojetí, tj.</w:t>
            </w:r>
            <w:r w:rsidR="0014708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jako tvorba hrubého fixního kapitálu.</w:t>
            </w:r>
          </w:p>
          <w:p w14:paraId="3070161B" w14:textId="77777777" w:rsidR="00097078" w:rsidRPr="00DE574B" w:rsidRDefault="00097078" w:rsidP="00044059">
            <w:pPr>
              <w:spacing w:after="220"/>
            </w:pPr>
            <w:r w:rsidRPr="00741856">
              <w:rPr>
                <w:sz w:val="16"/>
                <w:szCs w:val="16"/>
              </w:rPr>
              <w:t>Zdroj</w:t>
            </w:r>
            <w:r>
              <w:rPr>
                <w:sz w:val="16"/>
                <w:szCs w:val="16"/>
              </w:rPr>
              <w:t>: ČSÚ (národní účty)</w:t>
            </w:r>
          </w:p>
        </w:tc>
      </w:tr>
      <w:tr w:rsidR="00097078" w14:paraId="039677DA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0397A" w14:textId="7BA42FF6" w:rsidR="00097078" w:rsidRDefault="00097078" w:rsidP="00044059">
            <w:pPr>
              <w:pStyle w:val="Marginlie"/>
            </w:pPr>
            <w:r>
              <w:t>Průmysl vytvářel v roce 2019 necelých 42</w:t>
            </w:r>
            <w:r w:rsidR="006E33D0">
              <w:t xml:space="preserve"> % </w:t>
            </w:r>
            <w:r>
              <w:t>produkce celé ekonomiky, v případě přidaného hodnoty se podíl nacházel mírně pod 30</w:t>
            </w:r>
            <w:r w:rsidR="006E33D0">
              <w:t> %</w:t>
            </w:r>
            <w:r>
              <w:t>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9BB36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FE1CE" w14:textId="0FEACCEE" w:rsidR="00097078" w:rsidRPr="00291534" w:rsidRDefault="00097078" w:rsidP="00044059">
            <w:pPr>
              <w:spacing w:after="220"/>
              <w:rPr>
                <w:spacing w:val="-2"/>
                <w:szCs w:val="20"/>
              </w:rPr>
            </w:pPr>
            <w:r w:rsidRPr="00291534">
              <w:rPr>
                <w:spacing w:val="-2"/>
                <w:szCs w:val="20"/>
              </w:rPr>
              <w:t>Celková hodnota produkce</w:t>
            </w:r>
            <w:r w:rsidRPr="00291534">
              <w:rPr>
                <w:rStyle w:val="Znakapoznpodarou"/>
                <w:spacing w:val="-2"/>
              </w:rPr>
              <w:footnoteReference w:id="2"/>
            </w:r>
            <w:r w:rsidRPr="00291534">
              <w:rPr>
                <w:spacing w:val="-2"/>
                <w:szCs w:val="20"/>
              </w:rPr>
              <w:t xml:space="preserve"> průmyslu dosáhla v roce 2019 v běžných cenách 5 370</w:t>
            </w:r>
            <w:r w:rsidR="006E33D0">
              <w:rPr>
                <w:spacing w:val="-2"/>
                <w:szCs w:val="20"/>
              </w:rPr>
              <w:t> mld.</w:t>
            </w:r>
            <w:r w:rsidRPr="00291534">
              <w:rPr>
                <w:spacing w:val="-2"/>
                <w:szCs w:val="20"/>
              </w:rPr>
              <w:t xml:space="preserve"> korun. Na úhrnné produkci národního hospodářství se </w:t>
            </w:r>
            <w:r w:rsidR="00147081">
              <w:rPr>
                <w:spacing w:val="-2"/>
                <w:szCs w:val="20"/>
              </w:rPr>
              <w:t xml:space="preserve">průmysl </w:t>
            </w:r>
            <w:r w:rsidRPr="00291534">
              <w:rPr>
                <w:spacing w:val="-2"/>
                <w:szCs w:val="20"/>
              </w:rPr>
              <w:t>podílel 41,7</w:t>
            </w:r>
            <w:r w:rsidR="006E33D0">
              <w:rPr>
                <w:spacing w:val="-2"/>
                <w:szCs w:val="20"/>
              </w:rPr>
              <w:t> %</w:t>
            </w:r>
            <w:r w:rsidRPr="00291534">
              <w:rPr>
                <w:spacing w:val="-2"/>
                <w:szCs w:val="20"/>
              </w:rPr>
              <w:t>. Šlo</w:t>
            </w:r>
            <w:r w:rsidR="00147081">
              <w:rPr>
                <w:spacing w:val="-2"/>
                <w:szCs w:val="20"/>
              </w:rPr>
              <w:t xml:space="preserve"> </w:t>
            </w:r>
            <w:r w:rsidRPr="00291534">
              <w:rPr>
                <w:spacing w:val="-2"/>
                <w:szCs w:val="20"/>
              </w:rPr>
              <w:t>fakticky o obdobnou hodnotu jako v prvním roce existence samostatné ČR. V uplynulém čtvrtstoletí váha průmyslu kolísala mezi extrémy akcentujícími důležité zlomy v hospodářském cyklu (39,3</w:t>
            </w:r>
            <w:r w:rsidR="006E33D0">
              <w:rPr>
                <w:spacing w:val="-2"/>
                <w:szCs w:val="20"/>
              </w:rPr>
              <w:t> %</w:t>
            </w:r>
            <w:r w:rsidRPr="00291534">
              <w:rPr>
                <w:spacing w:val="-2"/>
                <w:szCs w:val="20"/>
              </w:rPr>
              <w:t xml:space="preserve"> </w:t>
            </w:r>
            <w:r w:rsidR="00307E77" w:rsidRPr="00291534">
              <w:rPr>
                <w:spacing w:val="-2"/>
                <w:szCs w:val="20"/>
              </w:rPr>
              <w:t>v</w:t>
            </w:r>
            <w:r w:rsidR="00307E77">
              <w:rPr>
                <w:spacing w:val="-2"/>
                <w:szCs w:val="20"/>
              </w:rPr>
              <w:t> </w:t>
            </w:r>
            <w:r w:rsidRPr="00291534">
              <w:rPr>
                <w:spacing w:val="-2"/>
                <w:szCs w:val="20"/>
              </w:rPr>
              <w:t>roce 2009, resp. 44,5</w:t>
            </w:r>
            <w:r w:rsidR="006E33D0">
              <w:rPr>
                <w:spacing w:val="-2"/>
                <w:szCs w:val="20"/>
              </w:rPr>
              <w:t> %</w:t>
            </w:r>
            <w:r w:rsidRPr="00291534">
              <w:rPr>
                <w:spacing w:val="-2"/>
                <w:szCs w:val="20"/>
              </w:rPr>
              <w:t xml:space="preserve"> </w:t>
            </w:r>
            <w:r w:rsidR="00307E77" w:rsidRPr="00291534">
              <w:rPr>
                <w:spacing w:val="-2"/>
                <w:szCs w:val="20"/>
              </w:rPr>
              <w:t>v</w:t>
            </w:r>
            <w:r w:rsidR="00307E77">
              <w:rPr>
                <w:spacing w:val="-2"/>
                <w:szCs w:val="20"/>
              </w:rPr>
              <w:t> </w:t>
            </w:r>
            <w:r w:rsidRPr="00291534">
              <w:rPr>
                <w:spacing w:val="-2"/>
                <w:szCs w:val="20"/>
              </w:rPr>
              <w:t>roce 2014). Význam průmyslu lze posuzovat rovněž z pohledu přidané hodnoty. V tomto ohledu je váha t</w:t>
            </w:r>
            <w:r>
              <w:rPr>
                <w:spacing w:val="-2"/>
                <w:szCs w:val="20"/>
              </w:rPr>
              <w:t>uzemského průmyslu dlouhodobě o</w:t>
            </w:r>
            <w:r w:rsidRPr="00291534">
              <w:rPr>
                <w:spacing w:val="-2"/>
                <w:szCs w:val="20"/>
              </w:rPr>
              <w:t> více než 10</w:t>
            </w:r>
            <w:r w:rsidR="006E33D0">
              <w:rPr>
                <w:spacing w:val="-2"/>
                <w:szCs w:val="20"/>
              </w:rPr>
              <w:t> p. b.</w:t>
            </w:r>
            <w:r w:rsidRPr="00291534">
              <w:rPr>
                <w:spacing w:val="-2"/>
                <w:szCs w:val="20"/>
              </w:rPr>
              <w:t xml:space="preserve"> nižší nežli </w:t>
            </w:r>
            <w:r w:rsidR="00C25E4B">
              <w:rPr>
                <w:spacing w:val="-2"/>
                <w:szCs w:val="20"/>
              </w:rPr>
              <w:t>v </w:t>
            </w:r>
            <w:r w:rsidRPr="00291534">
              <w:rPr>
                <w:spacing w:val="-2"/>
                <w:szCs w:val="20"/>
              </w:rPr>
              <w:t>případě ukazatele produkce. Je tomu tak zejména proto, že průmysl ve srovnání s ostatními odvětvími ekonomiky tradičně vykazuje vyšší podíl mezispotřeby na celkové produkci</w:t>
            </w:r>
            <w:r w:rsidRPr="00291534">
              <w:rPr>
                <w:rStyle w:val="Znakapoznpodarou"/>
                <w:spacing w:val="-2"/>
              </w:rPr>
              <w:footnoteReference w:id="3"/>
            </w:r>
            <w:r w:rsidRPr="00291534">
              <w:rPr>
                <w:spacing w:val="-2"/>
                <w:szCs w:val="20"/>
              </w:rPr>
              <w:t xml:space="preserve">, což souvisí </w:t>
            </w:r>
            <w:r w:rsidR="00C25E4B">
              <w:rPr>
                <w:spacing w:val="-2"/>
                <w:szCs w:val="20"/>
              </w:rPr>
              <w:t>mimo jiné</w:t>
            </w:r>
            <w:r w:rsidRPr="00291534">
              <w:rPr>
                <w:spacing w:val="-2"/>
                <w:szCs w:val="20"/>
              </w:rPr>
              <w:t xml:space="preserve"> </w:t>
            </w:r>
            <w:r w:rsidR="00307E77" w:rsidRPr="00291534">
              <w:rPr>
                <w:spacing w:val="-2"/>
                <w:szCs w:val="20"/>
              </w:rPr>
              <w:t>s</w:t>
            </w:r>
            <w:r w:rsidR="00307E77">
              <w:rPr>
                <w:spacing w:val="-2"/>
                <w:szCs w:val="20"/>
              </w:rPr>
              <w:t> </w:t>
            </w:r>
            <w:r w:rsidRPr="00291534">
              <w:rPr>
                <w:spacing w:val="-2"/>
                <w:szCs w:val="20"/>
              </w:rPr>
              <w:t xml:space="preserve">vyšší </w:t>
            </w:r>
            <w:r w:rsidR="00343A8A" w:rsidRPr="00291534">
              <w:rPr>
                <w:spacing w:val="-2"/>
                <w:szCs w:val="20"/>
              </w:rPr>
              <w:t>materiál</w:t>
            </w:r>
            <w:r w:rsidR="00343A8A">
              <w:rPr>
                <w:spacing w:val="-2"/>
                <w:szCs w:val="20"/>
              </w:rPr>
              <w:t>ovou</w:t>
            </w:r>
            <w:r w:rsidR="00343A8A" w:rsidRPr="00291534">
              <w:rPr>
                <w:spacing w:val="-2"/>
                <w:szCs w:val="20"/>
              </w:rPr>
              <w:t xml:space="preserve"> </w:t>
            </w:r>
            <w:r w:rsidR="00307E77" w:rsidRPr="00291534">
              <w:rPr>
                <w:spacing w:val="-2"/>
                <w:szCs w:val="20"/>
              </w:rPr>
              <w:t>i</w:t>
            </w:r>
            <w:r w:rsidR="00307E77">
              <w:rPr>
                <w:spacing w:val="-2"/>
                <w:szCs w:val="20"/>
              </w:rPr>
              <w:t> </w:t>
            </w:r>
            <w:r w:rsidRPr="00291534">
              <w:rPr>
                <w:spacing w:val="-2"/>
                <w:szCs w:val="20"/>
              </w:rPr>
              <w:t xml:space="preserve">energetickou náročností řady průmyslových oborů (např. chemie, </w:t>
            </w:r>
            <w:r w:rsidRPr="00291534">
              <w:rPr>
                <w:spacing w:val="-2"/>
                <w:szCs w:val="20"/>
              </w:rPr>
              <w:lastRenderedPageBreak/>
              <w:t>petrochemie, hutnictví</w:t>
            </w:r>
            <w:r>
              <w:rPr>
                <w:spacing w:val="-2"/>
                <w:szCs w:val="20"/>
              </w:rPr>
              <w:t xml:space="preserve"> </w:t>
            </w:r>
            <w:r w:rsidR="00307E77">
              <w:rPr>
                <w:spacing w:val="-2"/>
                <w:szCs w:val="20"/>
              </w:rPr>
              <w:t>a </w:t>
            </w:r>
            <w:r>
              <w:rPr>
                <w:spacing w:val="-2"/>
                <w:szCs w:val="20"/>
              </w:rPr>
              <w:t>slévárenství, potravinářství), ale rovněž s</w:t>
            </w:r>
            <w:r w:rsidRPr="00291534">
              <w:rPr>
                <w:spacing w:val="-2"/>
                <w:szCs w:val="20"/>
              </w:rPr>
              <w:t xml:space="preserve"> náročností z hlediska pracovních nákladů (výroba dopravních prostředků). Na rozdíl od produkce lze </w:t>
            </w:r>
            <w:r w:rsidR="00307E77" w:rsidRPr="00291534">
              <w:rPr>
                <w:spacing w:val="-2"/>
                <w:szCs w:val="20"/>
              </w:rPr>
              <w:t>u</w:t>
            </w:r>
            <w:r w:rsidR="00307E77">
              <w:rPr>
                <w:spacing w:val="-2"/>
                <w:szCs w:val="20"/>
              </w:rPr>
              <w:t> </w:t>
            </w:r>
            <w:r w:rsidRPr="00291534">
              <w:rPr>
                <w:spacing w:val="-2"/>
                <w:szCs w:val="20"/>
              </w:rPr>
              <w:t>přidané hodnoty pozorovat velmi mírně sestupný trend role průmyslu v</w:t>
            </w:r>
            <w:r w:rsidR="00C25E4B">
              <w:rPr>
                <w:spacing w:val="-2"/>
                <w:szCs w:val="20"/>
              </w:rPr>
              <w:t> </w:t>
            </w:r>
            <w:r w:rsidRPr="00291534">
              <w:rPr>
                <w:spacing w:val="-2"/>
                <w:szCs w:val="20"/>
              </w:rPr>
              <w:t>ekonomice</w:t>
            </w:r>
            <w:r w:rsidR="00C25E4B">
              <w:rPr>
                <w:spacing w:val="-2"/>
                <w:szCs w:val="20"/>
              </w:rPr>
              <w:t>,</w:t>
            </w:r>
            <w:r w:rsidRPr="00291534">
              <w:rPr>
                <w:spacing w:val="-2"/>
                <w:szCs w:val="20"/>
              </w:rPr>
              <w:t xml:space="preserve"> patrný např. v posledních čtyřech letech (podíl průmyslu </w:t>
            </w:r>
            <w:r w:rsidRPr="003D0492">
              <w:rPr>
                <w:spacing w:val="-3"/>
                <w:szCs w:val="20"/>
              </w:rPr>
              <w:t>na celkové HPH sestoupil v roce 2019 k 29</w:t>
            </w:r>
            <w:r w:rsidR="006E33D0">
              <w:rPr>
                <w:spacing w:val="-3"/>
                <w:szCs w:val="20"/>
              </w:rPr>
              <w:t> %</w:t>
            </w:r>
            <w:r w:rsidRPr="003D0492">
              <w:rPr>
                <w:spacing w:val="-3"/>
                <w:szCs w:val="20"/>
              </w:rPr>
              <w:t>, zatímco v roce 2015 dosahoval téměř 32</w:t>
            </w:r>
            <w:r w:rsidR="006E33D0">
              <w:rPr>
                <w:spacing w:val="-3"/>
                <w:szCs w:val="20"/>
              </w:rPr>
              <w:t> %</w:t>
            </w:r>
            <w:r w:rsidRPr="003D0492">
              <w:rPr>
                <w:spacing w:val="-3"/>
                <w:szCs w:val="20"/>
              </w:rPr>
              <w:t xml:space="preserve">). </w:t>
            </w:r>
          </w:p>
        </w:tc>
      </w:tr>
      <w:tr w:rsidR="00097078" w14:paraId="2195DAF9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09BC5" w14:textId="376B7AEA" w:rsidR="00097078" w:rsidRDefault="00097078" w:rsidP="00044059">
            <w:pPr>
              <w:pStyle w:val="Marginlie"/>
            </w:pPr>
            <w:r>
              <w:lastRenderedPageBreak/>
              <w:t>Průmysl soustřeďoval 28,5</w:t>
            </w:r>
            <w:r w:rsidR="006E33D0">
              <w:t> %</w:t>
            </w:r>
            <w:r>
              <w:t xml:space="preserve"> pracovníků z celé ekonomiky, u zaměstnaneckého segmentu šlo </w:t>
            </w:r>
            <w:r w:rsidR="00307E77">
              <w:t>o </w:t>
            </w:r>
            <w:r>
              <w:t>30,4</w:t>
            </w:r>
            <w:r w:rsidR="006E33D0">
              <w:t> %</w:t>
            </w:r>
            <w:r>
              <w:t>.</w:t>
            </w:r>
          </w:p>
          <w:p w14:paraId="66E4A988" w14:textId="77777777" w:rsidR="00097078" w:rsidRDefault="00097078" w:rsidP="00044059">
            <w:pPr>
              <w:pStyle w:val="Marginlie"/>
            </w:pPr>
          </w:p>
          <w:p w14:paraId="6D48C5DB" w14:textId="77777777" w:rsidR="00097078" w:rsidRDefault="00097078" w:rsidP="00044059">
            <w:pPr>
              <w:pStyle w:val="Marginlie"/>
            </w:pPr>
          </w:p>
          <w:p w14:paraId="1BDB61A4" w14:textId="77777777" w:rsidR="00097078" w:rsidRDefault="00097078" w:rsidP="00044059">
            <w:pPr>
              <w:pStyle w:val="Marginlie"/>
            </w:pPr>
          </w:p>
          <w:p w14:paraId="4A3D8674" w14:textId="77777777" w:rsidR="00097078" w:rsidRDefault="00097078" w:rsidP="00044059">
            <w:pPr>
              <w:pStyle w:val="Marginlie"/>
            </w:pPr>
          </w:p>
          <w:p w14:paraId="355BDA9F" w14:textId="77777777" w:rsidR="00097078" w:rsidRDefault="00097078" w:rsidP="00044059">
            <w:pPr>
              <w:pStyle w:val="Marginlie"/>
            </w:pPr>
            <w:r>
              <w:t>Po většinu poslední dekády váha průmyslu na celkové zaměstnanosti mírně rostla</w:t>
            </w:r>
          </w:p>
          <w:p w14:paraId="1FDECE5F" w14:textId="6B318902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FC65D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9ABF0" w14:textId="3C96DDE5" w:rsidR="00097078" w:rsidRPr="002A19ED" w:rsidRDefault="00097078" w:rsidP="00044059">
            <w:pPr>
              <w:spacing w:after="220"/>
              <w:rPr>
                <w:szCs w:val="20"/>
              </w:rPr>
            </w:pPr>
            <w:r>
              <w:rPr>
                <w:szCs w:val="20"/>
              </w:rPr>
              <w:t xml:space="preserve">Vzhledem k výše uvedenému není překvapivé, že průmysl plní roli jednoho ze stěžejních zaměstnavatelů v celé ekonomice. Přestože v Česku koncentruje v současnosti ve </w:t>
            </w:r>
            <w:r w:rsidR="00EC1470">
              <w:rPr>
                <w:szCs w:val="20"/>
              </w:rPr>
              <w:t>srovnání s terciárním</w:t>
            </w:r>
            <w:r>
              <w:rPr>
                <w:szCs w:val="20"/>
              </w:rPr>
              <w:t xml:space="preserve"> sektorem služeb ani ne polovinu pracovníků, má oproti nim výhodu v poměrně rovnoměrném rozmístění pracovních míst. Zejména v některých vyspělých segmentech tržních služeb (např. IT, finančnictví, profesní</w:t>
            </w:r>
            <w:r w:rsidR="0062148D">
              <w:rPr>
                <w:szCs w:val="20"/>
              </w:rPr>
              <w:t>,</w:t>
            </w:r>
            <w:r>
              <w:rPr>
                <w:szCs w:val="20"/>
              </w:rPr>
              <w:t xml:space="preserve"> vědecké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 xml:space="preserve">technické činnosti) je totiž pracovní síla tradičně soustředěna převážně v oblasti největších městských aglomerací. Celkem bylo v roce 2019 </w:t>
            </w:r>
            <w:r w:rsidR="00307E77">
              <w:rPr>
                <w:szCs w:val="20"/>
              </w:rPr>
              <w:t>v </w:t>
            </w:r>
            <w:r>
              <w:rPr>
                <w:szCs w:val="20"/>
              </w:rPr>
              <w:t>průmyslu zaměstnáno 1 517</w:t>
            </w:r>
            <w:r w:rsidR="006E33D0">
              <w:rPr>
                <w:szCs w:val="20"/>
              </w:rPr>
              <w:t> tis.</w:t>
            </w:r>
            <w:r>
              <w:rPr>
                <w:szCs w:val="20"/>
              </w:rPr>
              <w:t xml:space="preserve"> osob</w:t>
            </w:r>
            <w:r>
              <w:rPr>
                <w:rStyle w:val="Znakapoznpodarou"/>
              </w:rPr>
              <w:footnoteReference w:id="4"/>
            </w:r>
            <w:r>
              <w:rPr>
                <w:szCs w:val="20"/>
              </w:rPr>
              <w:t>, což tvořilo 28,5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 z celého národního hospodářství. Zatímco za poslední dekádu váha průmyslu celkově mírně rostla, v předešlých dvou desetiletích docházelo zejména vlivem transformačních změn k jeho mírnému relativnímu oslabování. Vedle významných odvětvových posunů se </w:t>
            </w:r>
            <w:r w:rsidR="00307E77">
              <w:rPr>
                <w:szCs w:val="20"/>
              </w:rPr>
              <w:t>v </w:t>
            </w:r>
            <w:r>
              <w:rPr>
                <w:szCs w:val="20"/>
              </w:rPr>
              <w:t xml:space="preserve">tomto období rovněž měnil poměr mezi počtem zaměstnanců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>sebezaměstnaných (pokles počtu zaměstnanců byl zpravidla jen částečně kompenzován rozvojem drobného podnikání). Navzdory tomu, že podíl sebezaměstnaných dlouhodobě narůstal, tvořila tato</w:t>
            </w:r>
            <w:r w:rsidR="0062148D">
              <w:rPr>
                <w:szCs w:val="20"/>
              </w:rPr>
              <w:t xml:space="preserve"> skupina</w:t>
            </w:r>
            <w:r>
              <w:rPr>
                <w:szCs w:val="20"/>
              </w:rPr>
              <w:t xml:space="preserve"> v roce 2019 pouze 8,0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 všech pracovníků průmyslu</w:t>
            </w:r>
            <w:r w:rsidR="0062148D">
              <w:rPr>
                <w:szCs w:val="20"/>
              </w:rPr>
              <w:t> </w:t>
            </w:r>
            <w:r>
              <w:rPr>
                <w:szCs w:val="20"/>
              </w:rPr>
              <w:t xml:space="preserve">– téměř </w:t>
            </w:r>
            <w:r w:rsidR="00307E77">
              <w:rPr>
                <w:szCs w:val="20"/>
              </w:rPr>
              <w:t>o </w:t>
            </w:r>
            <w:r>
              <w:rPr>
                <w:szCs w:val="20"/>
              </w:rPr>
              <w:t xml:space="preserve">polovinu méně než </w:t>
            </w:r>
            <w:r w:rsidR="00307E77">
              <w:rPr>
                <w:szCs w:val="20"/>
              </w:rPr>
              <w:t>v </w:t>
            </w:r>
            <w:r>
              <w:rPr>
                <w:szCs w:val="20"/>
              </w:rPr>
              <w:t>celé ekonomice (13,9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>). Není tedy překvapivé, že váha průmyslu v ekonomice je zvýrazněna právě v počtu zaměstnanců (30,4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 </w:t>
            </w:r>
            <w:r w:rsidR="00307E77">
              <w:rPr>
                <w:szCs w:val="20"/>
              </w:rPr>
              <w:t>v </w:t>
            </w:r>
            <w:r>
              <w:rPr>
                <w:szCs w:val="20"/>
              </w:rPr>
              <w:t>roce 2019).</w:t>
            </w:r>
          </w:p>
        </w:tc>
      </w:tr>
      <w:tr w:rsidR="00097078" w14:paraId="4523AEBA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E528F" w14:textId="4BD20CDA" w:rsidR="00097078" w:rsidRDefault="00097078" w:rsidP="00044059">
            <w:pPr>
              <w:pStyle w:val="Marginlie"/>
            </w:pPr>
            <w:r>
              <w:t xml:space="preserve">Průměrná výše mezd v průmyslu se pohybovala mírně pod úrovní celé ekonomiky. </w:t>
            </w:r>
            <w:r w:rsidR="00642FB8">
              <w:t xml:space="preserve">Obdobně to </w:t>
            </w:r>
            <w:r>
              <w:t xml:space="preserve">platilo v posledních dvou letech </w:t>
            </w:r>
            <w:r w:rsidR="00307E77">
              <w:t>i </w:t>
            </w:r>
            <w:r>
              <w:t>pro mzdovou dynamiku.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F219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15AC3" w14:textId="75D3F46B" w:rsidR="00097078" w:rsidRDefault="00307E77" w:rsidP="00044059">
            <w:pPr>
              <w:spacing w:after="220"/>
              <w:rPr>
                <w:szCs w:val="20"/>
              </w:rPr>
            </w:pPr>
            <w:r>
              <w:rPr>
                <w:szCs w:val="20"/>
              </w:rPr>
              <w:t>V </w:t>
            </w:r>
            <w:r w:rsidR="00097078">
              <w:rPr>
                <w:szCs w:val="20"/>
              </w:rPr>
              <w:t>roce 2019 připadalo na průmysl 29,7</w:t>
            </w:r>
            <w:r w:rsidR="006E33D0">
              <w:rPr>
                <w:szCs w:val="20"/>
              </w:rPr>
              <w:t> %</w:t>
            </w:r>
            <w:r w:rsidR="00097078">
              <w:rPr>
                <w:szCs w:val="20"/>
              </w:rPr>
              <w:t xml:space="preserve"> objemu mezd </w:t>
            </w:r>
            <w:r>
              <w:rPr>
                <w:szCs w:val="20"/>
              </w:rPr>
              <w:t>a </w:t>
            </w:r>
            <w:r w:rsidR="00097078">
              <w:rPr>
                <w:szCs w:val="20"/>
              </w:rPr>
              <w:t>platů</w:t>
            </w:r>
            <w:r w:rsidR="00097078">
              <w:rPr>
                <w:rStyle w:val="Znakapoznpodarou"/>
              </w:rPr>
              <w:footnoteReference w:id="5"/>
            </w:r>
            <w:r w:rsidR="00097078">
              <w:rPr>
                <w:szCs w:val="20"/>
              </w:rPr>
              <w:t xml:space="preserve"> vyplacených v celém národním hospodářství</w:t>
            </w:r>
            <w:r w:rsidR="00642FB8">
              <w:rPr>
                <w:szCs w:val="20"/>
              </w:rPr>
              <w:t>,</w:t>
            </w:r>
            <w:r w:rsidR="00097078">
              <w:rPr>
                <w:szCs w:val="20"/>
              </w:rPr>
              <w:t xml:space="preserve"> </w:t>
            </w:r>
            <w:r>
              <w:rPr>
                <w:szCs w:val="20"/>
              </w:rPr>
              <w:t>a </w:t>
            </w:r>
            <w:r w:rsidR="00097078">
              <w:rPr>
                <w:szCs w:val="20"/>
              </w:rPr>
              <w:t xml:space="preserve">šlo tedy </w:t>
            </w:r>
            <w:r>
              <w:rPr>
                <w:szCs w:val="20"/>
              </w:rPr>
              <w:t>o </w:t>
            </w:r>
            <w:r w:rsidR="00097078">
              <w:rPr>
                <w:szCs w:val="20"/>
              </w:rPr>
              <w:t>nepatrně nižší podíl než v případě počtu samotných zaměstnanců. Tento vztah platí v historii samostatné ČR dlouhodobě, pouze v </w:t>
            </w:r>
            <w:r w:rsidR="00642FB8">
              <w:rPr>
                <w:szCs w:val="20"/>
              </w:rPr>
              <w:t>letech</w:t>
            </w:r>
            <w:r w:rsidR="00097078">
              <w:rPr>
                <w:szCs w:val="20"/>
              </w:rPr>
              <w:t xml:space="preserve"> 2011 až 2017 byly váhy počtu zaměstnanců </w:t>
            </w:r>
            <w:r>
              <w:rPr>
                <w:szCs w:val="20"/>
              </w:rPr>
              <w:t>s </w:t>
            </w:r>
            <w:r w:rsidR="00097078">
              <w:rPr>
                <w:szCs w:val="20"/>
              </w:rPr>
              <w:t xml:space="preserve">váhami objemu vyplacených mezd v celé ekonomice prakticky totožné. V letech 2018 </w:t>
            </w:r>
            <w:r w:rsidR="00642FB8">
              <w:rPr>
                <w:szCs w:val="20"/>
              </w:rPr>
              <w:t>a </w:t>
            </w:r>
            <w:r w:rsidR="00097078">
              <w:rPr>
                <w:szCs w:val="20"/>
              </w:rPr>
              <w:t xml:space="preserve">2019 je mezi těmito ukazateli patrné jisté rozevírání nůžek, což potvrzují </w:t>
            </w:r>
            <w:r>
              <w:rPr>
                <w:szCs w:val="20"/>
              </w:rPr>
              <w:t>i </w:t>
            </w:r>
            <w:r w:rsidR="00097078">
              <w:rPr>
                <w:szCs w:val="20"/>
              </w:rPr>
              <w:t>údaje z podnikových stati</w:t>
            </w:r>
            <w:r w:rsidR="00642FB8">
              <w:rPr>
                <w:szCs w:val="20"/>
              </w:rPr>
              <w:t>sti</w:t>
            </w:r>
            <w:r w:rsidR="00097078">
              <w:rPr>
                <w:szCs w:val="20"/>
              </w:rPr>
              <w:t>k, neboť růstová tempa průměrných mezd v průmyslu za tempy v celé ekonomice zaostávala. To platilo rovněž pro dosaženou úroveň průměrných výdělků.</w:t>
            </w:r>
          </w:p>
        </w:tc>
      </w:tr>
      <w:tr w:rsidR="00097078" w14:paraId="23251E60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2DEC7" w14:textId="77777777" w:rsidR="00097078" w:rsidRDefault="00097078" w:rsidP="00044059">
            <w:pPr>
              <w:pStyle w:val="Marginlie"/>
            </w:pPr>
            <w:r>
              <w:t>Výdaje na tvorbu hrubého fixního kapitálu v průmyslu představovaly téměř polovinu investiční aktivity sektoru nefinančních podniků.</w:t>
            </w:r>
          </w:p>
          <w:p w14:paraId="74593D86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A3797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363B7" w14:textId="0B5F6FA8" w:rsidR="00097078" w:rsidRDefault="00097078" w:rsidP="00044059">
            <w:pPr>
              <w:spacing w:after="220"/>
              <w:rPr>
                <w:szCs w:val="20"/>
              </w:rPr>
            </w:pPr>
            <w:r>
              <w:rPr>
                <w:szCs w:val="20"/>
              </w:rPr>
              <w:t>Průmysl je také jedním z nejvýznamnějších odvětví přispívajících k technologickému rozvoji celé ekonomiky. Výdaje na tvorbu hrubého fixního kapitálu, představující v užším slova smyslu investiční aktivitu, čítaly v roce 2019 v průmyslu v běžných cenách 446</w:t>
            </w:r>
            <w:r w:rsidR="006E33D0">
              <w:rPr>
                <w:szCs w:val="20"/>
              </w:rPr>
              <w:t> mld.</w:t>
            </w:r>
            <w:r>
              <w:rPr>
                <w:szCs w:val="20"/>
              </w:rPr>
              <w:t xml:space="preserve"> korun. To představovalo bezmála polovinu objemu investiční aktivity nefinančních podniků </w:t>
            </w:r>
            <w:r w:rsidR="00307E77">
              <w:rPr>
                <w:szCs w:val="20"/>
              </w:rPr>
              <w:t>a o </w:t>
            </w:r>
            <w:r>
              <w:rPr>
                <w:szCs w:val="20"/>
              </w:rPr>
              <w:t>80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 vyšší objem investic než v celém sektoru vládních institucí. Průmysl se v roce 2019 podílel na investiční aktivitě národního hospodářství 29,6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>, což byla druhá nejnižší hodnota v celé poslední dekádě. Naopak nejvyšší podíl vykázal v této dekádě průmysl v roce 2013 (32,3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>), což souviselo s citelným oslabením investiční aktivity ostatních sektorů ekonomiky v době recese</w:t>
            </w:r>
            <w:r w:rsidR="004528F0">
              <w:rPr>
                <w:szCs w:val="20"/>
              </w:rPr>
              <w:t> </w:t>
            </w:r>
            <w:r>
              <w:rPr>
                <w:szCs w:val="20"/>
              </w:rPr>
              <w:t xml:space="preserve">– zejména vládního sektoru (vlivem fiskální konsolidace), zčásti </w:t>
            </w:r>
            <w:r w:rsidR="00307E77">
              <w:rPr>
                <w:szCs w:val="20"/>
              </w:rPr>
              <w:t>i </w:t>
            </w:r>
            <w:r>
              <w:rPr>
                <w:szCs w:val="20"/>
              </w:rPr>
              <w:t>sektoru domácností (pokles investic do obydlí). Investiční aktivita je obecně spojena s výraznou cykličností. Při pohledu na dlouhodobý vývoj průmyslu k tomu přistupuje ještě faktor hluboké transformace v 9</w:t>
            </w:r>
            <w:r w:rsidR="00307E77">
              <w:rPr>
                <w:szCs w:val="20"/>
              </w:rPr>
              <w:t>0. </w:t>
            </w:r>
            <w:r>
              <w:rPr>
                <w:szCs w:val="20"/>
              </w:rPr>
              <w:t xml:space="preserve">letech </w:t>
            </w:r>
            <w:r w:rsidR="004528F0">
              <w:rPr>
                <w:szCs w:val="20"/>
              </w:rPr>
              <w:t xml:space="preserve">spojené </w:t>
            </w:r>
            <w:r>
              <w:rPr>
                <w:szCs w:val="20"/>
              </w:rPr>
              <w:t xml:space="preserve">se zásadní proměnou vlastnické struktury podniků </w:t>
            </w:r>
            <w:r w:rsidR="00307E77">
              <w:rPr>
                <w:szCs w:val="20"/>
              </w:rPr>
              <w:t>i </w:t>
            </w:r>
            <w:r>
              <w:rPr>
                <w:szCs w:val="20"/>
              </w:rPr>
              <w:t>postupným přílivem zahraničního kapitálu. Průmysl v této dekádě koncentroval až 40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 veškerých fixních investic v ekonomice. Míra investic, vyjádřená jako podíl tvorby hrubého fixního kapitálu na vytvořené hrubé přidané hodnotě, převyšovala v průmyslu v letech 1993 až 2000 úroveň celé ekonomiky bezmála </w:t>
            </w:r>
            <w:r w:rsidR="00307E77">
              <w:rPr>
                <w:szCs w:val="20"/>
              </w:rPr>
              <w:t>o </w:t>
            </w:r>
            <w:r>
              <w:rPr>
                <w:szCs w:val="20"/>
              </w:rPr>
              <w:t>pětinu.</w:t>
            </w:r>
          </w:p>
        </w:tc>
      </w:tr>
      <w:tr w:rsidR="00097078" w14:paraId="1F2BE940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B19DF" w14:textId="32CD8C1A" w:rsidR="00097078" w:rsidRDefault="00097078" w:rsidP="00044059">
            <w:pPr>
              <w:pStyle w:val="Marginlie"/>
            </w:pPr>
            <w:r>
              <w:lastRenderedPageBreak/>
              <w:t xml:space="preserve">Silný význam průmyslových investic je dlouhodobě patrný především v oblasti strojů </w:t>
            </w:r>
            <w:r w:rsidR="00307E77">
              <w:t>a </w:t>
            </w:r>
            <w:r>
              <w:t>zařízení, ICT a také ve vědě a výzkumu.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C6769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81A76" w14:textId="76DF1D46" w:rsidR="00097078" w:rsidRDefault="00097078" w:rsidP="00044059">
            <w:pPr>
              <w:spacing w:after="220"/>
              <w:rPr>
                <w:szCs w:val="20"/>
              </w:rPr>
            </w:pPr>
            <w:r>
              <w:rPr>
                <w:szCs w:val="20"/>
              </w:rPr>
              <w:t xml:space="preserve">Zvláště silný význam nabývá investiční aktivita odvětví průmyslu v oblasti </w:t>
            </w:r>
            <w:r w:rsidRPr="0049682F">
              <w:rPr>
                <w:szCs w:val="20"/>
              </w:rPr>
              <w:t>informační</w:t>
            </w:r>
            <w:r>
              <w:rPr>
                <w:szCs w:val="20"/>
              </w:rPr>
              <w:t>ch</w:t>
            </w:r>
            <w:r w:rsidRPr="0049682F">
              <w:rPr>
                <w:szCs w:val="20"/>
              </w:rPr>
              <w:t xml:space="preserve"> </w:t>
            </w:r>
            <w:r w:rsidR="00307E77" w:rsidRPr="0049682F">
              <w:rPr>
                <w:szCs w:val="20"/>
              </w:rPr>
              <w:t>a</w:t>
            </w:r>
            <w:r w:rsidR="00307E77">
              <w:rPr>
                <w:szCs w:val="20"/>
              </w:rPr>
              <w:t> </w:t>
            </w:r>
            <w:r w:rsidRPr="0049682F">
              <w:rPr>
                <w:szCs w:val="20"/>
              </w:rPr>
              <w:t>komunikační</w:t>
            </w:r>
            <w:r>
              <w:rPr>
                <w:szCs w:val="20"/>
              </w:rPr>
              <w:t xml:space="preserve">ch technologií (ICT), ostatních strojů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>zařízení (mimo d</w:t>
            </w:r>
            <w:r w:rsidRPr="0049682F">
              <w:rPr>
                <w:szCs w:val="20"/>
              </w:rPr>
              <w:t xml:space="preserve">opravní prostředky </w:t>
            </w:r>
            <w:r w:rsidR="00307E77" w:rsidRPr="0049682F">
              <w:rPr>
                <w:szCs w:val="20"/>
              </w:rPr>
              <w:t>a</w:t>
            </w:r>
            <w:r w:rsidR="00307E77">
              <w:rPr>
                <w:szCs w:val="20"/>
              </w:rPr>
              <w:t> </w:t>
            </w:r>
            <w:r w:rsidRPr="0049682F">
              <w:rPr>
                <w:szCs w:val="20"/>
              </w:rPr>
              <w:t>zařízení</w:t>
            </w:r>
            <w:r>
              <w:rPr>
                <w:szCs w:val="20"/>
              </w:rPr>
              <w:t xml:space="preserve">)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 xml:space="preserve">také ve sféře vědy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>výzkumu. Ve všech těchto oblastech převyšoval v roce 2018 podíl průmyslu na celé ekonom</w:t>
            </w:r>
            <w:r w:rsidR="00642FB8">
              <w:rPr>
                <w:szCs w:val="20"/>
              </w:rPr>
              <w:t>i</w:t>
            </w:r>
            <w:r>
              <w:rPr>
                <w:szCs w:val="20"/>
              </w:rPr>
              <w:t xml:space="preserve">ce 50% úroveň. Na celkových výdajích na vědu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>výzkum realizovaných v podnikatelském sektoru se průmysl podílel takřka 55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. Tento podíl zůstává v posledních deseti letech stabilní. Naproti tomu investiční aktivita v oblasti ICT rostla v posledních letech v průmyslových podnicích mnohem dynamičtěji než v ostatních odvětvích, zvláště patrné to bylo v letech 2017 </w:t>
            </w:r>
            <w:r w:rsidR="00D873CC">
              <w:rPr>
                <w:szCs w:val="20"/>
              </w:rPr>
              <w:t>a </w:t>
            </w:r>
            <w:r>
              <w:rPr>
                <w:szCs w:val="20"/>
              </w:rPr>
              <w:t>2018.</w:t>
            </w:r>
          </w:p>
        </w:tc>
      </w:tr>
      <w:tr w:rsidR="00097078" w:rsidRPr="00741856" w14:paraId="65D6CA90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0018E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8A576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089E3" w14:textId="02810E8C" w:rsidR="00097078" w:rsidRPr="00F00A85" w:rsidRDefault="00097078" w:rsidP="00044059">
            <w:pPr>
              <w:spacing w:after="40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szCs w:val="20"/>
              </w:rPr>
              <w:t>Graf</w:t>
            </w:r>
            <w:r w:rsidR="006E33D0">
              <w:rPr>
                <w:b/>
                <w:szCs w:val="20"/>
              </w:rPr>
              <w:t xml:space="preserve"> č. </w:t>
            </w:r>
            <w:r w:rsidR="00307E77">
              <w:rPr>
                <w:b/>
                <w:szCs w:val="20"/>
              </w:rPr>
              <w:t xml:space="preserve">2  </w:t>
            </w:r>
            <w:r>
              <w:rPr>
                <w:b/>
                <w:szCs w:val="20"/>
              </w:rPr>
              <w:t>H</w:t>
            </w:r>
            <w:r w:rsidRPr="000E201C">
              <w:rPr>
                <w:b/>
                <w:szCs w:val="20"/>
              </w:rPr>
              <w:t xml:space="preserve">odnota vývozu </w:t>
            </w:r>
            <w:r w:rsidRPr="00653B94">
              <w:rPr>
                <w:b/>
                <w:szCs w:val="20"/>
              </w:rPr>
              <w:t>průmyslovéh</w:t>
            </w:r>
            <w:r>
              <w:rPr>
                <w:b/>
                <w:szCs w:val="20"/>
              </w:rPr>
              <w:t xml:space="preserve">o zboží </w:t>
            </w:r>
            <w:r w:rsidR="006E33D0">
              <w:rPr>
                <w:b/>
                <w:szCs w:val="20"/>
              </w:rPr>
              <w:t xml:space="preserve">včetně </w:t>
            </w:r>
            <w:r>
              <w:rPr>
                <w:b/>
                <w:szCs w:val="20"/>
              </w:rPr>
              <w:t xml:space="preserve">dopravních prostředků* </w:t>
            </w:r>
            <w:r>
              <w:rPr>
                <w:szCs w:val="20"/>
              </w:rPr>
              <w:t>(v</w:t>
            </w:r>
            <w:r w:rsidR="00307E77">
              <w:rPr>
                <w:b/>
              </w:rPr>
              <w:t> </w:t>
            </w:r>
            <w:r w:rsidR="006E33D0">
              <w:rPr>
                <w:szCs w:val="20"/>
              </w:rPr>
              <w:t>mld.</w:t>
            </w:r>
            <w:r w:rsidRPr="000E201C">
              <w:rPr>
                <w:szCs w:val="20"/>
              </w:rPr>
              <w:t xml:space="preserve"> korun)</w:t>
            </w:r>
            <w:r>
              <w:rPr>
                <w:szCs w:val="20"/>
              </w:rPr>
              <w:t xml:space="preserve"> </w:t>
            </w:r>
            <w:r w:rsidR="00307E77" w:rsidRPr="000E201C">
              <w:rPr>
                <w:b/>
                <w:szCs w:val="20"/>
              </w:rPr>
              <w:t>a</w:t>
            </w:r>
            <w:r w:rsidR="00307E77">
              <w:rPr>
                <w:b/>
                <w:szCs w:val="20"/>
              </w:rPr>
              <w:t> </w:t>
            </w:r>
            <w:r w:rsidRPr="00870947">
              <w:rPr>
                <w:b/>
                <w:szCs w:val="20"/>
              </w:rPr>
              <w:t>podíl, resp.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poměr vývozu zboží </w:t>
            </w:r>
            <w:r w:rsidR="00307E77">
              <w:rPr>
                <w:b/>
                <w:szCs w:val="20"/>
              </w:rPr>
              <w:t>a </w:t>
            </w:r>
            <w:r>
              <w:rPr>
                <w:b/>
                <w:szCs w:val="20"/>
              </w:rPr>
              <w:t xml:space="preserve">služeb </w:t>
            </w:r>
            <w:r w:rsidR="00307E77">
              <w:rPr>
                <w:b/>
                <w:szCs w:val="20"/>
              </w:rPr>
              <w:t>k </w:t>
            </w:r>
            <w:r>
              <w:rPr>
                <w:b/>
                <w:szCs w:val="20"/>
              </w:rPr>
              <w:t xml:space="preserve">celkové produkci </w:t>
            </w:r>
            <w:r w:rsidR="00307E77">
              <w:rPr>
                <w:b/>
                <w:szCs w:val="20"/>
              </w:rPr>
              <w:t>a k </w:t>
            </w:r>
            <w:r>
              <w:rPr>
                <w:b/>
                <w:szCs w:val="20"/>
              </w:rPr>
              <w:t xml:space="preserve">HDP </w:t>
            </w:r>
            <w:r w:rsidR="00307E77">
              <w:rPr>
                <w:b/>
                <w:szCs w:val="20"/>
              </w:rPr>
              <w:t>v </w:t>
            </w:r>
            <w:r w:rsidRPr="00653B94">
              <w:rPr>
                <w:b/>
                <w:szCs w:val="20"/>
              </w:rPr>
              <w:t>ČR</w:t>
            </w:r>
            <w:r w:rsidRPr="00653B94">
              <w:rPr>
                <w:szCs w:val="20"/>
              </w:rPr>
              <w:t xml:space="preserve"> (v</w:t>
            </w:r>
            <w:r w:rsidR="006E33D0">
              <w:rPr>
                <w:sz w:val="16"/>
                <w:szCs w:val="16"/>
              </w:rPr>
              <w:t> %</w:t>
            </w:r>
            <w:r w:rsidRPr="00653B94">
              <w:rPr>
                <w:sz w:val="16"/>
                <w:szCs w:val="16"/>
              </w:rPr>
              <w:t>)</w:t>
            </w:r>
          </w:p>
        </w:tc>
      </w:tr>
      <w:tr w:rsidR="00097078" w14:paraId="158EE8AE" w14:textId="77777777" w:rsidTr="001B4422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5F550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0F9B1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7F069" w14:textId="4CE71DDE" w:rsidR="00097078" w:rsidRPr="00F00A85" w:rsidRDefault="00654CAC" w:rsidP="00044059">
            <w:pPr>
              <w:spacing w:after="40"/>
              <w:rPr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71AB62" wp14:editId="4D927D7F">
                  <wp:extent cx="4696358" cy="3338830"/>
                  <wp:effectExtent l="0" t="0" r="0" b="0"/>
                  <wp:docPr id="14" name="Graf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097078" w:rsidRPr="00DE574B" w14:paraId="1EE12B2F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10A7E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C4EDA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9DB30" w14:textId="0EF15823" w:rsidR="00097078" w:rsidRDefault="00097078" w:rsidP="0004405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307E77">
              <w:rPr>
                <w:sz w:val="16"/>
                <w:szCs w:val="16"/>
              </w:rPr>
              <w:t>V </w:t>
            </w:r>
            <w:r>
              <w:rPr>
                <w:sz w:val="16"/>
                <w:szCs w:val="16"/>
              </w:rPr>
              <w:t>hodnotách FOB (</w:t>
            </w:r>
            <w:r w:rsidRPr="000E201C">
              <w:rPr>
                <w:sz w:val="16"/>
                <w:szCs w:val="16"/>
              </w:rPr>
              <w:t xml:space="preserve">vlastní hodnota zboží </w:t>
            </w:r>
            <w:r w:rsidR="00307E77" w:rsidRPr="000E201C">
              <w:rPr>
                <w:sz w:val="16"/>
                <w:szCs w:val="16"/>
              </w:rPr>
              <w:t>a</w:t>
            </w:r>
            <w:r w:rsidR="00307E77">
              <w:rPr>
                <w:sz w:val="16"/>
                <w:szCs w:val="16"/>
              </w:rPr>
              <w:t> </w:t>
            </w:r>
            <w:r w:rsidRPr="000E201C">
              <w:rPr>
                <w:sz w:val="16"/>
                <w:szCs w:val="16"/>
              </w:rPr>
              <w:t>přímé obchodní náklady s</w:t>
            </w:r>
            <w:r>
              <w:rPr>
                <w:sz w:val="16"/>
                <w:szCs w:val="16"/>
              </w:rPr>
              <w:t xml:space="preserve">pojené </w:t>
            </w:r>
            <w:r w:rsidR="00307E77">
              <w:rPr>
                <w:sz w:val="16"/>
                <w:szCs w:val="16"/>
              </w:rPr>
              <w:t>s </w:t>
            </w:r>
            <w:r>
              <w:rPr>
                <w:sz w:val="16"/>
                <w:szCs w:val="16"/>
              </w:rPr>
              <w:t>dopravou na hranice ČR).</w:t>
            </w:r>
          </w:p>
          <w:p w14:paraId="0C8A79B0" w14:textId="44AEBDF0" w:rsidR="00097078" w:rsidRDefault="00097078" w:rsidP="0004405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Poznámka: </w:t>
            </w:r>
            <w:r w:rsidR="00D873CC">
              <w:rPr>
                <w:sz w:val="16"/>
                <w:szCs w:val="16"/>
              </w:rPr>
              <w:t xml:space="preserve">Čísla </w:t>
            </w:r>
            <w:r w:rsidR="00307E77">
              <w:rPr>
                <w:sz w:val="16"/>
                <w:szCs w:val="16"/>
              </w:rPr>
              <w:t>u </w:t>
            </w:r>
            <w:r>
              <w:rPr>
                <w:sz w:val="16"/>
                <w:szCs w:val="16"/>
              </w:rPr>
              <w:t>sloupců udávají podíl dopravních prostředků na hodnotě vývozu veškerého průmyslového zboží z ČR.</w:t>
            </w:r>
          </w:p>
          <w:p w14:paraId="376AFFB9" w14:textId="77777777" w:rsidR="00097078" w:rsidRPr="000E201C" w:rsidRDefault="00097078" w:rsidP="00044059">
            <w:pPr>
              <w:spacing w:after="220"/>
              <w:rPr>
                <w:sz w:val="16"/>
                <w:szCs w:val="16"/>
              </w:rPr>
            </w:pPr>
            <w:r w:rsidRPr="00741856">
              <w:rPr>
                <w:sz w:val="16"/>
                <w:szCs w:val="16"/>
              </w:rPr>
              <w:t>Zdroj</w:t>
            </w:r>
            <w:r>
              <w:rPr>
                <w:sz w:val="16"/>
                <w:szCs w:val="16"/>
              </w:rPr>
              <w:t>: ČSÚ (národní účty), statistika zahraničního obchodu (vývoz zboží v absolutním vyjádření)</w:t>
            </w:r>
          </w:p>
        </w:tc>
      </w:tr>
      <w:tr w:rsidR="00097078" w:rsidRPr="00F00A85" w14:paraId="19564611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26EC9" w14:textId="3D840829" w:rsidR="00097078" w:rsidRDefault="00097078" w:rsidP="00044059">
            <w:pPr>
              <w:pStyle w:val="Marginlie"/>
            </w:pPr>
            <w:r>
              <w:t>Poměr exportu k HDP v roce 2019 dosáhl v Česku 75</w:t>
            </w:r>
            <w:r w:rsidR="006E33D0">
              <w:t> %</w:t>
            </w:r>
            <w:r>
              <w:t>. Nejvyšší byl před pěti lety v době počínajícího hospodářského oživení.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0DE26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73C70" w14:textId="3D206BE1" w:rsidR="00097078" w:rsidRPr="00F00A85" w:rsidRDefault="00097078" w:rsidP="00044059">
            <w:pPr>
              <w:spacing w:after="220"/>
              <w:rPr>
                <w:szCs w:val="20"/>
              </w:rPr>
            </w:pPr>
            <w:r>
              <w:rPr>
                <w:szCs w:val="20"/>
              </w:rPr>
              <w:t xml:space="preserve">Vzhledem </w:t>
            </w:r>
            <w:r w:rsidR="00307E77">
              <w:rPr>
                <w:szCs w:val="20"/>
              </w:rPr>
              <w:t>k </w:t>
            </w:r>
            <w:r>
              <w:rPr>
                <w:szCs w:val="20"/>
              </w:rPr>
              <w:t xml:space="preserve">výhodné geografické poloze Česka vůči významným odbytištím v rámci EU, menší velikosti tuzemského trhu </w:t>
            </w:r>
            <w:r w:rsidR="00307E77">
              <w:rPr>
                <w:szCs w:val="20"/>
              </w:rPr>
              <w:t>i </w:t>
            </w:r>
            <w:r>
              <w:rPr>
                <w:szCs w:val="20"/>
              </w:rPr>
              <w:t xml:space="preserve">silnému zastoupení podniků pod zahraniční kontrolou je přirozené, že průmysl v ČR vykazuje výraznou proexportní orientaci. To ostatně souvisí s celkovou otevřeností celé české ekonomiky. Tu lze jednoduše hrubě vyjádřit např. poměrem hodnoty celkového vývozu zboží </w:t>
            </w:r>
            <w:r w:rsidR="00307E77">
              <w:rPr>
                <w:szCs w:val="20"/>
              </w:rPr>
              <w:t>i </w:t>
            </w:r>
            <w:r>
              <w:rPr>
                <w:szCs w:val="20"/>
              </w:rPr>
              <w:t>služeb k vytvořenému HDP. Tato relace činila v roce 2019 necelých 75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>v posledních pěti letech se vcelku plynule snižovala. Nejvyšší míry otevřenosti tak bylo dosaženo v roce 2014 (81,9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), což s přehledem představuje absolutní maximum v éře samostatné ČR. Tento vrchol souvisel s poměrně rychlým oživením tuzemského průmyslu (po předchozí recesi) </w:t>
            </w:r>
            <w:r w:rsidR="005367E8">
              <w:rPr>
                <w:szCs w:val="20"/>
              </w:rPr>
              <w:t xml:space="preserve">taženým </w:t>
            </w:r>
            <w:r>
              <w:rPr>
                <w:szCs w:val="20"/>
              </w:rPr>
              <w:t xml:space="preserve">rostoucí zahraniční poptávkou, především v zemích </w:t>
            </w:r>
            <w:r w:rsidR="005367E8">
              <w:rPr>
                <w:szCs w:val="20"/>
              </w:rPr>
              <w:t>eurozóny</w:t>
            </w:r>
            <w:r>
              <w:rPr>
                <w:szCs w:val="20"/>
              </w:rPr>
              <w:t>.</w:t>
            </w:r>
          </w:p>
        </w:tc>
      </w:tr>
      <w:tr w:rsidR="00097078" w:rsidRPr="00F00A85" w14:paraId="577690A7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AC88E" w14:textId="39255EC5" w:rsidR="00097078" w:rsidRDefault="00307E77" w:rsidP="00044059">
            <w:pPr>
              <w:pStyle w:val="Marginlie"/>
            </w:pPr>
            <w:r>
              <w:t>V </w:t>
            </w:r>
            <w:r w:rsidR="00097078">
              <w:t xml:space="preserve">roce 2019 byla k vývozu z ČR určena třetina veškeré domácí produkce. To bylo zhruba </w:t>
            </w:r>
            <w:r>
              <w:t>o </w:t>
            </w:r>
            <w:r w:rsidR="00097078">
              <w:t>6</w:t>
            </w:r>
            <w:r w:rsidR="006E33D0">
              <w:t> p. b.</w:t>
            </w:r>
            <w:r w:rsidR="00097078">
              <w:t xml:space="preserve"> více než na vrcholu konjunktury předchozí dekády.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CA2EA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2AEBE" w14:textId="0D1065A5" w:rsidR="00097078" w:rsidRDefault="00097078" w:rsidP="00044059">
            <w:pPr>
              <w:spacing w:after="220"/>
              <w:rPr>
                <w:szCs w:val="20"/>
              </w:rPr>
            </w:pPr>
            <w:r>
              <w:rPr>
                <w:szCs w:val="20"/>
              </w:rPr>
              <w:t>Výše uvedený pohled na otevřenost ekonomiky zároveň omezuje možnosti hlubší interpretace, neboť poměřuje celkovou hodnotu produktu (vývoz) s hodnotu přidanou (jež vystupuje jako klíčová složka HDP). Vhodnější alternativu představuje v tomto ohledu poměření vývozu s celkovou hodnotou vytvořenou v ekonomice neočištěnou o hodnotu vstupů (tedy ukazatelem produkce). Podíl celkového vývozu z ČR k celkové produkci čítal v roce 2019 právě 33,3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, rovná třetina domácí produkce byla tedy </w:t>
            </w:r>
            <w:r>
              <w:rPr>
                <w:szCs w:val="20"/>
              </w:rPr>
              <w:lastRenderedPageBreak/>
              <w:t xml:space="preserve">určena k vývozu. Takto zachycená míra otevřenosti české ekonomiky nedoznala v posledních šesti letech výraznějších změn, byť roky 2018 </w:t>
            </w:r>
            <w:r w:rsidR="00352945">
              <w:rPr>
                <w:szCs w:val="20"/>
              </w:rPr>
              <w:t>a </w:t>
            </w:r>
            <w:r>
              <w:rPr>
                <w:szCs w:val="20"/>
              </w:rPr>
              <w:t>2019 naznačovaly mírný pokles. V jeho pozadí stálo citelné zvolnění růstu tuzemského průmyslu (opět</w:t>
            </w:r>
            <w:r w:rsidR="00352945">
              <w:rPr>
                <w:szCs w:val="20"/>
              </w:rPr>
              <w:t xml:space="preserve"> primárně</w:t>
            </w:r>
            <w:r>
              <w:rPr>
                <w:szCs w:val="20"/>
              </w:rPr>
              <w:t xml:space="preserve"> vázané na ochlazení poptávky v </w:t>
            </w:r>
            <w:r w:rsidR="00352945">
              <w:rPr>
                <w:szCs w:val="20"/>
              </w:rPr>
              <w:t>eurozóně</w:t>
            </w:r>
            <w:r>
              <w:rPr>
                <w:szCs w:val="20"/>
              </w:rPr>
              <w:t xml:space="preserve">). </w:t>
            </w:r>
            <w:r w:rsidR="00307E77">
              <w:rPr>
                <w:szCs w:val="20"/>
              </w:rPr>
              <w:t>I </w:t>
            </w:r>
            <w:r>
              <w:rPr>
                <w:szCs w:val="20"/>
              </w:rPr>
              <w:t>přes tuto dílčí korekci zůstala otevřenost ekonomiky ČR poměrně vysoká, neboť např. na vrcholu konju</w:t>
            </w:r>
            <w:r w:rsidR="00352945">
              <w:rPr>
                <w:szCs w:val="20"/>
              </w:rPr>
              <w:t>n</w:t>
            </w:r>
            <w:r>
              <w:rPr>
                <w:szCs w:val="20"/>
              </w:rPr>
              <w:t>kturního období minulé dekády (2005–2007) bylo vyvezeno jen 27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 domácí produkce.</w:t>
            </w:r>
          </w:p>
        </w:tc>
      </w:tr>
      <w:tr w:rsidR="00097078" w:rsidRPr="00F00A85" w14:paraId="2CA5545F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84A81" w14:textId="019EA6A7" w:rsidR="00097078" w:rsidRDefault="00307E77" w:rsidP="00044059">
            <w:pPr>
              <w:pStyle w:val="Marginlie"/>
            </w:pPr>
            <w:r>
              <w:lastRenderedPageBreak/>
              <w:t>V </w:t>
            </w:r>
            <w:r w:rsidR="00097078">
              <w:t>posledních šesti letech putovaly na vývoz stabilně dvě třetiny průmyslové produkce ČR. Dlouhodobý růst exportní orientace tuzemského průmyslu se tak zastavil.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F3006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22515" w14:textId="5E0CC0A7" w:rsidR="00097078" w:rsidRDefault="00307E77" w:rsidP="00044059">
            <w:pPr>
              <w:spacing w:after="220"/>
              <w:rPr>
                <w:szCs w:val="20"/>
              </w:rPr>
            </w:pPr>
            <w:r>
              <w:rPr>
                <w:szCs w:val="20"/>
              </w:rPr>
              <w:t>I </w:t>
            </w:r>
            <w:r w:rsidR="00097078">
              <w:rPr>
                <w:szCs w:val="20"/>
              </w:rPr>
              <w:t>přes nezanedbatelnou roli např. příjezdového cestovního ruchu je patrné, že páteří celkového vývozu z ČR je zbožový export (téměř výhradně spojený s produkcí průmyslu</w:t>
            </w:r>
            <w:r w:rsidR="00097078">
              <w:rPr>
                <w:rStyle w:val="Znakapoznpodarou"/>
              </w:rPr>
              <w:footnoteReference w:id="6"/>
            </w:r>
            <w:r w:rsidR="00097078">
              <w:rPr>
                <w:szCs w:val="20"/>
              </w:rPr>
              <w:t>)</w:t>
            </w:r>
            <w:r w:rsidR="00486917">
              <w:rPr>
                <w:szCs w:val="20"/>
              </w:rPr>
              <w:t>,</w:t>
            </w:r>
            <w:r w:rsidR="00097078">
              <w:rPr>
                <w:szCs w:val="20"/>
              </w:rPr>
              <w:t xml:space="preserve"> </w:t>
            </w:r>
            <w:r>
              <w:rPr>
                <w:szCs w:val="20"/>
              </w:rPr>
              <w:t>a </w:t>
            </w:r>
            <w:r w:rsidR="00097078">
              <w:rPr>
                <w:szCs w:val="20"/>
              </w:rPr>
              <w:t>vývoz služeb tak přestavuje spíše jen doplňkovou složku (v roce 2019 činil podíl vývozu služeb na celkovém exportu 16,3</w:t>
            </w:r>
            <w:r w:rsidR="006E33D0">
              <w:rPr>
                <w:szCs w:val="20"/>
              </w:rPr>
              <w:t> %</w:t>
            </w:r>
            <w:r w:rsidR="00097078">
              <w:rPr>
                <w:szCs w:val="20"/>
              </w:rPr>
              <w:t>). Pokud bychom chtěli kvantifikovat exportní orientaci samotného průmyslu, je možné poměřit celkovou hodnotu vývozu zboží s produkcí průmyslu. V tomto případě směřovaly v posledních šesti letech stabilně rovné dvě třetiny tuzemské průmyslové produkce na vývoz. Pro předchozí období</w:t>
            </w:r>
            <w:r w:rsidR="00486917">
              <w:rPr>
                <w:szCs w:val="20"/>
              </w:rPr>
              <w:t>,</w:t>
            </w:r>
            <w:r w:rsidR="00097078">
              <w:rPr>
                <w:szCs w:val="20"/>
              </w:rPr>
              <w:t xml:space="preserve"> ohraničené </w:t>
            </w:r>
            <w:r w:rsidR="00486917">
              <w:rPr>
                <w:szCs w:val="20"/>
              </w:rPr>
              <w:t xml:space="preserve">polovinou </w:t>
            </w:r>
            <w:r w:rsidR="00097078">
              <w:rPr>
                <w:szCs w:val="20"/>
              </w:rPr>
              <w:t>9</w:t>
            </w:r>
            <w:r>
              <w:rPr>
                <w:szCs w:val="20"/>
              </w:rPr>
              <w:t>0. </w:t>
            </w:r>
            <w:r w:rsidR="00097078">
              <w:rPr>
                <w:szCs w:val="20"/>
              </w:rPr>
              <w:t>let</w:t>
            </w:r>
            <w:r w:rsidR="00486917">
              <w:rPr>
                <w:szCs w:val="20"/>
              </w:rPr>
              <w:t>,</w:t>
            </w:r>
            <w:r w:rsidR="00097078">
              <w:rPr>
                <w:szCs w:val="20"/>
              </w:rPr>
              <w:t xml:space="preserve"> platilo, že s výjimkou let 2006 </w:t>
            </w:r>
            <w:r>
              <w:rPr>
                <w:szCs w:val="20"/>
              </w:rPr>
              <w:t>a </w:t>
            </w:r>
            <w:r w:rsidR="00097078">
              <w:rPr>
                <w:szCs w:val="20"/>
              </w:rPr>
              <w:t xml:space="preserve">2008 míra exportní orientace průmyslu ČR setrvale narůstala. Do roku 1997 </w:t>
            </w:r>
            <w:r w:rsidR="00486917">
              <w:rPr>
                <w:szCs w:val="20"/>
              </w:rPr>
              <w:t xml:space="preserve">nepřekračovala </w:t>
            </w:r>
            <w:r w:rsidR="00097078">
              <w:rPr>
                <w:szCs w:val="20"/>
              </w:rPr>
              <w:t>30</w:t>
            </w:r>
            <w:r w:rsidR="006E33D0">
              <w:rPr>
                <w:szCs w:val="20"/>
              </w:rPr>
              <w:t> %</w:t>
            </w:r>
            <w:r w:rsidR="00097078">
              <w:rPr>
                <w:szCs w:val="20"/>
              </w:rPr>
              <w:t xml:space="preserve">. K výrazné akceleraci došlo v období vstupu ČR do EU (mezi roky 2003 </w:t>
            </w:r>
            <w:r>
              <w:rPr>
                <w:szCs w:val="20"/>
              </w:rPr>
              <w:t>a </w:t>
            </w:r>
            <w:r w:rsidR="00097078">
              <w:rPr>
                <w:szCs w:val="20"/>
              </w:rPr>
              <w:t>2005 se otevřenost průmyslu zvýšila ze</w:t>
            </w:r>
            <w:r w:rsidR="00486917">
              <w:rPr>
                <w:szCs w:val="20"/>
              </w:rPr>
              <w:t> </w:t>
            </w:r>
            <w:r w:rsidR="00097078">
              <w:rPr>
                <w:szCs w:val="20"/>
              </w:rPr>
              <w:t>38 na 53</w:t>
            </w:r>
            <w:r w:rsidR="006E33D0">
              <w:rPr>
                <w:szCs w:val="20"/>
              </w:rPr>
              <w:t> %</w:t>
            </w:r>
            <w:r w:rsidR="00097078">
              <w:rPr>
                <w:szCs w:val="20"/>
              </w:rPr>
              <w:t>). K dalšímu růstu (</w:t>
            </w:r>
            <w:r>
              <w:rPr>
                <w:szCs w:val="20"/>
              </w:rPr>
              <w:t>o </w:t>
            </w:r>
            <w:r w:rsidR="00097078">
              <w:rPr>
                <w:szCs w:val="20"/>
              </w:rPr>
              <w:t>bezmála 10</w:t>
            </w:r>
            <w:r w:rsidR="006E33D0">
              <w:rPr>
                <w:szCs w:val="20"/>
              </w:rPr>
              <w:t> p. b.</w:t>
            </w:r>
            <w:r w:rsidR="00097078">
              <w:rPr>
                <w:szCs w:val="20"/>
              </w:rPr>
              <w:t xml:space="preserve">) došlo </w:t>
            </w:r>
            <w:r>
              <w:rPr>
                <w:szCs w:val="20"/>
              </w:rPr>
              <w:t>i </w:t>
            </w:r>
            <w:r w:rsidR="00097078">
              <w:rPr>
                <w:szCs w:val="20"/>
              </w:rPr>
              <w:t xml:space="preserve">mezi roky 2010 </w:t>
            </w:r>
            <w:r>
              <w:rPr>
                <w:szCs w:val="20"/>
              </w:rPr>
              <w:t>a </w:t>
            </w:r>
            <w:r w:rsidR="00097078">
              <w:rPr>
                <w:szCs w:val="20"/>
              </w:rPr>
              <w:t xml:space="preserve">2014. Zde se mohl projevit vliv rychlého oživení průmyslu po krizovém roce 2009 </w:t>
            </w:r>
            <w:r>
              <w:rPr>
                <w:szCs w:val="20"/>
              </w:rPr>
              <w:t>i </w:t>
            </w:r>
            <w:r w:rsidR="00097078">
              <w:rPr>
                <w:szCs w:val="20"/>
              </w:rPr>
              <w:t xml:space="preserve">rozšíření společného evropského trhu </w:t>
            </w:r>
            <w:r>
              <w:rPr>
                <w:szCs w:val="20"/>
              </w:rPr>
              <w:t>o </w:t>
            </w:r>
            <w:r w:rsidR="00097078">
              <w:rPr>
                <w:szCs w:val="20"/>
              </w:rPr>
              <w:t>další členské státy.</w:t>
            </w:r>
          </w:p>
        </w:tc>
      </w:tr>
      <w:tr w:rsidR="00097078" w:rsidRPr="00F00A85" w14:paraId="7909ED4A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28DC3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55618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4B1E7" w14:textId="1C78CF43" w:rsidR="00097078" w:rsidRPr="00F00A85" w:rsidRDefault="00097078" w:rsidP="00044059">
            <w:pPr>
              <w:spacing w:after="40"/>
              <w:jc w:val="left"/>
              <w:rPr>
                <w:szCs w:val="20"/>
              </w:rPr>
            </w:pPr>
            <w:r>
              <w:rPr>
                <w:b/>
                <w:szCs w:val="20"/>
              </w:rPr>
              <w:t>Graf</w:t>
            </w:r>
            <w:r w:rsidR="006E33D0">
              <w:rPr>
                <w:b/>
                <w:szCs w:val="20"/>
              </w:rPr>
              <w:t xml:space="preserve"> č. </w:t>
            </w:r>
            <w:r w:rsidR="00307E77">
              <w:rPr>
                <w:b/>
                <w:szCs w:val="20"/>
              </w:rPr>
              <w:t xml:space="preserve">3  </w:t>
            </w:r>
            <w:r w:rsidRPr="00653B94">
              <w:rPr>
                <w:b/>
                <w:szCs w:val="20"/>
              </w:rPr>
              <w:t>Podíl průmyslu na celkové hrubé přidané hodnotě ve vybraných evropských státech</w:t>
            </w:r>
            <w:r w:rsidRPr="00653B94">
              <w:rPr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 w:rsidRPr="00653B94">
              <w:rPr>
                <w:szCs w:val="20"/>
              </w:rPr>
              <w:t>v</w:t>
            </w:r>
            <w:r w:rsidR="006E33D0">
              <w:rPr>
                <w:szCs w:val="20"/>
              </w:rPr>
              <w:t> %</w:t>
            </w:r>
            <w:r w:rsidRPr="00653B94">
              <w:rPr>
                <w:szCs w:val="20"/>
              </w:rPr>
              <w:t xml:space="preserve">, srovnání let 2005, 2013 </w:t>
            </w:r>
            <w:r w:rsidR="00307E77" w:rsidRPr="00653B94">
              <w:rPr>
                <w:szCs w:val="20"/>
              </w:rPr>
              <w:t>a</w:t>
            </w:r>
            <w:r w:rsidR="00307E77">
              <w:rPr>
                <w:szCs w:val="20"/>
              </w:rPr>
              <w:t> </w:t>
            </w:r>
            <w:r w:rsidRPr="00653B94">
              <w:rPr>
                <w:szCs w:val="20"/>
              </w:rPr>
              <w:t>2019)</w:t>
            </w:r>
          </w:p>
        </w:tc>
      </w:tr>
      <w:tr w:rsidR="00097078" w:rsidRPr="00F00A85" w14:paraId="78E58B98" w14:textId="77777777" w:rsidTr="001B4422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13230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F0A1E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400F6" w14:textId="77777777" w:rsidR="00097078" w:rsidRPr="00F00A85" w:rsidRDefault="00097078" w:rsidP="00044059">
            <w:pPr>
              <w:spacing w:after="220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3CB5AD" wp14:editId="6E0BA13E">
                  <wp:extent cx="4761035" cy="3343275"/>
                  <wp:effectExtent l="0" t="0" r="1905" b="0"/>
                  <wp:docPr id="3" name="Graf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97078" w:rsidRPr="00F00A85" w14:paraId="5F1B6185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94932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9CA1F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A25D3" w14:textId="77777777" w:rsidR="00307E77" w:rsidRDefault="00097078" w:rsidP="0004405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Poznámka: Členské státy současné EU, které do této organizace vstoupily před rokem</w:t>
            </w:r>
            <w:r w:rsidR="006E33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2000, jsou zvýrazněny sytějším odstínem. Zvýrazněny jsou </w:t>
            </w:r>
            <w:r w:rsidR="00307E77">
              <w:rPr>
                <w:sz w:val="16"/>
                <w:szCs w:val="16"/>
              </w:rPr>
              <w:t>i </w:t>
            </w:r>
            <w:r>
              <w:rPr>
                <w:sz w:val="16"/>
                <w:szCs w:val="16"/>
              </w:rPr>
              <w:t>vybrané nečlenské státy EU, za něž jsou dostupná aktuální data.</w:t>
            </w:r>
          </w:p>
          <w:p w14:paraId="280B9337" w14:textId="5FCEDC66" w:rsidR="00097078" w:rsidRPr="00F00A85" w:rsidRDefault="00097078" w:rsidP="00044059">
            <w:pPr>
              <w:spacing w:after="220"/>
              <w:rPr>
                <w:szCs w:val="20"/>
              </w:rPr>
            </w:pPr>
            <w:r w:rsidRPr="00741856">
              <w:rPr>
                <w:sz w:val="16"/>
                <w:szCs w:val="16"/>
              </w:rPr>
              <w:t>Zdroj</w:t>
            </w:r>
            <w:r>
              <w:rPr>
                <w:sz w:val="16"/>
                <w:szCs w:val="16"/>
              </w:rPr>
              <w:t>: Eurostat (národní účty)</w:t>
            </w:r>
          </w:p>
        </w:tc>
      </w:tr>
      <w:tr w:rsidR="00097078" w:rsidRPr="00F00A85" w14:paraId="4390B1A6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E239" w14:textId="69EB9F48" w:rsidR="00307E77" w:rsidRDefault="00097078" w:rsidP="00044059">
            <w:pPr>
              <w:pStyle w:val="Marginlie"/>
            </w:pPr>
            <w:r>
              <w:t xml:space="preserve">Podíl průmyslu na přidané hodnotě celé ekonomiky byl v Česku </w:t>
            </w:r>
            <w:r w:rsidR="00307E77">
              <w:t>o </w:t>
            </w:r>
            <w:r>
              <w:t xml:space="preserve">polovinu vyšší než </w:t>
            </w:r>
            <w:r w:rsidR="002F1098">
              <w:lastRenderedPageBreak/>
              <w:t>v </w:t>
            </w:r>
            <w:r>
              <w:t>EU. Řadil tak ČR na druhé místo hned za Irsko.</w:t>
            </w:r>
          </w:p>
          <w:p w14:paraId="1A2E6E83" w14:textId="3AB9D14A" w:rsidR="00097078" w:rsidRDefault="00097078" w:rsidP="00044059">
            <w:pPr>
              <w:pStyle w:val="Marginlie"/>
            </w:pPr>
          </w:p>
          <w:p w14:paraId="0252466D" w14:textId="77777777" w:rsidR="00097078" w:rsidRDefault="00097078" w:rsidP="00044059">
            <w:pPr>
              <w:pStyle w:val="Marginlie"/>
            </w:pPr>
          </w:p>
          <w:p w14:paraId="296464DE" w14:textId="77777777" w:rsidR="00097078" w:rsidRDefault="00097078" w:rsidP="00044059">
            <w:pPr>
              <w:pStyle w:val="Marginlie"/>
            </w:pPr>
          </w:p>
          <w:p w14:paraId="0B7E6502" w14:textId="77777777" w:rsidR="00097078" w:rsidRDefault="00097078" w:rsidP="00044059">
            <w:pPr>
              <w:pStyle w:val="Marginlie"/>
            </w:pPr>
          </w:p>
          <w:p w14:paraId="0AF5A55E" w14:textId="77777777" w:rsidR="00097078" w:rsidRDefault="00097078" w:rsidP="00044059">
            <w:pPr>
              <w:pStyle w:val="Marginlie"/>
            </w:pPr>
          </w:p>
          <w:p w14:paraId="0CD5BE00" w14:textId="77777777" w:rsidR="00097078" w:rsidRDefault="00097078" w:rsidP="00044059">
            <w:pPr>
              <w:pStyle w:val="Marginlie"/>
            </w:pPr>
          </w:p>
          <w:p w14:paraId="7EE6B7F9" w14:textId="77777777" w:rsidR="00097078" w:rsidRDefault="00097078" w:rsidP="00044059">
            <w:pPr>
              <w:pStyle w:val="Marginlie"/>
            </w:pPr>
          </w:p>
          <w:p w14:paraId="742CD193" w14:textId="5E2442CD" w:rsidR="00097078" w:rsidRDefault="00097078" w:rsidP="00044059">
            <w:pPr>
              <w:pStyle w:val="Marginlie"/>
            </w:pPr>
            <w:r>
              <w:t>Váha průmyslu v drtivé</w:t>
            </w:r>
            <w:r w:rsidR="006E33D0">
              <w:t xml:space="preserve"> </w:t>
            </w:r>
            <w:r>
              <w:t>většině států Unie dlouhodobě mírně klesá. Od poslední recese ale nedoznala významnějších změn.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0F9FF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3A6BE" w14:textId="78AC34C4" w:rsidR="00097078" w:rsidRPr="00F00A85" w:rsidRDefault="00097078" w:rsidP="00044059">
            <w:pPr>
              <w:spacing w:after="220"/>
              <w:rPr>
                <w:szCs w:val="20"/>
              </w:rPr>
            </w:pPr>
            <w:r>
              <w:rPr>
                <w:szCs w:val="20"/>
              </w:rPr>
              <w:t>Česko patří v různých aspektech dlouhodobě k </w:t>
            </w:r>
            <w:r w:rsidR="002F1098">
              <w:rPr>
                <w:szCs w:val="20"/>
              </w:rPr>
              <w:t xml:space="preserve">jedněm </w:t>
            </w:r>
            <w:r>
              <w:rPr>
                <w:szCs w:val="20"/>
              </w:rPr>
              <w:t xml:space="preserve">z nejprůmyslovějších zemí Evropy. Z pohledu podílu hrubé přidané hodnoty vytvořené v průmyslu na HDP </w:t>
            </w:r>
            <w:r w:rsidR="006023F5">
              <w:rPr>
                <w:szCs w:val="20"/>
              </w:rPr>
              <w:t xml:space="preserve">výrazně </w:t>
            </w:r>
            <w:r>
              <w:rPr>
                <w:szCs w:val="20"/>
              </w:rPr>
              <w:t>převyšovalo v</w:t>
            </w:r>
            <w:r w:rsidR="006023F5">
              <w:rPr>
                <w:szCs w:val="20"/>
              </w:rPr>
              <w:t xml:space="preserve"> roce 2019 úroveň celé EU </w:t>
            </w:r>
            <w:r>
              <w:rPr>
                <w:szCs w:val="20"/>
              </w:rPr>
              <w:t>(29,2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 ku 19,7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). Z jednotlivých členů Unie </w:t>
            </w:r>
            <w:r>
              <w:rPr>
                <w:szCs w:val="20"/>
              </w:rPr>
              <w:lastRenderedPageBreak/>
              <w:t>předčilo ČR pouze Irsko (35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), které je však díky </w:t>
            </w:r>
            <w:r w:rsidR="002F1098">
              <w:rPr>
                <w:szCs w:val="20"/>
              </w:rPr>
              <w:t xml:space="preserve">výrazně </w:t>
            </w:r>
            <w:r>
              <w:rPr>
                <w:szCs w:val="20"/>
              </w:rPr>
              <w:t xml:space="preserve">odlišné skladbě průmyslu (vysoký podíl high-tech oborů) </w:t>
            </w:r>
            <w:r w:rsidR="00307E77">
              <w:rPr>
                <w:szCs w:val="20"/>
              </w:rPr>
              <w:t>i </w:t>
            </w:r>
            <w:r w:rsidR="00A0067C">
              <w:rPr>
                <w:szCs w:val="20"/>
              </w:rPr>
              <w:t>silné koncetraci</w:t>
            </w:r>
            <w:r>
              <w:rPr>
                <w:szCs w:val="20"/>
              </w:rPr>
              <w:t xml:space="preserve"> sídel významných nadnárodních korporací s ostatními členy EU do značné míry nesrovnatelné. Přední místa okupovaly s nevelkým odstupem za Českem i ostatní středoevropské státy, které vstoupily do Unie po roce 2000 (novější členové). Průmyslové zaměření je pro novější členské státy typické, výjimku představuje pouze Lotyšsko (15,2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)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>malé ekonomiky (Malta, Kypr). Naopak ze starších členských států EU vykazovaly nadprůměrnou orientaci ekonomiky na průmysl jen Německo (24,2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>), Rakousko (21,9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)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>Finsko (20,5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). Role Německa je přitom zvlášť významná nejen díky tradičně silným obchodním vazbám s ČR, ale </w:t>
            </w:r>
            <w:r w:rsidR="00307E77">
              <w:rPr>
                <w:szCs w:val="20"/>
              </w:rPr>
              <w:t>i </w:t>
            </w:r>
            <w:r>
              <w:rPr>
                <w:szCs w:val="20"/>
              </w:rPr>
              <w:t>v absolutní velikosti německého průmyslu (dlouhodobě vytváří více než 30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 přidané hodnoty průmyslu celé EU27). Váha průmyslu v ekonomice z pohledu tvorby HPH ve většině států EU dlouhodobě mírně klesala, v poslední dekádě došlo nicméně k určité stabilizaci. Ve srovnání s poslední recesí (rok 2013) nedoznala role průmyslu v roce 2019 významnějších změn. Vedle specifického Irska (+11</w:t>
            </w:r>
            <w:r w:rsidR="006E33D0">
              <w:rPr>
                <w:szCs w:val="20"/>
              </w:rPr>
              <w:t> p. b.</w:t>
            </w:r>
            <w:r>
              <w:rPr>
                <w:szCs w:val="20"/>
              </w:rPr>
              <w:t xml:space="preserve">) stojí za zmínku jen mírný pokles v některých novějších státech EU, zejména </w:t>
            </w:r>
            <w:r w:rsidR="00307E77">
              <w:rPr>
                <w:szCs w:val="20"/>
              </w:rPr>
              <w:t>v </w:t>
            </w:r>
            <w:r>
              <w:rPr>
                <w:szCs w:val="20"/>
              </w:rPr>
              <w:t>Rumunsku (–5</w:t>
            </w:r>
            <w:r w:rsidR="006E33D0">
              <w:rPr>
                <w:szCs w:val="20"/>
              </w:rPr>
              <w:t> p. b.</w:t>
            </w:r>
            <w:r>
              <w:rPr>
                <w:szCs w:val="20"/>
              </w:rPr>
              <w:t xml:space="preserve">), </w:t>
            </w:r>
            <w:r w:rsidR="002F1098">
              <w:rPr>
                <w:szCs w:val="20"/>
              </w:rPr>
              <w:t xml:space="preserve">na </w:t>
            </w:r>
            <w:r>
              <w:rPr>
                <w:szCs w:val="20"/>
              </w:rPr>
              <w:t xml:space="preserve">Maltě, </w:t>
            </w:r>
            <w:r w:rsidR="002F1098">
              <w:rPr>
                <w:szCs w:val="20"/>
              </w:rPr>
              <w:t>v </w:t>
            </w:r>
            <w:r>
              <w:rPr>
                <w:szCs w:val="20"/>
              </w:rPr>
              <w:t>Estonsku či Lotyš</w:t>
            </w:r>
            <w:r w:rsidR="002F1098">
              <w:rPr>
                <w:szCs w:val="20"/>
              </w:rPr>
              <w:t>s</w:t>
            </w:r>
            <w:r>
              <w:rPr>
                <w:szCs w:val="20"/>
              </w:rPr>
              <w:t>ku (shodně –3</w:t>
            </w:r>
            <w:r w:rsidR="006E33D0">
              <w:rPr>
                <w:szCs w:val="20"/>
              </w:rPr>
              <w:t> p. b.</w:t>
            </w:r>
            <w:r>
              <w:rPr>
                <w:szCs w:val="20"/>
              </w:rPr>
              <w:t xml:space="preserve">). Průmysl má významnou roli </w:t>
            </w:r>
            <w:r w:rsidR="00307E77">
              <w:rPr>
                <w:szCs w:val="20"/>
              </w:rPr>
              <w:t>i </w:t>
            </w:r>
            <w:r>
              <w:rPr>
                <w:szCs w:val="20"/>
              </w:rPr>
              <w:t xml:space="preserve">v některých mimounijních evropských ekonomikách, zejména v Norsku, Srbsku či Turecku. V některých z nich jeho váha v posledních letech rostla (Bosna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>Hercegovina, Severní Makedonie).</w:t>
            </w:r>
          </w:p>
        </w:tc>
      </w:tr>
      <w:tr w:rsidR="00097078" w:rsidRPr="00F00A85" w14:paraId="08FD00C8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BF2FD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5AAE6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A3555" w14:textId="519177EC" w:rsidR="00097078" w:rsidRPr="003419D2" w:rsidRDefault="00097078" w:rsidP="00044059">
            <w:pPr>
              <w:spacing w:after="40"/>
              <w:jc w:val="left"/>
            </w:pPr>
            <w:r>
              <w:rPr>
                <w:b/>
              </w:rPr>
              <w:t>Graf</w:t>
            </w:r>
            <w:r w:rsidR="006E33D0">
              <w:rPr>
                <w:b/>
              </w:rPr>
              <w:t xml:space="preserve"> č. </w:t>
            </w:r>
            <w:r w:rsidR="00307E77">
              <w:rPr>
                <w:b/>
              </w:rPr>
              <w:t xml:space="preserve">4  </w:t>
            </w:r>
            <w:r>
              <w:rPr>
                <w:b/>
              </w:rPr>
              <w:t>Podíl</w:t>
            </w:r>
            <w:r w:rsidRPr="00A25438">
              <w:rPr>
                <w:b/>
              </w:rPr>
              <w:t xml:space="preserve"> </w:t>
            </w:r>
            <w:r>
              <w:rPr>
                <w:b/>
              </w:rPr>
              <w:t>průmyslu na celkové zaměstnanosti ve vybraných evropských státech</w:t>
            </w:r>
            <w:r>
              <w:t xml:space="preserve"> (v</w:t>
            </w:r>
            <w:r w:rsidR="006E33D0">
              <w:t> %</w:t>
            </w:r>
            <w:r>
              <w:t xml:space="preserve">, srovnání let 2005, 2013 </w:t>
            </w:r>
            <w:r w:rsidR="00307E77">
              <w:t>a </w:t>
            </w:r>
            <w:r>
              <w:t>2019)</w:t>
            </w:r>
          </w:p>
        </w:tc>
      </w:tr>
      <w:tr w:rsidR="00097078" w:rsidRPr="00F00A85" w14:paraId="782A8A11" w14:textId="77777777" w:rsidTr="001B4422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3B8B8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2504C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F4B59" w14:textId="77777777" w:rsidR="00097078" w:rsidRPr="00F00A85" w:rsidRDefault="00097078" w:rsidP="00044059">
            <w:pPr>
              <w:spacing w:after="40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D1DB52" wp14:editId="6B657C3F">
                  <wp:extent cx="4781551" cy="3343275"/>
                  <wp:effectExtent l="0" t="0" r="0" b="0"/>
                  <wp:docPr id="8" name="Graf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097078" w:rsidRPr="00F00A85" w14:paraId="1A2CC2D6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FAE62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190FB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3F3E9" w14:textId="613FAF34" w:rsidR="00097078" w:rsidRDefault="00097078" w:rsidP="0004405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Poznámka: Barevné zvýraznění států – viz graf</w:t>
            </w:r>
            <w:r w:rsidR="006E33D0">
              <w:rPr>
                <w:sz w:val="16"/>
                <w:szCs w:val="16"/>
              </w:rPr>
              <w:t xml:space="preserve"> č. </w:t>
            </w:r>
            <w:r>
              <w:rPr>
                <w:sz w:val="16"/>
                <w:szCs w:val="16"/>
              </w:rPr>
              <w:t>3.</w:t>
            </w:r>
          </w:p>
          <w:p w14:paraId="29A0D589" w14:textId="7767A534" w:rsidR="00097078" w:rsidRPr="00F00A85" w:rsidRDefault="00FD4056" w:rsidP="00044059">
            <w:pPr>
              <w:spacing w:after="220"/>
              <w:rPr>
                <w:szCs w:val="20"/>
              </w:rPr>
            </w:pPr>
            <w:r>
              <w:rPr>
                <w:sz w:val="16"/>
                <w:szCs w:val="16"/>
              </w:rPr>
              <w:t xml:space="preserve">Zdroj: </w:t>
            </w:r>
            <w:r w:rsidR="00097078">
              <w:rPr>
                <w:sz w:val="16"/>
                <w:szCs w:val="16"/>
              </w:rPr>
              <w:t>Eurostat (národní účty)</w:t>
            </w:r>
          </w:p>
        </w:tc>
      </w:tr>
      <w:tr w:rsidR="00097078" w:rsidRPr="00F00A85" w14:paraId="0458514D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A0991" w14:textId="2461A6B4" w:rsidR="00307E77" w:rsidRDefault="00097078" w:rsidP="00044059">
            <w:pPr>
              <w:pStyle w:val="Marginlie"/>
            </w:pPr>
            <w:r>
              <w:t xml:space="preserve">Podílem průmyslu na celkové zaměstnanosti převyšuje Česko všechny státy </w:t>
            </w:r>
            <w:r w:rsidR="008703A1">
              <w:t>náležející v současnosti</w:t>
            </w:r>
            <w:r>
              <w:t xml:space="preserve"> do EU již více než dvacet let.</w:t>
            </w:r>
          </w:p>
          <w:p w14:paraId="77DDC307" w14:textId="3B594C1F" w:rsidR="00097078" w:rsidRDefault="00097078" w:rsidP="00044059">
            <w:pPr>
              <w:pStyle w:val="Marginlie"/>
            </w:pPr>
          </w:p>
          <w:p w14:paraId="118FD942" w14:textId="77777777" w:rsidR="00097078" w:rsidRDefault="00097078" w:rsidP="00044059">
            <w:pPr>
              <w:pStyle w:val="Marginlie"/>
            </w:pPr>
          </w:p>
          <w:p w14:paraId="568E7A3D" w14:textId="77777777" w:rsidR="00097078" w:rsidRDefault="00097078" w:rsidP="00044059">
            <w:pPr>
              <w:pStyle w:val="Marginlie"/>
            </w:pPr>
          </w:p>
          <w:p w14:paraId="32F45805" w14:textId="04254FCE" w:rsidR="00097078" w:rsidRDefault="00097078" w:rsidP="00044059">
            <w:pPr>
              <w:pStyle w:val="Marginlie"/>
            </w:pPr>
            <w:r>
              <w:t xml:space="preserve">Méně než desetina všech pracovníků nacházela </w:t>
            </w:r>
            <w:r>
              <w:lastRenderedPageBreak/>
              <w:t xml:space="preserve">uplatnění </w:t>
            </w:r>
            <w:r w:rsidR="008703A1">
              <w:t>v </w:t>
            </w:r>
            <w:r>
              <w:t xml:space="preserve">průmyslu v Řecku, Franci </w:t>
            </w:r>
            <w:r w:rsidR="00307E77">
              <w:t>i </w:t>
            </w:r>
            <w:r w:rsidR="008703A1">
              <w:t xml:space="preserve">ve </w:t>
            </w:r>
            <w:r>
              <w:t>většině států Beneluxu.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173D5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59F2C" w14:textId="18425859" w:rsidR="00097078" w:rsidRPr="00F00A85" w:rsidRDefault="00097078" w:rsidP="00044059">
            <w:pPr>
              <w:spacing w:after="220"/>
              <w:rPr>
                <w:szCs w:val="20"/>
              </w:rPr>
            </w:pPr>
            <w:r>
              <w:rPr>
                <w:szCs w:val="20"/>
              </w:rPr>
              <w:t>Strategická role tuzemského průmyslu v evropském kontextu ještě vynikne, budeme-li jako měřítko jeho významu brát rozsah poskytovaných pracovních příležitostí. Z pohledu podílu průmyslu na celkové zaměstnanosti převyšovala ČR v roce 2019 úroveň celé EU téměř dvojnásobně (28,7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 ku 16,2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>). Česku zároveň patřil primát mezi 27</w:t>
            </w:r>
            <w:r w:rsidR="008703A1">
              <w:rPr>
                <w:szCs w:val="20"/>
              </w:rPr>
              <w:t> </w:t>
            </w:r>
            <w:r>
              <w:rPr>
                <w:szCs w:val="20"/>
              </w:rPr>
              <w:t xml:space="preserve">současnými státy Unie,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 xml:space="preserve">to již nepřetržitě více než dvě dekády. Před rokem 1997 bylo v tomto ohledu nejprůmyslovějším státem současné EU Slovinsko. </w:t>
            </w:r>
            <w:r w:rsidR="00F7746D">
              <w:rPr>
                <w:szCs w:val="20"/>
              </w:rPr>
              <w:t>Do devítky</w:t>
            </w:r>
            <w:r>
              <w:rPr>
                <w:szCs w:val="20"/>
              </w:rPr>
              <w:t xml:space="preserve"> zemí s největší váhou průmyslu (přesahující 20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) patřily v roce 2019 výhradně novější členské státy Unie. S tím kontrastovala situace v Lucembursku, Nizozemsku, Řecku </w:t>
            </w:r>
            <w:r w:rsidR="00F7746D">
              <w:rPr>
                <w:szCs w:val="20"/>
              </w:rPr>
              <w:t>a </w:t>
            </w:r>
            <w:r>
              <w:rPr>
                <w:szCs w:val="20"/>
              </w:rPr>
              <w:t xml:space="preserve">Francii, kde uplatnění v průmyslu nenacházela ani desetina obyvatel. </w:t>
            </w:r>
            <w:r>
              <w:rPr>
                <w:szCs w:val="20"/>
              </w:rPr>
              <w:lastRenderedPageBreak/>
              <w:t xml:space="preserve">Podprůměrnou hodnotu </w:t>
            </w:r>
            <w:r w:rsidR="00F7746D">
              <w:rPr>
                <w:szCs w:val="20"/>
              </w:rPr>
              <w:t xml:space="preserve">vykazovalo </w:t>
            </w:r>
            <w:r>
              <w:rPr>
                <w:szCs w:val="20"/>
              </w:rPr>
              <w:t>rovněž Irsko (11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), které tak na rozdíl od ukazatele HPH </w:t>
            </w:r>
            <w:r w:rsidR="00F7746D">
              <w:rPr>
                <w:szCs w:val="20"/>
              </w:rPr>
              <w:t>z </w:t>
            </w:r>
            <w:r>
              <w:rPr>
                <w:szCs w:val="20"/>
              </w:rPr>
              <w:t xml:space="preserve">jádrových států EU nikterak nevybočovalo. Ve všech sledovaných státech (včetně vybraných mimounijních ekonomik) se váha průmyslu mezi roky 2005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>2019 snížila (výjimkou bylo Polsko). V samotném období hospodářského růstu (2014 až 2019) již zůstala relativní zaměstnanost v průmyslu bez významných změn.</w:t>
            </w:r>
          </w:p>
        </w:tc>
      </w:tr>
      <w:tr w:rsidR="00097078" w:rsidRPr="00F00A85" w14:paraId="4F845461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3A341" w14:textId="51A12344" w:rsidR="00097078" w:rsidRDefault="00307E77" w:rsidP="00044059">
            <w:pPr>
              <w:pStyle w:val="Marginlie"/>
            </w:pPr>
            <w:r>
              <w:lastRenderedPageBreak/>
              <w:t>V </w:t>
            </w:r>
            <w:r w:rsidR="00097078">
              <w:t>Česku na rozdíl od většiny států EU podíl průmyslu na HPH významně nepřevyšoval obdobný podíl na zaměstnanosti.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ADBDE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192AA" w14:textId="174EEB09" w:rsidR="00097078" w:rsidRDefault="00097078" w:rsidP="00044059">
            <w:pPr>
              <w:spacing w:after="220"/>
              <w:rPr>
                <w:szCs w:val="20"/>
              </w:rPr>
            </w:pPr>
            <w:r>
              <w:rPr>
                <w:szCs w:val="20"/>
              </w:rPr>
              <w:t>V roce 2019 byl</w:t>
            </w:r>
            <w:r w:rsidR="0041758E">
              <w:rPr>
                <w:szCs w:val="20"/>
              </w:rPr>
              <w:t xml:space="preserve"> vyšší</w:t>
            </w:r>
            <w:r>
              <w:rPr>
                <w:szCs w:val="20"/>
              </w:rPr>
              <w:t xml:space="preserve"> podíl průmyslu na zaměstnanosti než na přidané hodnotě pouze v šesti vesměs velmi malých </w:t>
            </w:r>
            <w:r w:rsidR="00DA7C43">
              <w:rPr>
                <w:szCs w:val="20"/>
              </w:rPr>
              <w:t xml:space="preserve">evropských </w:t>
            </w:r>
            <w:r>
              <w:rPr>
                <w:szCs w:val="20"/>
              </w:rPr>
              <w:t>ekonomikách (Lucembursko, Estonsko, Lotyš</w:t>
            </w:r>
            <w:r w:rsidR="00DA7C43">
              <w:rPr>
                <w:szCs w:val="20"/>
              </w:rPr>
              <w:t>s</w:t>
            </w:r>
            <w:r>
              <w:rPr>
                <w:szCs w:val="20"/>
              </w:rPr>
              <w:t xml:space="preserve">ko, Malta, Kypr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 xml:space="preserve">Chorvatsko). Naopak disproporčně silná role HPH byla nejvíce patrná v Irsku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 xml:space="preserve">Norsku, v menší míře také v Dánsku, Švýcarsku, Finsku, Rakousku, Nizozemsku, Švédsku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>Německu. To v těchto státech poukazovalo na celkově vyšší produktivitu práce</w:t>
            </w:r>
            <w:r w:rsidR="00DA7C43">
              <w:rPr>
                <w:szCs w:val="20"/>
              </w:rPr>
              <w:t>,</w:t>
            </w:r>
            <w:r>
              <w:rPr>
                <w:szCs w:val="20"/>
              </w:rPr>
              <w:t xml:space="preserve"> mnohdy podpořenou </w:t>
            </w:r>
            <w:r w:rsidR="00307E77">
              <w:rPr>
                <w:szCs w:val="20"/>
              </w:rPr>
              <w:t>i </w:t>
            </w:r>
            <w:r>
              <w:rPr>
                <w:szCs w:val="20"/>
              </w:rPr>
              <w:t>specifickou skladbou průmyslových oborů (</w:t>
            </w:r>
            <w:r w:rsidR="00307E77">
              <w:rPr>
                <w:szCs w:val="20"/>
              </w:rPr>
              <w:t>s </w:t>
            </w:r>
            <w:r>
              <w:rPr>
                <w:szCs w:val="20"/>
              </w:rPr>
              <w:t xml:space="preserve">významnějším zastoupením high-tech aktivit). Do této skupiny lze z novějších členských států Unie přiřadit patrně jen Slovinsko, kde v průmyslu podíl HPH převyšoval podíl zaměstnanosti </w:t>
            </w:r>
            <w:r w:rsidR="00307E77">
              <w:rPr>
                <w:szCs w:val="20"/>
              </w:rPr>
              <w:t>o </w:t>
            </w:r>
            <w:r>
              <w:rPr>
                <w:szCs w:val="20"/>
              </w:rPr>
              <w:t>3,5</w:t>
            </w:r>
            <w:r w:rsidR="006E33D0">
              <w:rPr>
                <w:szCs w:val="20"/>
              </w:rPr>
              <w:t> p. b.</w:t>
            </w:r>
            <w:r>
              <w:rPr>
                <w:szCs w:val="20"/>
              </w:rPr>
              <w:t xml:space="preserve"> (shodně jako v celé EU). V Česku, podobně jako v Polsku, </w:t>
            </w:r>
            <w:r w:rsidR="00DA7C43">
              <w:rPr>
                <w:szCs w:val="20"/>
              </w:rPr>
              <w:t xml:space="preserve">na </w:t>
            </w:r>
            <w:r>
              <w:rPr>
                <w:szCs w:val="20"/>
              </w:rPr>
              <w:t xml:space="preserve">Slovensku či </w:t>
            </w:r>
            <w:r w:rsidR="00DA7C43">
              <w:rPr>
                <w:szCs w:val="20"/>
              </w:rPr>
              <w:t>v </w:t>
            </w:r>
            <w:r>
              <w:rPr>
                <w:szCs w:val="20"/>
              </w:rPr>
              <w:t>Portugalsku byl rozdíl vah mezi oběma ukazateli minimální.</w:t>
            </w:r>
          </w:p>
        </w:tc>
      </w:tr>
      <w:tr w:rsidR="00097078" w:rsidRPr="00F00A85" w14:paraId="7565CD38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5F82A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E1E73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30EA7" w14:textId="5CE24313" w:rsidR="00097078" w:rsidRPr="00F00A85" w:rsidRDefault="00097078" w:rsidP="00044059">
            <w:pPr>
              <w:spacing w:after="40"/>
              <w:jc w:val="left"/>
              <w:rPr>
                <w:szCs w:val="20"/>
              </w:rPr>
            </w:pPr>
            <w:r>
              <w:rPr>
                <w:b/>
                <w:szCs w:val="20"/>
              </w:rPr>
              <w:t>Graf</w:t>
            </w:r>
            <w:r w:rsidR="006E33D0">
              <w:rPr>
                <w:b/>
                <w:szCs w:val="20"/>
              </w:rPr>
              <w:t xml:space="preserve"> č. </w:t>
            </w:r>
            <w:r w:rsidR="00307E77">
              <w:rPr>
                <w:b/>
                <w:szCs w:val="20"/>
              </w:rPr>
              <w:t xml:space="preserve">5  </w:t>
            </w:r>
            <w:r>
              <w:rPr>
                <w:b/>
                <w:szCs w:val="20"/>
              </w:rPr>
              <w:t>Podíl</w:t>
            </w:r>
            <w:r w:rsidRPr="000E201C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hodnoty </w:t>
            </w:r>
            <w:r w:rsidRPr="000E201C">
              <w:rPr>
                <w:b/>
                <w:szCs w:val="20"/>
              </w:rPr>
              <w:t>vývozu</w:t>
            </w:r>
            <w:r>
              <w:rPr>
                <w:b/>
                <w:szCs w:val="20"/>
              </w:rPr>
              <w:t xml:space="preserve"> zboží </w:t>
            </w:r>
            <w:r w:rsidR="00307E77">
              <w:rPr>
                <w:b/>
                <w:szCs w:val="20"/>
              </w:rPr>
              <w:t>a </w:t>
            </w:r>
            <w:r>
              <w:rPr>
                <w:b/>
                <w:szCs w:val="20"/>
              </w:rPr>
              <w:t>služeb na produkci</w:t>
            </w:r>
            <w:r w:rsidRPr="00653B9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v celé ekonomice </w:t>
            </w:r>
            <w:r w:rsidRPr="00653B94">
              <w:rPr>
                <w:b/>
                <w:szCs w:val="20"/>
              </w:rPr>
              <w:t>ve vybraných evropských státech</w:t>
            </w:r>
            <w:r w:rsidRPr="00653B94">
              <w:rPr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 w:rsidRPr="00653B94">
              <w:rPr>
                <w:szCs w:val="20"/>
              </w:rPr>
              <w:t>v</w:t>
            </w:r>
            <w:r w:rsidR="006E33D0">
              <w:rPr>
                <w:szCs w:val="20"/>
              </w:rPr>
              <w:t> %</w:t>
            </w:r>
            <w:r>
              <w:rPr>
                <w:szCs w:val="20"/>
              </w:rPr>
              <w:t xml:space="preserve">, srovnání let 2005, 2012 </w:t>
            </w:r>
            <w:r w:rsidR="00307E77">
              <w:rPr>
                <w:szCs w:val="20"/>
              </w:rPr>
              <w:t>a </w:t>
            </w:r>
            <w:r>
              <w:rPr>
                <w:szCs w:val="20"/>
              </w:rPr>
              <w:t>2018</w:t>
            </w:r>
            <w:r w:rsidRPr="00653B94">
              <w:rPr>
                <w:szCs w:val="20"/>
              </w:rPr>
              <w:t>)</w:t>
            </w:r>
          </w:p>
        </w:tc>
      </w:tr>
      <w:tr w:rsidR="00097078" w:rsidRPr="00F00A85" w14:paraId="6A17BA67" w14:textId="77777777" w:rsidTr="001B4422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ED228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12943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8DC48" w14:textId="08FF4817" w:rsidR="00097078" w:rsidRPr="00F00A85" w:rsidRDefault="00654CAC" w:rsidP="00044059">
            <w:pPr>
              <w:spacing w:after="40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7D4F08" wp14:editId="0DD2860B">
                  <wp:extent cx="4780490" cy="3438525"/>
                  <wp:effectExtent l="0" t="0" r="1270" b="0"/>
                  <wp:docPr id="32" name="Graf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097078" w:rsidRPr="00F00A85" w14:paraId="4AC8F1EF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6F230" w14:textId="77777777" w:rsidR="00097078" w:rsidRDefault="00097078" w:rsidP="00044059">
            <w:pPr>
              <w:pStyle w:val="Marginlie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5DD13" w14:textId="77777777" w:rsidR="00097078" w:rsidRDefault="00097078" w:rsidP="00044059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F003D" w14:textId="77777777" w:rsidR="00097078" w:rsidRPr="00F00A85" w:rsidRDefault="00097078" w:rsidP="00044059">
            <w:pPr>
              <w:spacing w:after="220"/>
              <w:rPr>
                <w:szCs w:val="20"/>
              </w:rPr>
            </w:pPr>
            <w:r>
              <w:rPr>
                <w:sz w:val="16"/>
                <w:szCs w:val="16"/>
              </w:rPr>
              <w:t>Zdroj: Eurostat (národní účty)</w:t>
            </w:r>
          </w:p>
        </w:tc>
      </w:tr>
      <w:tr w:rsidR="00097078" w:rsidRPr="00F00A85" w14:paraId="7AE27ED8" w14:textId="77777777" w:rsidTr="001B4422">
        <w:trPr>
          <w:trHeight w:val="14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F3BE0" w14:textId="77777777" w:rsidR="00307E77" w:rsidRDefault="00097078" w:rsidP="00044059">
            <w:pPr>
              <w:pStyle w:val="Marginlie"/>
            </w:pPr>
            <w:r>
              <w:t>Česko patří v rámci EU k nadprůměrně otevřeným ekonomikám.</w:t>
            </w:r>
          </w:p>
          <w:p w14:paraId="18E1627B" w14:textId="40DDE461" w:rsidR="00097078" w:rsidRDefault="00097078" w:rsidP="00044059">
            <w:pPr>
              <w:pStyle w:val="Marginlie"/>
            </w:pPr>
          </w:p>
          <w:p w14:paraId="198BC0F5" w14:textId="77777777" w:rsidR="00097078" w:rsidRDefault="00097078" w:rsidP="00044059">
            <w:pPr>
              <w:pStyle w:val="Marginlie"/>
            </w:pPr>
          </w:p>
          <w:p w14:paraId="21763A4B" w14:textId="77777777" w:rsidR="00097078" w:rsidRDefault="00097078" w:rsidP="00044059">
            <w:pPr>
              <w:pStyle w:val="Marginlie"/>
            </w:pPr>
          </w:p>
          <w:p w14:paraId="4FA70711" w14:textId="77777777" w:rsidR="00097078" w:rsidRDefault="00097078" w:rsidP="00044059">
            <w:pPr>
              <w:pStyle w:val="Marginlie"/>
            </w:pPr>
          </w:p>
          <w:p w14:paraId="55C6FD61" w14:textId="77777777" w:rsidR="00097078" w:rsidRDefault="00097078" w:rsidP="00044059">
            <w:pPr>
              <w:pStyle w:val="Marginlie"/>
            </w:pPr>
          </w:p>
          <w:p w14:paraId="4DF342C9" w14:textId="6AAA3E71" w:rsidR="00097078" w:rsidRPr="007770C6" w:rsidRDefault="00097078" w:rsidP="00044059">
            <w:pPr>
              <w:pStyle w:val="Marginlie"/>
              <w:rPr>
                <w:spacing w:val="-4"/>
              </w:rPr>
            </w:pPr>
            <w:r w:rsidRPr="007770C6">
              <w:rPr>
                <w:spacing w:val="-4"/>
              </w:rPr>
              <w:t xml:space="preserve">Podíl zbožového exportu na celkové produkci dosáhl v ČR v roce 2018 výše </w:t>
            </w:r>
            <w:r>
              <w:rPr>
                <w:spacing w:val="-4"/>
              </w:rPr>
              <w:t>28,5</w:t>
            </w:r>
            <w:r>
              <w:t> </w:t>
            </w:r>
            <w:r w:rsidRPr="007770C6">
              <w:rPr>
                <w:spacing w:val="-4"/>
              </w:rPr>
              <w:t xml:space="preserve">% </w:t>
            </w:r>
            <w:r w:rsidR="00307E77" w:rsidRPr="007770C6">
              <w:rPr>
                <w:spacing w:val="-4"/>
              </w:rPr>
              <w:t>a</w:t>
            </w:r>
            <w:r w:rsidR="00307E77">
              <w:rPr>
                <w:spacing w:val="-4"/>
              </w:rPr>
              <w:t> </w:t>
            </w:r>
            <w:r w:rsidRPr="007770C6">
              <w:rPr>
                <w:spacing w:val="-4"/>
              </w:rPr>
              <w:t>byl osmý nejvyšší v EU.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5FCFA" w14:textId="77777777" w:rsidR="00097078" w:rsidRPr="00CE354E" w:rsidRDefault="00097078" w:rsidP="00044059">
            <w:pPr>
              <w:pStyle w:val="Textpoznpodarou10"/>
              <w:jc w:val="both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6C222" w14:textId="2250501A" w:rsidR="00097078" w:rsidRPr="00CE354E" w:rsidRDefault="00097078" w:rsidP="00044059">
            <w:pPr>
              <w:spacing w:after="0"/>
              <w:rPr>
                <w:spacing w:val="-2"/>
                <w:szCs w:val="20"/>
              </w:rPr>
            </w:pPr>
            <w:r>
              <w:rPr>
                <w:spacing w:val="-2"/>
                <w:szCs w:val="20"/>
              </w:rPr>
              <w:t xml:space="preserve">Nejotevřenějšími ekonomikami EU jsou dlouhodobě Irsko, Lucembursko </w:t>
            </w:r>
            <w:r w:rsidR="00307E77">
              <w:rPr>
                <w:spacing w:val="-2"/>
                <w:szCs w:val="20"/>
              </w:rPr>
              <w:t>a </w:t>
            </w:r>
            <w:r>
              <w:rPr>
                <w:spacing w:val="-2"/>
                <w:szCs w:val="20"/>
              </w:rPr>
              <w:t>Malta. V roce 2018 v nich více než 55</w:t>
            </w:r>
            <w:r w:rsidR="006E33D0">
              <w:rPr>
                <w:spacing w:val="-2"/>
                <w:szCs w:val="20"/>
              </w:rPr>
              <w:t> %</w:t>
            </w:r>
            <w:r>
              <w:rPr>
                <w:spacing w:val="-2"/>
                <w:szCs w:val="20"/>
              </w:rPr>
              <w:t xml:space="preserve"> vyrobené produkce putovalo na export. V těchto státech se ale společně s Kyprem, Chorvatskem či mimounjiním Islandem </w:t>
            </w:r>
            <w:r w:rsidR="00984C37">
              <w:rPr>
                <w:spacing w:val="-2"/>
                <w:szCs w:val="20"/>
              </w:rPr>
              <w:t xml:space="preserve">nebo </w:t>
            </w:r>
            <w:r>
              <w:rPr>
                <w:spacing w:val="-2"/>
                <w:szCs w:val="20"/>
              </w:rPr>
              <w:t>Černou Horou na vysoké hodnotě celkového exportu podíl</w:t>
            </w:r>
            <w:r w:rsidR="00984C37">
              <w:rPr>
                <w:spacing w:val="-2"/>
                <w:szCs w:val="20"/>
              </w:rPr>
              <w:t>ej</w:t>
            </w:r>
            <w:r>
              <w:rPr>
                <w:spacing w:val="-2"/>
                <w:szCs w:val="20"/>
              </w:rPr>
              <w:t xml:space="preserve">í převážně služby. Tyto státy jsou relativně atraktivními turistickými destinacemi, popř. soustřeďují některé specializované služby (např. finanční). Odhlédneme-li od této skutečnosti, pak nejvyšší relace zbožového exportu </w:t>
            </w:r>
            <w:r w:rsidR="00307E77">
              <w:rPr>
                <w:spacing w:val="-2"/>
                <w:szCs w:val="20"/>
              </w:rPr>
              <w:t>k </w:t>
            </w:r>
            <w:r>
              <w:rPr>
                <w:spacing w:val="-2"/>
                <w:szCs w:val="20"/>
              </w:rPr>
              <w:t>celkové domácí produkci dosáhlo Slovensko (36</w:t>
            </w:r>
            <w:r w:rsidR="006E33D0">
              <w:rPr>
                <w:spacing w:val="-2"/>
                <w:szCs w:val="20"/>
              </w:rPr>
              <w:t> %</w:t>
            </w:r>
            <w:r>
              <w:rPr>
                <w:spacing w:val="-2"/>
                <w:szCs w:val="20"/>
              </w:rPr>
              <w:t>), následované Slovinskem (35</w:t>
            </w:r>
            <w:r w:rsidR="006E33D0">
              <w:rPr>
                <w:spacing w:val="-2"/>
                <w:szCs w:val="20"/>
              </w:rPr>
              <w:t> %</w:t>
            </w:r>
            <w:r>
              <w:rPr>
                <w:spacing w:val="-2"/>
                <w:szCs w:val="20"/>
              </w:rPr>
              <w:t>) a Maďarskem (34</w:t>
            </w:r>
            <w:r w:rsidR="006E33D0">
              <w:rPr>
                <w:spacing w:val="-2"/>
                <w:szCs w:val="20"/>
              </w:rPr>
              <w:t> %</w:t>
            </w:r>
            <w:r>
              <w:rPr>
                <w:spacing w:val="-2"/>
                <w:szCs w:val="20"/>
              </w:rPr>
              <w:t xml:space="preserve">). Hodnota </w:t>
            </w:r>
            <w:r w:rsidR="00307E77">
              <w:rPr>
                <w:spacing w:val="-2"/>
                <w:szCs w:val="20"/>
              </w:rPr>
              <w:t>v </w:t>
            </w:r>
            <w:r>
              <w:rPr>
                <w:spacing w:val="-2"/>
                <w:szCs w:val="20"/>
              </w:rPr>
              <w:t>Česku (28,5</w:t>
            </w:r>
            <w:r w:rsidR="006E33D0">
              <w:rPr>
                <w:spacing w:val="-2"/>
                <w:szCs w:val="20"/>
              </w:rPr>
              <w:t> %</w:t>
            </w:r>
            <w:r>
              <w:rPr>
                <w:spacing w:val="-2"/>
                <w:szCs w:val="20"/>
              </w:rPr>
              <w:t xml:space="preserve">) byla mezi členy Unie osmá nejvyšší. Z populačně srovnatelných států dosáhly vyšší vývozní orientace než ČR jen Belgie, Nizozemsko </w:t>
            </w:r>
            <w:r w:rsidR="00307E77">
              <w:rPr>
                <w:spacing w:val="-2"/>
                <w:szCs w:val="20"/>
              </w:rPr>
              <w:t>a </w:t>
            </w:r>
            <w:r>
              <w:rPr>
                <w:spacing w:val="-2"/>
                <w:szCs w:val="20"/>
              </w:rPr>
              <w:t xml:space="preserve">Maďarsko. Spíše jen průměrnou otevřeností </w:t>
            </w:r>
            <w:r w:rsidR="00984C37">
              <w:rPr>
                <w:spacing w:val="-2"/>
                <w:szCs w:val="20"/>
              </w:rPr>
              <w:t>z </w:t>
            </w:r>
            <w:r>
              <w:rPr>
                <w:spacing w:val="-2"/>
                <w:szCs w:val="20"/>
              </w:rPr>
              <w:t xml:space="preserve">hlediska zbožového exportu se v kontextu celé EU vyznačují Polsko </w:t>
            </w:r>
            <w:r w:rsidR="00984C37">
              <w:rPr>
                <w:spacing w:val="-2"/>
                <w:szCs w:val="20"/>
              </w:rPr>
              <w:t>a </w:t>
            </w:r>
            <w:r>
              <w:rPr>
                <w:spacing w:val="-2"/>
                <w:szCs w:val="20"/>
              </w:rPr>
              <w:t>Rakousko (22, resp. 21</w:t>
            </w:r>
            <w:r w:rsidR="006E33D0">
              <w:rPr>
                <w:spacing w:val="-2"/>
                <w:szCs w:val="20"/>
              </w:rPr>
              <w:t> %</w:t>
            </w:r>
            <w:r>
              <w:rPr>
                <w:spacing w:val="-2"/>
                <w:szCs w:val="20"/>
              </w:rPr>
              <w:t xml:space="preserve">). Ta obecně souvisí zejména s velikostí ekonomiky </w:t>
            </w:r>
            <w:r w:rsidR="00307E77">
              <w:rPr>
                <w:spacing w:val="-2"/>
                <w:szCs w:val="20"/>
              </w:rPr>
              <w:t>a </w:t>
            </w:r>
            <w:r>
              <w:rPr>
                <w:spacing w:val="-2"/>
                <w:szCs w:val="20"/>
              </w:rPr>
              <w:t xml:space="preserve">geografickou polohou. Určitou roli ale hraje </w:t>
            </w:r>
            <w:r w:rsidR="00307E77">
              <w:rPr>
                <w:spacing w:val="-2"/>
                <w:szCs w:val="20"/>
              </w:rPr>
              <w:lastRenderedPageBreak/>
              <w:t>i </w:t>
            </w:r>
            <w:r>
              <w:rPr>
                <w:spacing w:val="-2"/>
                <w:szCs w:val="20"/>
              </w:rPr>
              <w:t>vnitřní odvětvová skladba průmyslu. Konečně hlubší intepretaci</w:t>
            </w:r>
            <w:r w:rsidR="00984C37">
              <w:rPr>
                <w:spacing w:val="-2"/>
                <w:szCs w:val="20"/>
              </w:rPr>
              <w:t>,</w:t>
            </w:r>
            <w:r>
              <w:rPr>
                <w:spacing w:val="-2"/>
                <w:szCs w:val="20"/>
              </w:rPr>
              <w:t xml:space="preserve"> zejména pokud jde </w:t>
            </w:r>
            <w:r w:rsidR="00307E77">
              <w:rPr>
                <w:spacing w:val="-2"/>
                <w:szCs w:val="20"/>
              </w:rPr>
              <w:t>o </w:t>
            </w:r>
            <w:r>
              <w:rPr>
                <w:spacing w:val="-2"/>
                <w:szCs w:val="20"/>
              </w:rPr>
              <w:t xml:space="preserve">vývojové tendence, omezuje fakt, že srovnatelnost objemu zahraničního obchodu napříč státy má stále svá úskalí (např. </w:t>
            </w:r>
            <w:r w:rsidR="00307E77">
              <w:rPr>
                <w:spacing w:val="-2"/>
                <w:szCs w:val="20"/>
              </w:rPr>
              <w:t>u </w:t>
            </w:r>
            <w:r>
              <w:rPr>
                <w:spacing w:val="-2"/>
                <w:szCs w:val="20"/>
              </w:rPr>
              <w:t xml:space="preserve">zemí, </w:t>
            </w:r>
            <w:r w:rsidR="00984C37">
              <w:rPr>
                <w:spacing w:val="-2"/>
                <w:szCs w:val="20"/>
              </w:rPr>
              <w:t xml:space="preserve">které </w:t>
            </w:r>
            <w:r>
              <w:rPr>
                <w:spacing w:val="-2"/>
                <w:szCs w:val="20"/>
              </w:rPr>
              <w:t>plní funkci významných logistických center v rámci EU).</w:t>
            </w:r>
          </w:p>
        </w:tc>
      </w:tr>
    </w:tbl>
    <w:p w14:paraId="1E524A5E" w14:textId="6428ABD0" w:rsidR="00921A5C" w:rsidRPr="002C154B" w:rsidRDefault="00921A5C" w:rsidP="00BA257C">
      <w:pPr>
        <w:spacing w:after="160" w:line="259" w:lineRule="auto"/>
        <w:jc w:val="left"/>
        <w:rPr>
          <w:sz w:val="2"/>
          <w:szCs w:val="2"/>
        </w:rPr>
      </w:pPr>
    </w:p>
    <w:sectPr w:rsidR="00921A5C" w:rsidRPr="002C154B" w:rsidSect="006F5416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132AD8" w16cid:durableId="23837235"/>
  <w16cid:commentId w16cid:paraId="349E0065" w16cid:durableId="2383738F"/>
  <w16cid:commentId w16cid:paraId="70323CDE" w16cid:durableId="23837548"/>
  <w16cid:commentId w16cid:paraId="72539BE7" w16cid:durableId="2386DE07"/>
  <w16cid:commentId w16cid:paraId="11D8F9A5" w16cid:durableId="23849388"/>
  <w16cid:commentId w16cid:paraId="09132031" w16cid:durableId="238495BE"/>
  <w16cid:commentId w16cid:paraId="7EB7DE74" w16cid:durableId="238496FC"/>
  <w16cid:commentId w16cid:paraId="4537AB62" w16cid:durableId="2384B67A"/>
  <w16cid:commentId w16cid:paraId="733CEAEE" w16cid:durableId="2384A413"/>
  <w16cid:commentId w16cid:paraId="6D4EA8B4" w16cid:durableId="2384C00C"/>
  <w16cid:commentId w16cid:paraId="4E5C825E" w16cid:durableId="2384C359"/>
  <w16cid:commentId w16cid:paraId="704695B7" w16cid:durableId="2384C623"/>
  <w16cid:commentId w16cid:paraId="5005EA8D" w16cid:durableId="2384EB9C"/>
  <w16cid:commentId w16cid:paraId="4FAEE49E" w16cid:durableId="2384EA6D"/>
  <w16cid:commentId w16cid:paraId="1803CB1D" w16cid:durableId="2384F215"/>
  <w16cid:commentId w16cid:paraId="750B1B6F" w16cid:durableId="2384F56F"/>
  <w16cid:commentId w16cid:paraId="4D3465C5" w16cid:durableId="2384F7F1"/>
  <w16cid:commentId w16cid:paraId="3E5A7AF7" w16cid:durableId="2384F77E"/>
  <w16cid:commentId w16cid:paraId="04798E97" w16cid:durableId="2385BB3F"/>
  <w16cid:commentId w16cid:paraId="7271199B" w16cid:durableId="2385BBA9"/>
  <w16cid:commentId w16cid:paraId="7C02A283" w16cid:durableId="2385BF49"/>
  <w16cid:commentId w16cid:paraId="139C2364" w16cid:durableId="2386025E"/>
  <w16cid:commentId w16cid:paraId="57E4EF6D" w16cid:durableId="2386084B"/>
  <w16cid:commentId w16cid:paraId="493AAA68" w16cid:durableId="23860DAB"/>
  <w16cid:commentId w16cid:paraId="643B8604" w16cid:durableId="23861055"/>
  <w16cid:commentId w16cid:paraId="025F2620" w16cid:durableId="238612E3"/>
  <w16cid:commentId w16cid:paraId="0AC073A7" w16cid:durableId="2386145F"/>
  <w16cid:commentId w16cid:paraId="6DD3E6B0" w16cid:durableId="238616B3"/>
  <w16cid:commentId w16cid:paraId="79F18DB0" w16cid:durableId="23861655"/>
  <w16cid:commentId w16cid:paraId="56FA7E4B" w16cid:durableId="2386106D"/>
  <w16cid:commentId w16cid:paraId="2B9CFEB3" w16cid:durableId="23861F26"/>
  <w16cid:commentId w16cid:paraId="7C843B15" w16cid:durableId="238622D0"/>
  <w16cid:commentId w16cid:paraId="35AEB49B" w16cid:durableId="23862367"/>
  <w16cid:commentId w16cid:paraId="7F3CBEDF" w16cid:durableId="23860305"/>
  <w16cid:commentId w16cid:paraId="77820AE3" w16cid:durableId="2386D3D0"/>
  <w16cid:commentId w16cid:paraId="4E8ADA6F" w16cid:durableId="2386D323"/>
  <w16cid:commentId w16cid:paraId="6E4281BD" w16cid:durableId="2386DF12"/>
  <w16cid:commentId w16cid:paraId="5100CD21" w16cid:durableId="2386E459"/>
  <w16cid:commentId w16cid:paraId="41BC835A" w16cid:durableId="2386D5A2"/>
  <w16cid:commentId w16cid:paraId="543C07C7" w16cid:durableId="2386EAF8"/>
  <w16cid:commentId w16cid:paraId="5B600DF4" w16cid:durableId="2386D881"/>
  <w16cid:commentId w16cid:paraId="0D295971" w16cid:durableId="2386D7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9FA00" w14:textId="77777777" w:rsidR="00CF1396" w:rsidRDefault="00CF1396" w:rsidP="00E71A58">
      <w:r>
        <w:separator/>
      </w:r>
    </w:p>
  </w:endnote>
  <w:endnote w:type="continuationSeparator" w:id="0">
    <w:p w14:paraId="3DD2D5D7" w14:textId="77777777" w:rsidR="00CF1396" w:rsidRDefault="00CF139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DC369" w14:textId="6433A258" w:rsidR="009728D1" w:rsidRPr="00932443" w:rsidRDefault="009728D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4CBC08E" wp14:editId="37A6C6E7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3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BA257C">
      <w:rPr>
        <w:szCs w:val="16"/>
      </w:rPr>
      <w:t>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 w:rsidR="00067B81">
      <w:rPr>
        <w:szCs w:val="16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F496" w14:textId="7E935A65" w:rsidR="009728D1" w:rsidRPr="00932443" w:rsidRDefault="009728D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6704" behindDoc="0" locked="0" layoutInCell="1" allowOverlap="1" wp14:anchorId="1429520E" wp14:editId="103D972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1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="00067B81">
      <w:rPr>
        <w:rStyle w:val="ZpatChar"/>
        <w:szCs w:val="16"/>
      </w:rPr>
      <w:t>2020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BA257C">
      <w:rPr>
        <w:rStyle w:val="ZpatChar"/>
        <w:szCs w:val="16"/>
      </w:rPr>
      <w:t>7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B20F" w14:textId="77777777" w:rsidR="00CF1396" w:rsidRDefault="00CF1396" w:rsidP="0084727E">
      <w:pPr>
        <w:spacing w:after="0"/>
      </w:pPr>
      <w:r>
        <w:separator/>
      </w:r>
    </w:p>
  </w:footnote>
  <w:footnote w:type="continuationSeparator" w:id="0">
    <w:p w14:paraId="2299EB11" w14:textId="77777777" w:rsidR="00CF1396" w:rsidRDefault="00CF1396" w:rsidP="00E71A58">
      <w:r>
        <w:continuationSeparator/>
      </w:r>
    </w:p>
  </w:footnote>
  <w:footnote w:id="1">
    <w:p w14:paraId="25DCE2F4" w14:textId="0078BA68" w:rsidR="009728D1" w:rsidRPr="00C8155D" w:rsidRDefault="009728D1" w:rsidP="00097078">
      <w:pPr>
        <w:pStyle w:val="Textpoznpodarou"/>
        <w:rPr>
          <w:sz w:val="16"/>
          <w:szCs w:val="16"/>
        </w:rPr>
      </w:pPr>
      <w:r w:rsidRPr="00C8155D">
        <w:rPr>
          <w:rStyle w:val="Znakapoznpodarou"/>
          <w:szCs w:val="16"/>
        </w:rPr>
        <w:footnoteRef/>
      </w:r>
      <w:r w:rsidRPr="00C8155D">
        <w:rPr>
          <w:sz w:val="16"/>
          <w:szCs w:val="16"/>
        </w:rPr>
        <w:t xml:space="preserve"> Není-li</w:t>
      </w:r>
      <w:r>
        <w:rPr>
          <w:sz w:val="16"/>
          <w:szCs w:val="16"/>
        </w:rPr>
        <w:t xml:space="preserve"> </w:t>
      </w:r>
      <w:r w:rsidRPr="00C8155D">
        <w:rPr>
          <w:sz w:val="16"/>
          <w:szCs w:val="16"/>
        </w:rPr>
        <w:t>uvedeno jinak, je v celé publikaci průmysl</w:t>
      </w:r>
      <w:r>
        <w:rPr>
          <w:sz w:val="16"/>
          <w:szCs w:val="16"/>
        </w:rPr>
        <w:t xml:space="preserve"> pojímán</w:t>
      </w:r>
      <w:r w:rsidRPr="00C8155D">
        <w:rPr>
          <w:sz w:val="16"/>
          <w:szCs w:val="16"/>
        </w:rPr>
        <w:t xml:space="preserve"> jako soubor </w:t>
      </w:r>
      <w:r>
        <w:rPr>
          <w:sz w:val="16"/>
          <w:szCs w:val="16"/>
        </w:rPr>
        <w:t>aktivit zahrnující odvětví dle statistické klasifikace CZ-NACE: sekce </w:t>
      </w:r>
      <w:r w:rsidRPr="00C8155D">
        <w:rPr>
          <w:sz w:val="16"/>
          <w:szCs w:val="16"/>
        </w:rPr>
        <w:t>B</w:t>
      </w:r>
      <w:r>
        <w:rPr>
          <w:sz w:val="16"/>
          <w:szCs w:val="16"/>
        </w:rPr>
        <w:t xml:space="preserve"> </w:t>
      </w:r>
      <w:r w:rsidRPr="00C8155D">
        <w:rPr>
          <w:sz w:val="16"/>
          <w:szCs w:val="16"/>
        </w:rPr>
        <w:t>(Těžba a</w:t>
      </w:r>
      <w:r>
        <w:rPr>
          <w:sz w:val="16"/>
          <w:szCs w:val="16"/>
        </w:rPr>
        <w:t> </w:t>
      </w:r>
      <w:r w:rsidRPr="00C8155D">
        <w:rPr>
          <w:sz w:val="16"/>
          <w:szCs w:val="16"/>
        </w:rPr>
        <w:t>dobývání), C</w:t>
      </w:r>
      <w:r>
        <w:rPr>
          <w:sz w:val="16"/>
          <w:szCs w:val="16"/>
        </w:rPr>
        <w:t> </w:t>
      </w:r>
      <w:r w:rsidRPr="00C8155D">
        <w:rPr>
          <w:sz w:val="16"/>
          <w:szCs w:val="16"/>
        </w:rPr>
        <w:t>(Zpracovatelský průmysl), D</w:t>
      </w:r>
      <w:r>
        <w:rPr>
          <w:sz w:val="16"/>
          <w:szCs w:val="16"/>
        </w:rPr>
        <w:t> </w:t>
      </w:r>
      <w:r w:rsidRPr="00C8155D">
        <w:rPr>
          <w:sz w:val="16"/>
          <w:szCs w:val="16"/>
        </w:rPr>
        <w:t>(Výroba a</w:t>
      </w:r>
      <w:r>
        <w:rPr>
          <w:sz w:val="16"/>
          <w:szCs w:val="16"/>
        </w:rPr>
        <w:t> </w:t>
      </w:r>
      <w:r w:rsidRPr="00C8155D">
        <w:rPr>
          <w:sz w:val="16"/>
          <w:szCs w:val="16"/>
        </w:rPr>
        <w:t>rozvod elektřiny, tepla, plynu a</w:t>
      </w:r>
      <w:r>
        <w:rPr>
          <w:sz w:val="16"/>
          <w:szCs w:val="16"/>
        </w:rPr>
        <w:t> </w:t>
      </w:r>
      <w:r w:rsidRPr="00C8155D">
        <w:rPr>
          <w:sz w:val="16"/>
          <w:szCs w:val="16"/>
        </w:rPr>
        <w:t>klimatizovaného vzduchu) a</w:t>
      </w:r>
      <w:r>
        <w:rPr>
          <w:sz w:val="16"/>
          <w:szCs w:val="16"/>
        </w:rPr>
        <w:t> </w:t>
      </w:r>
      <w:r w:rsidRPr="00C8155D">
        <w:rPr>
          <w:sz w:val="16"/>
          <w:szCs w:val="16"/>
        </w:rPr>
        <w:t>E</w:t>
      </w:r>
      <w:r>
        <w:rPr>
          <w:sz w:val="16"/>
          <w:szCs w:val="16"/>
        </w:rPr>
        <w:t> </w:t>
      </w:r>
      <w:r w:rsidRPr="00C8155D">
        <w:rPr>
          <w:sz w:val="16"/>
          <w:szCs w:val="16"/>
        </w:rPr>
        <w:t>(Zásobování vodou, činnosti související s odpadními vodami, odpady a</w:t>
      </w:r>
      <w:r>
        <w:rPr>
          <w:sz w:val="16"/>
          <w:szCs w:val="16"/>
        </w:rPr>
        <w:t> </w:t>
      </w:r>
      <w:r w:rsidRPr="00C8155D">
        <w:rPr>
          <w:sz w:val="16"/>
          <w:szCs w:val="16"/>
        </w:rPr>
        <w:t>sanacemi).</w:t>
      </w:r>
    </w:p>
  </w:footnote>
  <w:footnote w:id="2">
    <w:p w14:paraId="25FB6310" w14:textId="77777777" w:rsidR="009728D1" w:rsidRPr="00C8155D" w:rsidRDefault="009728D1" w:rsidP="00097078">
      <w:pPr>
        <w:pStyle w:val="Textpoznpodarou"/>
        <w:rPr>
          <w:sz w:val="16"/>
          <w:szCs w:val="16"/>
        </w:rPr>
      </w:pPr>
      <w:r w:rsidRPr="00C8155D">
        <w:rPr>
          <w:rStyle w:val="Znakapoznpodarou"/>
          <w:szCs w:val="16"/>
        </w:rPr>
        <w:footnoteRef/>
      </w:r>
      <w:r w:rsidRPr="00C8155D">
        <w:rPr>
          <w:sz w:val="16"/>
          <w:szCs w:val="16"/>
        </w:rPr>
        <w:t xml:space="preserve"> </w:t>
      </w:r>
      <w:r>
        <w:rPr>
          <w:sz w:val="16"/>
          <w:szCs w:val="16"/>
        </w:rPr>
        <w:t>Produkce je vyjádřena dle pojetí národních účtů.</w:t>
      </w:r>
    </w:p>
  </w:footnote>
  <w:footnote w:id="3">
    <w:p w14:paraId="38142E09" w14:textId="3B61EEF8" w:rsidR="009728D1" w:rsidRPr="00C8155D" w:rsidRDefault="009728D1" w:rsidP="00097078">
      <w:pPr>
        <w:pStyle w:val="Textpoznpodarou"/>
        <w:rPr>
          <w:sz w:val="16"/>
          <w:szCs w:val="16"/>
        </w:rPr>
      </w:pPr>
      <w:r w:rsidRPr="00C8155D">
        <w:rPr>
          <w:rStyle w:val="Znakapoznpodarou"/>
          <w:szCs w:val="16"/>
        </w:rPr>
        <w:footnoteRef/>
      </w:r>
      <w:r w:rsidRPr="00C8155D">
        <w:rPr>
          <w:sz w:val="16"/>
          <w:szCs w:val="16"/>
        </w:rPr>
        <w:t xml:space="preserve"> </w:t>
      </w:r>
      <w:r>
        <w:rPr>
          <w:sz w:val="16"/>
          <w:szCs w:val="16"/>
        </w:rPr>
        <w:t>V roce 2019 činil tento podíl v průmyslu 71,8 %, v celé ekonomice necelých 60 %. Z ostatních odvětví zaznamenaly vysoký podíl mezispotřeby např. stavebnictví (69,5 %), zemědělství, lesnictví a rybářství (61,7 %) či doprava a skladování (61,3 %).</w:t>
      </w:r>
    </w:p>
  </w:footnote>
  <w:footnote w:id="4">
    <w:p w14:paraId="7936E536" w14:textId="14E0F054" w:rsidR="009728D1" w:rsidRPr="00C8155D" w:rsidRDefault="009728D1" w:rsidP="00097078">
      <w:pPr>
        <w:pStyle w:val="Textpoznpodarou"/>
        <w:rPr>
          <w:sz w:val="16"/>
          <w:szCs w:val="16"/>
        </w:rPr>
      </w:pPr>
      <w:r w:rsidRPr="00C8155D">
        <w:rPr>
          <w:rStyle w:val="Znakapoznpodarou"/>
          <w:szCs w:val="16"/>
        </w:rPr>
        <w:footnoteRef/>
      </w:r>
      <w:r>
        <w:rPr>
          <w:sz w:val="16"/>
          <w:szCs w:val="16"/>
        </w:rPr>
        <w:t xml:space="preserve"> Všechny údaje o zaměstnanosti vycházejí z dat národních účtů a jsou vyjádřeny v přepočtu na plné úvazky.</w:t>
      </w:r>
    </w:p>
  </w:footnote>
  <w:footnote w:id="5">
    <w:p w14:paraId="4A042F92" w14:textId="2F20383B" w:rsidR="009728D1" w:rsidRPr="00C8155D" w:rsidRDefault="009728D1" w:rsidP="00097078">
      <w:pPr>
        <w:pStyle w:val="Textpoznpodarou"/>
        <w:rPr>
          <w:sz w:val="16"/>
          <w:szCs w:val="16"/>
        </w:rPr>
      </w:pPr>
      <w:r w:rsidRPr="00C8155D">
        <w:rPr>
          <w:rStyle w:val="Znakapoznpodarou"/>
          <w:szCs w:val="16"/>
        </w:rPr>
        <w:footnoteRef/>
      </w:r>
      <w:r w:rsidRPr="00C8155D">
        <w:rPr>
          <w:sz w:val="16"/>
          <w:szCs w:val="16"/>
        </w:rPr>
        <w:t xml:space="preserve"> </w:t>
      </w:r>
      <w:r>
        <w:rPr>
          <w:sz w:val="16"/>
          <w:szCs w:val="16"/>
        </w:rPr>
        <w:t>Mzdy a platy vycházejí z dat národních účtů a zahrnují např.</w:t>
      </w:r>
      <w:r w:rsidRPr="007C4B70">
        <w:rPr>
          <w:sz w:val="16"/>
          <w:szCs w:val="16"/>
        </w:rPr>
        <w:t xml:space="preserve"> i</w:t>
      </w:r>
      <w:r>
        <w:rPr>
          <w:sz w:val="16"/>
          <w:szCs w:val="16"/>
        </w:rPr>
        <w:t> </w:t>
      </w:r>
      <w:r w:rsidRPr="007C4B70">
        <w:rPr>
          <w:sz w:val="16"/>
          <w:szCs w:val="16"/>
        </w:rPr>
        <w:t>zaměstnanecké benefity či odhad šedé ekonomiky.</w:t>
      </w:r>
    </w:p>
  </w:footnote>
  <w:footnote w:id="6">
    <w:p w14:paraId="1DA1BDB2" w14:textId="1D404808" w:rsidR="009728D1" w:rsidRPr="00C8155D" w:rsidRDefault="009728D1" w:rsidP="00097078">
      <w:pPr>
        <w:pStyle w:val="Textpoznpodarou"/>
        <w:rPr>
          <w:sz w:val="16"/>
          <w:szCs w:val="16"/>
        </w:rPr>
      </w:pPr>
      <w:r w:rsidRPr="00C8155D">
        <w:rPr>
          <w:rStyle w:val="Znakapoznpodarou"/>
          <w:szCs w:val="16"/>
        </w:rPr>
        <w:footnoteRef/>
      </w:r>
      <w:r w:rsidRPr="00C8155D">
        <w:rPr>
          <w:sz w:val="16"/>
          <w:szCs w:val="16"/>
        </w:rPr>
        <w:t xml:space="preserve"> </w:t>
      </w:r>
      <w:r>
        <w:rPr>
          <w:sz w:val="16"/>
          <w:szCs w:val="16"/>
        </w:rPr>
        <w:t>Dle klasifikace produkce (CZ-CPA) se v roce 2019 produkty průmyslu na celkovém zbožovém vývozu z ČR podílely 97,7 %. Zbývající část vývozu tvořily zejména produkty zemědělství, lesnictví a rybářství (1,5 %) a produkty vydavatelství či f</w:t>
      </w:r>
      <w:r w:rsidRPr="00031549">
        <w:rPr>
          <w:sz w:val="16"/>
          <w:szCs w:val="16"/>
        </w:rPr>
        <w:t>ilmy, videozáznamy a</w:t>
      </w:r>
      <w:r>
        <w:rPr>
          <w:sz w:val="16"/>
          <w:szCs w:val="16"/>
        </w:rPr>
        <w:t> </w:t>
      </w:r>
      <w:r w:rsidRPr="00031549">
        <w:rPr>
          <w:sz w:val="16"/>
          <w:szCs w:val="16"/>
        </w:rPr>
        <w:t>zvukové nahrávky</w:t>
      </w:r>
      <w:r>
        <w:rPr>
          <w:sz w:val="16"/>
          <w:szCs w:val="16"/>
        </w:rPr>
        <w:t xml:space="preserve"> (0,7 %).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AE341" w14:textId="4DEAD05A" w:rsidR="009728D1" w:rsidRPr="004C0391" w:rsidRDefault="009728D1" w:rsidP="004C0391">
    <w:pPr>
      <w:pStyle w:val="Zhlav"/>
    </w:pPr>
    <w:r>
      <w:t>Širší aspekty vývoje průmyslu v ČR i EU z pohledu trhu práce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E75C" w14:textId="01B2AC05" w:rsidR="009728D1" w:rsidRDefault="009728D1" w:rsidP="00937AE2">
    <w:pPr>
      <w:pStyle w:val="Zhlav"/>
    </w:pPr>
    <w:r>
      <w:t>Širší aspekty vývoje průmyslu v ČR i EU z pohledu trhu práce</w:t>
    </w:r>
  </w:p>
  <w:p w14:paraId="5C2665E0" w14:textId="77777777" w:rsidR="009728D1" w:rsidRPr="006F5416" w:rsidRDefault="009728D1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48B6CC9"/>
    <w:multiLevelType w:val="hybridMultilevel"/>
    <w:tmpl w:val="2208F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8175B"/>
    <w:multiLevelType w:val="hybridMultilevel"/>
    <w:tmpl w:val="8E4C736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43D1B"/>
    <w:multiLevelType w:val="hybridMultilevel"/>
    <w:tmpl w:val="EF4262D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15AC1"/>
    <w:multiLevelType w:val="hybridMultilevel"/>
    <w:tmpl w:val="7464A696"/>
    <w:lvl w:ilvl="0" w:tplc="4246FC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F1D32"/>
    <w:multiLevelType w:val="hybridMultilevel"/>
    <w:tmpl w:val="422047C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3"/>
  </w:num>
  <w:num w:numId="14">
    <w:abstractNumId w:val="10"/>
  </w:num>
  <w:num w:numId="15">
    <w:abstractNumId w:val="16"/>
  </w:num>
  <w:num w:numId="16">
    <w:abstractNumId w:val="12"/>
  </w:num>
  <w:num w:numId="17">
    <w:abstractNumId w:val="24"/>
  </w:num>
  <w:num w:numId="18">
    <w:abstractNumId w:val="18"/>
  </w:num>
  <w:num w:numId="19">
    <w:abstractNumId w:val="25"/>
  </w:num>
  <w:num w:numId="20">
    <w:abstractNumId w:val="28"/>
  </w:num>
  <w:num w:numId="21">
    <w:abstractNumId w:val="22"/>
  </w:num>
  <w:num w:numId="22">
    <w:abstractNumId w:val="15"/>
  </w:num>
  <w:num w:numId="23">
    <w:abstractNumId w:val="13"/>
  </w:num>
  <w:num w:numId="24">
    <w:abstractNumId w:val="14"/>
  </w:num>
  <w:num w:numId="25">
    <w:abstractNumId w:val="26"/>
  </w:num>
  <w:num w:numId="26">
    <w:abstractNumId w:val="21"/>
  </w:num>
  <w:num w:numId="27">
    <w:abstractNumId w:val="27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02"/>
    <w:rsid w:val="0000083D"/>
    <w:rsid w:val="0000209D"/>
    <w:rsid w:val="00002B85"/>
    <w:rsid w:val="00004D5A"/>
    <w:rsid w:val="000056D5"/>
    <w:rsid w:val="00006ABD"/>
    <w:rsid w:val="0000767A"/>
    <w:rsid w:val="00007BEF"/>
    <w:rsid w:val="00010256"/>
    <w:rsid w:val="00010702"/>
    <w:rsid w:val="00011912"/>
    <w:rsid w:val="00012408"/>
    <w:rsid w:val="00014E7F"/>
    <w:rsid w:val="000159E9"/>
    <w:rsid w:val="00016123"/>
    <w:rsid w:val="0001653D"/>
    <w:rsid w:val="00020CDE"/>
    <w:rsid w:val="0002195D"/>
    <w:rsid w:val="000234D6"/>
    <w:rsid w:val="00023D29"/>
    <w:rsid w:val="00026389"/>
    <w:rsid w:val="00031AE0"/>
    <w:rsid w:val="000322EF"/>
    <w:rsid w:val="000333B9"/>
    <w:rsid w:val="00033FCD"/>
    <w:rsid w:val="00037A79"/>
    <w:rsid w:val="00041CEC"/>
    <w:rsid w:val="000421E4"/>
    <w:rsid w:val="00044059"/>
    <w:rsid w:val="00044407"/>
    <w:rsid w:val="0004694F"/>
    <w:rsid w:val="000500AB"/>
    <w:rsid w:val="000522E4"/>
    <w:rsid w:val="00052B65"/>
    <w:rsid w:val="000610E1"/>
    <w:rsid w:val="000623A2"/>
    <w:rsid w:val="00062EC5"/>
    <w:rsid w:val="00062F22"/>
    <w:rsid w:val="00064B6A"/>
    <w:rsid w:val="00067A82"/>
    <w:rsid w:val="00067B81"/>
    <w:rsid w:val="000712B3"/>
    <w:rsid w:val="00071E70"/>
    <w:rsid w:val="00072AEC"/>
    <w:rsid w:val="000748F2"/>
    <w:rsid w:val="000774EC"/>
    <w:rsid w:val="0008068B"/>
    <w:rsid w:val="0008263E"/>
    <w:rsid w:val="00082A55"/>
    <w:rsid w:val="00082C19"/>
    <w:rsid w:val="00085395"/>
    <w:rsid w:val="000854CA"/>
    <w:rsid w:val="00085D69"/>
    <w:rsid w:val="00087634"/>
    <w:rsid w:val="00087F2B"/>
    <w:rsid w:val="00093E3F"/>
    <w:rsid w:val="00093E53"/>
    <w:rsid w:val="0009474E"/>
    <w:rsid w:val="00095135"/>
    <w:rsid w:val="00096085"/>
    <w:rsid w:val="00096E5B"/>
    <w:rsid w:val="00097078"/>
    <w:rsid w:val="000974D1"/>
    <w:rsid w:val="0009799E"/>
    <w:rsid w:val="000979EC"/>
    <w:rsid w:val="000A1148"/>
    <w:rsid w:val="000A1183"/>
    <w:rsid w:val="000A256D"/>
    <w:rsid w:val="000A3A2C"/>
    <w:rsid w:val="000A5BA4"/>
    <w:rsid w:val="000A66F4"/>
    <w:rsid w:val="000A75F4"/>
    <w:rsid w:val="000B21DD"/>
    <w:rsid w:val="000B525B"/>
    <w:rsid w:val="000C1D78"/>
    <w:rsid w:val="000C3408"/>
    <w:rsid w:val="000C365C"/>
    <w:rsid w:val="000C5703"/>
    <w:rsid w:val="000C6375"/>
    <w:rsid w:val="000C6AFD"/>
    <w:rsid w:val="000D2C3F"/>
    <w:rsid w:val="000D5637"/>
    <w:rsid w:val="000E3D0E"/>
    <w:rsid w:val="000E4053"/>
    <w:rsid w:val="000E53C3"/>
    <w:rsid w:val="000E6C04"/>
    <w:rsid w:val="000E6FBD"/>
    <w:rsid w:val="000F7084"/>
    <w:rsid w:val="000F7FEF"/>
    <w:rsid w:val="00100F5C"/>
    <w:rsid w:val="0010106F"/>
    <w:rsid w:val="00101CDA"/>
    <w:rsid w:val="0010268C"/>
    <w:rsid w:val="00104C4C"/>
    <w:rsid w:val="00106DC7"/>
    <w:rsid w:val="00117623"/>
    <w:rsid w:val="0012192F"/>
    <w:rsid w:val="00122BB3"/>
    <w:rsid w:val="00125A9C"/>
    <w:rsid w:val="00125D69"/>
    <w:rsid w:val="00134608"/>
    <w:rsid w:val="00135FEE"/>
    <w:rsid w:val="00137DF7"/>
    <w:rsid w:val="001405FA"/>
    <w:rsid w:val="00141782"/>
    <w:rsid w:val="001425C3"/>
    <w:rsid w:val="00142C1C"/>
    <w:rsid w:val="0014314C"/>
    <w:rsid w:val="001457AA"/>
    <w:rsid w:val="00146F52"/>
    <w:rsid w:val="00147081"/>
    <w:rsid w:val="0014794C"/>
    <w:rsid w:val="0015085A"/>
    <w:rsid w:val="001528B9"/>
    <w:rsid w:val="001612F4"/>
    <w:rsid w:val="00162312"/>
    <w:rsid w:val="0016256B"/>
    <w:rsid w:val="00163793"/>
    <w:rsid w:val="001671FF"/>
    <w:rsid w:val="001706D6"/>
    <w:rsid w:val="001714F2"/>
    <w:rsid w:val="00175B9F"/>
    <w:rsid w:val="00175F48"/>
    <w:rsid w:val="00181BBC"/>
    <w:rsid w:val="00182799"/>
    <w:rsid w:val="00182E99"/>
    <w:rsid w:val="00184B08"/>
    <w:rsid w:val="00185010"/>
    <w:rsid w:val="001863EA"/>
    <w:rsid w:val="00186919"/>
    <w:rsid w:val="001916DB"/>
    <w:rsid w:val="00192F37"/>
    <w:rsid w:val="00193818"/>
    <w:rsid w:val="00194520"/>
    <w:rsid w:val="001969D1"/>
    <w:rsid w:val="001A0487"/>
    <w:rsid w:val="001A0D6B"/>
    <w:rsid w:val="001A16E3"/>
    <w:rsid w:val="001A33A3"/>
    <w:rsid w:val="001A480E"/>
    <w:rsid w:val="001A5387"/>
    <w:rsid w:val="001A552F"/>
    <w:rsid w:val="001B28D3"/>
    <w:rsid w:val="001B2CA9"/>
    <w:rsid w:val="001B3110"/>
    <w:rsid w:val="001B4422"/>
    <w:rsid w:val="001B4729"/>
    <w:rsid w:val="001B57B8"/>
    <w:rsid w:val="001B5C4D"/>
    <w:rsid w:val="001B6310"/>
    <w:rsid w:val="001B6C09"/>
    <w:rsid w:val="001C05CD"/>
    <w:rsid w:val="001C1B66"/>
    <w:rsid w:val="001C487C"/>
    <w:rsid w:val="001C7EE3"/>
    <w:rsid w:val="001D198A"/>
    <w:rsid w:val="001D463E"/>
    <w:rsid w:val="001D51EB"/>
    <w:rsid w:val="001D68B2"/>
    <w:rsid w:val="001D70E9"/>
    <w:rsid w:val="001E0D3E"/>
    <w:rsid w:val="001E504C"/>
    <w:rsid w:val="001F138C"/>
    <w:rsid w:val="001F4063"/>
    <w:rsid w:val="001F4597"/>
    <w:rsid w:val="001F52D6"/>
    <w:rsid w:val="00201978"/>
    <w:rsid w:val="00203DA4"/>
    <w:rsid w:val="00203E4E"/>
    <w:rsid w:val="002052C6"/>
    <w:rsid w:val="002054B4"/>
    <w:rsid w:val="00207D7B"/>
    <w:rsid w:val="002118B9"/>
    <w:rsid w:val="00213C32"/>
    <w:rsid w:val="00217C5B"/>
    <w:rsid w:val="0022139E"/>
    <w:rsid w:val="00221BD4"/>
    <w:rsid w:val="00222729"/>
    <w:rsid w:val="00222FFB"/>
    <w:rsid w:val="002249F4"/>
    <w:rsid w:val="002252E0"/>
    <w:rsid w:val="002255F6"/>
    <w:rsid w:val="002257E8"/>
    <w:rsid w:val="00227850"/>
    <w:rsid w:val="00227A53"/>
    <w:rsid w:val="00230C6E"/>
    <w:rsid w:val="00231CC2"/>
    <w:rsid w:val="00236443"/>
    <w:rsid w:val="00241035"/>
    <w:rsid w:val="00241B06"/>
    <w:rsid w:val="002436BA"/>
    <w:rsid w:val="0024408E"/>
    <w:rsid w:val="00244A15"/>
    <w:rsid w:val="00244EB3"/>
    <w:rsid w:val="0024680E"/>
    <w:rsid w:val="00247319"/>
    <w:rsid w:val="0024799E"/>
    <w:rsid w:val="00253C0F"/>
    <w:rsid w:val="002558C1"/>
    <w:rsid w:val="00255943"/>
    <w:rsid w:val="00260FC5"/>
    <w:rsid w:val="002632EC"/>
    <w:rsid w:val="002665EC"/>
    <w:rsid w:val="00271465"/>
    <w:rsid w:val="00274037"/>
    <w:rsid w:val="00285412"/>
    <w:rsid w:val="0028587B"/>
    <w:rsid w:val="00291640"/>
    <w:rsid w:val="002A16D4"/>
    <w:rsid w:val="002A230C"/>
    <w:rsid w:val="002A5D97"/>
    <w:rsid w:val="002A7679"/>
    <w:rsid w:val="002B2127"/>
    <w:rsid w:val="002B213A"/>
    <w:rsid w:val="002B4845"/>
    <w:rsid w:val="002B49B9"/>
    <w:rsid w:val="002B6B06"/>
    <w:rsid w:val="002B6F67"/>
    <w:rsid w:val="002C3762"/>
    <w:rsid w:val="002C3D06"/>
    <w:rsid w:val="002C43BD"/>
    <w:rsid w:val="002D0E59"/>
    <w:rsid w:val="002D2D9F"/>
    <w:rsid w:val="002D3DCF"/>
    <w:rsid w:val="002D6BD2"/>
    <w:rsid w:val="002E02A1"/>
    <w:rsid w:val="002E1475"/>
    <w:rsid w:val="002E1A9C"/>
    <w:rsid w:val="002E32FC"/>
    <w:rsid w:val="002E4B33"/>
    <w:rsid w:val="002E4E4C"/>
    <w:rsid w:val="002E4F60"/>
    <w:rsid w:val="002E5E3A"/>
    <w:rsid w:val="002E7360"/>
    <w:rsid w:val="002F0A29"/>
    <w:rsid w:val="002F1098"/>
    <w:rsid w:val="002F4860"/>
    <w:rsid w:val="002F550B"/>
    <w:rsid w:val="0030150E"/>
    <w:rsid w:val="00303533"/>
    <w:rsid w:val="00304771"/>
    <w:rsid w:val="003052D4"/>
    <w:rsid w:val="00306C5B"/>
    <w:rsid w:val="00307E77"/>
    <w:rsid w:val="00311448"/>
    <w:rsid w:val="003134A9"/>
    <w:rsid w:val="00314A41"/>
    <w:rsid w:val="003209D6"/>
    <w:rsid w:val="00321924"/>
    <w:rsid w:val="0032314C"/>
    <w:rsid w:val="0032656E"/>
    <w:rsid w:val="00326633"/>
    <w:rsid w:val="003268DD"/>
    <w:rsid w:val="00330060"/>
    <w:rsid w:val="00330085"/>
    <w:rsid w:val="00330711"/>
    <w:rsid w:val="00332190"/>
    <w:rsid w:val="0033250B"/>
    <w:rsid w:val="00334CC0"/>
    <w:rsid w:val="00343331"/>
    <w:rsid w:val="0034335E"/>
    <w:rsid w:val="00343A8A"/>
    <w:rsid w:val="00344668"/>
    <w:rsid w:val="00345D77"/>
    <w:rsid w:val="003462D9"/>
    <w:rsid w:val="00347378"/>
    <w:rsid w:val="00347604"/>
    <w:rsid w:val="00352945"/>
    <w:rsid w:val="003576EB"/>
    <w:rsid w:val="00357908"/>
    <w:rsid w:val="00357D45"/>
    <w:rsid w:val="00360C86"/>
    <w:rsid w:val="00360DE3"/>
    <w:rsid w:val="00360FBC"/>
    <w:rsid w:val="00362E90"/>
    <w:rsid w:val="00364C32"/>
    <w:rsid w:val="00364FA0"/>
    <w:rsid w:val="003657F3"/>
    <w:rsid w:val="003674EB"/>
    <w:rsid w:val="003678F2"/>
    <w:rsid w:val="00371018"/>
    <w:rsid w:val="003722A4"/>
    <w:rsid w:val="003733A0"/>
    <w:rsid w:val="00376C3B"/>
    <w:rsid w:val="003818DC"/>
    <w:rsid w:val="00384327"/>
    <w:rsid w:val="003852A9"/>
    <w:rsid w:val="00385D98"/>
    <w:rsid w:val="0038642D"/>
    <w:rsid w:val="003870EE"/>
    <w:rsid w:val="003922DF"/>
    <w:rsid w:val="003A2B4D"/>
    <w:rsid w:val="003A2D12"/>
    <w:rsid w:val="003A478C"/>
    <w:rsid w:val="003A5525"/>
    <w:rsid w:val="003A6B38"/>
    <w:rsid w:val="003B461F"/>
    <w:rsid w:val="003B5A32"/>
    <w:rsid w:val="003B6B9E"/>
    <w:rsid w:val="003C3490"/>
    <w:rsid w:val="003C4BE8"/>
    <w:rsid w:val="003C77D0"/>
    <w:rsid w:val="003C7E62"/>
    <w:rsid w:val="003D6920"/>
    <w:rsid w:val="003E38BA"/>
    <w:rsid w:val="003E4C91"/>
    <w:rsid w:val="003E4E75"/>
    <w:rsid w:val="003F313C"/>
    <w:rsid w:val="003F37FC"/>
    <w:rsid w:val="003F3890"/>
    <w:rsid w:val="003F48D7"/>
    <w:rsid w:val="003F4B2C"/>
    <w:rsid w:val="003F551C"/>
    <w:rsid w:val="003F72ED"/>
    <w:rsid w:val="003F7D23"/>
    <w:rsid w:val="00400B82"/>
    <w:rsid w:val="0040575D"/>
    <w:rsid w:val="00407C13"/>
    <w:rsid w:val="00410638"/>
    <w:rsid w:val="0041215C"/>
    <w:rsid w:val="0041501E"/>
    <w:rsid w:val="004159C3"/>
    <w:rsid w:val="0041758E"/>
    <w:rsid w:val="004217D2"/>
    <w:rsid w:val="00425F45"/>
    <w:rsid w:val="00432A58"/>
    <w:rsid w:val="00432EA8"/>
    <w:rsid w:val="00433C0C"/>
    <w:rsid w:val="00434617"/>
    <w:rsid w:val="00436778"/>
    <w:rsid w:val="00437E53"/>
    <w:rsid w:val="00440900"/>
    <w:rsid w:val="00441BF6"/>
    <w:rsid w:val="004441A0"/>
    <w:rsid w:val="00444E83"/>
    <w:rsid w:val="0045078A"/>
    <w:rsid w:val="0045086D"/>
    <w:rsid w:val="004528F0"/>
    <w:rsid w:val="00453047"/>
    <w:rsid w:val="0046071E"/>
    <w:rsid w:val="00460FB3"/>
    <w:rsid w:val="00466CA7"/>
    <w:rsid w:val="00467ABC"/>
    <w:rsid w:val="00467C2C"/>
    <w:rsid w:val="00476240"/>
    <w:rsid w:val="00476439"/>
    <w:rsid w:val="0047735C"/>
    <w:rsid w:val="004776BC"/>
    <w:rsid w:val="0048139F"/>
    <w:rsid w:val="00481E40"/>
    <w:rsid w:val="00482DE9"/>
    <w:rsid w:val="00484ECE"/>
    <w:rsid w:val="00486917"/>
    <w:rsid w:val="00487A34"/>
    <w:rsid w:val="004915CB"/>
    <w:rsid w:val="004919B0"/>
    <w:rsid w:val="004924DC"/>
    <w:rsid w:val="0049348B"/>
    <w:rsid w:val="004948F4"/>
    <w:rsid w:val="004950A4"/>
    <w:rsid w:val="004A14E4"/>
    <w:rsid w:val="004A3212"/>
    <w:rsid w:val="004A5494"/>
    <w:rsid w:val="004A61C5"/>
    <w:rsid w:val="004A670E"/>
    <w:rsid w:val="004A77DF"/>
    <w:rsid w:val="004B1417"/>
    <w:rsid w:val="004B1B28"/>
    <w:rsid w:val="004B47CD"/>
    <w:rsid w:val="004B481B"/>
    <w:rsid w:val="004B48DF"/>
    <w:rsid w:val="004B55B7"/>
    <w:rsid w:val="004B6468"/>
    <w:rsid w:val="004B7125"/>
    <w:rsid w:val="004B7637"/>
    <w:rsid w:val="004C0391"/>
    <w:rsid w:val="004C26B0"/>
    <w:rsid w:val="004C384C"/>
    <w:rsid w:val="004C3867"/>
    <w:rsid w:val="004C4CD0"/>
    <w:rsid w:val="004C5FBF"/>
    <w:rsid w:val="004C70DC"/>
    <w:rsid w:val="004D0211"/>
    <w:rsid w:val="004D0794"/>
    <w:rsid w:val="004D26B7"/>
    <w:rsid w:val="004D3177"/>
    <w:rsid w:val="004D5B88"/>
    <w:rsid w:val="004E326C"/>
    <w:rsid w:val="004F06F5"/>
    <w:rsid w:val="004F0CBA"/>
    <w:rsid w:val="004F16F7"/>
    <w:rsid w:val="004F1879"/>
    <w:rsid w:val="004F33A0"/>
    <w:rsid w:val="004F6EDC"/>
    <w:rsid w:val="00503748"/>
    <w:rsid w:val="0050689D"/>
    <w:rsid w:val="0050700F"/>
    <w:rsid w:val="0051031A"/>
    <w:rsid w:val="005108C0"/>
    <w:rsid w:val="00511873"/>
    <w:rsid w:val="00512A2F"/>
    <w:rsid w:val="00513B7E"/>
    <w:rsid w:val="0051465A"/>
    <w:rsid w:val="005152D9"/>
    <w:rsid w:val="00515C74"/>
    <w:rsid w:val="00515FFA"/>
    <w:rsid w:val="005172FF"/>
    <w:rsid w:val="005173AF"/>
    <w:rsid w:val="0052007E"/>
    <w:rsid w:val="0052337A"/>
    <w:rsid w:val="00525137"/>
    <w:rsid w:val="005251DD"/>
    <w:rsid w:val="00525C8F"/>
    <w:rsid w:val="00530243"/>
    <w:rsid w:val="00532CE7"/>
    <w:rsid w:val="0053324C"/>
    <w:rsid w:val="005348F6"/>
    <w:rsid w:val="00534A28"/>
    <w:rsid w:val="005367E8"/>
    <w:rsid w:val="00541508"/>
    <w:rsid w:val="00543498"/>
    <w:rsid w:val="00551238"/>
    <w:rsid w:val="0055599F"/>
    <w:rsid w:val="00556D68"/>
    <w:rsid w:val="00561B03"/>
    <w:rsid w:val="00563EB8"/>
    <w:rsid w:val="005647BF"/>
    <w:rsid w:val="00564AF1"/>
    <w:rsid w:val="00570D95"/>
    <w:rsid w:val="0057364B"/>
    <w:rsid w:val="00574773"/>
    <w:rsid w:val="00577EE4"/>
    <w:rsid w:val="00581AC8"/>
    <w:rsid w:val="00583FFD"/>
    <w:rsid w:val="00585E02"/>
    <w:rsid w:val="00586874"/>
    <w:rsid w:val="005901E9"/>
    <w:rsid w:val="005911BE"/>
    <w:rsid w:val="00592284"/>
    <w:rsid w:val="00593152"/>
    <w:rsid w:val="00596F92"/>
    <w:rsid w:val="005A10F2"/>
    <w:rsid w:val="005A21E0"/>
    <w:rsid w:val="005A28FF"/>
    <w:rsid w:val="005A2A19"/>
    <w:rsid w:val="005A2C1A"/>
    <w:rsid w:val="005A2C7B"/>
    <w:rsid w:val="005A3DF8"/>
    <w:rsid w:val="005A5549"/>
    <w:rsid w:val="005A5D45"/>
    <w:rsid w:val="005A655B"/>
    <w:rsid w:val="005A7666"/>
    <w:rsid w:val="005B121D"/>
    <w:rsid w:val="005B7BE7"/>
    <w:rsid w:val="005B7E2B"/>
    <w:rsid w:val="005C06ED"/>
    <w:rsid w:val="005C2609"/>
    <w:rsid w:val="005C35A1"/>
    <w:rsid w:val="005D3386"/>
    <w:rsid w:val="005D5802"/>
    <w:rsid w:val="005D7119"/>
    <w:rsid w:val="005D724D"/>
    <w:rsid w:val="005D7890"/>
    <w:rsid w:val="005E1B85"/>
    <w:rsid w:val="005E2A7C"/>
    <w:rsid w:val="005E5452"/>
    <w:rsid w:val="005E5906"/>
    <w:rsid w:val="005E7C78"/>
    <w:rsid w:val="005F18C5"/>
    <w:rsid w:val="005F3EB1"/>
    <w:rsid w:val="005F46D8"/>
    <w:rsid w:val="005F5469"/>
    <w:rsid w:val="005F5CE8"/>
    <w:rsid w:val="005F6D11"/>
    <w:rsid w:val="00600079"/>
    <w:rsid w:val="006003D1"/>
    <w:rsid w:val="00601A2E"/>
    <w:rsid w:val="006023F5"/>
    <w:rsid w:val="0060404F"/>
    <w:rsid w:val="00604307"/>
    <w:rsid w:val="0060487F"/>
    <w:rsid w:val="00604EAD"/>
    <w:rsid w:val="006104FB"/>
    <w:rsid w:val="0061249B"/>
    <w:rsid w:val="00612A2F"/>
    <w:rsid w:val="00614586"/>
    <w:rsid w:val="00616E05"/>
    <w:rsid w:val="0062148D"/>
    <w:rsid w:val="00623B49"/>
    <w:rsid w:val="00624093"/>
    <w:rsid w:val="006254CB"/>
    <w:rsid w:val="0063201A"/>
    <w:rsid w:val="006350D5"/>
    <w:rsid w:val="0063567C"/>
    <w:rsid w:val="006404A7"/>
    <w:rsid w:val="00642FB8"/>
    <w:rsid w:val="006451E4"/>
    <w:rsid w:val="00645B33"/>
    <w:rsid w:val="0064648F"/>
    <w:rsid w:val="00650330"/>
    <w:rsid w:val="006516CB"/>
    <w:rsid w:val="00654CAC"/>
    <w:rsid w:val="006558BD"/>
    <w:rsid w:val="00657E87"/>
    <w:rsid w:val="00664741"/>
    <w:rsid w:val="00664803"/>
    <w:rsid w:val="006654F4"/>
    <w:rsid w:val="00665BA4"/>
    <w:rsid w:val="00666D91"/>
    <w:rsid w:val="00667AF2"/>
    <w:rsid w:val="006710C9"/>
    <w:rsid w:val="00674D89"/>
    <w:rsid w:val="00675E37"/>
    <w:rsid w:val="00680001"/>
    <w:rsid w:val="0068174E"/>
    <w:rsid w:val="00681DCE"/>
    <w:rsid w:val="0068260E"/>
    <w:rsid w:val="006863B2"/>
    <w:rsid w:val="00687B41"/>
    <w:rsid w:val="00695BEF"/>
    <w:rsid w:val="006977F6"/>
    <w:rsid w:val="00697A13"/>
    <w:rsid w:val="006A109C"/>
    <w:rsid w:val="006A3E08"/>
    <w:rsid w:val="006A5C31"/>
    <w:rsid w:val="006A73A6"/>
    <w:rsid w:val="006B0F92"/>
    <w:rsid w:val="006B344A"/>
    <w:rsid w:val="006B4B7B"/>
    <w:rsid w:val="006B78D8"/>
    <w:rsid w:val="006C113F"/>
    <w:rsid w:val="006C123E"/>
    <w:rsid w:val="006C1752"/>
    <w:rsid w:val="006C33B2"/>
    <w:rsid w:val="006C378C"/>
    <w:rsid w:val="006C386E"/>
    <w:rsid w:val="006C56D4"/>
    <w:rsid w:val="006C6924"/>
    <w:rsid w:val="006C6AF4"/>
    <w:rsid w:val="006C7CA6"/>
    <w:rsid w:val="006D3E8A"/>
    <w:rsid w:val="006D5C0C"/>
    <w:rsid w:val="006D61F6"/>
    <w:rsid w:val="006D64C2"/>
    <w:rsid w:val="006E279A"/>
    <w:rsid w:val="006E313B"/>
    <w:rsid w:val="006E33D0"/>
    <w:rsid w:val="006E7227"/>
    <w:rsid w:val="006F0813"/>
    <w:rsid w:val="006F0AC6"/>
    <w:rsid w:val="006F2595"/>
    <w:rsid w:val="006F2F95"/>
    <w:rsid w:val="006F438E"/>
    <w:rsid w:val="006F5416"/>
    <w:rsid w:val="00705242"/>
    <w:rsid w:val="00706AD4"/>
    <w:rsid w:val="00707150"/>
    <w:rsid w:val="00711BB0"/>
    <w:rsid w:val="007140BE"/>
    <w:rsid w:val="007142BA"/>
    <w:rsid w:val="00716E3F"/>
    <w:rsid w:val="007211F5"/>
    <w:rsid w:val="007240E2"/>
    <w:rsid w:val="00725BB5"/>
    <w:rsid w:val="0073093A"/>
    <w:rsid w:val="00730AE8"/>
    <w:rsid w:val="00730F1B"/>
    <w:rsid w:val="00740575"/>
    <w:rsid w:val="00741493"/>
    <w:rsid w:val="0074369B"/>
    <w:rsid w:val="00744EE6"/>
    <w:rsid w:val="00745062"/>
    <w:rsid w:val="00745BC3"/>
    <w:rsid w:val="007506A5"/>
    <w:rsid w:val="00750EF8"/>
    <w:rsid w:val="00752180"/>
    <w:rsid w:val="00753CAB"/>
    <w:rsid w:val="00755202"/>
    <w:rsid w:val="00755D3A"/>
    <w:rsid w:val="00756232"/>
    <w:rsid w:val="007567BD"/>
    <w:rsid w:val="007578D3"/>
    <w:rsid w:val="007609C6"/>
    <w:rsid w:val="0076175D"/>
    <w:rsid w:val="00762C17"/>
    <w:rsid w:val="00763B85"/>
    <w:rsid w:val="007640D0"/>
    <w:rsid w:val="0076521E"/>
    <w:rsid w:val="00765698"/>
    <w:rsid w:val="007661E9"/>
    <w:rsid w:val="00774779"/>
    <w:rsid w:val="00775985"/>
    <w:rsid w:val="00775F45"/>
    <w:rsid w:val="00776169"/>
    <w:rsid w:val="00776527"/>
    <w:rsid w:val="00780EF1"/>
    <w:rsid w:val="00785232"/>
    <w:rsid w:val="00790764"/>
    <w:rsid w:val="00791728"/>
    <w:rsid w:val="0079343E"/>
    <w:rsid w:val="0079453C"/>
    <w:rsid w:val="00794677"/>
    <w:rsid w:val="007964CF"/>
    <w:rsid w:val="00797D5F"/>
    <w:rsid w:val="007A33A6"/>
    <w:rsid w:val="007A38F2"/>
    <w:rsid w:val="007A3F0C"/>
    <w:rsid w:val="007A516D"/>
    <w:rsid w:val="007A67F8"/>
    <w:rsid w:val="007B0750"/>
    <w:rsid w:val="007B07A4"/>
    <w:rsid w:val="007B0C39"/>
    <w:rsid w:val="007B6689"/>
    <w:rsid w:val="007C13A4"/>
    <w:rsid w:val="007C2D23"/>
    <w:rsid w:val="007C6BBD"/>
    <w:rsid w:val="007C7BAE"/>
    <w:rsid w:val="007D0C24"/>
    <w:rsid w:val="007D106B"/>
    <w:rsid w:val="007D1AEA"/>
    <w:rsid w:val="007D40DF"/>
    <w:rsid w:val="007D7668"/>
    <w:rsid w:val="007E29B4"/>
    <w:rsid w:val="007E36EA"/>
    <w:rsid w:val="007E435A"/>
    <w:rsid w:val="007E7E61"/>
    <w:rsid w:val="007F0845"/>
    <w:rsid w:val="007F661C"/>
    <w:rsid w:val="007F6797"/>
    <w:rsid w:val="007F708D"/>
    <w:rsid w:val="00801E13"/>
    <w:rsid w:val="00805381"/>
    <w:rsid w:val="00807674"/>
    <w:rsid w:val="00807C82"/>
    <w:rsid w:val="008138B5"/>
    <w:rsid w:val="00816905"/>
    <w:rsid w:val="00817FDA"/>
    <w:rsid w:val="00821FF6"/>
    <w:rsid w:val="008222CD"/>
    <w:rsid w:val="00822574"/>
    <w:rsid w:val="00823046"/>
    <w:rsid w:val="00825C4D"/>
    <w:rsid w:val="0083143E"/>
    <w:rsid w:val="008314D2"/>
    <w:rsid w:val="00831CDE"/>
    <w:rsid w:val="00833BF2"/>
    <w:rsid w:val="00834304"/>
    <w:rsid w:val="00834FAA"/>
    <w:rsid w:val="00836086"/>
    <w:rsid w:val="008364D5"/>
    <w:rsid w:val="00844BB1"/>
    <w:rsid w:val="00846121"/>
    <w:rsid w:val="00846C80"/>
    <w:rsid w:val="0084708F"/>
    <w:rsid w:val="0084727E"/>
    <w:rsid w:val="008477C8"/>
    <w:rsid w:val="00847931"/>
    <w:rsid w:val="0085114D"/>
    <w:rsid w:val="00852217"/>
    <w:rsid w:val="00855408"/>
    <w:rsid w:val="00856D65"/>
    <w:rsid w:val="00857658"/>
    <w:rsid w:val="00861B41"/>
    <w:rsid w:val="00861BE3"/>
    <w:rsid w:val="00863434"/>
    <w:rsid w:val="008637A2"/>
    <w:rsid w:val="008657C3"/>
    <w:rsid w:val="00865E4C"/>
    <w:rsid w:val="008701E4"/>
    <w:rsid w:val="008703A1"/>
    <w:rsid w:val="00873072"/>
    <w:rsid w:val="00873148"/>
    <w:rsid w:val="00874F6D"/>
    <w:rsid w:val="00875A32"/>
    <w:rsid w:val="00876086"/>
    <w:rsid w:val="008834C6"/>
    <w:rsid w:val="00883923"/>
    <w:rsid w:val="00883FE4"/>
    <w:rsid w:val="00884A6F"/>
    <w:rsid w:val="008856A3"/>
    <w:rsid w:val="0088661D"/>
    <w:rsid w:val="008873D4"/>
    <w:rsid w:val="008906E1"/>
    <w:rsid w:val="0089296D"/>
    <w:rsid w:val="00893E85"/>
    <w:rsid w:val="00894031"/>
    <w:rsid w:val="00894C3D"/>
    <w:rsid w:val="00895508"/>
    <w:rsid w:val="00895A7B"/>
    <w:rsid w:val="008A6B40"/>
    <w:rsid w:val="008B1391"/>
    <w:rsid w:val="008B21E6"/>
    <w:rsid w:val="008B2636"/>
    <w:rsid w:val="008B7C02"/>
    <w:rsid w:val="008B7D2B"/>
    <w:rsid w:val="008C0049"/>
    <w:rsid w:val="008C0E88"/>
    <w:rsid w:val="008C56D3"/>
    <w:rsid w:val="008D0DBD"/>
    <w:rsid w:val="008D1E6A"/>
    <w:rsid w:val="008D2A16"/>
    <w:rsid w:val="008D664D"/>
    <w:rsid w:val="008D7BE5"/>
    <w:rsid w:val="008E037D"/>
    <w:rsid w:val="008E0DC9"/>
    <w:rsid w:val="008E2830"/>
    <w:rsid w:val="008E2C57"/>
    <w:rsid w:val="008E31FF"/>
    <w:rsid w:val="008E6F06"/>
    <w:rsid w:val="008E7FC9"/>
    <w:rsid w:val="008F029B"/>
    <w:rsid w:val="008F3FC9"/>
    <w:rsid w:val="008F42B4"/>
    <w:rsid w:val="008F47C7"/>
    <w:rsid w:val="008F585B"/>
    <w:rsid w:val="009003A8"/>
    <w:rsid w:val="00902500"/>
    <w:rsid w:val="00902EFF"/>
    <w:rsid w:val="00906401"/>
    <w:rsid w:val="0091155E"/>
    <w:rsid w:val="00912A92"/>
    <w:rsid w:val="0091495C"/>
    <w:rsid w:val="009149D4"/>
    <w:rsid w:val="00915CF4"/>
    <w:rsid w:val="0091728D"/>
    <w:rsid w:val="009177D4"/>
    <w:rsid w:val="0092180B"/>
    <w:rsid w:val="00921A5C"/>
    <w:rsid w:val="00921F14"/>
    <w:rsid w:val="0092434D"/>
    <w:rsid w:val="009248DD"/>
    <w:rsid w:val="00924AC8"/>
    <w:rsid w:val="0092597A"/>
    <w:rsid w:val="009273FC"/>
    <w:rsid w:val="00930F06"/>
    <w:rsid w:val="00930FB1"/>
    <w:rsid w:val="0093139F"/>
    <w:rsid w:val="00932443"/>
    <w:rsid w:val="009346B6"/>
    <w:rsid w:val="00937AE2"/>
    <w:rsid w:val="00942C19"/>
    <w:rsid w:val="00942FD9"/>
    <w:rsid w:val="0094427A"/>
    <w:rsid w:val="00945245"/>
    <w:rsid w:val="00945F0F"/>
    <w:rsid w:val="00947825"/>
    <w:rsid w:val="00947FD4"/>
    <w:rsid w:val="00953F28"/>
    <w:rsid w:val="009540B7"/>
    <w:rsid w:val="00954CE4"/>
    <w:rsid w:val="009560F8"/>
    <w:rsid w:val="0095759C"/>
    <w:rsid w:val="00957C5D"/>
    <w:rsid w:val="0096090E"/>
    <w:rsid w:val="0096154D"/>
    <w:rsid w:val="0096221A"/>
    <w:rsid w:val="009728D1"/>
    <w:rsid w:val="00972F87"/>
    <w:rsid w:val="00973148"/>
    <w:rsid w:val="00974923"/>
    <w:rsid w:val="00976681"/>
    <w:rsid w:val="00976BAF"/>
    <w:rsid w:val="00980D3D"/>
    <w:rsid w:val="00984C37"/>
    <w:rsid w:val="00987A30"/>
    <w:rsid w:val="00991D30"/>
    <w:rsid w:val="00992CF3"/>
    <w:rsid w:val="009942B6"/>
    <w:rsid w:val="00994317"/>
    <w:rsid w:val="00994868"/>
    <w:rsid w:val="009968D6"/>
    <w:rsid w:val="009A1CAB"/>
    <w:rsid w:val="009A4901"/>
    <w:rsid w:val="009A60D1"/>
    <w:rsid w:val="009B6FD3"/>
    <w:rsid w:val="009B7C82"/>
    <w:rsid w:val="009C0293"/>
    <w:rsid w:val="009C03C8"/>
    <w:rsid w:val="009C1750"/>
    <w:rsid w:val="009C19B4"/>
    <w:rsid w:val="009C1EEA"/>
    <w:rsid w:val="009C2E29"/>
    <w:rsid w:val="009C38E5"/>
    <w:rsid w:val="009C554B"/>
    <w:rsid w:val="009C5FEA"/>
    <w:rsid w:val="009C719E"/>
    <w:rsid w:val="009D3ACD"/>
    <w:rsid w:val="009E093B"/>
    <w:rsid w:val="009E0DD4"/>
    <w:rsid w:val="009E42ED"/>
    <w:rsid w:val="009E5273"/>
    <w:rsid w:val="009E5DDB"/>
    <w:rsid w:val="009F46EA"/>
    <w:rsid w:val="009F4CA7"/>
    <w:rsid w:val="009F4FDF"/>
    <w:rsid w:val="00A0067C"/>
    <w:rsid w:val="00A01CA0"/>
    <w:rsid w:val="00A02041"/>
    <w:rsid w:val="00A04326"/>
    <w:rsid w:val="00A10D66"/>
    <w:rsid w:val="00A1260E"/>
    <w:rsid w:val="00A14114"/>
    <w:rsid w:val="00A16413"/>
    <w:rsid w:val="00A16E1D"/>
    <w:rsid w:val="00A170C9"/>
    <w:rsid w:val="00A17D5B"/>
    <w:rsid w:val="00A20028"/>
    <w:rsid w:val="00A21624"/>
    <w:rsid w:val="00A2181F"/>
    <w:rsid w:val="00A230A8"/>
    <w:rsid w:val="00A23E43"/>
    <w:rsid w:val="00A25216"/>
    <w:rsid w:val="00A27420"/>
    <w:rsid w:val="00A27C85"/>
    <w:rsid w:val="00A30F65"/>
    <w:rsid w:val="00A32759"/>
    <w:rsid w:val="00A329DF"/>
    <w:rsid w:val="00A33767"/>
    <w:rsid w:val="00A341C7"/>
    <w:rsid w:val="00A35142"/>
    <w:rsid w:val="00A35EA6"/>
    <w:rsid w:val="00A40EAC"/>
    <w:rsid w:val="00A416D4"/>
    <w:rsid w:val="00A418BC"/>
    <w:rsid w:val="00A46DE0"/>
    <w:rsid w:val="00A4750C"/>
    <w:rsid w:val="00A50D73"/>
    <w:rsid w:val="00A51F19"/>
    <w:rsid w:val="00A51F45"/>
    <w:rsid w:val="00A52CAD"/>
    <w:rsid w:val="00A537F0"/>
    <w:rsid w:val="00A53FC7"/>
    <w:rsid w:val="00A54250"/>
    <w:rsid w:val="00A55161"/>
    <w:rsid w:val="00A55593"/>
    <w:rsid w:val="00A616FD"/>
    <w:rsid w:val="00A62B23"/>
    <w:rsid w:val="00A62CE1"/>
    <w:rsid w:val="00A65AAC"/>
    <w:rsid w:val="00A66A11"/>
    <w:rsid w:val="00A6741E"/>
    <w:rsid w:val="00A73C77"/>
    <w:rsid w:val="00A75E40"/>
    <w:rsid w:val="00A77D1D"/>
    <w:rsid w:val="00A84923"/>
    <w:rsid w:val="00A857C0"/>
    <w:rsid w:val="00A90FED"/>
    <w:rsid w:val="00A92D9F"/>
    <w:rsid w:val="00A97A1E"/>
    <w:rsid w:val="00A97AD8"/>
    <w:rsid w:val="00AA1DC6"/>
    <w:rsid w:val="00AA2996"/>
    <w:rsid w:val="00AA3E4E"/>
    <w:rsid w:val="00AA52BF"/>
    <w:rsid w:val="00AA559A"/>
    <w:rsid w:val="00AB2AF1"/>
    <w:rsid w:val="00AB49E9"/>
    <w:rsid w:val="00AB5421"/>
    <w:rsid w:val="00AB5F7B"/>
    <w:rsid w:val="00AC1296"/>
    <w:rsid w:val="00AC15AE"/>
    <w:rsid w:val="00AC45BD"/>
    <w:rsid w:val="00AC46DA"/>
    <w:rsid w:val="00AC6895"/>
    <w:rsid w:val="00AD1355"/>
    <w:rsid w:val="00AD168E"/>
    <w:rsid w:val="00AD306C"/>
    <w:rsid w:val="00AD68C4"/>
    <w:rsid w:val="00AD7D0B"/>
    <w:rsid w:val="00AE09B3"/>
    <w:rsid w:val="00AE1738"/>
    <w:rsid w:val="00AE1A83"/>
    <w:rsid w:val="00AE2A2D"/>
    <w:rsid w:val="00AE3FCD"/>
    <w:rsid w:val="00AE7FB2"/>
    <w:rsid w:val="00AF71EC"/>
    <w:rsid w:val="00B00913"/>
    <w:rsid w:val="00B01593"/>
    <w:rsid w:val="00B023F2"/>
    <w:rsid w:val="00B04B4A"/>
    <w:rsid w:val="00B07379"/>
    <w:rsid w:val="00B1032A"/>
    <w:rsid w:val="00B10A4D"/>
    <w:rsid w:val="00B120A1"/>
    <w:rsid w:val="00B12AA6"/>
    <w:rsid w:val="00B14928"/>
    <w:rsid w:val="00B14BC1"/>
    <w:rsid w:val="00B17E71"/>
    <w:rsid w:val="00B17FDE"/>
    <w:rsid w:val="00B20632"/>
    <w:rsid w:val="00B22CD2"/>
    <w:rsid w:val="00B23055"/>
    <w:rsid w:val="00B2335F"/>
    <w:rsid w:val="00B2379C"/>
    <w:rsid w:val="00B2687D"/>
    <w:rsid w:val="00B277B2"/>
    <w:rsid w:val="00B304F7"/>
    <w:rsid w:val="00B32DDB"/>
    <w:rsid w:val="00B34528"/>
    <w:rsid w:val="00B34CC9"/>
    <w:rsid w:val="00B357BF"/>
    <w:rsid w:val="00B366E5"/>
    <w:rsid w:val="00B402FC"/>
    <w:rsid w:val="00B40FF9"/>
    <w:rsid w:val="00B42470"/>
    <w:rsid w:val="00B439DA"/>
    <w:rsid w:val="00B46604"/>
    <w:rsid w:val="00B512A8"/>
    <w:rsid w:val="00B530CD"/>
    <w:rsid w:val="00B53AB0"/>
    <w:rsid w:val="00B54294"/>
    <w:rsid w:val="00B55F5E"/>
    <w:rsid w:val="00B57338"/>
    <w:rsid w:val="00B5752E"/>
    <w:rsid w:val="00B57E25"/>
    <w:rsid w:val="00B606BE"/>
    <w:rsid w:val="00B619A9"/>
    <w:rsid w:val="00B63A11"/>
    <w:rsid w:val="00B64C24"/>
    <w:rsid w:val="00B6608F"/>
    <w:rsid w:val="00B679FB"/>
    <w:rsid w:val="00B76D1E"/>
    <w:rsid w:val="00B775D0"/>
    <w:rsid w:val="00B80EC6"/>
    <w:rsid w:val="00B81025"/>
    <w:rsid w:val="00B84CF6"/>
    <w:rsid w:val="00B85628"/>
    <w:rsid w:val="00B86793"/>
    <w:rsid w:val="00B86F03"/>
    <w:rsid w:val="00B9088A"/>
    <w:rsid w:val="00B9200E"/>
    <w:rsid w:val="00B92D1D"/>
    <w:rsid w:val="00B938C5"/>
    <w:rsid w:val="00B9432C"/>
    <w:rsid w:val="00B950E3"/>
    <w:rsid w:val="00B95940"/>
    <w:rsid w:val="00B962D2"/>
    <w:rsid w:val="00B97434"/>
    <w:rsid w:val="00BA0DD3"/>
    <w:rsid w:val="00BA257C"/>
    <w:rsid w:val="00BA35B6"/>
    <w:rsid w:val="00BA6405"/>
    <w:rsid w:val="00BA6C2B"/>
    <w:rsid w:val="00BA76E6"/>
    <w:rsid w:val="00BB2F03"/>
    <w:rsid w:val="00BB46F3"/>
    <w:rsid w:val="00BB4AF6"/>
    <w:rsid w:val="00BB4CB1"/>
    <w:rsid w:val="00BB4F98"/>
    <w:rsid w:val="00BC0E31"/>
    <w:rsid w:val="00BC5C12"/>
    <w:rsid w:val="00BC6BEC"/>
    <w:rsid w:val="00BC7075"/>
    <w:rsid w:val="00BC7154"/>
    <w:rsid w:val="00BC731E"/>
    <w:rsid w:val="00BD0A57"/>
    <w:rsid w:val="00BD163C"/>
    <w:rsid w:val="00BD1B27"/>
    <w:rsid w:val="00BD26F7"/>
    <w:rsid w:val="00BD2991"/>
    <w:rsid w:val="00BD366B"/>
    <w:rsid w:val="00BD6D50"/>
    <w:rsid w:val="00BE18B9"/>
    <w:rsid w:val="00BE2495"/>
    <w:rsid w:val="00BE3331"/>
    <w:rsid w:val="00BE468E"/>
    <w:rsid w:val="00BE6186"/>
    <w:rsid w:val="00BF1578"/>
    <w:rsid w:val="00BF45D9"/>
    <w:rsid w:val="00BF4B4B"/>
    <w:rsid w:val="00BF6E3A"/>
    <w:rsid w:val="00BF6EE6"/>
    <w:rsid w:val="00C024B1"/>
    <w:rsid w:val="00C055E9"/>
    <w:rsid w:val="00C1122B"/>
    <w:rsid w:val="00C12D52"/>
    <w:rsid w:val="00C211B3"/>
    <w:rsid w:val="00C21405"/>
    <w:rsid w:val="00C21F94"/>
    <w:rsid w:val="00C25709"/>
    <w:rsid w:val="00C25E4B"/>
    <w:rsid w:val="00C27913"/>
    <w:rsid w:val="00C33B68"/>
    <w:rsid w:val="00C36A79"/>
    <w:rsid w:val="00C36CCC"/>
    <w:rsid w:val="00C401D2"/>
    <w:rsid w:val="00C405D4"/>
    <w:rsid w:val="00C409B8"/>
    <w:rsid w:val="00C4513B"/>
    <w:rsid w:val="00C466D2"/>
    <w:rsid w:val="00C46EE6"/>
    <w:rsid w:val="00C5186E"/>
    <w:rsid w:val="00C529D4"/>
    <w:rsid w:val="00C53576"/>
    <w:rsid w:val="00C5390B"/>
    <w:rsid w:val="00C54697"/>
    <w:rsid w:val="00C55989"/>
    <w:rsid w:val="00C60191"/>
    <w:rsid w:val="00C609C9"/>
    <w:rsid w:val="00C60C25"/>
    <w:rsid w:val="00C6152B"/>
    <w:rsid w:val="00C73885"/>
    <w:rsid w:val="00C747B1"/>
    <w:rsid w:val="00C748B0"/>
    <w:rsid w:val="00C82191"/>
    <w:rsid w:val="00C83134"/>
    <w:rsid w:val="00C83FAA"/>
    <w:rsid w:val="00C8418E"/>
    <w:rsid w:val="00C85545"/>
    <w:rsid w:val="00C86B84"/>
    <w:rsid w:val="00C90CF4"/>
    <w:rsid w:val="00C90F53"/>
    <w:rsid w:val="00C92EB6"/>
    <w:rsid w:val="00C93389"/>
    <w:rsid w:val="00C936C3"/>
    <w:rsid w:val="00C9571A"/>
    <w:rsid w:val="00C96D08"/>
    <w:rsid w:val="00CA28BC"/>
    <w:rsid w:val="00CA6668"/>
    <w:rsid w:val="00CA6AB4"/>
    <w:rsid w:val="00CB259D"/>
    <w:rsid w:val="00CB390A"/>
    <w:rsid w:val="00CB4930"/>
    <w:rsid w:val="00CC1EF0"/>
    <w:rsid w:val="00CC2E7D"/>
    <w:rsid w:val="00CC71EC"/>
    <w:rsid w:val="00CD10A5"/>
    <w:rsid w:val="00CD2076"/>
    <w:rsid w:val="00CD29B5"/>
    <w:rsid w:val="00CD6331"/>
    <w:rsid w:val="00CE05D4"/>
    <w:rsid w:val="00CE153B"/>
    <w:rsid w:val="00CE2061"/>
    <w:rsid w:val="00CE226C"/>
    <w:rsid w:val="00CE670B"/>
    <w:rsid w:val="00CE7F95"/>
    <w:rsid w:val="00CF04A6"/>
    <w:rsid w:val="00CF1396"/>
    <w:rsid w:val="00CF1C4C"/>
    <w:rsid w:val="00CF20A4"/>
    <w:rsid w:val="00CF26C1"/>
    <w:rsid w:val="00CF3B58"/>
    <w:rsid w:val="00CF4908"/>
    <w:rsid w:val="00CF51EC"/>
    <w:rsid w:val="00CF73AE"/>
    <w:rsid w:val="00D040DD"/>
    <w:rsid w:val="00D050F8"/>
    <w:rsid w:val="00D075BE"/>
    <w:rsid w:val="00D1005A"/>
    <w:rsid w:val="00D11854"/>
    <w:rsid w:val="00D120FA"/>
    <w:rsid w:val="00D13986"/>
    <w:rsid w:val="00D13A4A"/>
    <w:rsid w:val="00D21D83"/>
    <w:rsid w:val="00D22038"/>
    <w:rsid w:val="00D235B7"/>
    <w:rsid w:val="00D25397"/>
    <w:rsid w:val="00D25F28"/>
    <w:rsid w:val="00D26071"/>
    <w:rsid w:val="00D27973"/>
    <w:rsid w:val="00D32F90"/>
    <w:rsid w:val="00D35E1A"/>
    <w:rsid w:val="00D364FE"/>
    <w:rsid w:val="00D41386"/>
    <w:rsid w:val="00D45C8F"/>
    <w:rsid w:val="00D50F46"/>
    <w:rsid w:val="00D52BE2"/>
    <w:rsid w:val="00D569B1"/>
    <w:rsid w:val="00D57677"/>
    <w:rsid w:val="00D57DAD"/>
    <w:rsid w:val="00D62FF4"/>
    <w:rsid w:val="00D64227"/>
    <w:rsid w:val="00D64F56"/>
    <w:rsid w:val="00D66223"/>
    <w:rsid w:val="00D67375"/>
    <w:rsid w:val="00D73127"/>
    <w:rsid w:val="00D73384"/>
    <w:rsid w:val="00D77ECD"/>
    <w:rsid w:val="00D8084C"/>
    <w:rsid w:val="00D85980"/>
    <w:rsid w:val="00D87358"/>
    <w:rsid w:val="00D873CC"/>
    <w:rsid w:val="00D915EA"/>
    <w:rsid w:val="00D92FD1"/>
    <w:rsid w:val="00D93CE2"/>
    <w:rsid w:val="00D9417F"/>
    <w:rsid w:val="00D943C6"/>
    <w:rsid w:val="00D965EC"/>
    <w:rsid w:val="00DA0BBD"/>
    <w:rsid w:val="00DA3D37"/>
    <w:rsid w:val="00DA63E3"/>
    <w:rsid w:val="00DA7AB5"/>
    <w:rsid w:val="00DA7C0C"/>
    <w:rsid w:val="00DA7C43"/>
    <w:rsid w:val="00DB08A9"/>
    <w:rsid w:val="00DB2EC8"/>
    <w:rsid w:val="00DC37E3"/>
    <w:rsid w:val="00DC5B3B"/>
    <w:rsid w:val="00DC639E"/>
    <w:rsid w:val="00DC76ED"/>
    <w:rsid w:val="00DD007F"/>
    <w:rsid w:val="00DD0AE9"/>
    <w:rsid w:val="00DD129F"/>
    <w:rsid w:val="00DD242A"/>
    <w:rsid w:val="00DD49ED"/>
    <w:rsid w:val="00DD6B52"/>
    <w:rsid w:val="00DE0F63"/>
    <w:rsid w:val="00DE4C19"/>
    <w:rsid w:val="00DF317B"/>
    <w:rsid w:val="00DF3C93"/>
    <w:rsid w:val="00DF42FF"/>
    <w:rsid w:val="00DF4595"/>
    <w:rsid w:val="00DF6C2B"/>
    <w:rsid w:val="00DF7190"/>
    <w:rsid w:val="00DF7AD4"/>
    <w:rsid w:val="00E0167B"/>
    <w:rsid w:val="00E01C0E"/>
    <w:rsid w:val="00E03F9A"/>
    <w:rsid w:val="00E04694"/>
    <w:rsid w:val="00E04F27"/>
    <w:rsid w:val="00E04FBD"/>
    <w:rsid w:val="00E05425"/>
    <w:rsid w:val="00E102BD"/>
    <w:rsid w:val="00E10A2E"/>
    <w:rsid w:val="00E11DE1"/>
    <w:rsid w:val="00E123E5"/>
    <w:rsid w:val="00E12B1E"/>
    <w:rsid w:val="00E12F00"/>
    <w:rsid w:val="00E157E1"/>
    <w:rsid w:val="00E17262"/>
    <w:rsid w:val="00E20077"/>
    <w:rsid w:val="00E212C9"/>
    <w:rsid w:val="00E2394F"/>
    <w:rsid w:val="00E23D7A"/>
    <w:rsid w:val="00E253A2"/>
    <w:rsid w:val="00E253C3"/>
    <w:rsid w:val="00E270E1"/>
    <w:rsid w:val="00E305C8"/>
    <w:rsid w:val="00E315D4"/>
    <w:rsid w:val="00E3237B"/>
    <w:rsid w:val="00E3309D"/>
    <w:rsid w:val="00E333BA"/>
    <w:rsid w:val="00E33A0B"/>
    <w:rsid w:val="00E364BB"/>
    <w:rsid w:val="00E453F0"/>
    <w:rsid w:val="00E453F9"/>
    <w:rsid w:val="00E47EBA"/>
    <w:rsid w:val="00E50156"/>
    <w:rsid w:val="00E503A5"/>
    <w:rsid w:val="00E517AE"/>
    <w:rsid w:val="00E53470"/>
    <w:rsid w:val="00E539F6"/>
    <w:rsid w:val="00E6519D"/>
    <w:rsid w:val="00E67696"/>
    <w:rsid w:val="00E67E81"/>
    <w:rsid w:val="00E703A5"/>
    <w:rsid w:val="00E711D1"/>
    <w:rsid w:val="00E716AB"/>
    <w:rsid w:val="00E71A58"/>
    <w:rsid w:val="00E72A7A"/>
    <w:rsid w:val="00E733C7"/>
    <w:rsid w:val="00E75C5C"/>
    <w:rsid w:val="00E75C94"/>
    <w:rsid w:val="00E76E61"/>
    <w:rsid w:val="00E8168E"/>
    <w:rsid w:val="00E924B2"/>
    <w:rsid w:val="00E93820"/>
    <w:rsid w:val="00E94A86"/>
    <w:rsid w:val="00E96143"/>
    <w:rsid w:val="00E972A9"/>
    <w:rsid w:val="00E972B3"/>
    <w:rsid w:val="00EA0840"/>
    <w:rsid w:val="00EA0C68"/>
    <w:rsid w:val="00EA17B0"/>
    <w:rsid w:val="00EA309D"/>
    <w:rsid w:val="00EA32BC"/>
    <w:rsid w:val="00EA405F"/>
    <w:rsid w:val="00EB4511"/>
    <w:rsid w:val="00EB57D0"/>
    <w:rsid w:val="00EB6637"/>
    <w:rsid w:val="00EB6E42"/>
    <w:rsid w:val="00EC03D7"/>
    <w:rsid w:val="00EC135C"/>
    <w:rsid w:val="00EC1470"/>
    <w:rsid w:val="00EC25F0"/>
    <w:rsid w:val="00EC5AA3"/>
    <w:rsid w:val="00EC6A1C"/>
    <w:rsid w:val="00ED62C6"/>
    <w:rsid w:val="00ED64C1"/>
    <w:rsid w:val="00ED7B65"/>
    <w:rsid w:val="00EE160E"/>
    <w:rsid w:val="00EE3446"/>
    <w:rsid w:val="00EE3C8D"/>
    <w:rsid w:val="00EE3E78"/>
    <w:rsid w:val="00EE466C"/>
    <w:rsid w:val="00EE4B1B"/>
    <w:rsid w:val="00EE50DB"/>
    <w:rsid w:val="00EE5BC1"/>
    <w:rsid w:val="00EF150D"/>
    <w:rsid w:val="00EF1C70"/>
    <w:rsid w:val="00EF1F5A"/>
    <w:rsid w:val="00EF348D"/>
    <w:rsid w:val="00EF47BF"/>
    <w:rsid w:val="00F01E16"/>
    <w:rsid w:val="00F02A90"/>
    <w:rsid w:val="00F04811"/>
    <w:rsid w:val="00F0488C"/>
    <w:rsid w:val="00F05E10"/>
    <w:rsid w:val="00F10F11"/>
    <w:rsid w:val="00F118D5"/>
    <w:rsid w:val="00F13819"/>
    <w:rsid w:val="00F13C9C"/>
    <w:rsid w:val="00F15AAA"/>
    <w:rsid w:val="00F15BEF"/>
    <w:rsid w:val="00F160CE"/>
    <w:rsid w:val="00F161E1"/>
    <w:rsid w:val="00F162B3"/>
    <w:rsid w:val="00F231AE"/>
    <w:rsid w:val="00F24407"/>
    <w:rsid w:val="00F24684"/>
    <w:rsid w:val="00F24FAA"/>
    <w:rsid w:val="00F25EFA"/>
    <w:rsid w:val="00F26590"/>
    <w:rsid w:val="00F32668"/>
    <w:rsid w:val="00F3364D"/>
    <w:rsid w:val="00F33926"/>
    <w:rsid w:val="00F33E56"/>
    <w:rsid w:val="00F34774"/>
    <w:rsid w:val="00F41068"/>
    <w:rsid w:val="00F433FE"/>
    <w:rsid w:val="00F437CC"/>
    <w:rsid w:val="00F43F77"/>
    <w:rsid w:val="00F44537"/>
    <w:rsid w:val="00F4530D"/>
    <w:rsid w:val="00F46502"/>
    <w:rsid w:val="00F47067"/>
    <w:rsid w:val="00F5041B"/>
    <w:rsid w:val="00F525EB"/>
    <w:rsid w:val="00F55E08"/>
    <w:rsid w:val="00F56129"/>
    <w:rsid w:val="00F63DDE"/>
    <w:rsid w:val="00F63FB7"/>
    <w:rsid w:val="00F6421B"/>
    <w:rsid w:val="00F649D2"/>
    <w:rsid w:val="00F6602B"/>
    <w:rsid w:val="00F727F2"/>
    <w:rsid w:val="00F73A0C"/>
    <w:rsid w:val="00F73D08"/>
    <w:rsid w:val="00F756DB"/>
    <w:rsid w:val="00F7746D"/>
    <w:rsid w:val="00F8090E"/>
    <w:rsid w:val="00F84E7D"/>
    <w:rsid w:val="00F85066"/>
    <w:rsid w:val="00F853A9"/>
    <w:rsid w:val="00F85789"/>
    <w:rsid w:val="00F859D0"/>
    <w:rsid w:val="00F87A4D"/>
    <w:rsid w:val="00F87A8D"/>
    <w:rsid w:val="00F939E3"/>
    <w:rsid w:val="00F97A48"/>
    <w:rsid w:val="00FA5D4D"/>
    <w:rsid w:val="00FB0EE2"/>
    <w:rsid w:val="00FB542E"/>
    <w:rsid w:val="00FB5B26"/>
    <w:rsid w:val="00FB7A5C"/>
    <w:rsid w:val="00FC0359"/>
    <w:rsid w:val="00FC0E5F"/>
    <w:rsid w:val="00FC1A95"/>
    <w:rsid w:val="00FC5504"/>
    <w:rsid w:val="00FC56DE"/>
    <w:rsid w:val="00FC684B"/>
    <w:rsid w:val="00FC6AB4"/>
    <w:rsid w:val="00FD034B"/>
    <w:rsid w:val="00FD3265"/>
    <w:rsid w:val="00FD32DB"/>
    <w:rsid w:val="00FD4056"/>
    <w:rsid w:val="00FD4916"/>
    <w:rsid w:val="00FD706B"/>
    <w:rsid w:val="00FE2D1C"/>
    <w:rsid w:val="00FE2F78"/>
    <w:rsid w:val="00FF3E63"/>
    <w:rsid w:val="00FF3EEC"/>
    <w:rsid w:val="00FF6B81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B6C90EF"/>
  <w15:docId w15:val="{A4C7AF56-5B51-4067-BDB9-17A6C364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EA0840"/>
    <w:rPr>
      <w:noProof/>
      <w:lang w:eastAsia="en-US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uiPriority w:val="99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F4650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">
    <w:name w:val="Nadpis 21"/>
    <w:basedOn w:val="Normln"/>
    <w:uiPriority w:val="9"/>
    <w:qFormat/>
    <w:rsid w:val="00F46502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">
    <w:name w:val="Text pozn. pod čarou1"/>
    <w:basedOn w:val="Normln"/>
    <w:rsid w:val="00F46502"/>
    <w:pPr>
      <w:spacing w:after="0" w:line="240" w:lineRule="auto"/>
      <w:jc w:val="left"/>
    </w:pPr>
    <w:rPr>
      <w:rFonts w:eastAsia="Calibri"/>
      <w:color w:val="00000A"/>
      <w:szCs w:val="20"/>
    </w:rPr>
  </w:style>
  <w:style w:type="character" w:customStyle="1" w:styleId="TextpoznpodarouChar1">
    <w:name w:val="Text pozn. pod čarou Char1"/>
    <w:aliases w:val="Text pozn. pod čarou_martin_ang Char1"/>
    <w:basedOn w:val="Standardnpsmoodstavce"/>
    <w:uiPriority w:val="99"/>
    <w:semiHidden/>
    <w:rsid w:val="00F46502"/>
    <w:rPr>
      <w:rFonts w:ascii="Arial" w:eastAsia="Times New Roman" w:hAnsi="Arial" w:cs="Times New Roman"/>
      <w:color w:val="00000A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46502"/>
    <w:rPr>
      <w:rFonts w:cs="Times New Roman"/>
      <w:vertAlign w:val="superscript"/>
    </w:rPr>
  </w:style>
  <w:style w:type="character" w:customStyle="1" w:styleId="odkaz-style-wrapper">
    <w:name w:val="odkaz-style-wrapper"/>
    <w:basedOn w:val="Standardnpsmoodstavce"/>
    <w:rsid w:val="00BE6186"/>
  </w:style>
  <w:style w:type="paragraph" w:customStyle="1" w:styleId="Nadpis110">
    <w:name w:val="Nadpis 11"/>
    <w:basedOn w:val="Normln"/>
    <w:uiPriority w:val="9"/>
    <w:qFormat/>
    <w:rsid w:val="00BE6186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0">
    <w:name w:val="Nadpis 21"/>
    <w:basedOn w:val="Normln"/>
    <w:uiPriority w:val="9"/>
    <w:qFormat/>
    <w:rsid w:val="00BE6186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0">
    <w:name w:val="Text pozn. pod čarou1"/>
    <w:basedOn w:val="Normln"/>
    <w:rsid w:val="00BE6186"/>
    <w:pPr>
      <w:spacing w:after="0" w:line="240" w:lineRule="auto"/>
      <w:jc w:val="left"/>
    </w:pPr>
    <w:rPr>
      <w:rFonts w:eastAsia="Calibri"/>
      <w:color w:val="00000A"/>
      <w:szCs w:val="20"/>
    </w:rPr>
  </w:style>
  <w:style w:type="paragraph" w:styleId="Normlnweb">
    <w:name w:val="Normal (Web)"/>
    <w:basedOn w:val="Normln"/>
    <w:uiPriority w:val="99"/>
    <w:unhideWhenUsed/>
    <w:rsid w:val="00C96D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4C5FBF"/>
    <w:pPr>
      <w:widowControl w:val="0"/>
      <w:suppressAutoHyphens/>
      <w:autoSpaceDE w:val="0"/>
      <w:autoSpaceDN w:val="0"/>
      <w:adjustRightInd w:val="0"/>
      <w:spacing w:before="120" w:after="0" w:line="215" w:lineRule="exact"/>
    </w:pPr>
    <w:rPr>
      <w:rFonts w:ascii="Times New Roman CE obyèejné" w:hAnsi="Times New Roman CE obyèejné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C5FBF"/>
    <w:rPr>
      <w:rFonts w:ascii="Times New Roman CE obyèejné" w:eastAsia="Times New Roman" w:hAnsi="Times New Roman CE obyèejné"/>
      <w:lang w:eastAsia="cs-CZ"/>
    </w:rPr>
  </w:style>
  <w:style w:type="character" w:customStyle="1" w:styleId="content">
    <w:name w:val="content"/>
    <w:basedOn w:val="Standardnpsmoodstavce"/>
    <w:rsid w:val="003C4BE8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44EE6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4EE6"/>
    <w:rPr>
      <w:rFonts w:ascii="Arial" w:eastAsia="Times New Roman" w:hAnsi="Arial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44EE6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4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6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Ro&#269;n&#237;%20anal&#253;za%202018\Ana&#253;za%20ekonomick&#233;ho%20v&#253;voje%20v%20roce%20201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Ro&#269;n&#237;%20anal&#253;za-Pr&#367;mysl%20od%20recese%20k%20recesi\aktual\Pr&#367;mysl-grafy-1.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JKAM%20CSU\PUBLIKACE\PUBLIKACE\2020\Ro&#269;n&#237;%20anal&#253;za-Pr&#367;mysl%20od%20recese%20k%20recesi\hototo%20k%2020.11\Pr&#367;mysl-grafy-1.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Ro&#269;n&#237;%20anal&#253;za-Pr&#367;mysl%20od%20recese%20k%20recesi\aktual\Pr&#367;mysl-grafy-1.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Ro&#269;n&#237;%20anal&#253;za-Pr&#367;mysl%20od%20recese%20k%20recesi\aktual\Pr&#367;mysl-grafy-1.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JKAM%20CSU\PUBLIKACE\PUBLIKACE\2020\Ro&#269;n&#237;%20anal&#253;za-Pr&#367;mysl%20od%20recese%20k%20recesi\hototo%20k%2020.11\Pr&#367;mysl-grafy-1.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739947124095832E-2"/>
          <c:y val="2.055840501757536E-2"/>
          <c:w val="0.91622760062582209"/>
          <c:h val="0.780716512999977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'Graf-1'!$A$43</c:f>
              <c:strCache>
                <c:ptCount val="1"/>
                <c:pt idx="0">
                  <c:v>Hrubá přidaná hodnota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22225">
              <a:noFill/>
            </a:ln>
            <a:effectLst/>
          </c:spPr>
          <c:invertIfNegative val="0"/>
          <c:cat>
            <c:numRef>
              <c:f>'Graf-1'!$B$42:$AB$42</c:f>
              <c:numCache>
                <c:formatCode>General</c:formatCode>
                <c:ptCount val="27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</c:numCache>
            </c:numRef>
          </c:cat>
          <c:val>
            <c:numRef>
              <c:f>'Graf-1'!$B$43:$AB$43</c:f>
              <c:numCache>
                <c:formatCode>0.0</c:formatCode>
                <c:ptCount val="27"/>
                <c:pt idx="0">
                  <c:v>31.873856820496876</c:v>
                </c:pt>
                <c:pt idx="1">
                  <c:v>31.443866700091377</c:v>
                </c:pt>
                <c:pt idx="2">
                  <c:v>31.287934939617816</c:v>
                </c:pt>
                <c:pt idx="3">
                  <c:v>32.114147062561862</c:v>
                </c:pt>
                <c:pt idx="4">
                  <c:v>31.709044739216147</c:v>
                </c:pt>
                <c:pt idx="5">
                  <c:v>30.806392261464271</c:v>
                </c:pt>
                <c:pt idx="6">
                  <c:v>30.386227288833499</c:v>
                </c:pt>
                <c:pt idx="7">
                  <c:v>30.601997611551408</c:v>
                </c:pt>
                <c:pt idx="8">
                  <c:v>31.153511020969642</c:v>
                </c:pt>
                <c:pt idx="9">
                  <c:v>29.956045063563163</c:v>
                </c:pt>
                <c:pt idx="10">
                  <c:v>28.853114081884556</c:v>
                </c:pt>
                <c:pt idx="11">
                  <c:v>30.616085049084575</c:v>
                </c:pt>
                <c:pt idx="12">
                  <c:v>30.501424675918621</c:v>
                </c:pt>
                <c:pt idx="13">
                  <c:v>31.440019743201276</c:v>
                </c:pt>
                <c:pt idx="14">
                  <c:v>31.346653964003401</c:v>
                </c:pt>
                <c:pt idx="15">
                  <c:v>30.758208095826454</c:v>
                </c:pt>
                <c:pt idx="16">
                  <c:v>29.490877595925614</c:v>
                </c:pt>
                <c:pt idx="17">
                  <c:v>29.59921716394615</c:v>
                </c:pt>
                <c:pt idx="18">
                  <c:v>30.826271504043579</c:v>
                </c:pt>
                <c:pt idx="19">
                  <c:v>30.703584379874222</c:v>
                </c:pt>
                <c:pt idx="20">
                  <c:v>30.676444883740032</c:v>
                </c:pt>
                <c:pt idx="21">
                  <c:v>31.775546383023762</c:v>
                </c:pt>
                <c:pt idx="22">
                  <c:v>31.857996808776779</c:v>
                </c:pt>
                <c:pt idx="23">
                  <c:v>31.678354951967901</c:v>
                </c:pt>
                <c:pt idx="24">
                  <c:v>30.925354155144557</c:v>
                </c:pt>
                <c:pt idx="25">
                  <c:v>29.670139839896336</c:v>
                </c:pt>
                <c:pt idx="26">
                  <c:v>29.210918888914588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1E-4C90-BA62-244BFC65C2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167600"/>
        <c:axId val="281211184"/>
      </c:barChart>
      <c:lineChart>
        <c:grouping val="standard"/>
        <c:varyColors val="0"/>
        <c:ser>
          <c:idx val="1"/>
          <c:order val="1"/>
          <c:tx>
            <c:strRef>
              <c:f>'Graf-1'!$A$44</c:f>
              <c:strCache>
                <c:ptCount val="1"/>
                <c:pt idx="0">
                  <c:v>Zaměstnanost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'Graf-1'!$B$42:$AB$42</c:f>
              <c:numCache>
                <c:formatCode>General</c:formatCode>
                <c:ptCount val="27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</c:numCache>
            </c:numRef>
          </c:cat>
          <c:val>
            <c:numRef>
              <c:f>'Graf-1'!$B$44:$AB$44</c:f>
              <c:numCache>
                <c:formatCode>0.0</c:formatCode>
                <c:ptCount val="27"/>
                <c:pt idx="0">
                  <c:v>30.477564420453852</c:v>
                </c:pt>
                <c:pt idx="1">
                  <c:v>30.206128828538116</c:v>
                </c:pt>
                <c:pt idx="2">
                  <c:v>29.931226290673401</c:v>
                </c:pt>
                <c:pt idx="3">
                  <c:v>31.160696093848074</c:v>
                </c:pt>
                <c:pt idx="4">
                  <c:v>31.49551525082045</c:v>
                </c:pt>
                <c:pt idx="5">
                  <c:v>31.51999470624018</c:v>
                </c:pt>
                <c:pt idx="6">
                  <c:v>30.721098745778015</c:v>
                </c:pt>
                <c:pt idx="7">
                  <c:v>30.268458955445528</c:v>
                </c:pt>
                <c:pt idx="8">
                  <c:v>30.365974730448453</c:v>
                </c:pt>
                <c:pt idx="9">
                  <c:v>30.058777328390775</c:v>
                </c:pt>
                <c:pt idx="10">
                  <c:v>29.262592847299352</c:v>
                </c:pt>
                <c:pt idx="11">
                  <c:v>29.609856119049123</c:v>
                </c:pt>
                <c:pt idx="12">
                  <c:v>29.812809109031573</c:v>
                </c:pt>
                <c:pt idx="13">
                  <c:v>29.527862690199282</c:v>
                </c:pt>
                <c:pt idx="14">
                  <c:v>29.704183566141179</c:v>
                </c:pt>
                <c:pt idx="15">
                  <c:v>29.304177176227242</c:v>
                </c:pt>
                <c:pt idx="16">
                  <c:v>27.748408107752365</c:v>
                </c:pt>
                <c:pt idx="17">
                  <c:v>27.046369369721024</c:v>
                </c:pt>
                <c:pt idx="18">
                  <c:v>28.009811943074141</c:v>
                </c:pt>
                <c:pt idx="19">
                  <c:v>28.04768938561017</c:v>
                </c:pt>
                <c:pt idx="20">
                  <c:v>27.94935143922061</c:v>
                </c:pt>
                <c:pt idx="21">
                  <c:v>28.176167032445576</c:v>
                </c:pt>
                <c:pt idx="22">
                  <c:v>28.681272958129213</c:v>
                </c:pt>
                <c:pt idx="23">
                  <c:v>28.899064354853572</c:v>
                </c:pt>
                <c:pt idx="24">
                  <c:v>28.884238595812796</c:v>
                </c:pt>
                <c:pt idx="25">
                  <c:v>28.76295537986276</c:v>
                </c:pt>
                <c:pt idx="26">
                  <c:v>28.450385793538224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1E-4C90-BA62-244BFC65C2E1}"/>
            </c:ext>
          </c:extLst>
        </c:ser>
        <c:ser>
          <c:idx val="2"/>
          <c:order val="2"/>
          <c:tx>
            <c:strRef>
              <c:f>'Graf-1'!$A$45</c:f>
              <c:strCache>
                <c:ptCount val="1"/>
                <c:pt idx="0">
                  <c:v>z toho zaměstnanci</c:v>
                </c:pt>
              </c:strCache>
            </c:strRef>
          </c:tx>
          <c:spPr>
            <a:ln w="19050" cap="rnd">
              <a:solidFill>
                <a:srgbClr val="ED7D3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'Graf-1'!$B$42:$AB$42</c:f>
              <c:numCache>
                <c:formatCode>General</c:formatCode>
                <c:ptCount val="27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</c:numCache>
            </c:numRef>
          </c:cat>
          <c:val>
            <c:numRef>
              <c:f>'Graf-1'!$B$45:$AB$45</c:f>
              <c:numCache>
                <c:formatCode>0.0</c:formatCode>
                <c:ptCount val="27"/>
                <c:pt idx="0">
                  <c:v>32.111556435116661</c:v>
                </c:pt>
                <c:pt idx="1">
                  <c:v>32.011662531457446</c:v>
                </c:pt>
                <c:pt idx="2">
                  <c:v>31.862872797437504</c:v>
                </c:pt>
                <c:pt idx="3">
                  <c:v>33.283094878772083</c:v>
                </c:pt>
                <c:pt idx="4">
                  <c:v>33.697142859704719</c:v>
                </c:pt>
                <c:pt idx="5">
                  <c:v>34.01632924798399</c:v>
                </c:pt>
                <c:pt idx="6">
                  <c:v>33.267398779600398</c:v>
                </c:pt>
                <c:pt idx="7">
                  <c:v>32.840740947945747</c:v>
                </c:pt>
                <c:pt idx="8">
                  <c:v>32.96289190304649</c:v>
                </c:pt>
                <c:pt idx="9">
                  <c:v>32.816422763483928</c:v>
                </c:pt>
                <c:pt idx="10">
                  <c:v>32.08524725250296</c:v>
                </c:pt>
                <c:pt idx="11">
                  <c:v>32.319079936391951</c:v>
                </c:pt>
                <c:pt idx="12">
                  <c:v>32.369721682349727</c:v>
                </c:pt>
                <c:pt idx="13">
                  <c:v>32.130368543843829</c:v>
                </c:pt>
                <c:pt idx="14">
                  <c:v>32.276968913045962</c:v>
                </c:pt>
                <c:pt idx="15">
                  <c:v>31.660349638473189</c:v>
                </c:pt>
                <c:pt idx="16">
                  <c:v>29.999904547430269</c:v>
                </c:pt>
                <c:pt idx="17">
                  <c:v>29.222613752426003</c:v>
                </c:pt>
                <c:pt idx="18">
                  <c:v>30.304820581736173</c:v>
                </c:pt>
                <c:pt idx="19">
                  <c:v>30.414346134646784</c:v>
                </c:pt>
                <c:pt idx="20">
                  <c:v>30.06858820841337</c:v>
                </c:pt>
                <c:pt idx="21">
                  <c:v>30.211165437789738</c:v>
                </c:pt>
                <c:pt idx="22">
                  <c:v>30.691384984897489</c:v>
                </c:pt>
                <c:pt idx="23">
                  <c:v>30.953943887087277</c:v>
                </c:pt>
                <c:pt idx="24">
                  <c:v>30.923944001560528</c:v>
                </c:pt>
                <c:pt idx="25">
                  <c:v>30.758139732755108</c:v>
                </c:pt>
                <c:pt idx="26">
                  <c:v>30.391289408968692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1E-4C90-BA62-244BFC65C2E1}"/>
            </c:ext>
          </c:extLst>
        </c:ser>
        <c:ser>
          <c:idx val="3"/>
          <c:order val="3"/>
          <c:tx>
            <c:strRef>
              <c:f>'Graf-1'!$A$46</c:f>
              <c:strCache>
                <c:ptCount val="1"/>
                <c:pt idx="0">
                  <c:v>Mzdy a platy</c:v>
                </c:pt>
              </c:strCache>
            </c:strRef>
          </c:tx>
          <c:spPr>
            <a:ln w="19050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'Graf-1'!$B$42:$AB$42</c:f>
              <c:numCache>
                <c:formatCode>General</c:formatCode>
                <c:ptCount val="27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</c:numCache>
            </c:numRef>
          </c:cat>
          <c:val>
            <c:numRef>
              <c:f>'Graf-1'!$B$46:$AB$46</c:f>
              <c:numCache>
                <c:formatCode>0.0</c:formatCode>
                <c:ptCount val="27"/>
                <c:pt idx="0">
                  <c:v>32.742400054538948</c:v>
                </c:pt>
                <c:pt idx="1">
                  <c:v>32.309663968017901</c:v>
                </c:pt>
                <c:pt idx="2">
                  <c:v>31.607658218538091</c:v>
                </c:pt>
                <c:pt idx="3">
                  <c:v>32.408064844952797</c:v>
                </c:pt>
                <c:pt idx="4">
                  <c:v>32.780808347217487</c:v>
                </c:pt>
                <c:pt idx="5">
                  <c:v>33.137858266508076</c:v>
                </c:pt>
                <c:pt idx="6">
                  <c:v>32.090331745633826</c:v>
                </c:pt>
                <c:pt idx="7">
                  <c:v>32.367105631120893</c:v>
                </c:pt>
                <c:pt idx="8">
                  <c:v>32.718267745913963</c:v>
                </c:pt>
                <c:pt idx="9">
                  <c:v>32.048830175973222</c:v>
                </c:pt>
                <c:pt idx="10">
                  <c:v>31.010923932799866</c:v>
                </c:pt>
                <c:pt idx="11">
                  <c:v>31.3002270561697</c:v>
                </c:pt>
                <c:pt idx="12">
                  <c:v>31.174753865365908</c:v>
                </c:pt>
                <c:pt idx="13">
                  <c:v>31.317863111624554</c:v>
                </c:pt>
                <c:pt idx="14">
                  <c:v>31.412367859126743</c:v>
                </c:pt>
                <c:pt idx="15">
                  <c:v>31.026562293441106</c:v>
                </c:pt>
                <c:pt idx="16">
                  <c:v>28.912143682565368</c:v>
                </c:pt>
                <c:pt idx="17">
                  <c:v>28.626976837235073</c:v>
                </c:pt>
                <c:pt idx="18">
                  <c:v>30.135933186567428</c:v>
                </c:pt>
                <c:pt idx="19">
                  <c:v>30.097226723109682</c:v>
                </c:pt>
                <c:pt idx="20">
                  <c:v>29.933834417349253</c:v>
                </c:pt>
                <c:pt idx="21">
                  <c:v>30.175957628739148</c:v>
                </c:pt>
                <c:pt idx="22">
                  <c:v>30.581416051479781</c:v>
                </c:pt>
                <c:pt idx="23">
                  <c:v>30.677049166472166</c:v>
                </c:pt>
                <c:pt idx="24">
                  <c:v>30.770622512630641</c:v>
                </c:pt>
                <c:pt idx="25">
                  <c:v>30.28547948209518</c:v>
                </c:pt>
                <c:pt idx="26">
                  <c:v>29.687502386459268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71E-4C90-BA62-244BFC65C2E1}"/>
            </c:ext>
          </c:extLst>
        </c:ser>
        <c:ser>
          <c:idx val="4"/>
          <c:order val="4"/>
          <c:tx>
            <c:strRef>
              <c:f>'Graf-1'!$A$47</c:f>
              <c:strCache>
                <c:ptCount val="1"/>
                <c:pt idx="0">
                  <c:v>Investice*</c:v>
                </c:pt>
              </c:strCache>
            </c:strRef>
          </c:tx>
          <c:spPr>
            <a:ln w="19050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'Graf-1'!$B$42:$AB$42</c:f>
              <c:numCache>
                <c:formatCode>General</c:formatCode>
                <c:ptCount val="27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</c:numCache>
            </c:numRef>
          </c:cat>
          <c:val>
            <c:numRef>
              <c:f>'Graf-1'!$B$47:$AB$47</c:f>
              <c:numCache>
                <c:formatCode>0.0</c:formatCode>
                <c:ptCount val="27"/>
                <c:pt idx="0">
                  <c:v>38.450235394759048</c:v>
                </c:pt>
                <c:pt idx="1">
                  <c:v>37.637539513111335</c:v>
                </c:pt>
                <c:pt idx="2">
                  <c:v>40.571725186311227</c:v>
                </c:pt>
                <c:pt idx="3">
                  <c:v>37.256732575328158</c:v>
                </c:pt>
                <c:pt idx="4">
                  <c:v>36.886201630516851</c:v>
                </c:pt>
                <c:pt idx="5">
                  <c:v>34.465813370956461</c:v>
                </c:pt>
                <c:pt idx="6">
                  <c:v>35.6550788521524</c:v>
                </c:pt>
                <c:pt idx="7">
                  <c:v>33.597005741860769</c:v>
                </c:pt>
                <c:pt idx="8">
                  <c:v>34.794763330350399</c:v>
                </c:pt>
                <c:pt idx="9">
                  <c:v>30.755633672710204</c:v>
                </c:pt>
                <c:pt idx="10">
                  <c:v>30.959536680653333</c:v>
                </c:pt>
                <c:pt idx="11">
                  <c:v>31.174982531434953</c:v>
                </c:pt>
                <c:pt idx="12">
                  <c:v>29.274829417025945</c:v>
                </c:pt>
                <c:pt idx="13">
                  <c:v>28.857637011569103</c:v>
                </c:pt>
                <c:pt idx="14">
                  <c:v>30.752205303808676</c:v>
                </c:pt>
                <c:pt idx="15">
                  <c:v>29.53702074975137</c:v>
                </c:pt>
                <c:pt idx="16">
                  <c:v>27.261904543864436</c:v>
                </c:pt>
                <c:pt idx="17">
                  <c:v>28.314500602850323</c:v>
                </c:pt>
                <c:pt idx="18">
                  <c:v>30.433658518183883</c:v>
                </c:pt>
                <c:pt idx="19">
                  <c:v>31.290452280101359</c:v>
                </c:pt>
                <c:pt idx="20">
                  <c:v>32.318591449555115</c:v>
                </c:pt>
                <c:pt idx="21">
                  <c:v>32.210307776757233</c:v>
                </c:pt>
                <c:pt idx="22">
                  <c:v>31.339609037992318</c:v>
                </c:pt>
                <c:pt idx="23">
                  <c:v>31.621264940863391</c:v>
                </c:pt>
                <c:pt idx="24">
                  <c:v>30.099410479131965</c:v>
                </c:pt>
                <c:pt idx="25">
                  <c:v>28.564100113560979</c:v>
                </c:pt>
                <c:pt idx="26">
                  <c:v>29.565522650927655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71E-4C90-BA62-244BFC65C2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167600"/>
        <c:axId val="281211184"/>
      </c:lineChart>
      <c:catAx>
        <c:axId val="21116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81211184"/>
        <c:crosses val="autoZero"/>
        <c:auto val="1"/>
        <c:lblAlgn val="ctr"/>
        <c:lblOffset val="50"/>
        <c:noMultiLvlLbl val="0"/>
      </c:catAx>
      <c:valAx>
        <c:axId val="281211184"/>
        <c:scaling>
          <c:orientation val="minMax"/>
          <c:max val="42.5"/>
          <c:min val="25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11167600"/>
        <c:crosses val="autoZero"/>
        <c:crossBetween val="between"/>
        <c:majorUnit val="2.5"/>
      </c:valAx>
      <c:spPr>
        <a:noFill/>
        <a:ln w="6350"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7.2100782352780307E-2"/>
          <c:y val="0.90304686273190216"/>
          <c:w val="0.91721260263252558"/>
          <c:h val="8.9355796337423632E-2"/>
        </c:manualLayout>
      </c:layout>
      <c:overlay val="0"/>
      <c:spPr>
        <a:noFill/>
        <a:ln>
          <a:solidFill>
            <a:schemeClr val="tx1">
              <a:lumMod val="95000"/>
              <a:lumOff val="5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949849763974712E-2"/>
          <c:y val="1.7071298480717631E-2"/>
          <c:w val="0.81499313853361788"/>
          <c:h val="0.78833075412436326"/>
        </c:manualLayout>
      </c:layout>
      <c:barChart>
        <c:barDir val="col"/>
        <c:grouping val="clustered"/>
        <c:varyColors val="0"/>
        <c:ser>
          <c:idx val="4"/>
          <c:order val="4"/>
          <c:tx>
            <c:strRef>
              <c:f>'Graf-2'!$P$4</c:f>
              <c:strCache>
                <c:ptCount val="1"/>
                <c:pt idx="0">
                  <c:v>Vývoz průmyslového zboží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cat>
            <c:numRef>
              <c:f>'Graf-2'!$K$5:$K$19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'Graf-2'!$P$5:$P$19</c:f>
              <c:numCache>
                <c:formatCode>#\ ##0_ ;\-#\ ##0\ </c:formatCode>
                <c:ptCount val="15"/>
                <c:pt idx="0">
                  <c:v>1834.373</c:v>
                </c:pt>
                <c:pt idx="1">
                  <c:v>2039.1220000000001</c:v>
                </c:pt>
                <c:pt idx="2">
                  <c:v>2249.328</c:v>
                </c:pt>
                <c:pt idx="3">
                  <c:v>2216.7869999999998</c:v>
                </c:pt>
                <c:pt idx="4">
                  <c:v>1969.6959999999999</c:v>
                </c:pt>
                <c:pt idx="5">
                  <c:v>2266.6930000000002</c:v>
                </c:pt>
                <c:pt idx="6">
                  <c:v>2500.4569999999999</c:v>
                </c:pt>
                <c:pt idx="7">
                  <c:v>2649.5929999999998</c:v>
                </c:pt>
                <c:pt idx="8">
                  <c:v>2708.002</c:v>
                </c:pt>
                <c:pt idx="9">
                  <c:v>3062.09</c:v>
                </c:pt>
                <c:pt idx="10">
                  <c:v>3177.8180000000002</c:v>
                </c:pt>
                <c:pt idx="11">
                  <c:v>3211.55</c:v>
                </c:pt>
                <c:pt idx="12">
                  <c:v>3429.3240000000001</c:v>
                </c:pt>
                <c:pt idx="13">
                  <c:v>3538.9789999999998</c:v>
                </c:pt>
                <c:pt idx="14">
                  <c:v>3608.0520000000001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8F-4DE6-B0DA-1BAE830EB406}"/>
            </c:ext>
          </c:extLst>
        </c:ser>
        <c:ser>
          <c:idx val="5"/>
          <c:order val="5"/>
          <c:tx>
            <c:strRef>
              <c:f>'Graf-2'!$Q$4</c:f>
              <c:strCache>
                <c:ptCount val="1"/>
                <c:pt idx="0">
                  <c:v>z toho dopravní prostředky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9526312953719317E-3"/>
                  <c:y val="1.52169222422096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8F-4DE6-B0DA-1BAE830EB406}"/>
                </c:ext>
              </c:extLst>
            </c:dLbl>
            <c:dLbl>
              <c:idx val="1"/>
              <c:layout>
                <c:manualLayout>
                  <c:x val="1.3260998588695614E-2"/>
                  <c:y val="1.52025576208356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8F-4DE6-B0DA-1BAE830EB406}"/>
                </c:ext>
              </c:extLst>
            </c:dLbl>
            <c:dLbl>
              <c:idx val="2"/>
              <c:layout>
                <c:manualLayout>
                  <c:x val="1.326099858869559E-2"/>
                  <c:y val="1.14019182156267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8F-4DE6-B0DA-1BAE830EB406}"/>
                </c:ext>
              </c:extLst>
            </c:dLbl>
            <c:dLbl>
              <c:idx val="3"/>
              <c:layout>
                <c:manualLayout>
                  <c:x val="1.3260998588695566E-2"/>
                  <c:y val="1.52025576208356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8F-4DE6-B0DA-1BAE830EB406}"/>
                </c:ext>
              </c:extLst>
            </c:dLbl>
            <c:dLbl>
              <c:idx val="4"/>
              <c:layout>
                <c:manualLayout>
                  <c:x val="1.3260998588695614E-2"/>
                  <c:y val="1.14019182156267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8F-4DE6-B0DA-1BAE830EB406}"/>
                </c:ext>
              </c:extLst>
            </c:dLbl>
            <c:dLbl>
              <c:idx val="5"/>
              <c:layout>
                <c:manualLayout>
                  <c:x val="1.591319830643469E-2"/>
                  <c:y val="1.14019182156265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48F-4DE6-B0DA-1BAE830EB406}"/>
                </c:ext>
              </c:extLst>
            </c:dLbl>
            <c:dLbl>
              <c:idx val="6"/>
              <c:layout>
                <c:manualLayout>
                  <c:x val="1.3260998588695663E-2"/>
                  <c:y val="1.14019182156265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8F-4DE6-B0DA-1BAE830EB406}"/>
                </c:ext>
              </c:extLst>
            </c:dLbl>
            <c:dLbl>
              <c:idx val="7"/>
              <c:layout>
                <c:manualLayout>
                  <c:x val="1.3260998588695517E-2"/>
                  <c:y val="1.14019182156267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48F-4DE6-B0DA-1BAE830EB406}"/>
                </c:ext>
              </c:extLst>
            </c:dLbl>
            <c:dLbl>
              <c:idx val="8"/>
              <c:layout>
                <c:manualLayout>
                  <c:x val="1.5913198306434739E-2"/>
                  <c:y val="1.14019182156267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8F-4DE6-B0DA-1BAE830EB406}"/>
                </c:ext>
              </c:extLst>
            </c:dLbl>
            <c:dLbl>
              <c:idx val="9"/>
              <c:layout>
                <c:manualLayout>
                  <c:x val="1.3260998588695614E-2"/>
                  <c:y val="1.52025576208356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48F-4DE6-B0DA-1BAE830EB406}"/>
                </c:ext>
              </c:extLst>
            </c:dLbl>
            <c:dLbl>
              <c:idx val="10"/>
              <c:layout>
                <c:manualLayout>
                  <c:x val="1.3260998588695614E-2"/>
                  <c:y val="1.52025576208355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48F-4DE6-B0DA-1BAE830EB406}"/>
                </c:ext>
              </c:extLst>
            </c:dLbl>
            <c:dLbl>
              <c:idx val="11"/>
              <c:layout>
                <c:manualLayout>
                  <c:x val="1.3260998588695614E-2"/>
                  <c:y val="1.52025576208355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48F-4DE6-B0DA-1BAE830EB406}"/>
                </c:ext>
              </c:extLst>
            </c:dLbl>
            <c:dLbl>
              <c:idx val="12"/>
              <c:layout>
                <c:manualLayout>
                  <c:x val="1.3260998588695614E-2"/>
                  <c:y val="1.52025576208357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48F-4DE6-B0DA-1BAE830EB406}"/>
                </c:ext>
              </c:extLst>
            </c:dLbl>
            <c:dLbl>
              <c:idx val="13"/>
              <c:layout>
                <c:manualLayout>
                  <c:x val="1.3260998588695712E-2"/>
                  <c:y val="1.52025576208355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48F-4DE6-B0DA-1BAE830EB406}"/>
                </c:ext>
              </c:extLst>
            </c:dLbl>
            <c:dLbl>
              <c:idx val="14"/>
              <c:layout>
                <c:manualLayout>
                  <c:x val="0"/>
                  <c:y val="1.14019182156267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48F-4DE6-B0DA-1BAE830EB4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'Graf-2'!$K$5:$K$19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'Graf-2'!$Q$5:$Q$19</c:f>
              <c:numCache>
                <c:formatCode>#\ ##0_ ;\-#\ ##0\ </c:formatCode>
                <c:ptCount val="15"/>
                <c:pt idx="0">
                  <c:v>349.91300000000001</c:v>
                </c:pt>
                <c:pt idx="1">
                  <c:v>416.84899999999999</c:v>
                </c:pt>
                <c:pt idx="2">
                  <c:v>467.27800000000002</c:v>
                </c:pt>
                <c:pt idx="3">
                  <c:v>443.13099999999997</c:v>
                </c:pt>
                <c:pt idx="4">
                  <c:v>423.24700000000001</c:v>
                </c:pt>
                <c:pt idx="5">
                  <c:v>493.74900000000002</c:v>
                </c:pt>
                <c:pt idx="6">
                  <c:v>552.68299999999999</c:v>
                </c:pt>
                <c:pt idx="7">
                  <c:v>593.45100000000002</c:v>
                </c:pt>
                <c:pt idx="8">
                  <c:v>627.995</c:v>
                </c:pt>
                <c:pt idx="9">
                  <c:v>764.52200000000005</c:v>
                </c:pt>
                <c:pt idx="10">
                  <c:v>897.86099999999999</c:v>
                </c:pt>
                <c:pt idx="11">
                  <c:v>969.30799999999999</c:v>
                </c:pt>
                <c:pt idx="12">
                  <c:v>1043.5609999999999</c:v>
                </c:pt>
                <c:pt idx="13">
                  <c:v>1036.8219999999999</c:v>
                </c:pt>
                <c:pt idx="14">
                  <c:v>1079.2059999999999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48F-4DE6-B0DA-1BAE830EB4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4928528"/>
        <c:axId val="432872944"/>
      </c:barChart>
      <c:lineChart>
        <c:grouping val="standard"/>
        <c:varyColors val="0"/>
        <c:ser>
          <c:idx val="0"/>
          <c:order val="0"/>
          <c:tx>
            <c:strRef>
              <c:f>'Graf-2'!$L$4</c:f>
              <c:strCache>
                <c:ptCount val="1"/>
                <c:pt idx="0">
                  <c:v>Vývoz zboží / produkce v NH (v %)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'Graf-2'!$K$5:$K$19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'Graf-2'!$L$5:$L$19</c:f>
              <c:numCache>
                <c:formatCode>#\ ##0.0</c:formatCode>
                <c:ptCount val="15"/>
                <c:pt idx="0">
                  <c:v>22.821236919515261</c:v>
                </c:pt>
                <c:pt idx="1">
                  <c:v>23.111580607709271</c:v>
                </c:pt>
                <c:pt idx="2">
                  <c:v>23.406680286176421</c:v>
                </c:pt>
                <c:pt idx="3">
                  <c:v>22.205625048421425</c:v>
                </c:pt>
                <c:pt idx="4">
                  <c:v>21.644077738451315</c:v>
                </c:pt>
                <c:pt idx="5">
                  <c:v>23.653449364958554</c:v>
                </c:pt>
                <c:pt idx="6">
                  <c:v>25.107465507442118</c:v>
                </c:pt>
                <c:pt idx="7">
                  <c:v>27.232793946548504</c:v>
                </c:pt>
                <c:pt idx="8">
                  <c:v>27.716509143129674</c:v>
                </c:pt>
                <c:pt idx="9">
                  <c:v>29.812781430411345</c:v>
                </c:pt>
                <c:pt idx="10">
                  <c:v>29.683327799588348</c:v>
                </c:pt>
                <c:pt idx="11">
                  <c:v>29.519903167910616</c:v>
                </c:pt>
                <c:pt idx="12">
                  <c:v>29.420017035165447</c:v>
                </c:pt>
                <c:pt idx="13">
                  <c:v>28.584393900554939</c:v>
                </c:pt>
                <c:pt idx="14">
                  <c:v>27.854989200296593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548F-4DE6-B0DA-1BAE830EB406}"/>
            </c:ext>
          </c:extLst>
        </c:ser>
        <c:ser>
          <c:idx val="1"/>
          <c:order val="1"/>
          <c:tx>
            <c:strRef>
              <c:f>'Graf-2'!$M$4</c:f>
              <c:strCache>
                <c:ptCount val="1"/>
                <c:pt idx="0">
                  <c:v>Vývoz zboží / HDP (v %)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'Graf-2'!$K$5:$K$19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'Graf-2'!$M$5:$M$19</c:f>
              <c:numCache>
                <c:formatCode>#\ ##0.0</c:formatCode>
                <c:ptCount val="15"/>
                <c:pt idx="0">
                  <c:v>52.149573997145261</c:v>
                </c:pt>
                <c:pt idx="1">
                  <c:v>54.761794911494462</c:v>
                </c:pt>
                <c:pt idx="2">
                  <c:v>55.995608677084185</c:v>
                </c:pt>
                <c:pt idx="3">
                  <c:v>52.872589853471609</c:v>
                </c:pt>
                <c:pt idx="4">
                  <c:v>48.494472718503367</c:v>
                </c:pt>
                <c:pt idx="5">
                  <c:v>54.976256383423873</c:v>
                </c:pt>
                <c:pt idx="6">
                  <c:v>59.988852403755885</c:v>
                </c:pt>
                <c:pt idx="7">
                  <c:v>64.142480514451279</c:v>
                </c:pt>
                <c:pt idx="8">
                  <c:v>64.698374895334453</c:v>
                </c:pt>
                <c:pt idx="9">
                  <c:v>69.92393495238079</c:v>
                </c:pt>
                <c:pt idx="10">
                  <c:v>68.217357808831352</c:v>
                </c:pt>
                <c:pt idx="11">
                  <c:v>66.647917156781773</c:v>
                </c:pt>
                <c:pt idx="12">
                  <c:v>66.665995749774055</c:v>
                </c:pt>
                <c:pt idx="13">
                  <c:v>64.767391503079068</c:v>
                </c:pt>
                <c:pt idx="14">
                  <c:v>62.320936908553001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548F-4DE6-B0DA-1BAE830EB406}"/>
            </c:ext>
          </c:extLst>
        </c:ser>
        <c:ser>
          <c:idx val="2"/>
          <c:order val="2"/>
          <c:tx>
            <c:strRef>
              <c:f>'Graf-2'!$N$4</c:f>
              <c:strCache>
                <c:ptCount val="1"/>
                <c:pt idx="0">
                  <c:v>Vývoz zboží i služeb / produkce v NH (v %)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'Graf-2'!$K$5:$K$19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'Graf-2'!$N$5:$N$19</c:f>
              <c:numCache>
                <c:formatCode>0.0</c:formatCode>
                <c:ptCount val="15"/>
                <c:pt idx="0">
                  <c:v>27.020018023060398</c:v>
                </c:pt>
                <c:pt idx="1">
                  <c:v>27.38543049268911</c:v>
                </c:pt>
                <c:pt idx="2">
                  <c:v>27.640033997171663</c:v>
                </c:pt>
                <c:pt idx="3">
                  <c:v>26.414911666326091</c:v>
                </c:pt>
                <c:pt idx="4">
                  <c:v>26.050551858522219</c:v>
                </c:pt>
                <c:pt idx="5">
                  <c:v>28.169382355530015</c:v>
                </c:pt>
                <c:pt idx="6">
                  <c:v>29.610162239114917</c:v>
                </c:pt>
                <c:pt idx="7">
                  <c:v>32.103841113308619</c:v>
                </c:pt>
                <c:pt idx="8">
                  <c:v>32.57306854857103</c:v>
                </c:pt>
                <c:pt idx="9">
                  <c:v>34.932827656540177</c:v>
                </c:pt>
                <c:pt idx="10">
                  <c:v>35.071973006232113</c:v>
                </c:pt>
                <c:pt idx="11">
                  <c:v>35.021653367465603</c:v>
                </c:pt>
                <c:pt idx="12">
                  <c:v>34.911921882115863</c:v>
                </c:pt>
                <c:pt idx="13">
                  <c:v>34.012071903258501</c:v>
                </c:pt>
                <c:pt idx="14">
                  <c:v>33.274720471750378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548F-4DE6-B0DA-1BAE830EB406}"/>
            </c:ext>
          </c:extLst>
        </c:ser>
        <c:ser>
          <c:idx val="3"/>
          <c:order val="3"/>
          <c:tx>
            <c:strRef>
              <c:f>'Graf-2'!$O$4</c:f>
              <c:strCache>
                <c:ptCount val="1"/>
                <c:pt idx="0">
                  <c:v>Vývoz zboží i služeb / HDP (v %)</c:v>
                </c:pt>
              </c:strCache>
            </c:strRef>
          </c:tx>
          <c:spPr>
            <a:ln w="19050" cap="rnd">
              <a:solidFill>
                <a:schemeClr val="accent2">
                  <a:lumMod val="7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'Graf-2'!$K$5:$K$19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'Graf-2'!$O$5:$O$19</c:f>
              <c:numCache>
                <c:formatCode>0.0</c:formatCode>
                <c:ptCount val="15"/>
                <c:pt idx="0">
                  <c:v>61.744349540178931</c:v>
                </c:pt>
                <c:pt idx="1">
                  <c:v>64.888479661290887</c:v>
                </c:pt>
                <c:pt idx="2">
                  <c:v>66.123025931233173</c:v>
                </c:pt>
                <c:pt idx="3">
                  <c:v>62.895090208173464</c:v>
                </c:pt>
                <c:pt idx="4">
                  <c:v>58.367364582172101</c:v>
                </c:pt>
                <c:pt idx="5">
                  <c:v>65.472361457545418</c:v>
                </c:pt>
                <c:pt idx="6">
                  <c:v>70.747071291884183</c:v>
                </c:pt>
                <c:pt idx="7">
                  <c:v>75.615451249372214</c:v>
                </c:pt>
                <c:pt idx="8">
                  <c:v>76.034993785256717</c:v>
                </c:pt>
                <c:pt idx="9">
                  <c:v>81.932669531698295</c:v>
                </c:pt>
                <c:pt idx="10">
                  <c:v>80.601384985580722</c:v>
                </c:pt>
                <c:pt idx="11">
                  <c:v>79.069373603693336</c:v>
                </c:pt>
                <c:pt idx="12">
                  <c:v>79.110696401963892</c:v>
                </c:pt>
                <c:pt idx="13">
                  <c:v>77.065589861832009</c:v>
                </c:pt>
                <c:pt idx="14">
                  <c:v>74.446690331066861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548F-4DE6-B0DA-1BAE830EB4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167600"/>
        <c:axId val="281211184"/>
      </c:lineChart>
      <c:catAx>
        <c:axId val="21116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81211184"/>
        <c:crosses val="autoZero"/>
        <c:auto val="1"/>
        <c:lblAlgn val="ctr"/>
        <c:lblOffset val="50"/>
        <c:noMultiLvlLbl val="0"/>
      </c:catAx>
      <c:valAx>
        <c:axId val="281211184"/>
        <c:scaling>
          <c:orientation val="minMax"/>
          <c:max val="90"/>
          <c:min val="0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1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 i="1">
                    <a:latin typeface="Arial" panose="020B0604020202020204" pitchFamily="34" charset="0"/>
                    <a:cs typeface="Arial" panose="020B0604020202020204" pitchFamily="34" charset="0"/>
                  </a:rPr>
                  <a:t>Poměr</a:t>
                </a:r>
                <a:r>
                  <a:rPr lang="cs-CZ" sz="800" i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vývozu k HDP, podíl vývozu na produkci (v %)</a:t>
                </a:r>
                <a:endParaRPr lang="cs-CZ" sz="800" i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4.3953191509653208E-4"/>
              <c:y val="5.286414991378841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1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11167600"/>
        <c:crosses val="autoZero"/>
        <c:crossBetween val="between"/>
        <c:majorUnit val="5"/>
      </c:valAx>
      <c:valAx>
        <c:axId val="432872944"/>
        <c:scaling>
          <c:orientation val="minMax"/>
          <c:max val="45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1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 i="1">
                    <a:latin typeface="Arial" panose="020B0604020202020204" pitchFamily="34" charset="0"/>
                    <a:cs typeface="Arial" panose="020B0604020202020204" pitchFamily="34" charset="0"/>
                  </a:rPr>
                  <a:t>Hodnota</a:t>
                </a:r>
                <a:r>
                  <a:rPr lang="cs-CZ" sz="800" i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vývozu (v mld. korun)</a:t>
                </a:r>
                <a:endParaRPr lang="cs-CZ" sz="800" i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96788991301207283"/>
              <c:y val="0.1953592807645919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1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\ ##0_ ;\-#\ ##0\ 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04928528"/>
        <c:crosses val="max"/>
        <c:crossBetween val="between"/>
        <c:majorUnit val="500"/>
      </c:valAx>
      <c:catAx>
        <c:axId val="4049285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32872944"/>
        <c:crosses val="autoZero"/>
        <c:auto val="1"/>
        <c:lblAlgn val="ctr"/>
        <c:lblOffset val="100"/>
        <c:noMultiLvlLbl val="0"/>
      </c:catAx>
      <c:spPr>
        <a:noFill/>
        <a:ln w="6350"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1.5748457406313053E-2"/>
          <c:y val="0.89544454890398839"/>
          <c:w val="0.95786874510868703"/>
          <c:h val="0.10075180773343503"/>
        </c:manualLayout>
      </c:layout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7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147680951222731E-2"/>
          <c:y val="2.055840501757536E-2"/>
          <c:w val="0.93481989421424139"/>
          <c:h val="0.75032714927728039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'Graf-3'!$Q$4</c:f>
              <c:strCache>
                <c:ptCount val="1"/>
                <c:pt idx="0">
                  <c:v>rok 2019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2540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732-4C94-A675-C32E959DBE8C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2540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732-4C94-A675-C32E959DBE8C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2540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732-4C94-A675-C32E959DBE8C}"/>
              </c:ext>
            </c:extLst>
          </c:dPt>
          <c:dPt>
            <c:idx val="11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2540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732-4C94-A675-C32E959DBE8C}"/>
              </c:ext>
            </c:extLst>
          </c:dPt>
          <c:dPt>
            <c:idx val="1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32-4C94-A675-C32E959DBE8C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2540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0732-4C94-A675-C32E959DBE8C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2540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0732-4C94-A675-C32E959DBE8C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2540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0732-4C94-A675-C32E959DBE8C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2540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0732-4C94-A675-C32E959DBE8C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2540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0732-4C94-A675-C32E959DBE8C}"/>
              </c:ext>
            </c:extLst>
          </c:dPt>
          <c:dPt>
            <c:idx val="20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2540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0732-4C94-A675-C32E959DBE8C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2540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0732-4C94-A675-C32E959DBE8C}"/>
              </c:ext>
            </c:extLst>
          </c:dPt>
          <c:dPt>
            <c:idx val="23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2540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0732-4C94-A675-C32E959DBE8C}"/>
              </c:ext>
            </c:extLst>
          </c:dPt>
          <c:dPt>
            <c:idx val="24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2540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0732-4C94-A675-C32E959DBE8C}"/>
              </c:ext>
            </c:extLst>
          </c:dPt>
          <c:dPt>
            <c:idx val="27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2540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0732-4C94-A675-C32E959DBE8C}"/>
              </c:ext>
            </c:extLst>
          </c:dPt>
          <c:dPt>
            <c:idx val="28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9525"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0732-4C94-A675-C32E959DBE8C}"/>
              </c:ext>
            </c:extLst>
          </c:dPt>
          <c:dPt>
            <c:idx val="29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9525"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0732-4C94-A675-C32E959DBE8C}"/>
              </c:ext>
            </c:extLst>
          </c:dPt>
          <c:dPt>
            <c:idx val="30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9525"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0732-4C94-A675-C32E959DBE8C}"/>
              </c:ext>
            </c:extLst>
          </c:dPt>
          <c:dPt>
            <c:idx val="31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9525"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0732-4C94-A675-C32E959DBE8C}"/>
              </c:ext>
            </c:extLst>
          </c:dPt>
          <c:dPt>
            <c:idx val="32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9525"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0732-4C94-A675-C32E959DBE8C}"/>
              </c:ext>
            </c:extLst>
          </c:dPt>
          <c:dPt>
            <c:idx val="33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9525"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0732-4C94-A675-C32E959DBE8C}"/>
              </c:ext>
            </c:extLst>
          </c:dPt>
          <c:dPt>
            <c:idx val="3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9525"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0732-4C94-A675-C32E959DBE8C}"/>
              </c:ext>
            </c:extLst>
          </c:dPt>
          <c:dPt>
            <c:idx val="3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9525"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0732-4C94-A675-C32E959DBE8C}"/>
              </c:ext>
            </c:extLst>
          </c:dPt>
          <c:dPt>
            <c:idx val="3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9525"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0732-4C94-A675-C32E959DBE8C}"/>
              </c:ext>
            </c:extLst>
          </c:dPt>
          <c:dPt>
            <c:idx val="37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9525"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0732-4C94-A675-C32E959DBE8C}"/>
              </c:ext>
            </c:extLst>
          </c:dPt>
          <c:cat>
            <c:strRef>
              <c:f>'Graf-3'!$L$5:$L$42</c:f>
              <c:strCache>
                <c:ptCount val="38"/>
                <c:pt idx="0">
                  <c:v>Irsko</c:v>
                </c:pt>
                <c:pt idx="1">
                  <c:v>Česko</c:v>
                </c:pt>
                <c:pt idx="2">
                  <c:v>Slovinsko</c:v>
                </c:pt>
                <c:pt idx="3">
                  <c:v>Polsko</c:v>
                </c:pt>
                <c:pt idx="4">
                  <c:v>Slovensko</c:v>
                </c:pt>
                <c:pt idx="5">
                  <c:v>Německo</c:v>
                </c:pt>
                <c:pt idx="6">
                  <c:v>Maďarsko</c:v>
                </c:pt>
                <c:pt idx="7">
                  <c:v>Rumunsko</c:v>
                </c:pt>
                <c:pt idx="8">
                  <c:v>Rakousko</c:v>
                </c:pt>
                <c:pt idx="9">
                  <c:v>Bulharsko</c:v>
                </c:pt>
                <c:pt idx="10">
                  <c:v>Litva</c:v>
                </c:pt>
                <c:pt idx="11">
                  <c:v>Finsko</c:v>
                </c:pt>
                <c:pt idx="12">
                  <c:v>EU27</c:v>
                </c:pt>
                <c:pt idx="13">
                  <c:v>Itálie</c:v>
                </c:pt>
                <c:pt idx="14">
                  <c:v>Estonsko</c:v>
                </c:pt>
                <c:pt idx="15">
                  <c:v>Chorvatsko</c:v>
                </c:pt>
                <c:pt idx="16">
                  <c:v>Švédsko</c:v>
                </c:pt>
                <c:pt idx="17">
                  <c:v>Dánsko</c:v>
                </c:pt>
                <c:pt idx="18">
                  <c:v>Portugalsko</c:v>
                </c:pt>
                <c:pt idx="19">
                  <c:v>Belgie</c:v>
                </c:pt>
                <c:pt idx="20">
                  <c:v>Španělsko</c:v>
                </c:pt>
                <c:pt idx="21">
                  <c:v>Lotyšsko</c:v>
                </c:pt>
                <c:pt idx="22">
                  <c:v>Nizozemsko</c:v>
                </c:pt>
                <c:pt idx="23">
                  <c:v>Řecko</c:v>
                </c:pt>
                <c:pt idx="24">
                  <c:v>Francie</c:v>
                </c:pt>
                <c:pt idx="25">
                  <c:v>Malta</c:v>
                </c:pt>
                <c:pt idx="26">
                  <c:v>Kypr</c:v>
                </c:pt>
                <c:pt idx="27">
                  <c:v>Lucembursko</c:v>
                </c:pt>
                <c:pt idx="28">
                  <c:v>Norsko</c:v>
                </c:pt>
                <c:pt idx="29">
                  <c:v>Turecko</c:v>
                </c:pt>
                <c:pt idx="30">
                  <c:v>Srbsko</c:v>
                </c:pt>
                <c:pt idx="31">
                  <c:v>Bosna a H.</c:v>
                </c:pt>
                <c:pt idx="32">
                  <c:v>S. Makedonie</c:v>
                </c:pt>
                <c:pt idx="33">
                  <c:v>Švýcarsko</c:v>
                </c:pt>
                <c:pt idx="34">
                  <c:v>Island</c:v>
                </c:pt>
                <c:pt idx="35">
                  <c:v>Velká Británie</c:v>
                </c:pt>
                <c:pt idx="36">
                  <c:v>Albánie</c:v>
                </c:pt>
                <c:pt idx="37">
                  <c:v>Černá Hora</c:v>
                </c:pt>
              </c:strCache>
            </c:strRef>
          </c:cat>
          <c:val>
            <c:numRef>
              <c:f>'Graf-3'!$Q$5:$Q$42</c:f>
              <c:numCache>
                <c:formatCode>#,##0.0</c:formatCode>
                <c:ptCount val="38"/>
                <c:pt idx="0">
                  <c:v>35</c:v>
                </c:pt>
                <c:pt idx="1">
                  <c:v>29.2</c:v>
                </c:pt>
                <c:pt idx="2">
                  <c:v>26.7</c:v>
                </c:pt>
                <c:pt idx="3">
                  <c:v>25.1</c:v>
                </c:pt>
                <c:pt idx="4">
                  <c:v>24.5</c:v>
                </c:pt>
                <c:pt idx="5">
                  <c:v>24.2</c:v>
                </c:pt>
                <c:pt idx="6">
                  <c:v>24.1</c:v>
                </c:pt>
                <c:pt idx="7">
                  <c:v>24.1</c:v>
                </c:pt>
                <c:pt idx="8">
                  <c:v>21.9</c:v>
                </c:pt>
                <c:pt idx="9">
                  <c:v>21.3</c:v>
                </c:pt>
                <c:pt idx="10">
                  <c:v>20.8</c:v>
                </c:pt>
                <c:pt idx="11">
                  <c:v>20.5</c:v>
                </c:pt>
                <c:pt idx="12">
                  <c:v>19.7</c:v>
                </c:pt>
                <c:pt idx="13">
                  <c:v>19.600000000000001</c:v>
                </c:pt>
                <c:pt idx="14">
                  <c:v>19.2</c:v>
                </c:pt>
                <c:pt idx="15">
                  <c:v>19.2</c:v>
                </c:pt>
                <c:pt idx="16">
                  <c:v>18.2</c:v>
                </c:pt>
                <c:pt idx="17">
                  <c:v>17.899999999999999</c:v>
                </c:pt>
                <c:pt idx="18">
                  <c:v>17.399999999999999</c:v>
                </c:pt>
                <c:pt idx="19">
                  <c:v>16</c:v>
                </c:pt>
                <c:pt idx="20">
                  <c:v>15.8</c:v>
                </c:pt>
                <c:pt idx="21">
                  <c:v>15.2</c:v>
                </c:pt>
                <c:pt idx="22">
                  <c:v>14.9</c:v>
                </c:pt>
                <c:pt idx="23">
                  <c:v>14.8</c:v>
                </c:pt>
                <c:pt idx="24">
                  <c:v>13.5</c:v>
                </c:pt>
                <c:pt idx="25">
                  <c:v>9.8000000000000007</c:v>
                </c:pt>
                <c:pt idx="26">
                  <c:v>8</c:v>
                </c:pt>
                <c:pt idx="27">
                  <c:v>6.5</c:v>
                </c:pt>
                <c:pt idx="28">
                  <c:v>26.1</c:v>
                </c:pt>
                <c:pt idx="29">
                  <c:v>24.9</c:v>
                </c:pt>
                <c:pt idx="30">
                  <c:v>24</c:v>
                </c:pt>
                <c:pt idx="31">
                  <c:v>23.2</c:v>
                </c:pt>
                <c:pt idx="32">
                  <c:v>21.4</c:v>
                </c:pt>
                <c:pt idx="33">
                  <c:v>21</c:v>
                </c:pt>
                <c:pt idx="34">
                  <c:v>14.4</c:v>
                </c:pt>
                <c:pt idx="35">
                  <c:v>13.3</c:v>
                </c:pt>
                <c:pt idx="36">
                  <c:v>13.2</c:v>
                </c:pt>
                <c:pt idx="37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0732-4C94-A675-C32E959DBE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211167600"/>
        <c:axId val="281211184"/>
      </c:barChart>
      <c:lineChart>
        <c:grouping val="standard"/>
        <c:varyColors val="0"/>
        <c:ser>
          <c:idx val="0"/>
          <c:order val="0"/>
          <c:tx>
            <c:strRef>
              <c:f>'Graf-3'!$O$4</c:f>
              <c:strCache>
                <c:ptCount val="1"/>
                <c:pt idx="0">
                  <c:v>rok 2005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noFill/>
              </a:ln>
              <a:effectLst/>
            </c:spPr>
          </c:marker>
          <c:cat>
            <c:strRef>
              <c:f>'Graf-3'!$L$5:$L$42</c:f>
              <c:strCache>
                <c:ptCount val="38"/>
                <c:pt idx="0">
                  <c:v>Irsko</c:v>
                </c:pt>
                <c:pt idx="1">
                  <c:v>Česko</c:v>
                </c:pt>
                <c:pt idx="2">
                  <c:v>Slovinsko</c:v>
                </c:pt>
                <c:pt idx="3">
                  <c:v>Polsko</c:v>
                </c:pt>
                <c:pt idx="4">
                  <c:v>Slovensko</c:v>
                </c:pt>
                <c:pt idx="5">
                  <c:v>Německo</c:v>
                </c:pt>
                <c:pt idx="6">
                  <c:v>Maďarsko</c:v>
                </c:pt>
                <c:pt idx="7">
                  <c:v>Rumunsko</c:v>
                </c:pt>
                <c:pt idx="8">
                  <c:v>Rakousko</c:v>
                </c:pt>
                <c:pt idx="9">
                  <c:v>Bulharsko</c:v>
                </c:pt>
                <c:pt idx="10">
                  <c:v>Litva</c:v>
                </c:pt>
                <c:pt idx="11">
                  <c:v>Finsko</c:v>
                </c:pt>
                <c:pt idx="12">
                  <c:v>EU27</c:v>
                </c:pt>
                <c:pt idx="13">
                  <c:v>Itálie</c:v>
                </c:pt>
                <c:pt idx="14">
                  <c:v>Estonsko</c:v>
                </c:pt>
                <c:pt idx="15">
                  <c:v>Chorvatsko</c:v>
                </c:pt>
                <c:pt idx="16">
                  <c:v>Švédsko</c:v>
                </c:pt>
                <c:pt idx="17">
                  <c:v>Dánsko</c:v>
                </c:pt>
                <c:pt idx="18">
                  <c:v>Portugalsko</c:v>
                </c:pt>
                <c:pt idx="19">
                  <c:v>Belgie</c:v>
                </c:pt>
                <c:pt idx="20">
                  <c:v>Španělsko</c:v>
                </c:pt>
                <c:pt idx="21">
                  <c:v>Lotyšsko</c:v>
                </c:pt>
                <c:pt idx="22">
                  <c:v>Nizozemsko</c:v>
                </c:pt>
                <c:pt idx="23">
                  <c:v>Řecko</c:v>
                </c:pt>
                <c:pt idx="24">
                  <c:v>Francie</c:v>
                </c:pt>
                <c:pt idx="25">
                  <c:v>Malta</c:v>
                </c:pt>
                <c:pt idx="26">
                  <c:v>Kypr</c:v>
                </c:pt>
                <c:pt idx="27">
                  <c:v>Lucembursko</c:v>
                </c:pt>
                <c:pt idx="28">
                  <c:v>Norsko</c:v>
                </c:pt>
                <c:pt idx="29">
                  <c:v>Turecko</c:v>
                </c:pt>
                <c:pt idx="30">
                  <c:v>Srbsko</c:v>
                </c:pt>
                <c:pt idx="31">
                  <c:v>Bosna a H.</c:v>
                </c:pt>
                <c:pt idx="32">
                  <c:v>S. Makedonie</c:v>
                </c:pt>
                <c:pt idx="33">
                  <c:v>Švýcarsko</c:v>
                </c:pt>
                <c:pt idx="34">
                  <c:v>Island</c:v>
                </c:pt>
                <c:pt idx="35">
                  <c:v>Velká Británie</c:v>
                </c:pt>
                <c:pt idx="36">
                  <c:v>Albánie</c:v>
                </c:pt>
                <c:pt idx="37">
                  <c:v>Černá Hora</c:v>
                </c:pt>
              </c:strCache>
            </c:strRef>
          </c:cat>
          <c:val>
            <c:numRef>
              <c:f>'Graf-3'!$O$5:$O$42</c:f>
              <c:numCache>
                <c:formatCode>#,##0.0</c:formatCode>
                <c:ptCount val="38"/>
                <c:pt idx="0">
                  <c:v>24.4</c:v>
                </c:pt>
                <c:pt idx="1">
                  <c:v>30.5</c:v>
                </c:pt>
                <c:pt idx="2">
                  <c:v>27.4</c:v>
                </c:pt>
                <c:pt idx="3">
                  <c:v>25.2</c:v>
                </c:pt>
                <c:pt idx="4">
                  <c:v>29.7</c:v>
                </c:pt>
                <c:pt idx="5">
                  <c:v>25.2</c:v>
                </c:pt>
                <c:pt idx="6">
                  <c:v>25.8</c:v>
                </c:pt>
                <c:pt idx="7">
                  <c:v>28.5</c:v>
                </c:pt>
                <c:pt idx="8">
                  <c:v>23.4</c:v>
                </c:pt>
                <c:pt idx="9">
                  <c:v>22.4</c:v>
                </c:pt>
                <c:pt idx="10">
                  <c:v>24.9</c:v>
                </c:pt>
                <c:pt idx="11">
                  <c:v>27</c:v>
                </c:pt>
                <c:pt idx="12">
                  <c:v>21</c:v>
                </c:pt>
                <c:pt idx="13">
                  <c:v>19.899999999999999</c:v>
                </c:pt>
                <c:pt idx="14">
                  <c:v>21.1</c:v>
                </c:pt>
                <c:pt idx="15">
                  <c:v>21.3</c:v>
                </c:pt>
                <c:pt idx="16">
                  <c:v>23.2</c:v>
                </c:pt>
                <c:pt idx="17">
                  <c:v>20.8</c:v>
                </c:pt>
                <c:pt idx="18">
                  <c:v>17.7</c:v>
                </c:pt>
                <c:pt idx="19">
                  <c:v>20.399999999999999</c:v>
                </c:pt>
                <c:pt idx="20">
                  <c:v>18.399999999999999</c:v>
                </c:pt>
                <c:pt idx="21">
                  <c:v>16</c:v>
                </c:pt>
                <c:pt idx="22">
                  <c:v>18.100000000000001</c:v>
                </c:pt>
                <c:pt idx="23">
                  <c:v>13.5</c:v>
                </c:pt>
                <c:pt idx="24">
                  <c:v>16.399999999999999</c:v>
                </c:pt>
                <c:pt idx="25">
                  <c:v>16.2</c:v>
                </c:pt>
                <c:pt idx="26">
                  <c:v>10.1</c:v>
                </c:pt>
                <c:pt idx="27">
                  <c:v>10.8</c:v>
                </c:pt>
                <c:pt idx="28">
                  <c:v>37.799999999999997</c:v>
                </c:pt>
                <c:pt idx="29">
                  <c:v>22.6</c:v>
                </c:pt>
                <c:pt idx="30">
                  <c:v>30.6</c:v>
                </c:pt>
                <c:pt idx="31">
                  <c:v>20.2</c:v>
                </c:pt>
                <c:pt idx="32">
                  <c:v>17.600000000000001</c:v>
                </c:pt>
                <c:pt idx="33">
                  <c:v>22</c:v>
                </c:pt>
                <c:pt idx="34">
                  <c:v>13.9</c:v>
                </c:pt>
                <c:pt idx="35">
                  <c:v>16.100000000000001</c:v>
                </c:pt>
                <c:pt idx="36">
                  <c:v>11.1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3-0732-4C94-A675-C32E959DBE8C}"/>
            </c:ext>
          </c:extLst>
        </c:ser>
        <c:ser>
          <c:idx val="1"/>
          <c:order val="1"/>
          <c:tx>
            <c:strRef>
              <c:f>'Graf-3'!$P$4</c:f>
              <c:strCache>
                <c:ptCount val="1"/>
                <c:pt idx="0">
                  <c:v>rok 2013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noFill/>
              </a:ln>
              <a:effectLst/>
            </c:spPr>
          </c:marker>
          <c:cat>
            <c:strRef>
              <c:f>'Graf-3'!$L$5:$L$42</c:f>
              <c:strCache>
                <c:ptCount val="38"/>
                <c:pt idx="0">
                  <c:v>Irsko</c:v>
                </c:pt>
                <c:pt idx="1">
                  <c:v>Česko</c:v>
                </c:pt>
                <c:pt idx="2">
                  <c:v>Slovinsko</c:v>
                </c:pt>
                <c:pt idx="3">
                  <c:v>Polsko</c:v>
                </c:pt>
                <c:pt idx="4">
                  <c:v>Slovensko</c:v>
                </c:pt>
                <c:pt idx="5">
                  <c:v>Německo</c:v>
                </c:pt>
                <c:pt idx="6">
                  <c:v>Maďarsko</c:v>
                </c:pt>
                <c:pt idx="7">
                  <c:v>Rumunsko</c:v>
                </c:pt>
                <c:pt idx="8">
                  <c:v>Rakousko</c:v>
                </c:pt>
                <c:pt idx="9">
                  <c:v>Bulharsko</c:v>
                </c:pt>
                <c:pt idx="10">
                  <c:v>Litva</c:v>
                </c:pt>
                <c:pt idx="11">
                  <c:v>Finsko</c:v>
                </c:pt>
                <c:pt idx="12">
                  <c:v>EU27</c:v>
                </c:pt>
                <c:pt idx="13">
                  <c:v>Itálie</c:v>
                </c:pt>
                <c:pt idx="14">
                  <c:v>Estonsko</c:v>
                </c:pt>
                <c:pt idx="15">
                  <c:v>Chorvatsko</c:v>
                </c:pt>
                <c:pt idx="16">
                  <c:v>Švédsko</c:v>
                </c:pt>
                <c:pt idx="17">
                  <c:v>Dánsko</c:v>
                </c:pt>
                <c:pt idx="18">
                  <c:v>Portugalsko</c:v>
                </c:pt>
                <c:pt idx="19">
                  <c:v>Belgie</c:v>
                </c:pt>
                <c:pt idx="20">
                  <c:v>Španělsko</c:v>
                </c:pt>
                <c:pt idx="21">
                  <c:v>Lotyšsko</c:v>
                </c:pt>
                <c:pt idx="22">
                  <c:v>Nizozemsko</c:v>
                </c:pt>
                <c:pt idx="23">
                  <c:v>Řecko</c:v>
                </c:pt>
                <c:pt idx="24">
                  <c:v>Francie</c:v>
                </c:pt>
                <c:pt idx="25">
                  <c:v>Malta</c:v>
                </c:pt>
                <c:pt idx="26">
                  <c:v>Kypr</c:v>
                </c:pt>
                <c:pt idx="27">
                  <c:v>Lucembursko</c:v>
                </c:pt>
                <c:pt idx="28">
                  <c:v>Norsko</c:v>
                </c:pt>
                <c:pt idx="29">
                  <c:v>Turecko</c:v>
                </c:pt>
                <c:pt idx="30">
                  <c:v>Srbsko</c:v>
                </c:pt>
                <c:pt idx="31">
                  <c:v>Bosna a H.</c:v>
                </c:pt>
                <c:pt idx="32">
                  <c:v>S. Makedonie</c:v>
                </c:pt>
                <c:pt idx="33">
                  <c:v>Švýcarsko</c:v>
                </c:pt>
                <c:pt idx="34">
                  <c:v>Island</c:v>
                </c:pt>
                <c:pt idx="35">
                  <c:v>Velká Británie</c:v>
                </c:pt>
                <c:pt idx="36">
                  <c:v>Albánie</c:v>
                </c:pt>
                <c:pt idx="37">
                  <c:v>Černá Hora</c:v>
                </c:pt>
              </c:strCache>
            </c:strRef>
          </c:cat>
          <c:val>
            <c:numRef>
              <c:f>'Graf-3'!$P$5:$P$42</c:f>
              <c:numCache>
                <c:formatCode>#,##0.0</c:formatCode>
                <c:ptCount val="38"/>
                <c:pt idx="0">
                  <c:v>24.4</c:v>
                </c:pt>
                <c:pt idx="1">
                  <c:v>30.7</c:v>
                </c:pt>
                <c:pt idx="2">
                  <c:v>26.5</c:v>
                </c:pt>
                <c:pt idx="3">
                  <c:v>24.9</c:v>
                </c:pt>
                <c:pt idx="4">
                  <c:v>24.3</c:v>
                </c:pt>
                <c:pt idx="5">
                  <c:v>25.3</c:v>
                </c:pt>
                <c:pt idx="6">
                  <c:v>25.6</c:v>
                </c:pt>
                <c:pt idx="7">
                  <c:v>28.6</c:v>
                </c:pt>
                <c:pt idx="8">
                  <c:v>22.2</c:v>
                </c:pt>
                <c:pt idx="9">
                  <c:v>22.1</c:v>
                </c:pt>
                <c:pt idx="10">
                  <c:v>23.5</c:v>
                </c:pt>
                <c:pt idx="11">
                  <c:v>20.399999999999999</c:v>
                </c:pt>
                <c:pt idx="12">
                  <c:v>19.8</c:v>
                </c:pt>
                <c:pt idx="13">
                  <c:v>18.600000000000001</c:v>
                </c:pt>
                <c:pt idx="14">
                  <c:v>21.8</c:v>
                </c:pt>
                <c:pt idx="15">
                  <c:v>20.6</c:v>
                </c:pt>
                <c:pt idx="16">
                  <c:v>19</c:v>
                </c:pt>
                <c:pt idx="17">
                  <c:v>18.7</c:v>
                </c:pt>
                <c:pt idx="18">
                  <c:v>17</c:v>
                </c:pt>
                <c:pt idx="19">
                  <c:v>16.899999999999999</c:v>
                </c:pt>
                <c:pt idx="20">
                  <c:v>16.399999999999999</c:v>
                </c:pt>
                <c:pt idx="21">
                  <c:v>16.5</c:v>
                </c:pt>
                <c:pt idx="22">
                  <c:v>17.100000000000001</c:v>
                </c:pt>
                <c:pt idx="23">
                  <c:v>13.6</c:v>
                </c:pt>
                <c:pt idx="24">
                  <c:v>14.1</c:v>
                </c:pt>
                <c:pt idx="25">
                  <c:v>12.6</c:v>
                </c:pt>
                <c:pt idx="26">
                  <c:v>7.2</c:v>
                </c:pt>
                <c:pt idx="27">
                  <c:v>7.1</c:v>
                </c:pt>
                <c:pt idx="28">
                  <c:v>34</c:v>
                </c:pt>
                <c:pt idx="29">
                  <c:v>22.4</c:v>
                </c:pt>
                <c:pt idx="30">
                  <c:v>28.2</c:v>
                </c:pt>
                <c:pt idx="31">
                  <c:v>21.6</c:v>
                </c:pt>
                <c:pt idx="32">
                  <c:v>17.3</c:v>
                </c:pt>
                <c:pt idx="33">
                  <c:v>21.2</c:v>
                </c:pt>
                <c:pt idx="34">
                  <c:v>18.600000000000001</c:v>
                </c:pt>
                <c:pt idx="35">
                  <c:v>15.3</c:v>
                </c:pt>
                <c:pt idx="36">
                  <c:v>14.6</c:v>
                </c:pt>
                <c:pt idx="37">
                  <c:v>14.3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4-0732-4C94-A675-C32E959DBE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167600"/>
        <c:axId val="281211184"/>
      </c:lineChart>
      <c:catAx>
        <c:axId val="21116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81211184"/>
        <c:crosses val="autoZero"/>
        <c:auto val="1"/>
        <c:lblAlgn val="ctr"/>
        <c:lblOffset val="50"/>
        <c:noMultiLvlLbl val="0"/>
      </c:catAx>
      <c:valAx>
        <c:axId val="281211184"/>
        <c:scaling>
          <c:orientation val="minMax"/>
          <c:max val="36"/>
          <c:min val="0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11167600"/>
        <c:crosses val="autoZero"/>
        <c:crossBetween val="between"/>
        <c:majorUnit val="4"/>
      </c:valAx>
      <c:spPr>
        <a:noFill/>
        <a:ln w="6350"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0045462803781111"/>
          <c:y val="0.94863090831594765"/>
          <c:w val="0.37472748609452167"/>
          <c:h val="4.8796165436585381E-2"/>
        </c:manualLayout>
      </c:layout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147680951222731E-2"/>
          <c:y val="2.055840501757536E-2"/>
          <c:w val="0.93481989421424139"/>
          <c:h val="0.75032714927728039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'Graf-4'!$U$3</c:f>
              <c:strCache>
                <c:ptCount val="1"/>
                <c:pt idx="0">
                  <c:v>rok 2019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266-4730-9809-F8B5C75BD9A0}"/>
              </c:ext>
            </c:extLst>
          </c:dPt>
          <c:dPt>
            <c:idx val="11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266-4730-9809-F8B5C75BD9A0}"/>
              </c:ext>
            </c:extLst>
          </c:dPt>
          <c:dPt>
            <c:idx val="12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266-4730-9809-F8B5C75BD9A0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266-4730-9809-F8B5C75BD9A0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266-4730-9809-F8B5C75BD9A0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E266-4730-9809-F8B5C75BD9A0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E266-4730-9809-F8B5C75BD9A0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E266-4730-9809-F8B5C75BD9A0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E266-4730-9809-F8B5C75BD9A0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E266-4730-9809-F8B5C75BD9A0}"/>
              </c:ext>
            </c:extLst>
          </c:dPt>
          <c:dPt>
            <c:idx val="20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E266-4730-9809-F8B5C75BD9A0}"/>
              </c:ext>
            </c:extLst>
          </c:dPt>
          <c:dPt>
            <c:idx val="21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E266-4730-9809-F8B5C75BD9A0}"/>
              </c:ext>
            </c:extLst>
          </c:dPt>
          <c:dPt>
            <c:idx val="23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E266-4730-9809-F8B5C75BD9A0}"/>
              </c:ext>
            </c:extLst>
          </c:dPt>
          <c:dPt>
            <c:idx val="24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E266-4730-9809-F8B5C75BD9A0}"/>
              </c:ext>
            </c:extLst>
          </c:dPt>
          <c:dPt>
            <c:idx val="2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E266-4730-9809-F8B5C75BD9A0}"/>
              </c:ext>
            </c:extLst>
          </c:dPt>
          <c:dPt>
            <c:idx val="27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E266-4730-9809-F8B5C75BD9A0}"/>
              </c:ext>
            </c:extLst>
          </c:dPt>
          <c:dPt>
            <c:idx val="28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E266-4730-9809-F8B5C75BD9A0}"/>
              </c:ext>
            </c:extLst>
          </c:dPt>
          <c:dPt>
            <c:idx val="29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E266-4730-9809-F8B5C75BD9A0}"/>
              </c:ext>
            </c:extLst>
          </c:dPt>
          <c:dPt>
            <c:idx val="30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E266-4730-9809-F8B5C75BD9A0}"/>
              </c:ext>
            </c:extLst>
          </c:dPt>
          <c:dPt>
            <c:idx val="31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E266-4730-9809-F8B5C75BD9A0}"/>
              </c:ext>
            </c:extLst>
          </c:dPt>
          <c:dPt>
            <c:idx val="32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E266-4730-9809-F8B5C75BD9A0}"/>
              </c:ext>
            </c:extLst>
          </c:dPt>
          <c:cat>
            <c:strRef>
              <c:f>'Graf-4'!$P$4:$P$36</c:f>
              <c:strCache>
                <c:ptCount val="33"/>
                <c:pt idx="0">
                  <c:v>Česko</c:v>
                </c:pt>
                <c:pt idx="1">
                  <c:v>Polsko</c:v>
                </c:pt>
                <c:pt idx="2">
                  <c:v>Slovensko</c:v>
                </c:pt>
                <c:pt idx="3">
                  <c:v>Slovinsko</c:v>
                </c:pt>
                <c:pt idx="4">
                  <c:v>Rumunsko</c:v>
                </c:pt>
                <c:pt idx="5">
                  <c:v>Maďarsko</c:v>
                </c:pt>
                <c:pt idx="6">
                  <c:v>Chorvatsko</c:v>
                </c:pt>
                <c:pt idx="7">
                  <c:v>Estonsko</c:v>
                </c:pt>
                <c:pt idx="8">
                  <c:v>Bulharsko</c:v>
                </c:pt>
                <c:pt idx="9">
                  <c:v>Německo</c:v>
                </c:pt>
                <c:pt idx="10">
                  <c:v>Litva</c:v>
                </c:pt>
                <c:pt idx="11">
                  <c:v>Portugalsko</c:v>
                </c:pt>
                <c:pt idx="12">
                  <c:v>Itálie</c:v>
                </c:pt>
                <c:pt idx="13">
                  <c:v>EU27</c:v>
                </c:pt>
                <c:pt idx="14">
                  <c:v>Rakousko</c:v>
                </c:pt>
                <c:pt idx="15">
                  <c:v>Lotyšsko</c:v>
                </c:pt>
                <c:pt idx="16">
                  <c:v>Finsko</c:v>
                </c:pt>
                <c:pt idx="17">
                  <c:v>Švédsko</c:v>
                </c:pt>
                <c:pt idx="18">
                  <c:v>Belgie</c:v>
                </c:pt>
                <c:pt idx="19">
                  <c:v>Španělsko</c:v>
                </c:pt>
                <c:pt idx="20">
                  <c:v>Irsko</c:v>
                </c:pt>
                <c:pt idx="21">
                  <c:v>Dánsko</c:v>
                </c:pt>
                <c:pt idx="22">
                  <c:v>Malta</c:v>
                </c:pt>
                <c:pt idx="23">
                  <c:v>Francie</c:v>
                </c:pt>
                <c:pt idx="24">
                  <c:v>Řecko</c:v>
                </c:pt>
                <c:pt idx="25">
                  <c:v>Kypr</c:v>
                </c:pt>
                <c:pt idx="26">
                  <c:v>Nizozemsko</c:v>
                </c:pt>
                <c:pt idx="27">
                  <c:v>Lucembursko</c:v>
                </c:pt>
                <c:pt idx="28">
                  <c:v>S. Makedonie</c:v>
                </c:pt>
                <c:pt idx="29">
                  <c:v>Švýcarsko</c:v>
                </c:pt>
                <c:pt idx="30">
                  <c:v>Island</c:v>
                </c:pt>
                <c:pt idx="31">
                  <c:v>Norsko</c:v>
                </c:pt>
                <c:pt idx="32">
                  <c:v>Velká Británie</c:v>
                </c:pt>
              </c:strCache>
            </c:strRef>
          </c:cat>
          <c:val>
            <c:numRef>
              <c:f>'Graf-4'!$U$4:$U$36</c:f>
              <c:numCache>
                <c:formatCode>#,##0.0</c:formatCode>
                <c:ptCount val="33"/>
                <c:pt idx="0">
                  <c:v>28.746572681254289</c:v>
                </c:pt>
                <c:pt idx="1">
                  <c:v>24.127773737571275</c:v>
                </c:pt>
                <c:pt idx="2">
                  <c:v>23.853098674329001</c:v>
                </c:pt>
                <c:pt idx="3">
                  <c:v>23.16194413343668</c:v>
                </c:pt>
                <c:pt idx="4">
                  <c:v>21.632719155186969</c:v>
                </c:pt>
                <c:pt idx="5">
                  <c:v>21.166640324535059</c:v>
                </c:pt>
                <c:pt idx="6">
                  <c:v>20.983954178488293</c:v>
                </c:pt>
                <c:pt idx="7">
                  <c:v>20.145963205108711</c:v>
                </c:pt>
                <c:pt idx="8">
                  <c:v>19.99671721030796</c:v>
                </c:pt>
                <c:pt idx="9">
                  <c:v>18.487487841542137</c:v>
                </c:pt>
                <c:pt idx="10">
                  <c:v>18.013756903687252</c:v>
                </c:pt>
                <c:pt idx="11">
                  <c:v>17.060862998180632</c:v>
                </c:pt>
                <c:pt idx="12">
                  <c:v>16.828825437162006</c:v>
                </c:pt>
                <c:pt idx="13">
                  <c:v>16.167393170082278</c:v>
                </c:pt>
                <c:pt idx="14">
                  <c:v>16.063983719962209</c:v>
                </c:pt>
                <c:pt idx="15">
                  <c:v>15.752320604746817</c:v>
                </c:pt>
                <c:pt idx="16">
                  <c:v>14.119277740316175</c:v>
                </c:pt>
                <c:pt idx="17">
                  <c:v>12.460269485014527</c:v>
                </c:pt>
                <c:pt idx="18">
                  <c:v>11.583808414556898</c:v>
                </c:pt>
                <c:pt idx="19">
                  <c:v>11.255127088525505</c:v>
                </c:pt>
                <c:pt idx="20">
                  <c:v>11.065316255464992</c:v>
                </c:pt>
                <c:pt idx="21">
                  <c:v>10.654939395758705</c:v>
                </c:pt>
                <c:pt idx="22">
                  <c:v>10.621564142690902</c:v>
                </c:pt>
                <c:pt idx="23">
                  <c:v>10.2161307327359</c:v>
                </c:pt>
                <c:pt idx="24">
                  <c:v>9.4958780287073328</c:v>
                </c:pt>
                <c:pt idx="25">
                  <c:v>9.3006752890008002</c:v>
                </c:pt>
                <c:pt idx="26">
                  <c:v>9.1269841269841265</c:v>
                </c:pt>
                <c:pt idx="27">
                  <c:v>8.1195570368777545</c:v>
                </c:pt>
                <c:pt idx="28">
                  <c:v>19.76437857002167</c:v>
                </c:pt>
                <c:pt idx="29">
                  <c:v>14.022103266397773</c:v>
                </c:pt>
                <c:pt idx="30">
                  <c:v>12.124199112863481</c:v>
                </c:pt>
                <c:pt idx="31">
                  <c:v>10.993657505285412</c:v>
                </c:pt>
                <c:pt idx="32">
                  <c:v>8.9942578943661147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A-E266-4730-9809-F8B5C75BD9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211167600"/>
        <c:axId val="281211184"/>
      </c:barChart>
      <c:lineChart>
        <c:grouping val="standard"/>
        <c:varyColors val="0"/>
        <c:ser>
          <c:idx val="0"/>
          <c:order val="0"/>
          <c:tx>
            <c:strRef>
              <c:f>'Graf-4'!$S$3</c:f>
              <c:strCache>
                <c:ptCount val="1"/>
                <c:pt idx="0">
                  <c:v>rok 2005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noFill/>
              </a:ln>
              <a:effectLst/>
            </c:spPr>
          </c:marker>
          <c:cat>
            <c:strRef>
              <c:f>'Graf-4'!$P$4:$P$36</c:f>
              <c:strCache>
                <c:ptCount val="33"/>
                <c:pt idx="0">
                  <c:v>Česko</c:v>
                </c:pt>
                <c:pt idx="1">
                  <c:v>Polsko</c:v>
                </c:pt>
                <c:pt idx="2">
                  <c:v>Slovensko</c:v>
                </c:pt>
                <c:pt idx="3">
                  <c:v>Slovinsko</c:v>
                </c:pt>
                <c:pt idx="4">
                  <c:v>Rumunsko</c:v>
                </c:pt>
                <c:pt idx="5">
                  <c:v>Maďarsko</c:v>
                </c:pt>
                <c:pt idx="6">
                  <c:v>Chorvatsko</c:v>
                </c:pt>
                <c:pt idx="7">
                  <c:v>Estonsko</c:v>
                </c:pt>
                <c:pt idx="8">
                  <c:v>Bulharsko</c:v>
                </c:pt>
                <c:pt idx="9">
                  <c:v>Německo</c:v>
                </c:pt>
                <c:pt idx="10">
                  <c:v>Litva</c:v>
                </c:pt>
                <c:pt idx="11">
                  <c:v>Portugalsko</c:v>
                </c:pt>
                <c:pt idx="12">
                  <c:v>Itálie</c:v>
                </c:pt>
                <c:pt idx="13">
                  <c:v>EU27</c:v>
                </c:pt>
                <c:pt idx="14">
                  <c:v>Rakousko</c:v>
                </c:pt>
                <c:pt idx="15">
                  <c:v>Lotyšsko</c:v>
                </c:pt>
                <c:pt idx="16">
                  <c:v>Finsko</c:v>
                </c:pt>
                <c:pt idx="17">
                  <c:v>Švédsko</c:v>
                </c:pt>
                <c:pt idx="18">
                  <c:v>Belgie</c:v>
                </c:pt>
                <c:pt idx="19">
                  <c:v>Španělsko</c:v>
                </c:pt>
                <c:pt idx="20">
                  <c:v>Irsko</c:v>
                </c:pt>
                <c:pt idx="21">
                  <c:v>Dánsko</c:v>
                </c:pt>
                <c:pt idx="22">
                  <c:v>Malta</c:v>
                </c:pt>
                <c:pt idx="23">
                  <c:v>Francie</c:v>
                </c:pt>
                <c:pt idx="24">
                  <c:v>Řecko</c:v>
                </c:pt>
                <c:pt idx="25">
                  <c:v>Kypr</c:v>
                </c:pt>
                <c:pt idx="26">
                  <c:v>Nizozemsko</c:v>
                </c:pt>
                <c:pt idx="27">
                  <c:v>Lucembursko</c:v>
                </c:pt>
                <c:pt idx="28">
                  <c:v>S. Makedonie</c:v>
                </c:pt>
                <c:pt idx="29">
                  <c:v>Švýcarsko</c:v>
                </c:pt>
                <c:pt idx="30">
                  <c:v>Island</c:v>
                </c:pt>
                <c:pt idx="31">
                  <c:v>Norsko</c:v>
                </c:pt>
                <c:pt idx="32">
                  <c:v>Velká Británie</c:v>
                </c:pt>
              </c:strCache>
            </c:strRef>
          </c:cat>
          <c:val>
            <c:numRef>
              <c:f>'Graf-4'!$S$4:$S$36</c:f>
              <c:numCache>
                <c:formatCode>#,##0.0</c:formatCode>
                <c:ptCount val="33"/>
                <c:pt idx="0">
                  <c:v>30.022305104578027</c:v>
                </c:pt>
                <c:pt idx="1">
                  <c:v>23.574020061179485</c:v>
                </c:pt>
                <c:pt idx="2">
                  <c:v>26.644517954339825</c:v>
                </c:pt>
                <c:pt idx="3">
                  <c:v>27.263243929193642</c:v>
                </c:pt>
                <c:pt idx="4">
                  <c:v>23.893177277243396</c:v>
                </c:pt>
                <c:pt idx="5">
                  <c:v>24.968402564668608</c:v>
                </c:pt>
                <c:pt idx="6">
                  <c:v>22.249091630789898</c:v>
                </c:pt>
                <c:pt idx="7">
                  <c:v>25.657357504491262</c:v>
                </c:pt>
                <c:pt idx="8">
                  <c:v>22.511851731053682</c:v>
                </c:pt>
                <c:pt idx="9">
                  <c:v>19.897738546462822</c:v>
                </c:pt>
                <c:pt idx="10">
                  <c:v>20.448786530773127</c:v>
                </c:pt>
                <c:pt idx="11">
                  <c:v>18.599631816162002</c:v>
                </c:pt>
                <c:pt idx="12">
                  <c:v>19.742725655629357</c:v>
                </c:pt>
                <c:pt idx="13">
                  <c:v>18.434541419829067</c:v>
                </c:pt>
                <c:pt idx="14">
                  <c:v>17.490769191045469</c:v>
                </c:pt>
                <c:pt idx="15">
                  <c:v>18.881494092761699</c:v>
                </c:pt>
                <c:pt idx="16">
                  <c:v>18.256232171648271</c:v>
                </c:pt>
                <c:pt idx="17">
                  <c:v>16.456308443502692</c:v>
                </c:pt>
                <c:pt idx="18">
                  <c:v>15.087054198258917</c:v>
                </c:pt>
                <c:pt idx="19">
                  <c:v>15.216905868739977</c:v>
                </c:pt>
                <c:pt idx="20">
                  <c:v>15.077714926361924</c:v>
                </c:pt>
                <c:pt idx="21">
                  <c:v>13.590307420342345</c:v>
                </c:pt>
                <c:pt idx="22">
                  <c:v>20.236678566706335</c:v>
                </c:pt>
                <c:pt idx="23">
                  <c:v>13.077010751871128</c:v>
                </c:pt>
                <c:pt idx="24">
                  <c:v>11.629978889015616</c:v>
                </c:pt>
                <c:pt idx="25">
                  <c:v>11.542869617420729</c:v>
                </c:pt>
                <c:pt idx="26">
                  <c:v>10.899280575539569</c:v>
                </c:pt>
                <c:pt idx="27">
                  <c:v>12.34684260131951</c:v>
                </c:pt>
                <c:pt idx="28">
                  <c:v>22.22884183291346</c:v>
                </c:pt>
                <c:pt idx="29">
                  <c:v>16.13425467951533</c:v>
                </c:pt>
                <c:pt idx="31">
                  <c:v>12.812769628990509</c:v>
                </c:pt>
                <c:pt idx="32">
                  <c:v>11.16294061480289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B-E266-4730-9809-F8B5C75BD9A0}"/>
            </c:ext>
          </c:extLst>
        </c:ser>
        <c:ser>
          <c:idx val="1"/>
          <c:order val="1"/>
          <c:tx>
            <c:strRef>
              <c:f>'Graf-4'!$T$3</c:f>
              <c:strCache>
                <c:ptCount val="1"/>
                <c:pt idx="0">
                  <c:v>rok 2013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noFill/>
              </a:ln>
              <a:effectLst/>
            </c:spPr>
          </c:marker>
          <c:cat>
            <c:strRef>
              <c:f>'Graf-4'!$P$4:$P$36</c:f>
              <c:strCache>
                <c:ptCount val="33"/>
                <c:pt idx="0">
                  <c:v>Česko</c:v>
                </c:pt>
                <c:pt idx="1">
                  <c:v>Polsko</c:v>
                </c:pt>
                <c:pt idx="2">
                  <c:v>Slovensko</c:v>
                </c:pt>
                <c:pt idx="3">
                  <c:v>Slovinsko</c:v>
                </c:pt>
                <c:pt idx="4">
                  <c:v>Rumunsko</c:v>
                </c:pt>
                <c:pt idx="5">
                  <c:v>Maďarsko</c:v>
                </c:pt>
                <c:pt idx="6">
                  <c:v>Chorvatsko</c:v>
                </c:pt>
                <c:pt idx="7">
                  <c:v>Estonsko</c:v>
                </c:pt>
                <c:pt idx="8">
                  <c:v>Bulharsko</c:v>
                </c:pt>
                <c:pt idx="9">
                  <c:v>Německo</c:v>
                </c:pt>
                <c:pt idx="10">
                  <c:v>Litva</c:v>
                </c:pt>
                <c:pt idx="11">
                  <c:v>Portugalsko</c:v>
                </c:pt>
                <c:pt idx="12">
                  <c:v>Itálie</c:v>
                </c:pt>
                <c:pt idx="13">
                  <c:v>EU27</c:v>
                </c:pt>
                <c:pt idx="14">
                  <c:v>Rakousko</c:v>
                </c:pt>
                <c:pt idx="15">
                  <c:v>Lotyšsko</c:v>
                </c:pt>
                <c:pt idx="16">
                  <c:v>Finsko</c:v>
                </c:pt>
                <c:pt idx="17">
                  <c:v>Švédsko</c:v>
                </c:pt>
                <c:pt idx="18">
                  <c:v>Belgie</c:v>
                </c:pt>
                <c:pt idx="19">
                  <c:v>Španělsko</c:v>
                </c:pt>
                <c:pt idx="20">
                  <c:v>Irsko</c:v>
                </c:pt>
                <c:pt idx="21">
                  <c:v>Dánsko</c:v>
                </c:pt>
                <c:pt idx="22">
                  <c:v>Malta</c:v>
                </c:pt>
                <c:pt idx="23">
                  <c:v>Francie</c:v>
                </c:pt>
                <c:pt idx="24">
                  <c:v>Řecko</c:v>
                </c:pt>
                <c:pt idx="25">
                  <c:v>Kypr</c:v>
                </c:pt>
                <c:pt idx="26">
                  <c:v>Nizozemsko</c:v>
                </c:pt>
                <c:pt idx="27">
                  <c:v>Lucembursko</c:v>
                </c:pt>
                <c:pt idx="28">
                  <c:v>S. Makedonie</c:v>
                </c:pt>
                <c:pt idx="29">
                  <c:v>Švýcarsko</c:v>
                </c:pt>
                <c:pt idx="30">
                  <c:v>Island</c:v>
                </c:pt>
                <c:pt idx="31">
                  <c:v>Norsko</c:v>
                </c:pt>
                <c:pt idx="32">
                  <c:v>Velká Británie</c:v>
                </c:pt>
              </c:strCache>
            </c:strRef>
          </c:cat>
          <c:val>
            <c:numRef>
              <c:f>'Graf-4'!$T$4:$T$36</c:f>
              <c:numCache>
                <c:formatCode>#,##0.0</c:formatCode>
                <c:ptCount val="33"/>
                <c:pt idx="0">
                  <c:v>28.36665728518204</c:v>
                </c:pt>
                <c:pt idx="1">
                  <c:v>22.870187146755651</c:v>
                </c:pt>
                <c:pt idx="2">
                  <c:v>23.630972744896795</c:v>
                </c:pt>
                <c:pt idx="3">
                  <c:v>22.613747830679845</c:v>
                </c:pt>
                <c:pt idx="4">
                  <c:v>20.658389152099328</c:v>
                </c:pt>
                <c:pt idx="5">
                  <c:v>21.486335439132169</c:v>
                </c:pt>
                <c:pt idx="6">
                  <c:v>20.433507170795306</c:v>
                </c:pt>
                <c:pt idx="7">
                  <c:v>21.401231486104177</c:v>
                </c:pt>
                <c:pt idx="8">
                  <c:v>19.885549950607615</c:v>
                </c:pt>
                <c:pt idx="9">
                  <c:v>18.935064935064936</c:v>
                </c:pt>
                <c:pt idx="10">
                  <c:v>17.852762156032306</c:v>
                </c:pt>
                <c:pt idx="11">
                  <c:v>16.493527213567123</c:v>
                </c:pt>
                <c:pt idx="12">
                  <c:v>17.509491018456131</c:v>
                </c:pt>
                <c:pt idx="13">
                  <c:v>16.467574400340819</c:v>
                </c:pt>
                <c:pt idx="14">
                  <c:v>16.157041734502116</c:v>
                </c:pt>
                <c:pt idx="15">
                  <c:v>16.757255550679133</c:v>
                </c:pt>
                <c:pt idx="16">
                  <c:v>15.323057515669966</c:v>
                </c:pt>
                <c:pt idx="17">
                  <c:v>13.722174657534246</c:v>
                </c:pt>
                <c:pt idx="18">
                  <c:v>12.711120859837683</c:v>
                </c:pt>
                <c:pt idx="19">
                  <c:v>11.529647021816793</c:v>
                </c:pt>
                <c:pt idx="20">
                  <c:v>11.537095072196328</c:v>
                </c:pt>
                <c:pt idx="21">
                  <c:v>10.95936957779063</c:v>
                </c:pt>
                <c:pt idx="22">
                  <c:v>14.32303245887061</c:v>
                </c:pt>
                <c:pt idx="23">
                  <c:v>10.945200441338727</c:v>
                </c:pt>
                <c:pt idx="24">
                  <c:v>9.7530836403841192</c:v>
                </c:pt>
                <c:pt idx="25">
                  <c:v>9.5267628421194548</c:v>
                </c:pt>
                <c:pt idx="26">
                  <c:v>9.5499828237718987</c:v>
                </c:pt>
                <c:pt idx="27">
                  <c:v>9.3609967104411123</c:v>
                </c:pt>
                <c:pt idx="28">
                  <c:v>18.211964985768756</c:v>
                </c:pt>
                <c:pt idx="29">
                  <c:v>14.851865858476595</c:v>
                </c:pt>
                <c:pt idx="30">
                  <c:v>13.829169087739688</c:v>
                </c:pt>
                <c:pt idx="31">
                  <c:v>12.453113278319581</c:v>
                </c:pt>
                <c:pt idx="32">
                  <c:v>9.4492435032955768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C-E266-4730-9809-F8B5C75BD9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167600"/>
        <c:axId val="281211184"/>
      </c:lineChart>
      <c:catAx>
        <c:axId val="21116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81211184"/>
        <c:crosses val="autoZero"/>
        <c:auto val="1"/>
        <c:lblAlgn val="ctr"/>
        <c:lblOffset val="50"/>
        <c:noMultiLvlLbl val="0"/>
      </c:catAx>
      <c:valAx>
        <c:axId val="281211184"/>
        <c:scaling>
          <c:orientation val="minMax"/>
          <c:max val="32"/>
          <c:min val="0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11167600"/>
        <c:crosses val="autoZero"/>
        <c:crossBetween val="between"/>
        <c:majorUnit val="4"/>
      </c:valAx>
      <c:spPr>
        <a:noFill/>
        <a:ln w="6350"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29784875242363829"/>
          <c:y val="0.94863090831594765"/>
          <c:w val="0.3746443361160427"/>
          <c:h val="4.8796165436585381E-2"/>
        </c:manualLayout>
      </c:layout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147680951222731E-2"/>
          <c:y val="2.055840501757536E-2"/>
          <c:w val="0.93481989421424139"/>
          <c:h val="0.69303145971019553"/>
        </c:manualLayout>
      </c:layout>
      <c:barChart>
        <c:barDir val="col"/>
        <c:grouping val="stacked"/>
        <c:varyColors val="0"/>
        <c:ser>
          <c:idx val="2"/>
          <c:order val="2"/>
          <c:tx>
            <c:strRef>
              <c:f>'Graf-5'!$O$4</c:f>
              <c:strCache>
                <c:ptCount val="1"/>
                <c:pt idx="0">
                  <c:v>Vývoz zboží  / produkce (2018)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25400">
              <a:noFill/>
            </a:ln>
            <a:effectLst/>
          </c:spPr>
          <c:invertIfNegative val="0"/>
          <c:cat>
            <c:strRef>
              <c:f>'Graf-5'!$L$5:$L$40</c:f>
              <c:strCache>
                <c:ptCount val="36"/>
                <c:pt idx="0">
                  <c:v>Irsko</c:v>
                </c:pt>
                <c:pt idx="1">
                  <c:v>Lucembursko</c:v>
                </c:pt>
                <c:pt idx="2">
                  <c:v>Malta</c:v>
                </c:pt>
                <c:pt idx="3">
                  <c:v>Slovinsko</c:v>
                </c:pt>
                <c:pt idx="4">
                  <c:v>Maďarsko</c:v>
                </c:pt>
                <c:pt idx="5">
                  <c:v>Nizozemsko</c:v>
                </c:pt>
                <c:pt idx="6">
                  <c:v>Litva</c:v>
                </c:pt>
                <c:pt idx="7">
                  <c:v>Slovensko</c:v>
                </c:pt>
                <c:pt idx="8">
                  <c:v>Belgie</c:v>
                </c:pt>
                <c:pt idx="9">
                  <c:v>Kypr</c:v>
                </c:pt>
                <c:pt idx="10">
                  <c:v>Estonsko</c:v>
                </c:pt>
                <c:pt idx="11">
                  <c:v>Česko</c:v>
                </c:pt>
                <c:pt idx="12">
                  <c:v>Lotyšsko</c:v>
                </c:pt>
                <c:pt idx="13">
                  <c:v>Bulharsko</c:v>
                </c:pt>
                <c:pt idx="14">
                  <c:v>Dánsko</c:v>
                </c:pt>
                <c:pt idx="15">
                  <c:v>Chorvatsko</c:v>
                </c:pt>
                <c:pt idx="16">
                  <c:v>Rakousko</c:v>
                </c:pt>
                <c:pt idx="17">
                  <c:v>Polsko</c:v>
                </c:pt>
                <c:pt idx="18">
                  <c:v>Německo</c:v>
                </c:pt>
                <c:pt idx="19">
                  <c:v>Švédsko</c:v>
                </c:pt>
                <c:pt idx="20">
                  <c:v>Portugalsko</c:v>
                </c:pt>
                <c:pt idx="21">
                  <c:v>Řecko</c:v>
                </c:pt>
                <c:pt idx="22">
                  <c:v>Rumunsko</c:v>
                </c:pt>
                <c:pt idx="23">
                  <c:v>Finsko</c:v>
                </c:pt>
                <c:pt idx="24">
                  <c:v>Španělsko</c:v>
                </c:pt>
                <c:pt idx="25">
                  <c:v>Francie</c:v>
                </c:pt>
                <c:pt idx="26">
                  <c:v>Itálie</c:v>
                </c:pt>
                <c:pt idx="27">
                  <c:v>Švýcarsko</c:v>
                </c:pt>
                <c:pt idx="28">
                  <c:v>S. Makedonie</c:v>
                </c:pt>
                <c:pt idx="29">
                  <c:v>Černá Hora</c:v>
                </c:pt>
                <c:pt idx="30">
                  <c:v>Island</c:v>
                </c:pt>
                <c:pt idx="31">
                  <c:v>Srbsko</c:v>
                </c:pt>
                <c:pt idx="32">
                  <c:v>Bosna a H.</c:v>
                </c:pt>
                <c:pt idx="33">
                  <c:v>Norsko</c:v>
                </c:pt>
                <c:pt idx="34">
                  <c:v>Albánie</c:v>
                </c:pt>
                <c:pt idx="35">
                  <c:v>Velká Británie</c:v>
                </c:pt>
              </c:strCache>
            </c:strRef>
          </c:cat>
          <c:val>
            <c:numRef>
              <c:f>'Graf-5'!$O$5:$O$40</c:f>
              <c:numCache>
                <c:formatCode>0.0</c:formatCode>
                <c:ptCount val="36"/>
                <c:pt idx="0">
                  <c:v>33.183936942774814</c:v>
                </c:pt>
                <c:pt idx="1">
                  <c:v>9.8931627462549621</c:v>
                </c:pt>
                <c:pt idx="2">
                  <c:v>10.445261321504447</c:v>
                </c:pt>
                <c:pt idx="3">
                  <c:v>35.177615199600929</c:v>
                </c:pt>
                <c:pt idx="4">
                  <c:v>34.284656891545268</c:v>
                </c:pt>
                <c:pt idx="5">
                  <c:v>32.018976810522425</c:v>
                </c:pt>
                <c:pt idx="6">
                  <c:v>30.490662765440867</c:v>
                </c:pt>
                <c:pt idx="7">
                  <c:v>36.071718898818212</c:v>
                </c:pt>
                <c:pt idx="8">
                  <c:v>29.151189225092971</c:v>
                </c:pt>
                <c:pt idx="9">
                  <c:v>9.2143163571734998</c:v>
                </c:pt>
                <c:pt idx="10">
                  <c:v>24.521405893680882</c:v>
                </c:pt>
                <c:pt idx="11">
                  <c:v>28.505324605091619</c:v>
                </c:pt>
                <c:pt idx="12">
                  <c:v>23.448798151173566</c:v>
                </c:pt>
                <c:pt idx="13">
                  <c:v>24.192999658004414</c:v>
                </c:pt>
                <c:pt idx="14">
                  <c:v>19.116806094125309</c:v>
                </c:pt>
                <c:pt idx="15">
                  <c:v>14.174496267083828</c:v>
                </c:pt>
                <c:pt idx="16">
                  <c:v>21.189023580600484</c:v>
                </c:pt>
                <c:pt idx="17">
                  <c:v>21.677143882142463</c:v>
                </c:pt>
                <c:pt idx="18">
                  <c:v>20.923104563014391</c:v>
                </c:pt>
                <c:pt idx="19">
                  <c:v>17.710155479981175</c:v>
                </c:pt>
                <c:pt idx="20">
                  <c:v>15.360670773222449</c:v>
                </c:pt>
                <c:pt idx="21">
                  <c:v>12.372916272660955</c:v>
                </c:pt>
                <c:pt idx="22">
                  <c:v>15.826397232569484</c:v>
                </c:pt>
                <c:pt idx="23">
                  <c:v>14.412672817393057</c:v>
                </c:pt>
                <c:pt idx="24">
                  <c:v>13.436129363758614</c:v>
                </c:pt>
                <c:pt idx="25">
                  <c:v>12.45516910007685</c:v>
                </c:pt>
                <c:pt idx="26">
                  <c:v>13.438090437520946</c:v>
                </c:pt>
                <c:pt idx="27">
                  <c:v>24.846189236197262</c:v>
                </c:pt>
                <c:pt idx="28">
                  <c:v>21.744959166948956</c:v>
                </c:pt>
                <c:pt idx="29">
                  <c:v>5.5761558919803607</c:v>
                </c:pt>
                <c:pt idx="30">
                  <c:v>11.146511804008272</c:v>
                </c:pt>
                <c:pt idx="31">
                  <c:v>18.213390747494355</c:v>
                </c:pt>
                <c:pt idx="32">
                  <c:v>18.158811164677953</c:v>
                </c:pt>
                <c:pt idx="33">
                  <c:v>16.876466645173743</c:v>
                </c:pt>
                <c:pt idx="34">
                  <c:v>4.8321328043992935</c:v>
                </c:pt>
                <c:pt idx="35">
                  <c:v>9.3873422534314965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D2-4EE9-BA5F-6B060E4C8996}"/>
            </c:ext>
          </c:extLst>
        </c:ser>
        <c:ser>
          <c:idx val="3"/>
          <c:order val="3"/>
          <c:tx>
            <c:strRef>
              <c:f>'Graf-5'!$P$4</c:f>
              <c:strCache>
                <c:ptCount val="1"/>
                <c:pt idx="0">
                  <c:v>Vývoz služeb  / produkce (2018)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invertIfNegative val="0"/>
          <c:cat>
            <c:strRef>
              <c:f>'Graf-5'!$L$5:$L$40</c:f>
              <c:strCache>
                <c:ptCount val="36"/>
                <c:pt idx="0">
                  <c:v>Irsko</c:v>
                </c:pt>
                <c:pt idx="1">
                  <c:v>Lucembursko</c:v>
                </c:pt>
                <c:pt idx="2">
                  <c:v>Malta</c:v>
                </c:pt>
                <c:pt idx="3">
                  <c:v>Slovinsko</c:v>
                </c:pt>
                <c:pt idx="4">
                  <c:v>Maďarsko</c:v>
                </c:pt>
                <c:pt idx="5">
                  <c:v>Nizozemsko</c:v>
                </c:pt>
                <c:pt idx="6">
                  <c:v>Litva</c:v>
                </c:pt>
                <c:pt idx="7">
                  <c:v>Slovensko</c:v>
                </c:pt>
                <c:pt idx="8">
                  <c:v>Belgie</c:v>
                </c:pt>
                <c:pt idx="9">
                  <c:v>Kypr</c:v>
                </c:pt>
                <c:pt idx="10">
                  <c:v>Estonsko</c:v>
                </c:pt>
                <c:pt idx="11">
                  <c:v>Česko</c:v>
                </c:pt>
                <c:pt idx="12">
                  <c:v>Lotyšsko</c:v>
                </c:pt>
                <c:pt idx="13">
                  <c:v>Bulharsko</c:v>
                </c:pt>
                <c:pt idx="14">
                  <c:v>Dánsko</c:v>
                </c:pt>
                <c:pt idx="15">
                  <c:v>Chorvatsko</c:v>
                </c:pt>
                <c:pt idx="16">
                  <c:v>Rakousko</c:v>
                </c:pt>
                <c:pt idx="17">
                  <c:v>Polsko</c:v>
                </c:pt>
                <c:pt idx="18">
                  <c:v>Německo</c:v>
                </c:pt>
                <c:pt idx="19">
                  <c:v>Švédsko</c:v>
                </c:pt>
                <c:pt idx="20">
                  <c:v>Portugalsko</c:v>
                </c:pt>
                <c:pt idx="21">
                  <c:v>Řecko</c:v>
                </c:pt>
                <c:pt idx="22">
                  <c:v>Rumunsko</c:v>
                </c:pt>
                <c:pt idx="23">
                  <c:v>Finsko</c:v>
                </c:pt>
                <c:pt idx="24">
                  <c:v>Španělsko</c:v>
                </c:pt>
                <c:pt idx="25">
                  <c:v>Francie</c:v>
                </c:pt>
                <c:pt idx="26">
                  <c:v>Itálie</c:v>
                </c:pt>
                <c:pt idx="27">
                  <c:v>Švýcarsko</c:v>
                </c:pt>
                <c:pt idx="28">
                  <c:v>S. Makedonie</c:v>
                </c:pt>
                <c:pt idx="29">
                  <c:v>Černá Hora</c:v>
                </c:pt>
                <c:pt idx="30">
                  <c:v>Island</c:v>
                </c:pt>
                <c:pt idx="31">
                  <c:v>Srbsko</c:v>
                </c:pt>
                <c:pt idx="32">
                  <c:v>Bosna a H.</c:v>
                </c:pt>
                <c:pt idx="33">
                  <c:v>Norsko</c:v>
                </c:pt>
                <c:pt idx="34">
                  <c:v>Albánie</c:v>
                </c:pt>
                <c:pt idx="35">
                  <c:v>Velká Británie</c:v>
                </c:pt>
              </c:strCache>
            </c:strRef>
          </c:cat>
          <c:val>
            <c:numRef>
              <c:f>'Graf-5'!$P$5:$P$40</c:f>
              <c:numCache>
                <c:formatCode>0.0</c:formatCode>
                <c:ptCount val="36"/>
                <c:pt idx="0">
                  <c:v>29.575965459395469</c:v>
                </c:pt>
                <c:pt idx="1">
                  <c:v>51.854803982654865</c:v>
                </c:pt>
                <c:pt idx="2">
                  <c:v>46.248539594790984</c:v>
                </c:pt>
                <c:pt idx="3">
                  <c:v>9.0967931207285648</c:v>
                </c:pt>
                <c:pt idx="4">
                  <c:v>9.6761465887519051</c:v>
                </c:pt>
                <c:pt idx="5">
                  <c:v>11.259178067719613</c:v>
                </c:pt>
                <c:pt idx="6">
                  <c:v>12.018747741292101</c:v>
                </c:pt>
                <c:pt idx="7">
                  <c:v>4.8421456255068867</c:v>
                </c:pt>
                <c:pt idx="8">
                  <c:v>11.098420097816089</c:v>
                </c:pt>
                <c:pt idx="9">
                  <c:v>30.224612367469511</c:v>
                </c:pt>
                <c:pt idx="10">
                  <c:v>12.747152338561838</c:v>
                </c:pt>
                <c:pt idx="11">
                  <c:v>5.4276780027035647</c:v>
                </c:pt>
                <c:pt idx="12">
                  <c:v>9.8038413016214445</c:v>
                </c:pt>
                <c:pt idx="13">
                  <c:v>8.0203092763739026</c:v>
                </c:pt>
                <c:pt idx="14">
                  <c:v>12.526839300463937</c:v>
                </c:pt>
                <c:pt idx="15">
                  <c:v>16.019612251334074</c:v>
                </c:pt>
                <c:pt idx="16">
                  <c:v>8.8694981277805507</c:v>
                </c:pt>
                <c:pt idx="17">
                  <c:v>5.8943305797913625</c:v>
                </c:pt>
                <c:pt idx="18">
                  <c:v>4.6972905491460271</c:v>
                </c:pt>
                <c:pt idx="19">
                  <c:v>7.0818254581005231</c:v>
                </c:pt>
                <c:pt idx="20">
                  <c:v>9.0059699056936644</c:v>
                </c:pt>
                <c:pt idx="21">
                  <c:v>10.164975819306731</c:v>
                </c:pt>
                <c:pt idx="22">
                  <c:v>5.9546676192944066</c:v>
                </c:pt>
                <c:pt idx="23">
                  <c:v>6.2031022382658252</c:v>
                </c:pt>
                <c:pt idx="24">
                  <c:v>6.1063804672111983</c:v>
                </c:pt>
                <c:pt idx="25">
                  <c:v>5.4268016302232267</c:v>
                </c:pt>
                <c:pt idx="26">
                  <c:v>3.0977159278321871</c:v>
                </c:pt>
                <c:pt idx="27">
                  <c:v>9.6982920420064964</c:v>
                </c:pt>
                <c:pt idx="28">
                  <c:v>7.7705756805566226</c:v>
                </c:pt>
                <c:pt idx="29">
                  <c:v>19.989003682487724</c:v>
                </c:pt>
                <c:pt idx="30">
                  <c:v>14.198847707656306</c:v>
                </c:pt>
                <c:pt idx="31">
                  <c:v>6.9839405694271983</c:v>
                </c:pt>
                <c:pt idx="32">
                  <c:v>6.3945564003081543</c:v>
                </c:pt>
                <c:pt idx="33">
                  <c:v>6.2276481828664183</c:v>
                </c:pt>
                <c:pt idx="34">
                  <c:v>15.036248099470113</c:v>
                </c:pt>
                <c:pt idx="35">
                  <c:v>8.2397820339080443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D2-4EE9-BA5F-6B060E4C89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100"/>
        <c:axId val="211167600"/>
        <c:axId val="281211184"/>
      </c:barChart>
      <c:lineChart>
        <c:grouping val="standard"/>
        <c:varyColors val="0"/>
        <c:ser>
          <c:idx val="0"/>
          <c:order val="0"/>
          <c:tx>
            <c:strRef>
              <c:f>'Graf-5'!$M$4</c:f>
              <c:strCache>
                <c:ptCount val="1"/>
                <c:pt idx="0">
                  <c:v>Vývoz zboží i služeb / produkce (2005)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noFill/>
              </a:ln>
              <a:effectLst/>
            </c:spPr>
          </c:marker>
          <c:cat>
            <c:strRef>
              <c:f>'Graf-5'!$L$5:$L$40</c:f>
              <c:strCache>
                <c:ptCount val="36"/>
                <c:pt idx="0">
                  <c:v>Irsko</c:v>
                </c:pt>
                <c:pt idx="1">
                  <c:v>Lucembursko</c:v>
                </c:pt>
                <c:pt idx="2">
                  <c:v>Malta</c:v>
                </c:pt>
                <c:pt idx="3">
                  <c:v>Slovinsko</c:v>
                </c:pt>
                <c:pt idx="4">
                  <c:v>Maďarsko</c:v>
                </c:pt>
                <c:pt idx="5">
                  <c:v>Nizozemsko</c:v>
                </c:pt>
                <c:pt idx="6">
                  <c:v>Litva</c:v>
                </c:pt>
                <c:pt idx="7">
                  <c:v>Slovensko</c:v>
                </c:pt>
                <c:pt idx="8">
                  <c:v>Belgie</c:v>
                </c:pt>
                <c:pt idx="9">
                  <c:v>Kypr</c:v>
                </c:pt>
                <c:pt idx="10">
                  <c:v>Estonsko</c:v>
                </c:pt>
                <c:pt idx="11">
                  <c:v>Česko</c:v>
                </c:pt>
                <c:pt idx="12">
                  <c:v>Lotyšsko</c:v>
                </c:pt>
                <c:pt idx="13">
                  <c:v>Bulharsko</c:v>
                </c:pt>
                <c:pt idx="14">
                  <c:v>Dánsko</c:v>
                </c:pt>
                <c:pt idx="15">
                  <c:v>Chorvatsko</c:v>
                </c:pt>
                <c:pt idx="16">
                  <c:v>Rakousko</c:v>
                </c:pt>
                <c:pt idx="17">
                  <c:v>Polsko</c:v>
                </c:pt>
                <c:pt idx="18">
                  <c:v>Německo</c:v>
                </c:pt>
                <c:pt idx="19">
                  <c:v>Švédsko</c:v>
                </c:pt>
                <c:pt idx="20">
                  <c:v>Portugalsko</c:v>
                </c:pt>
                <c:pt idx="21">
                  <c:v>Řecko</c:v>
                </c:pt>
                <c:pt idx="22">
                  <c:v>Rumunsko</c:v>
                </c:pt>
                <c:pt idx="23">
                  <c:v>Finsko</c:v>
                </c:pt>
                <c:pt idx="24">
                  <c:v>Španělsko</c:v>
                </c:pt>
                <c:pt idx="25">
                  <c:v>Francie</c:v>
                </c:pt>
                <c:pt idx="26">
                  <c:v>Itálie</c:v>
                </c:pt>
                <c:pt idx="27">
                  <c:v>Švýcarsko</c:v>
                </c:pt>
                <c:pt idx="28">
                  <c:v>S. Makedonie</c:v>
                </c:pt>
                <c:pt idx="29">
                  <c:v>Černá Hora</c:v>
                </c:pt>
                <c:pt idx="30">
                  <c:v>Island</c:v>
                </c:pt>
                <c:pt idx="31">
                  <c:v>Srbsko</c:v>
                </c:pt>
                <c:pt idx="32">
                  <c:v>Bosna a H.</c:v>
                </c:pt>
                <c:pt idx="33">
                  <c:v>Norsko</c:v>
                </c:pt>
                <c:pt idx="34">
                  <c:v>Albánie</c:v>
                </c:pt>
                <c:pt idx="35">
                  <c:v>Velká Británie</c:v>
                </c:pt>
              </c:strCache>
            </c:strRef>
          </c:cat>
          <c:val>
            <c:numRef>
              <c:f>'Graf-5'!$M$5:$M$40</c:f>
              <c:numCache>
                <c:formatCode>0.0</c:formatCode>
                <c:ptCount val="36"/>
                <c:pt idx="0">
                  <c:v>39.367828954673264</c:v>
                </c:pt>
                <c:pt idx="1">
                  <c:v>62.250517011704396</c:v>
                </c:pt>
                <c:pt idx="2">
                  <c:v>47.874614740517714</c:v>
                </c:pt>
                <c:pt idx="3">
                  <c:v>31.107109553361845</c:v>
                </c:pt>
                <c:pt idx="4">
                  <c:v>31.015701992171067</c:v>
                </c:pt>
                <c:pt idx="5">
                  <c:v>35.622509150561839</c:v>
                </c:pt>
                <c:pt idx="6">
                  <c:v>30.923654143809575</c:v>
                </c:pt>
                <c:pt idx="7">
                  <c:v>34.228794606227403</c:v>
                </c:pt>
                <c:pt idx="8">
                  <c:v>36.693471101254865</c:v>
                </c:pt>
                <c:pt idx="9">
                  <c:v>31.689892126377217</c:v>
                </c:pt>
                <c:pt idx="10">
                  <c:v>32.126471606648202</c:v>
                </c:pt>
                <c:pt idx="11">
                  <c:v>27.077735014081266</c:v>
                </c:pt>
                <c:pt idx="12">
                  <c:v>21.665418070568439</c:v>
                </c:pt>
                <c:pt idx="13">
                  <c:v>19.650836547674619</c:v>
                </c:pt>
                <c:pt idx="14">
                  <c:v>27.908720204940462</c:v>
                </c:pt>
                <c:pt idx="15">
                  <c:v>20.689301961131193</c:v>
                </c:pt>
                <c:pt idx="16">
                  <c:v>27.211061475157056</c:v>
                </c:pt>
                <c:pt idx="17">
                  <c:v>17.413138258990955</c:v>
                </c:pt>
                <c:pt idx="18">
                  <c:v>20.775499766463152</c:v>
                </c:pt>
                <c:pt idx="19">
                  <c:v>24.356018499204588</c:v>
                </c:pt>
                <c:pt idx="20">
                  <c:v>14.622181346552168</c:v>
                </c:pt>
                <c:pt idx="21">
                  <c:v>13.207845889076243</c:v>
                </c:pt>
                <c:pt idx="22">
                  <c:v>12.940766128980361</c:v>
                </c:pt>
                <c:pt idx="23">
                  <c:v>21.618106732985009</c:v>
                </c:pt>
                <c:pt idx="24">
                  <c:v>12.756847429102619</c:v>
                </c:pt>
                <c:pt idx="25">
                  <c:v>15.346922661961859</c:v>
                </c:pt>
                <c:pt idx="26">
                  <c:v>12.578785878878454</c:v>
                </c:pt>
                <c:pt idx="27">
                  <c:v>27.216479121913139</c:v>
                </c:pt>
                <c:pt idx="28">
                  <c:v>17.392148826600618</c:v>
                </c:pt>
                <c:pt idx="30">
                  <c:v>16.886088224902078</c:v>
                </c:pt>
                <c:pt idx="31">
                  <c:v>11.863218427450544</c:v>
                </c:pt>
                <c:pt idx="33">
                  <c:v>27.019506362701843</c:v>
                </c:pt>
                <c:pt idx="34">
                  <c:v>13.847644631345801</c:v>
                </c:pt>
                <c:pt idx="35">
                  <c:v>14.884858978020182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6D2-4EE9-BA5F-6B060E4C8996}"/>
            </c:ext>
          </c:extLst>
        </c:ser>
        <c:ser>
          <c:idx val="1"/>
          <c:order val="1"/>
          <c:tx>
            <c:strRef>
              <c:f>'Graf-5'!$N$4</c:f>
              <c:strCache>
                <c:ptCount val="1"/>
                <c:pt idx="0">
                  <c:v>Vývoz zboží i služeb / produkce (2012)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noFill/>
              </a:ln>
              <a:effectLst/>
            </c:spPr>
          </c:marker>
          <c:cat>
            <c:strRef>
              <c:f>'Graf-5'!$L$5:$L$40</c:f>
              <c:strCache>
                <c:ptCount val="36"/>
                <c:pt idx="0">
                  <c:v>Irsko</c:v>
                </c:pt>
                <c:pt idx="1">
                  <c:v>Lucembursko</c:v>
                </c:pt>
                <c:pt idx="2">
                  <c:v>Malta</c:v>
                </c:pt>
                <c:pt idx="3">
                  <c:v>Slovinsko</c:v>
                </c:pt>
                <c:pt idx="4">
                  <c:v>Maďarsko</c:v>
                </c:pt>
                <c:pt idx="5">
                  <c:v>Nizozemsko</c:v>
                </c:pt>
                <c:pt idx="6">
                  <c:v>Litva</c:v>
                </c:pt>
                <c:pt idx="7">
                  <c:v>Slovensko</c:v>
                </c:pt>
                <c:pt idx="8">
                  <c:v>Belgie</c:v>
                </c:pt>
                <c:pt idx="9">
                  <c:v>Kypr</c:v>
                </c:pt>
                <c:pt idx="10">
                  <c:v>Estonsko</c:v>
                </c:pt>
                <c:pt idx="11">
                  <c:v>Česko</c:v>
                </c:pt>
                <c:pt idx="12">
                  <c:v>Lotyšsko</c:v>
                </c:pt>
                <c:pt idx="13">
                  <c:v>Bulharsko</c:v>
                </c:pt>
                <c:pt idx="14">
                  <c:v>Dánsko</c:v>
                </c:pt>
                <c:pt idx="15">
                  <c:v>Chorvatsko</c:v>
                </c:pt>
                <c:pt idx="16">
                  <c:v>Rakousko</c:v>
                </c:pt>
                <c:pt idx="17">
                  <c:v>Polsko</c:v>
                </c:pt>
                <c:pt idx="18">
                  <c:v>Německo</c:v>
                </c:pt>
                <c:pt idx="19">
                  <c:v>Švédsko</c:v>
                </c:pt>
                <c:pt idx="20">
                  <c:v>Portugalsko</c:v>
                </c:pt>
                <c:pt idx="21">
                  <c:v>Řecko</c:v>
                </c:pt>
                <c:pt idx="22">
                  <c:v>Rumunsko</c:v>
                </c:pt>
                <c:pt idx="23">
                  <c:v>Finsko</c:v>
                </c:pt>
                <c:pt idx="24">
                  <c:v>Španělsko</c:v>
                </c:pt>
                <c:pt idx="25">
                  <c:v>Francie</c:v>
                </c:pt>
                <c:pt idx="26">
                  <c:v>Itálie</c:v>
                </c:pt>
                <c:pt idx="27">
                  <c:v>Švýcarsko</c:v>
                </c:pt>
                <c:pt idx="28">
                  <c:v>S. Makedonie</c:v>
                </c:pt>
                <c:pt idx="29">
                  <c:v>Černá Hora</c:v>
                </c:pt>
                <c:pt idx="30">
                  <c:v>Island</c:v>
                </c:pt>
                <c:pt idx="31">
                  <c:v>Srbsko</c:v>
                </c:pt>
                <c:pt idx="32">
                  <c:v>Bosna a H.</c:v>
                </c:pt>
                <c:pt idx="33">
                  <c:v>Norsko</c:v>
                </c:pt>
                <c:pt idx="34">
                  <c:v>Albánie</c:v>
                </c:pt>
                <c:pt idx="35">
                  <c:v>Velká Británie</c:v>
                </c:pt>
              </c:strCache>
            </c:strRef>
          </c:cat>
          <c:val>
            <c:numRef>
              <c:f>'Graf-5'!$N$5:$N$40</c:f>
              <c:numCache>
                <c:formatCode>0.0</c:formatCode>
                <c:ptCount val="36"/>
                <c:pt idx="0">
                  <c:v>49.110451401066889</c:v>
                </c:pt>
                <c:pt idx="1">
                  <c:v>62.637612041239244</c:v>
                </c:pt>
                <c:pt idx="2">
                  <c:v>59.096465188215632</c:v>
                </c:pt>
                <c:pt idx="3">
                  <c:v>37.927164275072975</c:v>
                </c:pt>
                <c:pt idx="4">
                  <c:v>42.783432801162178</c:v>
                </c:pt>
                <c:pt idx="5">
                  <c:v>40.566602432761478</c:v>
                </c:pt>
                <c:pt idx="6">
                  <c:v>43.960324762374128</c:v>
                </c:pt>
                <c:pt idx="7">
                  <c:v>40.140420397139742</c:v>
                </c:pt>
                <c:pt idx="8">
                  <c:v>37.687082508743536</c:v>
                </c:pt>
                <c:pt idx="9">
                  <c:v>31.477616353103382</c:v>
                </c:pt>
                <c:pt idx="10">
                  <c:v>41.598707244815515</c:v>
                </c:pt>
                <c:pt idx="11">
                  <c:v>32.125839236717049</c:v>
                </c:pt>
                <c:pt idx="12">
                  <c:v>29.443194909210597</c:v>
                </c:pt>
                <c:pt idx="13">
                  <c:v>28.678789439882795</c:v>
                </c:pt>
                <c:pt idx="14">
                  <c:v>30.760440954015738</c:v>
                </c:pt>
                <c:pt idx="15">
                  <c:v>22.828699127774897</c:v>
                </c:pt>
                <c:pt idx="16">
                  <c:v>28.355619773859097</c:v>
                </c:pt>
                <c:pt idx="17">
                  <c:v>21.883344030614772</c:v>
                </c:pt>
                <c:pt idx="18">
                  <c:v>24.450449850934408</c:v>
                </c:pt>
                <c:pt idx="19">
                  <c:v>24.168723723943344</c:v>
                </c:pt>
                <c:pt idx="20">
                  <c:v>20.554536825579923</c:v>
                </c:pt>
                <c:pt idx="21">
                  <c:v>17.87104605032707</c:v>
                </c:pt>
                <c:pt idx="22">
                  <c:v>18.198784644697106</c:v>
                </c:pt>
                <c:pt idx="23">
                  <c:v>20.280531012557869</c:v>
                </c:pt>
                <c:pt idx="24">
                  <c:v>17.193814287615165</c:v>
                </c:pt>
                <c:pt idx="25">
                  <c:v>16.296657656218358</c:v>
                </c:pt>
                <c:pt idx="26">
                  <c:v>14.590788478074002</c:v>
                </c:pt>
                <c:pt idx="27">
                  <c:v>33.616335482554945</c:v>
                </c:pt>
                <c:pt idx="28">
                  <c:v>23.804257165531709</c:v>
                </c:pt>
                <c:pt idx="29">
                  <c:v>26.457091719187343</c:v>
                </c:pt>
                <c:pt idx="30">
                  <c:v>28.640227640996901</c:v>
                </c:pt>
                <c:pt idx="31">
                  <c:v>17.19132355885252</c:v>
                </c:pt>
                <c:pt idx="32">
                  <c:v>18.327431735545048</c:v>
                </c:pt>
                <c:pt idx="33">
                  <c:v>24.923030689342436</c:v>
                </c:pt>
                <c:pt idx="34">
                  <c:v>17.600522865341865</c:v>
                </c:pt>
                <c:pt idx="35">
                  <c:v>17.357789192496046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6D2-4EE9-BA5F-6B060E4C89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167600"/>
        <c:axId val="281211184"/>
      </c:lineChart>
      <c:catAx>
        <c:axId val="21116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81211184"/>
        <c:crosses val="autoZero"/>
        <c:auto val="1"/>
        <c:lblAlgn val="ctr"/>
        <c:lblOffset val="50"/>
        <c:noMultiLvlLbl val="0"/>
      </c:catAx>
      <c:valAx>
        <c:axId val="281211184"/>
        <c:scaling>
          <c:orientation val="minMax"/>
          <c:max val="65"/>
          <c:min val="0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11167600"/>
        <c:crosses val="autoZero"/>
        <c:crossBetween val="between"/>
        <c:majorUnit val="5"/>
      </c:valAx>
      <c:spPr>
        <a:noFill/>
        <a:ln w="6350"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4.4665295816956004E-2"/>
          <c:y val="0.91412713300034176"/>
          <c:w val="0.94203397559664381"/>
          <c:h val="8.3439556205058843E-2"/>
        </c:manualLayout>
      </c:layout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34D9-10E8-4A66-878C-2283CDDE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Anaýza ekonomického vývoje v roce 2017.dotx</Template>
  <TotalTime>1</TotalTime>
  <Pages>7</Pages>
  <Words>2511</Words>
  <Characters>14817</Characters>
  <Application>Microsoft Office Word</Application>
  <DocSecurity>0</DocSecurity>
  <Lines>123</Lines>
  <Paragraphs>34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17294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kamenicky3604</cp:lastModifiedBy>
  <cp:revision>3</cp:revision>
  <cp:lastPrinted>2019-09-12T09:26:00Z</cp:lastPrinted>
  <dcterms:created xsi:type="dcterms:W3CDTF">2020-12-23T09:50:00Z</dcterms:created>
  <dcterms:modified xsi:type="dcterms:W3CDTF">2020-12-23T09:51:00Z</dcterms:modified>
</cp:coreProperties>
</file>