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F4591F" w:rsidRDefault="00576A3E" w:rsidP="00406D69">
      <w:pPr>
        <w:pStyle w:val="Nadpis1"/>
        <w:numPr>
          <w:ilvl w:val="0"/>
          <w:numId w:val="6"/>
        </w:numPr>
        <w:jc w:val="both"/>
      </w:pPr>
      <w:bookmarkStart w:id="0" w:name="_Toc446341882"/>
      <w:r>
        <w:t>Výkonnost odvětví</w:t>
      </w:r>
      <w:bookmarkEnd w:id="0"/>
    </w:p>
    <w:tbl>
      <w:tblPr>
        <w:tblW w:w="4999" w:type="pct"/>
        <w:tblCellMar>
          <w:left w:w="28" w:type="dxa"/>
          <w:right w:w="28" w:type="dxa"/>
        </w:tblCellMar>
        <w:tblLook w:val="04A0"/>
      </w:tblPr>
      <w:tblGrid>
        <w:gridCol w:w="2113"/>
        <w:gridCol w:w="281"/>
        <w:gridCol w:w="7298"/>
      </w:tblGrid>
      <w:tr w:rsidR="00905A11" w:rsidRPr="007E61CB" w:rsidTr="00611531">
        <w:tc>
          <w:tcPr>
            <w:tcW w:w="1090" w:type="pct"/>
          </w:tcPr>
          <w:p w:rsidR="00905A11" w:rsidRDefault="00905A11" w:rsidP="00611531">
            <w:pPr>
              <w:spacing w:line="240" w:lineRule="auto"/>
              <w:rPr>
                <w:color w:val="0D0D0D" w:themeColor="text1" w:themeTint="F2"/>
                <w:sz w:val="16"/>
                <w:szCs w:val="16"/>
              </w:rPr>
            </w:pPr>
            <w:r>
              <w:rPr>
                <w:color w:val="0D0D0D" w:themeColor="text1" w:themeTint="F2"/>
                <w:sz w:val="16"/>
                <w:szCs w:val="16"/>
              </w:rPr>
              <w:t>Meziroční dynamika HPH byla v roce 2015 nejvyšší za posledních osm let</w:t>
            </w:r>
          </w:p>
          <w:p w:rsidR="00905A11" w:rsidRDefault="00905A11" w:rsidP="00611531">
            <w:pPr>
              <w:spacing w:line="240" w:lineRule="auto"/>
              <w:rPr>
                <w:color w:val="0D0D0D" w:themeColor="text1" w:themeTint="F2"/>
                <w:sz w:val="16"/>
                <w:szCs w:val="16"/>
              </w:rPr>
            </w:pPr>
          </w:p>
          <w:p w:rsidR="00905A11" w:rsidRDefault="00905A11" w:rsidP="00611531">
            <w:pPr>
              <w:spacing w:line="240" w:lineRule="auto"/>
              <w:rPr>
                <w:color w:val="0D0D0D" w:themeColor="text1" w:themeTint="F2"/>
                <w:sz w:val="16"/>
                <w:szCs w:val="16"/>
              </w:rPr>
            </w:pPr>
            <w:r>
              <w:rPr>
                <w:color w:val="0D0D0D" w:themeColor="text1" w:themeTint="F2"/>
                <w:sz w:val="16"/>
                <w:szCs w:val="16"/>
              </w:rPr>
              <w:t>Růst HPH v ČR táhl zpracovatelský průmysl, v celé EU ale tu</w:t>
            </w:r>
            <w:r w:rsidR="00690A25">
              <w:rPr>
                <w:color w:val="0D0D0D" w:themeColor="text1" w:themeTint="F2"/>
                <w:sz w:val="16"/>
                <w:szCs w:val="16"/>
              </w:rPr>
              <w:t>to</w:t>
            </w:r>
            <w:r>
              <w:rPr>
                <w:color w:val="0D0D0D" w:themeColor="text1" w:themeTint="F2"/>
                <w:sz w:val="16"/>
                <w:szCs w:val="16"/>
              </w:rPr>
              <w:t xml:space="preserve"> roli plní seskupení odvětví o</w:t>
            </w:r>
            <w:r w:rsidRPr="00F5731D">
              <w:rPr>
                <w:color w:val="0D0D0D" w:themeColor="text1" w:themeTint="F2"/>
                <w:sz w:val="16"/>
                <w:szCs w:val="16"/>
              </w:rPr>
              <w:t xml:space="preserve">bchod, doprava, ubytování </w:t>
            </w:r>
          </w:p>
          <w:p w:rsidR="00905A11" w:rsidRDefault="00905A11" w:rsidP="00611531">
            <w:pPr>
              <w:spacing w:line="240" w:lineRule="auto"/>
              <w:rPr>
                <w:color w:val="0D0D0D" w:themeColor="text1" w:themeTint="F2"/>
                <w:sz w:val="16"/>
                <w:szCs w:val="16"/>
              </w:rPr>
            </w:pPr>
            <w:r w:rsidRPr="00F5731D">
              <w:rPr>
                <w:color w:val="0D0D0D" w:themeColor="text1" w:themeTint="F2"/>
                <w:sz w:val="16"/>
                <w:szCs w:val="16"/>
              </w:rPr>
              <w:t>a pohostinství</w:t>
            </w:r>
          </w:p>
          <w:p w:rsidR="00905A11" w:rsidRPr="000B1183" w:rsidRDefault="00905A11" w:rsidP="00611531">
            <w:pPr>
              <w:spacing w:line="240" w:lineRule="auto"/>
              <w:rPr>
                <w:color w:val="0D0D0D" w:themeColor="text1" w:themeTint="F2"/>
                <w:sz w:val="12"/>
                <w:szCs w:val="12"/>
              </w:rPr>
            </w:pPr>
          </w:p>
        </w:tc>
        <w:tc>
          <w:tcPr>
            <w:tcW w:w="145" w:type="pct"/>
          </w:tcPr>
          <w:p w:rsidR="00905A11" w:rsidRDefault="00905A11" w:rsidP="00611531">
            <w:pPr>
              <w:pStyle w:val="Textpoznpodarou"/>
              <w:jc w:val="both"/>
            </w:pPr>
          </w:p>
        </w:tc>
        <w:tc>
          <w:tcPr>
            <w:tcW w:w="3765" w:type="pct"/>
          </w:tcPr>
          <w:p w:rsidR="00905A11" w:rsidRPr="00114FC0" w:rsidRDefault="00905A11" w:rsidP="00611531">
            <w:pPr>
              <w:pStyle w:val="Textpoznpodarou"/>
              <w:jc w:val="both"/>
              <w:rPr>
                <w:color w:val="0D0D0D" w:themeColor="text1" w:themeTint="F2"/>
              </w:rPr>
            </w:pPr>
            <w:r w:rsidRPr="00114FC0">
              <w:rPr>
                <w:color w:val="0D0D0D" w:themeColor="text1" w:themeTint="F2"/>
              </w:rPr>
              <w:t>Velmi dobrá kondice ekonomiky ČR se v roce 2015 prolínala do</w:t>
            </w:r>
            <w:r w:rsidRPr="00114FC0">
              <w:t xml:space="preserve"> všech klíčových odvětví. </w:t>
            </w:r>
            <w:r w:rsidRPr="00114FC0">
              <w:rPr>
                <w:color w:val="0D0D0D" w:themeColor="text1" w:themeTint="F2"/>
              </w:rPr>
              <w:t>Hrubá přidaná hodnota (HPH)</w:t>
            </w:r>
            <w:r w:rsidRPr="00114FC0">
              <w:rPr>
                <w:rStyle w:val="Znakapoznpodarou"/>
                <w:color w:val="0D0D0D" w:themeColor="text1" w:themeTint="F2"/>
              </w:rPr>
              <w:footnoteReference w:id="1"/>
            </w:r>
            <w:r w:rsidRPr="00114FC0">
              <w:rPr>
                <w:color w:val="0D0D0D" w:themeColor="text1" w:themeTint="F2"/>
              </w:rPr>
              <w:t xml:space="preserve"> pokračovala v</w:t>
            </w:r>
            <w:r w:rsidRPr="00114FC0">
              <w:t> </w:t>
            </w:r>
            <w:r w:rsidRPr="00114FC0">
              <w:rPr>
                <w:color w:val="0D0D0D" w:themeColor="text1" w:themeTint="F2"/>
              </w:rPr>
              <w:t xml:space="preserve">mezičtvrtletním růstu již pojedenácté v řadě (déle než v období krátkodobého oživení po hluboké recesi v roce 2009). Meziroční dynamika HPH (+3,8 %) byla nejvyšší po roce 2007. Podobně jako v předešlém roce si klíčovou roli udržel zpracovatelský průmysl, který přispěl k růstu HPH v celé ekonomice celou polovinou, vcelku rovnoměrně dále přidala všechna hlavní uskupení služeb (s mírnou převahou váhově dominantního shluku odvětví obchod, doprava, ubytování a stravování). </w:t>
            </w:r>
          </w:p>
          <w:p w:rsidR="00905A11" w:rsidRPr="00114FC0" w:rsidRDefault="00905A11" w:rsidP="00611531">
            <w:pPr>
              <w:pStyle w:val="Textpoznpodarou"/>
              <w:jc w:val="both"/>
              <w:rPr>
                <w:spacing w:val="-4"/>
                <w:sz w:val="18"/>
                <w:szCs w:val="18"/>
              </w:rPr>
            </w:pPr>
          </w:p>
        </w:tc>
      </w:tr>
      <w:tr w:rsidR="00905A11" w:rsidRPr="00A51B62" w:rsidTr="00611531">
        <w:tc>
          <w:tcPr>
            <w:tcW w:w="1090" w:type="pct"/>
          </w:tcPr>
          <w:p w:rsidR="00905A11" w:rsidRDefault="00905A11" w:rsidP="00611531">
            <w:pPr>
              <w:spacing w:line="240" w:lineRule="auto"/>
              <w:rPr>
                <w:color w:val="0D0D0D" w:themeColor="text1" w:themeTint="F2"/>
                <w:sz w:val="16"/>
                <w:szCs w:val="16"/>
              </w:rPr>
            </w:pPr>
            <w:r w:rsidRPr="009213B7">
              <w:rPr>
                <w:color w:val="0D0D0D" w:themeColor="text1" w:themeTint="F2"/>
                <w:sz w:val="16"/>
                <w:szCs w:val="16"/>
              </w:rPr>
              <w:t>Přidaná hodnota v převážně exportně orientovaném zpracovatelském průmyslu rostla</w:t>
            </w:r>
            <w:r>
              <w:rPr>
                <w:color w:val="0D0D0D" w:themeColor="text1" w:themeTint="F2"/>
                <w:sz w:val="16"/>
                <w:szCs w:val="16"/>
              </w:rPr>
              <w:t xml:space="preserve"> (podobně jako loni</w:t>
            </w:r>
            <w:r w:rsidRPr="009213B7">
              <w:rPr>
                <w:color w:val="0D0D0D" w:themeColor="text1" w:themeTint="F2"/>
                <w:sz w:val="16"/>
                <w:szCs w:val="16"/>
              </w:rPr>
              <w:t>) oproti celé ekonomice téměř dvojnásobným tempem</w:t>
            </w:r>
          </w:p>
          <w:p w:rsidR="00905A11" w:rsidRPr="000A4ACC" w:rsidRDefault="00905A11" w:rsidP="00611531">
            <w:pPr>
              <w:spacing w:line="240" w:lineRule="auto"/>
              <w:rPr>
                <w:spacing w:val="-2"/>
                <w:sz w:val="16"/>
                <w:szCs w:val="16"/>
              </w:rPr>
            </w:pPr>
          </w:p>
        </w:tc>
        <w:tc>
          <w:tcPr>
            <w:tcW w:w="145" w:type="pct"/>
          </w:tcPr>
          <w:p w:rsidR="00905A11" w:rsidRDefault="00905A11" w:rsidP="00611531">
            <w:pPr>
              <w:pStyle w:val="Textpoznpodarou"/>
              <w:jc w:val="both"/>
            </w:pPr>
          </w:p>
        </w:tc>
        <w:tc>
          <w:tcPr>
            <w:tcW w:w="3765" w:type="pct"/>
          </w:tcPr>
          <w:p w:rsidR="00905A11" w:rsidRPr="00114FC0" w:rsidRDefault="00905A11" w:rsidP="00611531">
            <w:pPr>
              <w:pStyle w:val="Textpoznpodarou"/>
              <w:jc w:val="both"/>
            </w:pPr>
            <w:r w:rsidRPr="00114FC0">
              <w:t xml:space="preserve">Ve zpracovatelském průmyslu přidaná hodnota v prvních třech čtvrtletích roku nadále zrychlovala až na 8,9 %, na konci roku rostla (proti vysoké loňské základně) o 6,6 %. Celková zaměstnanost byla </w:t>
            </w:r>
            <w:r w:rsidR="00377200">
              <w:t>v roce 2015</w:t>
            </w:r>
            <w:r w:rsidR="007C010B">
              <w:t xml:space="preserve">, </w:t>
            </w:r>
            <w:r w:rsidR="007C010B" w:rsidRPr="00114FC0">
              <w:t>podobně jak</w:t>
            </w:r>
            <w:r w:rsidR="007C010B">
              <w:t>o</w:t>
            </w:r>
            <w:r w:rsidR="007C010B" w:rsidRPr="00114FC0">
              <w:t xml:space="preserve"> v předchozím roce</w:t>
            </w:r>
            <w:r w:rsidR="007C010B">
              <w:t>,</w:t>
            </w:r>
            <w:r w:rsidR="00377200">
              <w:t xml:space="preserve"> o téměř 2</w:t>
            </w:r>
            <w:r w:rsidR="00377200" w:rsidRPr="00114FC0">
              <w:rPr>
                <w:color w:val="0D0D0D" w:themeColor="text1" w:themeTint="F2"/>
              </w:rPr>
              <w:t> </w:t>
            </w:r>
            <w:r w:rsidR="007C010B">
              <w:t>% vyšší</w:t>
            </w:r>
            <w:r w:rsidR="00445CDD">
              <w:t>. R</w:t>
            </w:r>
            <w:r w:rsidRPr="00114FC0">
              <w:t>ůstové tempo odpracov</w:t>
            </w:r>
            <w:r w:rsidR="00377200">
              <w:t>ané doby se však zdvojnásobilo - na 4 % (v samotném</w:t>
            </w:r>
            <w:r w:rsidRPr="00114FC0">
              <w:t xml:space="preserve"> 4. čtvrtletí </w:t>
            </w:r>
            <w:r w:rsidR="00445CDD">
              <w:t xml:space="preserve">pak </w:t>
            </w:r>
            <w:r w:rsidRPr="00114FC0">
              <w:t xml:space="preserve">bylo meziročně odpracováno </w:t>
            </w:r>
            <w:r w:rsidR="00377200">
              <w:t xml:space="preserve">dokonce </w:t>
            </w:r>
            <w:r w:rsidRPr="00114FC0">
              <w:t>o 8,2 % hodin více). Na úspěšný předešlý rok navázalo i stavebnictví, jehož HPH v průběhu roku 2015</w:t>
            </w:r>
            <w:r w:rsidR="009867BC" w:rsidRPr="00114FC0">
              <w:t xml:space="preserve"> zrychlovala (až na 4,7 % ve 4.</w:t>
            </w:r>
            <w:r w:rsidR="009867BC" w:rsidRPr="00114FC0">
              <w:rPr>
                <w:color w:val="0D0D0D" w:themeColor="text1" w:themeTint="F2"/>
              </w:rPr>
              <w:t> </w:t>
            </w:r>
            <w:r w:rsidRPr="00114FC0">
              <w:t xml:space="preserve">čtvrtletí), podobně jako odpracovaná doba jeho zaměstnanci. V seskupení odvětví zemědělství, lesnictví a rybářství HPH po vysokém loňském růstu (+5,9 %) fakticky stagnovala. Dlouhotrvající sucha snížila hlavně úrodu pícnin, brambor či zeleniny. </w:t>
            </w:r>
          </w:p>
          <w:p w:rsidR="00905A11" w:rsidRPr="00114FC0" w:rsidRDefault="00905A11" w:rsidP="00611531">
            <w:pPr>
              <w:pStyle w:val="Textpoznpodarou"/>
              <w:jc w:val="both"/>
              <w:rPr>
                <w:spacing w:val="-4"/>
                <w:sz w:val="18"/>
                <w:szCs w:val="18"/>
              </w:rPr>
            </w:pPr>
          </w:p>
        </w:tc>
      </w:tr>
      <w:tr w:rsidR="00905A11" w:rsidTr="00611531">
        <w:tc>
          <w:tcPr>
            <w:tcW w:w="1090" w:type="pct"/>
          </w:tcPr>
          <w:p w:rsidR="00905A11" w:rsidRDefault="00905A11" w:rsidP="00611531">
            <w:pPr>
              <w:spacing w:line="240" w:lineRule="auto"/>
              <w:rPr>
                <w:sz w:val="16"/>
                <w:szCs w:val="16"/>
              </w:rPr>
            </w:pPr>
            <w:r>
              <w:rPr>
                <w:sz w:val="16"/>
                <w:szCs w:val="16"/>
              </w:rPr>
              <w:t>Ze služeb rostla přidaná hodnota nejvíce v informač</w:t>
            </w:r>
            <w:r w:rsidR="00AC219A">
              <w:rPr>
                <w:sz w:val="16"/>
                <w:szCs w:val="16"/>
              </w:rPr>
              <w:t>ních a komunikačních činnostech</w:t>
            </w:r>
          </w:p>
          <w:p w:rsidR="00905A11" w:rsidRDefault="00905A11" w:rsidP="00611531">
            <w:pPr>
              <w:spacing w:line="240" w:lineRule="auto"/>
              <w:rPr>
                <w:sz w:val="16"/>
                <w:szCs w:val="16"/>
              </w:rPr>
            </w:pPr>
          </w:p>
          <w:p w:rsidR="00905A11" w:rsidRDefault="00905A11" w:rsidP="00611531">
            <w:pPr>
              <w:spacing w:line="240" w:lineRule="auto"/>
              <w:rPr>
                <w:sz w:val="16"/>
                <w:szCs w:val="16"/>
              </w:rPr>
            </w:pPr>
          </w:p>
          <w:p w:rsidR="00905A11" w:rsidRDefault="00905A11" w:rsidP="00611531">
            <w:pPr>
              <w:spacing w:line="240" w:lineRule="auto"/>
              <w:rPr>
                <w:sz w:val="16"/>
                <w:szCs w:val="16"/>
              </w:rPr>
            </w:pPr>
          </w:p>
          <w:p w:rsidR="00905A11" w:rsidRDefault="00905A11" w:rsidP="00611531">
            <w:pPr>
              <w:spacing w:line="240" w:lineRule="auto"/>
              <w:rPr>
                <w:color w:val="000000" w:themeColor="text1"/>
                <w:sz w:val="16"/>
                <w:szCs w:val="16"/>
              </w:rPr>
            </w:pPr>
            <w:r>
              <w:rPr>
                <w:color w:val="000000" w:themeColor="text1"/>
                <w:sz w:val="16"/>
                <w:szCs w:val="16"/>
              </w:rPr>
              <w:t xml:space="preserve">Významnějšímu růstu nových pracovních míst ve finančním sektoru zřejmě brání nákladové tlaky vlivem silné konkurence </w:t>
            </w:r>
          </w:p>
          <w:p w:rsidR="00905A11" w:rsidRPr="00DA1318" w:rsidRDefault="00905A11" w:rsidP="00611531">
            <w:pPr>
              <w:spacing w:line="240" w:lineRule="auto"/>
              <w:rPr>
                <w:sz w:val="16"/>
                <w:szCs w:val="16"/>
              </w:rPr>
            </w:pPr>
            <w:r>
              <w:rPr>
                <w:sz w:val="16"/>
                <w:szCs w:val="16"/>
              </w:rPr>
              <w:t xml:space="preserve"> </w:t>
            </w:r>
          </w:p>
        </w:tc>
        <w:tc>
          <w:tcPr>
            <w:tcW w:w="145" w:type="pct"/>
          </w:tcPr>
          <w:p w:rsidR="00905A11" w:rsidRDefault="00905A11" w:rsidP="00611531">
            <w:pPr>
              <w:pStyle w:val="Textpoznpodarou"/>
              <w:jc w:val="both"/>
              <w:rPr>
                <w:spacing w:val="-2"/>
              </w:rPr>
            </w:pPr>
          </w:p>
        </w:tc>
        <w:tc>
          <w:tcPr>
            <w:tcW w:w="3765" w:type="pct"/>
          </w:tcPr>
          <w:p w:rsidR="00905A11" w:rsidRPr="00114FC0" w:rsidRDefault="00905A11" w:rsidP="00611531">
            <w:pPr>
              <w:pStyle w:val="Textpoznpodarou"/>
              <w:jc w:val="both"/>
              <w:rPr>
                <w:color w:val="0D0D0D" w:themeColor="text1" w:themeTint="F2"/>
                <w:spacing w:val="-2"/>
              </w:rPr>
            </w:pPr>
            <w:r w:rsidRPr="00114FC0">
              <w:rPr>
                <w:color w:val="0D0D0D" w:themeColor="text1" w:themeTint="F2"/>
                <w:spacing w:val="-2"/>
              </w:rPr>
              <w:t>V odvětví obchod, doprava, ubytování a pohostinství se HPH v roce 2015 navýšila o skromnějších 2,5 %, přesto šlo o nejlepší výsledek za posledních pět let. Odvětví profitovalo z pozitivních nálad spotřebitelů podpořených vysokým růstem zaměstnanosti i reálných mezd, četnějších příjezdů domácích i zahraničn</w:t>
            </w:r>
            <w:r w:rsidR="009867BC" w:rsidRPr="00114FC0">
              <w:rPr>
                <w:color w:val="0D0D0D" w:themeColor="text1" w:themeTint="F2"/>
                <w:spacing w:val="-2"/>
              </w:rPr>
              <w:t>ích hostů i z </w:t>
            </w:r>
            <w:r w:rsidRPr="00114FC0">
              <w:rPr>
                <w:color w:val="0D0D0D" w:themeColor="text1" w:themeTint="F2"/>
                <w:spacing w:val="-2"/>
              </w:rPr>
              <w:t>vyšší poptávky po nákladní dopravě. Již pět let naopak trval růst profesních, vědeckých, technických a administrativních činností (naposledy o 4,3 %) podpořený vyššími výkony pracovních agentur i rostoucí poptávkou po projektových činnostech. Dlouhodobě se daří také informačním a komunikačním činnostem, kde HPH akcelerovala na nejvyšší tempo po roce 2007. O 4 % se zvýšila HPH ve finančnictví, celková zaměstnanost se však již druhý rok po sobě snížila. Po třech letech faktické stagnace zrychlila HPH ve veřejných službách</w:t>
            </w:r>
            <w:r w:rsidRPr="00114FC0">
              <w:rPr>
                <w:rStyle w:val="Znakapoznpodarou"/>
                <w:color w:val="0D0D0D" w:themeColor="text1" w:themeTint="F2"/>
                <w:spacing w:val="-2"/>
              </w:rPr>
              <w:footnoteReference w:id="2"/>
            </w:r>
            <w:r w:rsidRPr="00114FC0">
              <w:rPr>
                <w:color w:val="0D0D0D" w:themeColor="text1" w:themeTint="F2"/>
                <w:spacing w:val="-2"/>
              </w:rPr>
              <w:t xml:space="preserve"> na 2,6 % (nejvíce od roku 2002). Přispěly k tomu pozvolna rostoucí zaměstnanost napříč všemi dílčími odvětvími v kombinaci s navýšením platových tarifů na konci roku 2014.</w:t>
            </w:r>
          </w:p>
          <w:p w:rsidR="00905A11" w:rsidRPr="00114FC0" w:rsidRDefault="00905A11" w:rsidP="00611531">
            <w:pPr>
              <w:pStyle w:val="Textpoznpodarou"/>
              <w:jc w:val="both"/>
              <w:rPr>
                <w:spacing w:val="-4"/>
                <w:sz w:val="18"/>
                <w:szCs w:val="18"/>
              </w:rPr>
            </w:pPr>
          </w:p>
        </w:tc>
      </w:tr>
      <w:tr w:rsidR="00905A11" w:rsidTr="00611531">
        <w:tc>
          <w:tcPr>
            <w:tcW w:w="1090" w:type="pct"/>
          </w:tcPr>
          <w:p w:rsidR="00905A11" w:rsidRDefault="00905A11" w:rsidP="00611531">
            <w:pPr>
              <w:spacing w:line="240" w:lineRule="auto"/>
              <w:rPr>
                <w:color w:val="000000" w:themeColor="text1"/>
                <w:sz w:val="16"/>
                <w:szCs w:val="16"/>
              </w:rPr>
            </w:pPr>
            <w:r w:rsidRPr="00D778A9">
              <w:rPr>
                <w:color w:val="000000" w:themeColor="text1"/>
                <w:sz w:val="16"/>
                <w:szCs w:val="16"/>
              </w:rPr>
              <w:t xml:space="preserve">Průmyslová produkce si udržela vysoká růstová tempa zásluhou dominantního zpracovatelského průmyslu profitujícího především z dosud silné domácí </w:t>
            </w:r>
          </w:p>
          <w:p w:rsidR="00905A11" w:rsidRDefault="00905A11" w:rsidP="00611531">
            <w:pPr>
              <w:spacing w:line="240" w:lineRule="auto"/>
              <w:rPr>
                <w:color w:val="000000" w:themeColor="text1"/>
                <w:sz w:val="16"/>
                <w:szCs w:val="16"/>
              </w:rPr>
            </w:pPr>
            <w:r w:rsidRPr="00D778A9">
              <w:rPr>
                <w:color w:val="000000" w:themeColor="text1"/>
                <w:sz w:val="16"/>
                <w:szCs w:val="16"/>
              </w:rPr>
              <w:t xml:space="preserve">i zahraniční poptávky po dopravních prostředcích </w:t>
            </w:r>
          </w:p>
          <w:p w:rsidR="00905A11" w:rsidRPr="00D778A9" w:rsidRDefault="00AC219A" w:rsidP="00611531">
            <w:pPr>
              <w:spacing w:line="240" w:lineRule="auto"/>
              <w:rPr>
                <w:color w:val="000000" w:themeColor="text1"/>
                <w:sz w:val="16"/>
                <w:szCs w:val="16"/>
              </w:rPr>
            </w:pPr>
            <w:r>
              <w:rPr>
                <w:color w:val="000000" w:themeColor="text1"/>
                <w:sz w:val="16"/>
                <w:szCs w:val="16"/>
              </w:rPr>
              <w:t>a jejich komponentech</w:t>
            </w:r>
          </w:p>
          <w:p w:rsidR="00905A11" w:rsidRPr="000F401E" w:rsidRDefault="00905A11" w:rsidP="00611531">
            <w:pPr>
              <w:spacing w:line="240" w:lineRule="auto"/>
              <w:rPr>
                <w:sz w:val="16"/>
                <w:szCs w:val="16"/>
              </w:rPr>
            </w:pPr>
          </w:p>
        </w:tc>
        <w:tc>
          <w:tcPr>
            <w:tcW w:w="145" w:type="pct"/>
          </w:tcPr>
          <w:p w:rsidR="00905A11" w:rsidRPr="005A16AE" w:rsidRDefault="00905A11" w:rsidP="00611531">
            <w:pPr>
              <w:rPr>
                <w:color w:val="000000" w:themeColor="text1"/>
                <w:szCs w:val="16"/>
              </w:rPr>
            </w:pPr>
          </w:p>
        </w:tc>
        <w:tc>
          <w:tcPr>
            <w:tcW w:w="3765" w:type="pct"/>
          </w:tcPr>
          <w:p w:rsidR="00905A11" w:rsidRPr="00114FC0" w:rsidRDefault="00905A11" w:rsidP="00611531">
            <w:pPr>
              <w:pStyle w:val="Textpoznpodarou"/>
              <w:jc w:val="both"/>
              <w:rPr>
                <w:color w:val="000000" w:themeColor="text1"/>
              </w:rPr>
            </w:pPr>
            <w:r w:rsidRPr="00114FC0">
              <w:rPr>
                <w:color w:val="000000" w:themeColor="text1"/>
              </w:rPr>
              <w:t>Průmysl svým výkonem (měřeným indexem</w:t>
            </w:r>
            <w:r w:rsidR="00FF45A2" w:rsidRPr="00114FC0">
              <w:rPr>
                <w:color w:val="000000" w:themeColor="text1"/>
              </w:rPr>
              <w:t xml:space="preserve"> </w:t>
            </w:r>
            <w:r w:rsidR="00D77F8D">
              <w:rPr>
                <w:color w:val="000000" w:themeColor="text1"/>
              </w:rPr>
              <w:t xml:space="preserve">průmyslové </w:t>
            </w:r>
            <w:r w:rsidR="00FF45A2" w:rsidRPr="00114FC0">
              <w:rPr>
                <w:color w:val="000000" w:themeColor="text1"/>
              </w:rPr>
              <w:t>produkce</w:t>
            </w:r>
            <w:r w:rsidRPr="00114FC0">
              <w:rPr>
                <w:color w:val="000000" w:themeColor="text1"/>
              </w:rPr>
              <w:t>)</w:t>
            </w:r>
            <w:r w:rsidRPr="00114FC0">
              <w:rPr>
                <w:color w:val="000000" w:themeColor="text1"/>
                <w:vertAlign w:val="superscript"/>
              </w:rPr>
              <w:footnoteReference w:id="3"/>
            </w:r>
            <w:r w:rsidRPr="00114FC0">
              <w:rPr>
                <w:color w:val="000000" w:themeColor="text1"/>
              </w:rPr>
              <w:t xml:space="preserve"> navázal v roce 2015 na úspěšný loňský rok, když posílil o 4,6 %. V samotném 4. čtvrtletí ale již jeho meziroční růst polevil na 2,7 % (po očištění o počet pracovních dní) a</w:t>
            </w:r>
            <w:r w:rsidR="009867BC" w:rsidRPr="00114FC0">
              <w:rPr>
                <w:color w:val="0D0D0D" w:themeColor="text1" w:themeTint="F2"/>
              </w:rPr>
              <w:t> </w:t>
            </w:r>
            <w:r w:rsidRPr="00114FC0">
              <w:rPr>
                <w:color w:val="000000" w:themeColor="text1"/>
              </w:rPr>
              <w:t>v mezičtvrtletním vyjá</w:t>
            </w:r>
            <w:r w:rsidR="00690A25">
              <w:rPr>
                <w:color w:val="000000" w:themeColor="text1"/>
              </w:rPr>
              <w:t>dření de facto stagnoval již po</w:t>
            </w:r>
            <w:r w:rsidRPr="00114FC0">
              <w:rPr>
                <w:color w:val="000000" w:themeColor="text1"/>
              </w:rPr>
              <w:t>druhé v řadě. Celé odvětví táhl obdobně jako v předchozích dvou letech výhradně zpracovatelský průmysl. Produkce v těžbě a dobývání poznamenané dlouhodobým útlumem těžby zejména černého uhlí nadále klesala, byť mírnějšími tempy (o 1,7 %, oproti více n</w:t>
            </w:r>
            <w:r w:rsidR="00690A25">
              <w:rPr>
                <w:color w:val="000000" w:themeColor="text1"/>
              </w:rPr>
              <w:t>ež 6 % v průměru za období 2012</w:t>
            </w:r>
            <w:r w:rsidR="00690A25">
              <w:t>–</w:t>
            </w:r>
            <w:r w:rsidRPr="00114FC0">
              <w:rPr>
                <w:color w:val="000000" w:themeColor="text1"/>
              </w:rPr>
              <w:t>14). Neplánované snížení výrobních kapacit v jaderných elektrárnách se pak citelně odrazilo v nižší produkci v energetice (v</w:t>
            </w:r>
            <w:r w:rsidR="00114FC0">
              <w:rPr>
                <w:color w:val="000000" w:themeColor="text1"/>
              </w:rPr>
              <w:t> </w:t>
            </w:r>
            <w:r w:rsidRPr="00114FC0">
              <w:rPr>
                <w:color w:val="000000" w:themeColor="text1"/>
              </w:rPr>
              <w:t>2.</w:t>
            </w:r>
            <w:r w:rsidR="00114FC0">
              <w:rPr>
                <w:color w:val="000000" w:themeColor="text1"/>
              </w:rPr>
              <w:t> </w:t>
            </w:r>
            <w:r w:rsidRPr="00114FC0">
              <w:rPr>
                <w:color w:val="000000" w:themeColor="text1"/>
              </w:rPr>
              <w:t>pololetí meziročně slabší o bezmála 6 %), s mírnými poklesy produkce se však toto odvětví potýká dlouhodobě.</w:t>
            </w:r>
          </w:p>
          <w:p w:rsidR="00905A11" w:rsidRPr="00114FC0" w:rsidRDefault="00905A11" w:rsidP="00611531">
            <w:pPr>
              <w:pStyle w:val="Textpoznpodarou"/>
              <w:jc w:val="both"/>
              <w:rPr>
                <w:color w:val="000000" w:themeColor="text1"/>
                <w:spacing w:val="-4"/>
                <w:sz w:val="18"/>
                <w:szCs w:val="18"/>
              </w:rPr>
            </w:pPr>
          </w:p>
        </w:tc>
      </w:tr>
      <w:tr w:rsidR="00905A11" w:rsidTr="00611531">
        <w:tc>
          <w:tcPr>
            <w:tcW w:w="1090" w:type="pct"/>
          </w:tcPr>
          <w:p w:rsidR="00905A11" w:rsidRDefault="00905A11" w:rsidP="00611531">
            <w:pPr>
              <w:spacing w:line="240" w:lineRule="auto"/>
              <w:rPr>
                <w:spacing w:val="-2"/>
                <w:sz w:val="16"/>
                <w:szCs w:val="16"/>
              </w:rPr>
            </w:pPr>
            <w:r>
              <w:rPr>
                <w:spacing w:val="-2"/>
                <w:sz w:val="16"/>
                <w:szCs w:val="16"/>
              </w:rPr>
              <w:t>Do pozice nejsilněji rostoucího zpracovatelského oboru se vrátila výroba motorových vozidel. Na vlně silné zahraniční i domácí poptávky se pohybovalo i gumárenství a plastikářství, jehož produkce meziročně posílila nejvíce od roku 2007</w:t>
            </w:r>
          </w:p>
          <w:p w:rsidR="00905A11" w:rsidRDefault="00905A11" w:rsidP="00611531">
            <w:pPr>
              <w:spacing w:line="240" w:lineRule="auto"/>
              <w:rPr>
                <w:spacing w:val="-2"/>
                <w:sz w:val="16"/>
                <w:szCs w:val="16"/>
              </w:rPr>
            </w:pPr>
          </w:p>
          <w:p w:rsidR="00905A11" w:rsidRDefault="00905A11" w:rsidP="00611531">
            <w:pPr>
              <w:spacing w:line="240" w:lineRule="auto"/>
              <w:rPr>
                <w:spacing w:val="-4"/>
                <w:sz w:val="16"/>
                <w:szCs w:val="16"/>
              </w:rPr>
            </w:pPr>
            <w:r w:rsidRPr="00B507F7">
              <w:rPr>
                <w:spacing w:val="-4"/>
                <w:sz w:val="16"/>
                <w:szCs w:val="16"/>
              </w:rPr>
              <w:t xml:space="preserve">Z významnějších zpracovatelských oborů </w:t>
            </w:r>
            <w:r w:rsidRPr="00B507F7">
              <w:rPr>
                <w:spacing w:val="-4"/>
                <w:sz w:val="16"/>
                <w:szCs w:val="16"/>
              </w:rPr>
              <w:lastRenderedPageBreak/>
              <w:t>klesala celo</w:t>
            </w:r>
            <w:r>
              <w:rPr>
                <w:spacing w:val="-4"/>
                <w:sz w:val="16"/>
                <w:szCs w:val="16"/>
              </w:rPr>
              <w:t xml:space="preserve">roční produkce jen v hutnictví (vlivem přebytku oceli na evropských trzích) </w:t>
            </w:r>
          </w:p>
          <w:p w:rsidR="00905A11" w:rsidRPr="0036070D" w:rsidRDefault="00905A11" w:rsidP="00611531">
            <w:pPr>
              <w:spacing w:line="240" w:lineRule="auto"/>
              <w:rPr>
                <w:spacing w:val="-4"/>
                <w:sz w:val="16"/>
                <w:szCs w:val="16"/>
              </w:rPr>
            </w:pPr>
            <w:r w:rsidRPr="00B507F7">
              <w:rPr>
                <w:spacing w:val="-4"/>
                <w:sz w:val="16"/>
                <w:szCs w:val="16"/>
              </w:rPr>
              <w:t xml:space="preserve">a </w:t>
            </w:r>
            <w:r>
              <w:rPr>
                <w:spacing w:val="-4"/>
                <w:sz w:val="16"/>
                <w:szCs w:val="16"/>
              </w:rPr>
              <w:t>chemickém průmyslu (vlivem</w:t>
            </w:r>
            <w:r w:rsidRPr="00B507F7">
              <w:rPr>
                <w:spacing w:val="-4"/>
                <w:sz w:val="16"/>
                <w:szCs w:val="16"/>
              </w:rPr>
              <w:t xml:space="preserve"> havárií výrobních zařízení) </w:t>
            </w:r>
          </w:p>
          <w:p w:rsidR="00905A11" w:rsidRPr="00F3262E" w:rsidRDefault="00905A11" w:rsidP="00611531">
            <w:pPr>
              <w:spacing w:line="240" w:lineRule="auto"/>
              <w:rPr>
                <w:color w:val="000000" w:themeColor="text1"/>
                <w:sz w:val="16"/>
                <w:szCs w:val="16"/>
              </w:rPr>
            </w:pPr>
          </w:p>
        </w:tc>
        <w:tc>
          <w:tcPr>
            <w:tcW w:w="145" w:type="pct"/>
          </w:tcPr>
          <w:p w:rsidR="00905A11" w:rsidRPr="00F3262E" w:rsidRDefault="00905A11" w:rsidP="00611531">
            <w:pPr>
              <w:pStyle w:val="Textpoznpodarou"/>
              <w:jc w:val="both"/>
              <w:rPr>
                <w:color w:val="000000" w:themeColor="text1"/>
                <w:spacing w:val="-2"/>
              </w:rPr>
            </w:pPr>
          </w:p>
        </w:tc>
        <w:tc>
          <w:tcPr>
            <w:tcW w:w="3765" w:type="pct"/>
          </w:tcPr>
          <w:p w:rsidR="00905A11" w:rsidRPr="00114FC0" w:rsidRDefault="00905A11" w:rsidP="00611531">
            <w:pPr>
              <w:pStyle w:val="Textpoznpodarou"/>
              <w:jc w:val="both"/>
              <w:rPr>
                <w:color w:val="000000"/>
                <w:spacing w:val="-2"/>
              </w:rPr>
            </w:pPr>
            <w:r w:rsidRPr="00114FC0">
              <w:rPr>
                <w:color w:val="000000"/>
                <w:spacing w:val="-2"/>
              </w:rPr>
              <w:t>Dominantní roli sehrála (podobně jako v letech nejsilnější konjunktury) výroba dopravních prostředků, když v roce 2015 přispěla k meziročnímu růstu v celém průmyslu téměř z poloviny (čtvrtinu dále v úhrnu přidal</w:t>
            </w:r>
            <w:r w:rsidR="00690A25">
              <w:rPr>
                <w:color w:val="000000"/>
                <w:spacing w:val="-2"/>
              </w:rPr>
              <w:t xml:space="preserve">y hlavní subdodavatelské obory </w:t>
            </w:r>
            <w:r w:rsidR="00690A25">
              <w:t>–</w:t>
            </w:r>
            <w:r w:rsidRPr="00114FC0">
              <w:rPr>
                <w:color w:val="000000"/>
                <w:spacing w:val="-2"/>
              </w:rPr>
              <w:t xml:space="preserve"> výroba elektrických zařízení a</w:t>
            </w:r>
            <w:r w:rsidR="00A81094">
              <w:rPr>
                <w:color w:val="000000" w:themeColor="text1"/>
                <w:spacing w:val="-4"/>
              </w:rPr>
              <w:t xml:space="preserve"> výrob</w:t>
            </w:r>
            <w:r w:rsidR="007C010B">
              <w:rPr>
                <w:color w:val="000000" w:themeColor="text1"/>
                <w:spacing w:val="-4"/>
              </w:rPr>
              <w:t>a</w:t>
            </w:r>
            <w:r w:rsidR="00A81094" w:rsidRPr="00BD254C">
              <w:rPr>
                <w:color w:val="000000" w:themeColor="text1"/>
                <w:spacing w:val="-4"/>
              </w:rPr>
              <w:t xml:space="preserve"> pryžových a plastových výrobků</w:t>
            </w:r>
            <w:r w:rsidRPr="00114FC0">
              <w:rPr>
                <w:color w:val="000000"/>
                <w:spacing w:val="-2"/>
              </w:rPr>
              <w:t>). Produkce výrobců motorových vozidel rostla ze všech zpracovatelských oborů nejdynamičtěji (+11,5 %). Byl překonán dosavadní rekord v počtu vyrobených osobních automobilů, dařilo se ale i výrobcům auto</w:t>
            </w:r>
            <w:r w:rsidR="00690A25">
              <w:rPr>
                <w:color w:val="000000"/>
                <w:spacing w:val="-2"/>
              </w:rPr>
              <w:t xml:space="preserve">busů a nákladních vozů. Naopak </w:t>
            </w:r>
            <w:r w:rsidRPr="00114FC0">
              <w:rPr>
                <w:color w:val="000000"/>
                <w:spacing w:val="-2"/>
              </w:rPr>
              <w:t>produkce počítačů, elektronických a optických přístrojů, která byla v předchozích dvou letech nejdynamičtějším oborem, v průběhu roku zpomalovala (z 8,4 % v 1.</w:t>
            </w:r>
            <w:r w:rsidR="009867BC" w:rsidRPr="00114FC0">
              <w:rPr>
                <w:color w:val="0D0D0D" w:themeColor="text1" w:themeTint="F2"/>
                <w:spacing w:val="-2"/>
              </w:rPr>
              <w:t> </w:t>
            </w:r>
            <w:r w:rsidRPr="00114FC0">
              <w:rPr>
                <w:color w:val="000000"/>
                <w:spacing w:val="-2"/>
              </w:rPr>
              <w:t xml:space="preserve">čtvrtletí k faktické stagnaci na konci roku). S nepříznivými tendencemi </w:t>
            </w:r>
            <w:r w:rsidRPr="00114FC0">
              <w:rPr>
                <w:color w:val="000000"/>
                <w:spacing w:val="-2"/>
              </w:rPr>
              <w:lastRenderedPageBreak/>
              <w:t xml:space="preserve">se v průběhu roku 2015 potýkaly také hutnictví a zejména chemický </w:t>
            </w:r>
            <w:r w:rsidRPr="001A4C0D">
              <w:rPr>
                <w:color w:val="000000"/>
                <w:spacing w:val="-6"/>
              </w:rPr>
              <w:t>průmysl, jejichž produkce ve 2. pololetí mezir</w:t>
            </w:r>
            <w:r w:rsidR="006B23A9" w:rsidRPr="001A4C0D">
              <w:rPr>
                <w:color w:val="000000"/>
                <w:spacing w:val="-6"/>
              </w:rPr>
              <w:t>očně oslabila o více než 4 %</w:t>
            </w:r>
            <w:r w:rsidR="00690A25" w:rsidRPr="001A4C0D">
              <w:rPr>
                <w:color w:val="000000"/>
                <w:spacing w:val="-6"/>
              </w:rPr>
              <w:t>,</w:t>
            </w:r>
            <w:r w:rsidR="006B23A9" w:rsidRPr="001A4C0D">
              <w:rPr>
                <w:color w:val="000000"/>
                <w:spacing w:val="-2"/>
              </w:rPr>
              <w:t xml:space="preserve"> re</w:t>
            </w:r>
            <w:r w:rsidRPr="001A4C0D">
              <w:rPr>
                <w:color w:val="000000"/>
                <w:spacing w:val="-2"/>
              </w:rPr>
              <w:t>s</w:t>
            </w:r>
            <w:r w:rsidR="006B23A9" w:rsidRPr="001A4C0D">
              <w:rPr>
                <w:color w:val="000000"/>
                <w:spacing w:val="-2"/>
              </w:rPr>
              <w:t>p</w:t>
            </w:r>
            <w:r w:rsidRPr="001A4C0D">
              <w:rPr>
                <w:color w:val="000000"/>
                <w:spacing w:val="-2"/>
              </w:rPr>
              <w:t>.</w:t>
            </w:r>
            <w:r w:rsidR="00690A25" w:rsidRPr="001A4C0D">
              <w:rPr>
                <w:color w:val="000000"/>
                <w:spacing w:val="-2"/>
              </w:rPr>
              <w:t> </w:t>
            </w:r>
            <w:r w:rsidRPr="001A4C0D">
              <w:rPr>
                <w:color w:val="000000"/>
                <w:spacing w:val="-2"/>
              </w:rPr>
              <w:t>13</w:t>
            </w:r>
            <w:r w:rsidR="001A4C0D" w:rsidRPr="001A4C0D">
              <w:rPr>
                <w:color w:val="000000"/>
                <w:spacing w:val="-2"/>
              </w:rPr>
              <w:t> </w:t>
            </w:r>
            <w:r w:rsidRPr="001A4C0D">
              <w:rPr>
                <w:color w:val="000000"/>
                <w:spacing w:val="-2"/>
              </w:rPr>
              <w:t>%. Mírnými, ale stabilními tempy se v posledních letech navyšovala produkce ve</w:t>
            </w:r>
            <w:r w:rsidR="00114FC0" w:rsidRPr="001A4C0D">
              <w:rPr>
                <w:color w:val="000000"/>
                <w:spacing w:val="-2"/>
              </w:rPr>
              <w:t> </w:t>
            </w:r>
            <w:r w:rsidRPr="001A4C0D">
              <w:rPr>
                <w:color w:val="000000"/>
                <w:spacing w:val="-2"/>
              </w:rPr>
              <w:t>váhově významných a vnitřně diverzifikovaných odvětvích – strojírenství a</w:t>
            </w:r>
            <w:r w:rsidR="007C010B">
              <w:rPr>
                <w:color w:val="000000"/>
                <w:spacing w:val="-2"/>
              </w:rPr>
              <w:t xml:space="preserve"> </w:t>
            </w:r>
            <w:r w:rsidRPr="001A4C0D">
              <w:rPr>
                <w:color w:val="000000"/>
                <w:spacing w:val="-2"/>
              </w:rPr>
              <w:t>také</w:t>
            </w:r>
            <w:r w:rsidR="007C010B">
              <w:rPr>
                <w:color w:val="000000"/>
                <w:spacing w:val="-2"/>
              </w:rPr>
              <w:t xml:space="preserve"> </w:t>
            </w:r>
            <w:r w:rsidRPr="001A4C0D">
              <w:rPr>
                <w:color w:val="000000"/>
                <w:spacing w:val="-2"/>
              </w:rPr>
              <w:t xml:space="preserve">potravinářství (kde růst </w:t>
            </w:r>
            <w:r w:rsidR="001D7C6F" w:rsidRPr="001A4C0D">
              <w:rPr>
                <w:color w:val="000000"/>
                <w:spacing w:val="-2"/>
              </w:rPr>
              <w:t>o</w:t>
            </w:r>
            <w:r w:rsidR="009867BC" w:rsidRPr="001A4C0D">
              <w:rPr>
                <w:color w:val="0D0D0D" w:themeColor="text1" w:themeTint="F2"/>
                <w:spacing w:val="-2"/>
              </w:rPr>
              <w:t> </w:t>
            </w:r>
            <w:r w:rsidRPr="001A4C0D">
              <w:rPr>
                <w:color w:val="000000"/>
                <w:spacing w:val="-2"/>
              </w:rPr>
              <w:t>4,6 % znamenal nejvyšší dynamiku po roce 2001</w:t>
            </w:r>
            <w:r w:rsidRPr="00114FC0">
              <w:rPr>
                <w:color w:val="000000"/>
                <w:spacing w:val="-2"/>
              </w:rPr>
              <w:t>).</w:t>
            </w:r>
          </w:p>
          <w:p w:rsidR="00905A11" w:rsidRPr="00114FC0" w:rsidRDefault="00905A11" w:rsidP="00611531">
            <w:pPr>
              <w:pStyle w:val="Textpoznpodarou"/>
              <w:jc w:val="both"/>
              <w:rPr>
                <w:color w:val="000000" w:themeColor="text1"/>
                <w:spacing w:val="-4"/>
                <w:sz w:val="16"/>
                <w:szCs w:val="16"/>
              </w:rPr>
            </w:pPr>
          </w:p>
        </w:tc>
      </w:tr>
      <w:tr w:rsidR="00905A11" w:rsidTr="00611531">
        <w:tc>
          <w:tcPr>
            <w:tcW w:w="1090" w:type="pct"/>
          </w:tcPr>
          <w:p w:rsidR="00905A11" w:rsidRDefault="00905A11" w:rsidP="00611531">
            <w:pPr>
              <w:spacing w:line="240" w:lineRule="auto"/>
              <w:rPr>
                <w:sz w:val="16"/>
                <w:szCs w:val="16"/>
              </w:rPr>
            </w:pPr>
            <w:r>
              <w:rPr>
                <w:sz w:val="16"/>
                <w:szCs w:val="16"/>
              </w:rPr>
              <w:lastRenderedPageBreak/>
              <w:t>Vyšší poptávka ze zahraniční napomohla k prvnímu oživení oděvního průmyslu po deseti letech</w:t>
            </w:r>
          </w:p>
          <w:p w:rsidR="00905A11" w:rsidRDefault="00905A11" w:rsidP="00611531">
            <w:pPr>
              <w:spacing w:line="240" w:lineRule="auto"/>
              <w:rPr>
                <w:sz w:val="16"/>
                <w:szCs w:val="16"/>
              </w:rPr>
            </w:pPr>
          </w:p>
          <w:p w:rsidR="00905A11" w:rsidRDefault="00905A11" w:rsidP="00611531">
            <w:pPr>
              <w:spacing w:line="240" w:lineRule="auto"/>
              <w:rPr>
                <w:sz w:val="16"/>
                <w:szCs w:val="16"/>
              </w:rPr>
            </w:pPr>
          </w:p>
          <w:p w:rsidR="00905A11" w:rsidRDefault="00323CF7" w:rsidP="00611531">
            <w:pPr>
              <w:spacing w:line="240" w:lineRule="auto"/>
              <w:rPr>
                <w:sz w:val="16"/>
                <w:szCs w:val="16"/>
              </w:rPr>
            </w:pPr>
            <w:r>
              <w:rPr>
                <w:sz w:val="16"/>
                <w:szCs w:val="16"/>
              </w:rPr>
              <w:t>Úrovně</w:t>
            </w:r>
            <w:r w:rsidR="00905A11">
              <w:rPr>
                <w:sz w:val="16"/>
                <w:szCs w:val="16"/>
              </w:rPr>
              <w:t xml:space="preserve"> reálné produkce z vrcholu konjunktury stále nedosáhla téměř polovina zpracovatelských oborů,</w:t>
            </w:r>
          </w:p>
          <w:p w:rsidR="00905A11" w:rsidRPr="00DA1318" w:rsidRDefault="00905A11" w:rsidP="00611531">
            <w:pPr>
              <w:spacing w:line="240" w:lineRule="auto"/>
              <w:rPr>
                <w:sz w:val="16"/>
                <w:szCs w:val="16"/>
              </w:rPr>
            </w:pPr>
            <w:r>
              <w:rPr>
                <w:sz w:val="16"/>
                <w:szCs w:val="16"/>
              </w:rPr>
              <w:t>u producentů motorových vozidel již však byla o téměř dvě třetiny vyšší</w:t>
            </w:r>
          </w:p>
        </w:tc>
        <w:tc>
          <w:tcPr>
            <w:tcW w:w="145" w:type="pct"/>
          </w:tcPr>
          <w:p w:rsidR="00905A11" w:rsidRDefault="00905A11" w:rsidP="00611531">
            <w:pPr>
              <w:pStyle w:val="Textpoznpodarou"/>
              <w:jc w:val="both"/>
              <w:rPr>
                <w:spacing w:val="-2"/>
              </w:rPr>
            </w:pPr>
          </w:p>
        </w:tc>
        <w:tc>
          <w:tcPr>
            <w:tcW w:w="3765" w:type="pct"/>
          </w:tcPr>
          <w:p w:rsidR="00905A11" w:rsidRPr="000239E8" w:rsidRDefault="00905A11" w:rsidP="00611531">
            <w:pPr>
              <w:pStyle w:val="Textpoznpodarou"/>
              <w:jc w:val="both"/>
              <w:rPr>
                <w:color w:val="000000" w:themeColor="text1"/>
                <w:spacing w:val="-4"/>
              </w:rPr>
            </w:pPr>
            <w:r>
              <w:rPr>
                <w:color w:val="000000"/>
                <w:spacing w:val="-4"/>
              </w:rPr>
              <w:t>Meziročně vyšší produkce dosáhla v roce 2015 i většina menších</w:t>
            </w:r>
            <w:r w:rsidR="00323CF7">
              <w:rPr>
                <w:color w:val="000000"/>
                <w:spacing w:val="-4"/>
              </w:rPr>
              <w:t>,</w:t>
            </w:r>
            <w:r>
              <w:rPr>
                <w:color w:val="000000"/>
                <w:spacing w:val="-4"/>
              </w:rPr>
              <w:t xml:space="preserve"> </w:t>
            </w:r>
            <w:r w:rsidRPr="007D58A5">
              <w:rPr>
                <w:color w:val="000000"/>
                <w:spacing w:val="-4"/>
              </w:rPr>
              <w:t>dlouh</w:t>
            </w:r>
            <w:r>
              <w:rPr>
                <w:color w:val="000000"/>
                <w:spacing w:val="-4"/>
              </w:rPr>
              <w:t>odobě spíše útlumových odvětví</w:t>
            </w:r>
            <w:r w:rsidRPr="007D58A5">
              <w:rPr>
                <w:color w:val="000000"/>
                <w:spacing w:val="-4"/>
              </w:rPr>
              <w:t>.</w:t>
            </w:r>
            <w:r>
              <w:rPr>
                <w:color w:val="000000"/>
                <w:spacing w:val="-4"/>
              </w:rPr>
              <w:t xml:space="preserve"> U výrobců oděvů profitujících ze zahraniční poptávky šlo přitom o první růst (o 10,7 %) po d</w:t>
            </w:r>
            <w:r w:rsidR="00A504C0">
              <w:rPr>
                <w:color w:val="000000"/>
                <w:spacing w:val="-4"/>
              </w:rPr>
              <w:t>eseti letech. K tomuto obratu</w:t>
            </w:r>
            <w:r>
              <w:rPr>
                <w:color w:val="000000"/>
                <w:spacing w:val="-4"/>
              </w:rPr>
              <w:t xml:space="preserve"> mohl přispět vývoj některých specializovaných segmentů oboru (např. pracovních či sportovních oděvů). O</w:t>
            </w:r>
            <w:r>
              <w:rPr>
                <w:color w:val="000000" w:themeColor="text1"/>
                <w:spacing w:val="-4"/>
              </w:rPr>
              <w:t>živení v textilním, papírenském či nábytkářském průmyslu trvá již bezmála tři roky. Naopak produkce v tiskárenství a dřevozpracujícím průmyslu se jako u jediných zpracovatelských oborů od doby ukončení poslední recese ekonomiky nezvýšila, (proti roku 2013 byla shodně o téměř 5 % nižší). Přestože produkce celého průmyslu převyšovala v roce 2015 úroveň dosaženou před sedmi lety bezmála o 8 %, téměř polovina zpracovatelský</w:t>
            </w:r>
            <w:r w:rsidR="00A504C0">
              <w:rPr>
                <w:color w:val="000000" w:themeColor="text1"/>
                <w:spacing w:val="-4"/>
              </w:rPr>
              <w:t>ch</w:t>
            </w:r>
            <w:r>
              <w:rPr>
                <w:color w:val="000000" w:themeColor="text1"/>
                <w:spacing w:val="-4"/>
              </w:rPr>
              <w:t xml:space="preserve"> oborů úrovně vrcholu konjunktury stále nedosáhla (výrobci nápojů, oděvů a tiskárenský průmysl byli čtvrtinu pod ní, z větších oborů šlo o</w:t>
            </w:r>
            <w:r w:rsidR="009867BC">
              <w:rPr>
                <w:color w:val="0D0D0D" w:themeColor="text1" w:themeTint="F2"/>
                <w:spacing w:val="-4"/>
              </w:rPr>
              <w:t> </w:t>
            </w:r>
            <w:r>
              <w:rPr>
                <w:color w:val="000000" w:themeColor="text1"/>
                <w:spacing w:val="-4"/>
              </w:rPr>
              <w:t>chemický průmysl, hutnictví a výrobu ostatních nekovových minerálních výrobků).</w:t>
            </w:r>
          </w:p>
          <w:p w:rsidR="00905A11" w:rsidRPr="00114FC0" w:rsidRDefault="00905A11" w:rsidP="00611531">
            <w:pPr>
              <w:pStyle w:val="Textpoznpodarou"/>
              <w:jc w:val="both"/>
              <w:rPr>
                <w:spacing w:val="-4"/>
                <w:sz w:val="16"/>
                <w:szCs w:val="16"/>
              </w:rPr>
            </w:pPr>
          </w:p>
        </w:tc>
      </w:tr>
      <w:tr w:rsidR="00905A11" w:rsidTr="00611531">
        <w:trPr>
          <w:trHeight w:val="269"/>
        </w:trPr>
        <w:tc>
          <w:tcPr>
            <w:tcW w:w="1090" w:type="pct"/>
          </w:tcPr>
          <w:p w:rsidR="00905A11" w:rsidRPr="000B1183" w:rsidRDefault="00905A11" w:rsidP="00611531">
            <w:pPr>
              <w:spacing w:line="240" w:lineRule="auto"/>
              <w:rPr>
                <w:sz w:val="16"/>
                <w:szCs w:val="16"/>
              </w:rPr>
            </w:pPr>
            <w:r w:rsidRPr="000B1183">
              <w:rPr>
                <w:sz w:val="16"/>
                <w:szCs w:val="16"/>
              </w:rPr>
              <w:t>Vysoká meziroční dynamika zahraničních průmyslových zakázek přetrvávala i na sklonku roku, zejména u výrobců motorových vozidel</w:t>
            </w:r>
          </w:p>
          <w:p w:rsidR="00905A11" w:rsidRPr="000B1183" w:rsidRDefault="00905A11" w:rsidP="00611531">
            <w:pPr>
              <w:spacing w:line="240" w:lineRule="auto"/>
              <w:rPr>
                <w:sz w:val="16"/>
                <w:szCs w:val="16"/>
              </w:rPr>
            </w:pPr>
          </w:p>
          <w:p w:rsidR="00905A11" w:rsidRPr="000B1183" w:rsidRDefault="00905A11" w:rsidP="00611531">
            <w:pPr>
              <w:spacing w:line="240" w:lineRule="auto"/>
              <w:rPr>
                <w:sz w:val="16"/>
                <w:szCs w:val="16"/>
              </w:rPr>
            </w:pPr>
          </w:p>
          <w:p w:rsidR="00905A11" w:rsidRPr="000B1183" w:rsidRDefault="00905A11" w:rsidP="00611531">
            <w:pPr>
              <w:spacing w:line="240" w:lineRule="auto"/>
              <w:rPr>
                <w:sz w:val="16"/>
                <w:szCs w:val="16"/>
              </w:rPr>
            </w:pPr>
          </w:p>
          <w:p w:rsidR="00905A11" w:rsidRDefault="00905A11" w:rsidP="00611531">
            <w:pPr>
              <w:spacing w:line="240" w:lineRule="auto"/>
              <w:rPr>
                <w:sz w:val="16"/>
                <w:szCs w:val="16"/>
              </w:rPr>
            </w:pPr>
            <w:r w:rsidRPr="000B1183">
              <w:rPr>
                <w:spacing w:val="-2"/>
                <w:sz w:val="16"/>
                <w:szCs w:val="16"/>
              </w:rPr>
              <w:t>Podíl podniků, které uvádí jako bariéru růstu nedostatek zaměstnanců, byl na sklonku roku 2015 nejvyšší za poslední 4,5 roku</w:t>
            </w:r>
          </w:p>
        </w:tc>
        <w:tc>
          <w:tcPr>
            <w:tcW w:w="145" w:type="pct"/>
          </w:tcPr>
          <w:p w:rsidR="00905A11" w:rsidRPr="00636F97" w:rsidRDefault="00905A11" w:rsidP="00611531">
            <w:pPr>
              <w:rPr>
                <w:spacing w:val="-4"/>
                <w:szCs w:val="20"/>
              </w:rPr>
            </w:pPr>
          </w:p>
        </w:tc>
        <w:tc>
          <w:tcPr>
            <w:tcW w:w="3765" w:type="pct"/>
          </w:tcPr>
          <w:p w:rsidR="00905A11" w:rsidRPr="00FE16E6" w:rsidRDefault="00905A11" w:rsidP="00611531">
            <w:pPr>
              <w:pStyle w:val="Textpoznpodarou"/>
              <w:jc w:val="both"/>
              <w:rPr>
                <w:color w:val="000000"/>
                <w:spacing w:val="-4"/>
              </w:rPr>
            </w:pPr>
            <w:r>
              <w:rPr>
                <w:color w:val="000000"/>
                <w:spacing w:val="-4"/>
              </w:rPr>
              <w:t>Stabilní růst zahraničních zakázek, jakož i výsledky konjunkturálních průzkumů naznačují minimálně v krátkodobém horizontu pokračující příznivé vyhlídky průmyslu. Hodnota nových zakázek byla meziročně vyšší ve všech měsících roku, přestože jejich tempa již většinou nedosahovala loňských dvouciferných hodnot. Dynamika pro většinu oborů klíčových zahraničních zakázek nepolevovala ani ve 4. čtvrtletí (+9,2</w:t>
            </w:r>
            <w:r w:rsidR="009867BC">
              <w:rPr>
                <w:color w:val="0D0D0D" w:themeColor="text1" w:themeTint="F2"/>
                <w:spacing w:val="-4"/>
              </w:rPr>
              <w:t> </w:t>
            </w:r>
            <w:r>
              <w:rPr>
                <w:color w:val="000000"/>
                <w:spacing w:val="-4"/>
              </w:rPr>
              <w:t>%, u výrobců motorových vozidel dokonce posílila na 21,5 %). Ve 2. pololetí naopak mírně klesala hodnota domácích zakázek, vlivem vývoje v hutnictví, strojírenství a především prudkých propadů v chemickém průmyslu.</w:t>
            </w:r>
            <w:r>
              <w:rPr>
                <w:color w:val="000000" w:themeColor="text1"/>
                <w:spacing w:val="-4"/>
              </w:rPr>
              <w:t xml:space="preserve"> Přetrvává</w:t>
            </w:r>
            <w:r w:rsidRPr="00D13397">
              <w:rPr>
                <w:color w:val="000000" w:themeColor="text1"/>
                <w:spacing w:val="-4"/>
              </w:rPr>
              <w:t xml:space="preserve"> mírně poziti</w:t>
            </w:r>
            <w:r>
              <w:rPr>
                <w:color w:val="000000" w:themeColor="text1"/>
                <w:spacing w:val="-4"/>
              </w:rPr>
              <w:t xml:space="preserve">vní důvěra podnikatelů v průmyslu, sezóně očištěná salda indikátorů důvěry dosahují stabilních hodnot již dva roky (po mírném poklesu ve 4. čtvrtletí se na počátku roku 2016 opět vrátily na úroveň typickou pro většinu předchozího roku). </w:t>
            </w:r>
            <w:r w:rsidR="00FE16E6">
              <w:rPr>
                <w:color w:val="000000"/>
                <w:spacing w:val="-4"/>
              </w:rPr>
              <w:t xml:space="preserve"> </w:t>
            </w:r>
            <w:r>
              <w:rPr>
                <w:color w:val="000000" w:themeColor="text1"/>
                <w:spacing w:val="-4"/>
              </w:rPr>
              <w:t>Mezi bariérami růstu podniků mírně klesá význam vlivu nedostatečné poptávky, roste role nedostatku materiálu či zařízení a zejména zaměstnanců (na počátku roku 2016 již u 15,4 % podniků, o rok dříve jen u 6,7 %</w:t>
            </w:r>
            <w:r w:rsidR="0066796E">
              <w:rPr>
                <w:color w:val="000000" w:themeColor="text1"/>
                <w:spacing w:val="-4"/>
              </w:rPr>
              <w:t xml:space="preserve">). </w:t>
            </w:r>
            <w:r>
              <w:rPr>
                <w:color w:val="000000" w:themeColor="text1"/>
                <w:spacing w:val="-4"/>
              </w:rPr>
              <w:t>P</w:t>
            </w:r>
            <w:r w:rsidRPr="00D46F47">
              <w:rPr>
                <w:color w:val="000000" w:themeColor="text1"/>
                <w:spacing w:val="-4"/>
              </w:rPr>
              <w:t>řízn</w:t>
            </w:r>
            <w:r>
              <w:rPr>
                <w:color w:val="000000" w:themeColor="text1"/>
                <w:spacing w:val="-4"/>
              </w:rPr>
              <w:t>ivý vývoj zahraniční poptávky</w:t>
            </w:r>
            <w:r w:rsidRPr="00D46F47">
              <w:rPr>
                <w:color w:val="000000" w:themeColor="text1"/>
                <w:spacing w:val="-4"/>
              </w:rPr>
              <w:t xml:space="preserve"> </w:t>
            </w:r>
            <w:r>
              <w:rPr>
                <w:color w:val="000000" w:themeColor="text1"/>
                <w:spacing w:val="-4"/>
              </w:rPr>
              <w:t>v celém průmyslu ale prosakuje</w:t>
            </w:r>
            <w:r w:rsidRPr="00D46F47">
              <w:rPr>
                <w:color w:val="000000" w:themeColor="text1"/>
                <w:spacing w:val="-4"/>
              </w:rPr>
              <w:t xml:space="preserve"> do sílících růstových temp zaměstnanosti i mezd</w:t>
            </w:r>
            <w:r>
              <w:rPr>
                <w:color w:val="000000" w:themeColor="text1"/>
                <w:spacing w:val="-4"/>
              </w:rPr>
              <w:t>. V samotném 4. čtvrtletí vzrostl průměrný evidenční počet zaměstnanců v průmyslu (u</w:t>
            </w:r>
            <w:r w:rsidR="009867BC">
              <w:rPr>
                <w:color w:val="0D0D0D" w:themeColor="text1" w:themeTint="F2"/>
                <w:spacing w:val="-4"/>
              </w:rPr>
              <w:t> </w:t>
            </w:r>
            <w:r>
              <w:rPr>
                <w:color w:val="000000" w:themeColor="text1"/>
                <w:spacing w:val="-4"/>
              </w:rPr>
              <w:t>podniků s 50 a víc</w:t>
            </w:r>
            <w:r w:rsidR="00A81094">
              <w:rPr>
                <w:color w:val="000000" w:themeColor="text1"/>
                <w:spacing w:val="-4"/>
              </w:rPr>
              <w:t>e zaměstnanci) meziročně již 3</w:t>
            </w:r>
            <w:r>
              <w:rPr>
                <w:color w:val="000000" w:themeColor="text1"/>
                <w:spacing w:val="-4"/>
              </w:rPr>
              <w:t xml:space="preserve"> % (s nejvyšší dynamik</w:t>
            </w:r>
            <w:r w:rsidR="00BD254C">
              <w:rPr>
                <w:color w:val="000000" w:themeColor="text1"/>
                <w:spacing w:val="-4"/>
              </w:rPr>
              <w:t>ou ve výrobě</w:t>
            </w:r>
            <w:r w:rsidR="00BD254C" w:rsidRPr="00BD254C">
              <w:rPr>
                <w:color w:val="000000" w:themeColor="text1"/>
                <w:spacing w:val="-4"/>
              </w:rPr>
              <w:t xml:space="preserve"> pryžových a plastových výrobků</w:t>
            </w:r>
            <w:r w:rsidR="0058366F">
              <w:rPr>
                <w:color w:val="000000" w:themeColor="text1"/>
                <w:spacing w:val="-4"/>
              </w:rPr>
              <w:t>, výrobě počítačů</w:t>
            </w:r>
            <w:r w:rsidR="00A81094">
              <w:rPr>
                <w:color w:val="000000" w:themeColor="text1"/>
                <w:spacing w:val="-4"/>
              </w:rPr>
              <w:t xml:space="preserve"> </w:t>
            </w:r>
            <w:r>
              <w:rPr>
                <w:color w:val="000000" w:themeColor="text1"/>
                <w:spacing w:val="-4"/>
              </w:rPr>
              <w:t>a automobi</w:t>
            </w:r>
            <w:r w:rsidR="0066796E">
              <w:rPr>
                <w:color w:val="000000" w:themeColor="text1"/>
                <w:spacing w:val="-4"/>
              </w:rPr>
              <w:t xml:space="preserve">lovém průmyslu). Podniky </w:t>
            </w:r>
            <w:r>
              <w:rPr>
                <w:color w:val="000000" w:themeColor="text1"/>
                <w:spacing w:val="-4"/>
              </w:rPr>
              <w:t>ve větší míře převáděly „osvědčené“ agenturní pracovníky do svých kmenových stavů.</w:t>
            </w:r>
          </w:p>
          <w:p w:rsidR="00905A11" w:rsidRPr="00114FC0" w:rsidRDefault="00905A11" w:rsidP="00611531">
            <w:pPr>
              <w:pStyle w:val="Textpoznpodarou"/>
              <w:jc w:val="both"/>
              <w:rPr>
                <w:spacing w:val="-4"/>
                <w:sz w:val="16"/>
                <w:szCs w:val="16"/>
              </w:rPr>
            </w:pPr>
          </w:p>
        </w:tc>
      </w:tr>
      <w:tr w:rsidR="00905A11" w:rsidTr="00611531">
        <w:tc>
          <w:tcPr>
            <w:tcW w:w="1090" w:type="pct"/>
          </w:tcPr>
          <w:p w:rsidR="00905A11" w:rsidRPr="00CC67DF" w:rsidRDefault="00905A11" w:rsidP="00611531">
            <w:pPr>
              <w:spacing w:line="240" w:lineRule="auto"/>
              <w:rPr>
                <w:spacing w:val="-4"/>
                <w:sz w:val="16"/>
                <w:szCs w:val="16"/>
              </w:rPr>
            </w:pPr>
            <w:r w:rsidRPr="00CC67DF">
              <w:rPr>
                <w:spacing w:val="-4"/>
                <w:sz w:val="16"/>
                <w:szCs w:val="16"/>
              </w:rPr>
              <w:t>Těžiště růstu průmyslové produkce v EU je dlouhodobě soustředěno do strategicky položených konvergujících (především středoevropských) ekonomik, a to</w:t>
            </w:r>
            <w:r w:rsidRPr="00CC67DF">
              <w:rPr>
                <w:color w:val="000000" w:themeColor="text1"/>
                <w:spacing w:val="-4"/>
                <w:sz w:val="16"/>
                <w:szCs w:val="16"/>
              </w:rPr>
              <w:t xml:space="preserve"> především zásluhou odvětví vyrábějících investiční produkty</w:t>
            </w:r>
          </w:p>
        </w:tc>
        <w:tc>
          <w:tcPr>
            <w:tcW w:w="145" w:type="pct"/>
          </w:tcPr>
          <w:p w:rsidR="00905A11" w:rsidRDefault="00905A11" w:rsidP="00611531">
            <w:pPr>
              <w:pStyle w:val="Textpoznpodarou"/>
              <w:jc w:val="both"/>
            </w:pPr>
          </w:p>
        </w:tc>
        <w:tc>
          <w:tcPr>
            <w:tcW w:w="3765" w:type="pct"/>
          </w:tcPr>
          <w:p w:rsidR="00905A11" w:rsidRDefault="00905A11" w:rsidP="00611531">
            <w:pPr>
              <w:pStyle w:val="Textpoznpodarou"/>
              <w:jc w:val="both"/>
              <w:rPr>
                <w:color w:val="000000" w:themeColor="text1"/>
                <w:spacing w:val="-4"/>
              </w:rPr>
            </w:pPr>
            <w:r>
              <w:rPr>
                <w:color w:val="000000" w:themeColor="text1"/>
                <w:spacing w:val="-4"/>
              </w:rPr>
              <w:t xml:space="preserve">Česko patří v kontextu celé EU dlouhodobě k zemím s nadprůměrnou dynamikou průmyslové produkce. Ta se v roce 2015 zvyšovala pátým nejrychlejším tempem ze </w:t>
            </w:r>
            <w:r w:rsidRPr="00BB4D26">
              <w:rPr>
                <w:color w:val="000000" w:themeColor="text1"/>
                <w:spacing w:val="-6"/>
              </w:rPr>
              <w:t xml:space="preserve">všech zemí EU (o rok dříve čtvrtým). Vyšší dynamiky docílilo </w:t>
            </w:r>
            <w:r w:rsidR="00BB4D26" w:rsidRPr="00BB4D26">
              <w:rPr>
                <w:color w:val="000000" w:themeColor="text1"/>
                <w:spacing w:val="-6"/>
              </w:rPr>
              <w:t>např.</w:t>
            </w:r>
            <w:r w:rsidRPr="00BB4D26">
              <w:rPr>
                <w:color w:val="000000" w:themeColor="text1"/>
                <w:spacing w:val="-6"/>
              </w:rPr>
              <w:t xml:space="preserve"> Maďarsko (+7,3</w:t>
            </w:r>
            <w:r>
              <w:rPr>
                <w:color w:val="000000" w:themeColor="text1"/>
                <w:spacing w:val="-4"/>
              </w:rPr>
              <w:t xml:space="preserve"> %) a Slovensko (+5,9 %). Irsko (s méně významným a odvětvově velmi specializovaným průmys</w:t>
            </w:r>
            <w:r w:rsidR="00A504C0">
              <w:rPr>
                <w:color w:val="000000" w:themeColor="text1"/>
                <w:spacing w:val="-4"/>
              </w:rPr>
              <w:t>lem) si již druhý rok po sobě</w:t>
            </w:r>
            <w:r>
              <w:rPr>
                <w:color w:val="000000" w:themeColor="text1"/>
                <w:spacing w:val="-4"/>
              </w:rPr>
              <w:t xml:space="preserve"> připsalo </w:t>
            </w:r>
            <w:r w:rsidR="005A77E4">
              <w:rPr>
                <w:color w:val="000000" w:themeColor="text1"/>
                <w:spacing w:val="-4"/>
              </w:rPr>
              <w:t>značný</w:t>
            </w:r>
            <w:r>
              <w:rPr>
                <w:color w:val="000000" w:themeColor="text1"/>
                <w:spacing w:val="-4"/>
              </w:rPr>
              <w:t xml:space="preserve"> růst (v rozmezí 18 až 21 %), naopak</w:t>
            </w:r>
            <w:r w:rsidR="005A77E4">
              <w:rPr>
                <w:color w:val="000000" w:themeColor="text1"/>
                <w:spacing w:val="-4"/>
              </w:rPr>
              <w:t xml:space="preserve"> např. v Německu v</w:t>
            </w:r>
            <w:r>
              <w:rPr>
                <w:color w:val="000000" w:themeColor="text1"/>
                <w:spacing w:val="-4"/>
              </w:rPr>
              <w:t xml:space="preserve"> </w:t>
            </w:r>
            <w:r w:rsidR="005A77E4">
              <w:rPr>
                <w:color w:val="000000" w:themeColor="text1"/>
                <w:spacing w:val="-4"/>
              </w:rPr>
              <w:t>tutéž</w:t>
            </w:r>
            <w:r>
              <w:rPr>
                <w:color w:val="000000" w:themeColor="text1"/>
                <w:spacing w:val="-4"/>
              </w:rPr>
              <w:t xml:space="preserve"> dobu osciloval</w:t>
            </w:r>
            <w:r w:rsidR="005A77E4">
              <w:rPr>
                <w:color w:val="000000" w:themeColor="text1"/>
                <w:spacing w:val="-4"/>
              </w:rPr>
              <w:t xml:space="preserve"> jen</w:t>
            </w:r>
            <w:r>
              <w:rPr>
                <w:color w:val="000000" w:themeColor="text1"/>
                <w:spacing w:val="-4"/>
              </w:rPr>
              <w:t xml:space="preserve"> kolem 1 %. V EU (2,2 %) podobně jako v ČR (6,7 %) nejvíce posílila odvětví zaměřená na produkci výrobků investiční povahy. Česko patří do skupiny dvanácti zemí, které již překonaly předkrizovou úroveň (rok 2008) průmyslové produkce. Jde převážně o konvergující ekonomiky (vč. ČR), tuto metu překonalo také Irsko (o 40 %) a těšně též Rakousko či Německo. Čtvrtinu pod touto hladinou stále setrvávají Itálie, Španělsko či Finsko.</w:t>
            </w:r>
          </w:p>
          <w:p w:rsidR="00905A11" w:rsidRPr="00114FC0" w:rsidRDefault="00905A11" w:rsidP="00611531">
            <w:pPr>
              <w:pStyle w:val="Textpoznpodarou"/>
              <w:jc w:val="both"/>
              <w:rPr>
                <w:color w:val="000000" w:themeColor="text1"/>
                <w:spacing w:val="-4"/>
                <w:sz w:val="16"/>
                <w:szCs w:val="16"/>
              </w:rPr>
            </w:pPr>
          </w:p>
        </w:tc>
      </w:tr>
      <w:tr w:rsidR="00905A11" w:rsidTr="00611531">
        <w:tc>
          <w:tcPr>
            <w:tcW w:w="1090" w:type="pct"/>
          </w:tcPr>
          <w:p w:rsidR="00905A11" w:rsidRDefault="00905A11" w:rsidP="00611531">
            <w:pPr>
              <w:spacing w:line="240" w:lineRule="auto"/>
              <w:rPr>
                <w:sz w:val="16"/>
                <w:szCs w:val="16"/>
              </w:rPr>
            </w:pPr>
            <w:r>
              <w:rPr>
                <w:sz w:val="16"/>
                <w:szCs w:val="16"/>
              </w:rPr>
              <w:t>Ráz stavebnictví v roce 2015 z velké části určovalo dočepování evropských prostředků na dopravní stavby</w:t>
            </w:r>
          </w:p>
        </w:tc>
        <w:tc>
          <w:tcPr>
            <w:tcW w:w="145" w:type="pct"/>
          </w:tcPr>
          <w:p w:rsidR="00905A11" w:rsidRDefault="00905A11" w:rsidP="00611531">
            <w:pPr>
              <w:pStyle w:val="Textpoznpodarou"/>
              <w:jc w:val="both"/>
              <w:rPr>
                <w:spacing w:val="-2"/>
              </w:rPr>
            </w:pPr>
          </w:p>
        </w:tc>
        <w:tc>
          <w:tcPr>
            <w:tcW w:w="3765" w:type="pct"/>
          </w:tcPr>
          <w:p w:rsidR="00905A11" w:rsidRPr="00114FC0" w:rsidRDefault="00905A11" w:rsidP="00611531">
            <w:pPr>
              <w:pStyle w:val="Textpoznpodarou"/>
              <w:jc w:val="both"/>
            </w:pPr>
            <w:r w:rsidRPr="00114FC0">
              <w:t xml:space="preserve">Klíčový rámec pro výsledky stavebnictví v roce 2015 představovala akcelerace veřejných investic do inženýrských staveb v souvislosti s dočerpáváním financí z rozpočtu EU v končícím programovacím období. Poněkud nezřetelně se naopak dosud projevuje vliv výrazného oživení ekonomiky, když např. produkce pozemního stavitelství proti svému </w:t>
            </w:r>
            <w:r w:rsidR="00250E0D">
              <w:t>dnu z roku 2013 vzrostla jen o 6</w:t>
            </w:r>
            <w:r w:rsidRPr="00114FC0">
              <w:t xml:space="preserve"> %. Ze zkušeností z dřívější vleklé recese odvětví a přetrvávající nejistoty v souvislosti </w:t>
            </w:r>
            <w:r w:rsidR="00EB03D4">
              <w:t>s </w:t>
            </w:r>
            <w:r w:rsidRPr="00114FC0">
              <w:t xml:space="preserve">odezněním „dopingového“ efektu silného čerpání evropských dotací přistupují stavební firmy opatrně také k tvorbě nových pracovních míst. </w:t>
            </w:r>
          </w:p>
          <w:p w:rsidR="00905A11" w:rsidRPr="00114FC0" w:rsidRDefault="00905A11" w:rsidP="00611531">
            <w:pPr>
              <w:pStyle w:val="Textpoznpodarou"/>
              <w:jc w:val="both"/>
              <w:rPr>
                <w:spacing w:val="-4"/>
                <w:sz w:val="16"/>
                <w:szCs w:val="16"/>
              </w:rPr>
            </w:pPr>
          </w:p>
        </w:tc>
      </w:tr>
      <w:tr w:rsidR="00905A11" w:rsidTr="00611531">
        <w:tc>
          <w:tcPr>
            <w:tcW w:w="1090" w:type="pct"/>
          </w:tcPr>
          <w:p w:rsidR="00905A11" w:rsidRPr="000B1183" w:rsidRDefault="00905A11" w:rsidP="00611531">
            <w:pPr>
              <w:spacing w:line="240" w:lineRule="auto"/>
              <w:rPr>
                <w:sz w:val="16"/>
                <w:szCs w:val="16"/>
              </w:rPr>
            </w:pPr>
            <w:r w:rsidRPr="000B1183">
              <w:rPr>
                <w:sz w:val="16"/>
                <w:szCs w:val="16"/>
              </w:rPr>
              <w:t xml:space="preserve">Sílící tlak na dočerpání prostředků z rozpočtu EU </w:t>
            </w:r>
            <w:r w:rsidRPr="000B1183">
              <w:rPr>
                <w:sz w:val="16"/>
                <w:szCs w:val="16"/>
              </w:rPr>
              <w:lastRenderedPageBreak/>
              <w:t xml:space="preserve">alokovaných na rozvoj dopravní infrastruktury vyústil v prudký meziroční růst produkce inženýrského stavebnictví, nejvyšší za posledních dvanáct let </w:t>
            </w:r>
          </w:p>
        </w:tc>
        <w:tc>
          <w:tcPr>
            <w:tcW w:w="145" w:type="pct"/>
          </w:tcPr>
          <w:p w:rsidR="00905A11" w:rsidRDefault="00905A11" w:rsidP="00611531">
            <w:pPr>
              <w:pStyle w:val="Textpoznpodarou"/>
              <w:jc w:val="both"/>
              <w:rPr>
                <w:spacing w:val="-2"/>
              </w:rPr>
            </w:pPr>
          </w:p>
        </w:tc>
        <w:tc>
          <w:tcPr>
            <w:tcW w:w="3765" w:type="pct"/>
          </w:tcPr>
          <w:p w:rsidR="00905A11" w:rsidRPr="00114FC0" w:rsidRDefault="00905A11" w:rsidP="00611531">
            <w:pPr>
              <w:pStyle w:val="Textpoznpodarou"/>
              <w:jc w:val="both"/>
              <w:rPr>
                <w:spacing w:val="-2"/>
              </w:rPr>
            </w:pPr>
            <w:r w:rsidRPr="00114FC0">
              <w:rPr>
                <w:spacing w:val="-2"/>
              </w:rPr>
              <w:t xml:space="preserve">Meziroční tempo stavební produkce </w:t>
            </w:r>
            <w:r w:rsidR="00250E0D">
              <w:rPr>
                <w:spacing w:val="-2"/>
              </w:rPr>
              <w:t>v roce 2015 mírně zrychlilo na 7,1</w:t>
            </w:r>
            <w:r w:rsidRPr="00114FC0">
              <w:rPr>
                <w:spacing w:val="-2"/>
              </w:rPr>
              <w:t xml:space="preserve"> % (z 4,3 % z roku 2014). K</w:t>
            </w:r>
            <w:r w:rsidR="00250E0D">
              <w:rPr>
                <w:spacing w:val="-2"/>
              </w:rPr>
              <w:t> růstu celého odvětví ze tří čtvrtin</w:t>
            </w:r>
            <w:r w:rsidRPr="00114FC0">
              <w:rPr>
                <w:spacing w:val="-2"/>
              </w:rPr>
              <w:t xml:space="preserve"> přispělo váhově méně významné </w:t>
            </w:r>
            <w:r w:rsidRPr="00114FC0">
              <w:rPr>
                <w:spacing w:val="-2"/>
              </w:rPr>
              <w:lastRenderedPageBreak/>
              <w:t>inženýrské stavitelství (jehož výkon byl meziročně o šestinu vyšší). V druhé polovině roku však celé stavebnictví ztrácelo dynamiku, když ve 4. čtvrtletí (po odstranění kalendářní</w:t>
            </w:r>
            <w:r w:rsidR="00250E0D">
              <w:rPr>
                <w:spacing w:val="-2"/>
              </w:rPr>
              <w:t>ch vlivů) meziročně posílilo o 1,1</w:t>
            </w:r>
            <w:r w:rsidRPr="00114FC0">
              <w:rPr>
                <w:spacing w:val="-2"/>
              </w:rPr>
              <w:t xml:space="preserve"> % (a současně zaznamenalo již druhý mezičtvrtletní pokles v řadě). Přestože za celý rok se produkce</w:t>
            </w:r>
            <w:r w:rsidR="00250E0D">
              <w:rPr>
                <w:spacing w:val="-2"/>
              </w:rPr>
              <w:t xml:space="preserve"> stavebnictví navýšila nejvíce po roce</w:t>
            </w:r>
            <w:r w:rsidRPr="00114FC0">
              <w:rPr>
                <w:spacing w:val="-2"/>
              </w:rPr>
              <w:t xml:space="preserve"> 2007, proti úrovni konjunkturního roku</w:t>
            </w:r>
            <w:r w:rsidR="00250E0D">
              <w:rPr>
                <w:spacing w:val="-2"/>
              </w:rPr>
              <w:t xml:space="preserve"> 2008 byla stále téměř o 15 % nižší</w:t>
            </w:r>
            <w:r w:rsidRPr="00114FC0">
              <w:rPr>
                <w:spacing w:val="-2"/>
              </w:rPr>
              <w:t>.</w:t>
            </w:r>
          </w:p>
          <w:p w:rsidR="00905A11" w:rsidRPr="000B1183" w:rsidRDefault="00905A11" w:rsidP="00611531">
            <w:pPr>
              <w:pStyle w:val="Textpoznpodarou"/>
              <w:jc w:val="both"/>
              <w:rPr>
                <w:spacing w:val="-4"/>
                <w:sz w:val="12"/>
                <w:szCs w:val="12"/>
              </w:rPr>
            </w:pPr>
          </w:p>
        </w:tc>
      </w:tr>
      <w:tr w:rsidR="00905A11" w:rsidTr="00611531">
        <w:tc>
          <w:tcPr>
            <w:tcW w:w="1090" w:type="pct"/>
          </w:tcPr>
          <w:p w:rsidR="00905A11" w:rsidRPr="00FD73C6" w:rsidRDefault="00905A11" w:rsidP="00611531">
            <w:pPr>
              <w:spacing w:line="240" w:lineRule="auto"/>
              <w:rPr>
                <w:sz w:val="16"/>
                <w:szCs w:val="16"/>
              </w:rPr>
            </w:pPr>
            <w:r>
              <w:rPr>
                <w:sz w:val="16"/>
                <w:szCs w:val="16"/>
              </w:rPr>
              <w:lastRenderedPageBreak/>
              <w:t>Během roku 2015 se</w:t>
            </w:r>
            <w:r w:rsidRPr="00FD73C6">
              <w:rPr>
                <w:sz w:val="16"/>
                <w:szCs w:val="16"/>
              </w:rPr>
              <w:t xml:space="preserve"> celkov</w:t>
            </w:r>
            <w:r>
              <w:rPr>
                <w:sz w:val="16"/>
                <w:szCs w:val="16"/>
              </w:rPr>
              <w:t>á</w:t>
            </w:r>
            <w:r w:rsidRPr="00FD73C6">
              <w:rPr>
                <w:sz w:val="16"/>
                <w:szCs w:val="16"/>
              </w:rPr>
              <w:t xml:space="preserve"> zásob</w:t>
            </w:r>
            <w:r>
              <w:rPr>
                <w:sz w:val="16"/>
                <w:szCs w:val="16"/>
              </w:rPr>
              <w:t>a</w:t>
            </w:r>
            <w:r w:rsidRPr="00FD73C6">
              <w:rPr>
                <w:sz w:val="16"/>
                <w:szCs w:val="16"/>
              </w:rPr>
              <w:t xml:space="preserve"> dosud nerealizovaných</w:t>
            </w:r>
            <w:r>
              <w:rPr>
                <w:sz w:val="16"/>
                <w:szCs w:val="16"/>
              </w:rPr>
              <w:t xml:space="preserve"> stavebních</w:t>
            </w:r>
            <w:r w:rsidRPr="00FD73C6">
              <w:rPr>
                <w:sz w:val="16"/>
                <w:szCs w:val="16"/>
              </w:rPr>
              <w:t xml:space="preserve"> zakázek</w:t>
            </w:r>
            <w:r>
              <w:rPr>
                <w:sz w:val="16"/>
                <w:szCs w:val="16"/>
              </w:rPr>
              <w:t xml:space="preserve"> ztenčila o celou čtvrtinu</w:t>
            </w:r>
          </w:p>
          <w:p w:rsidR="00905A11" w:rsidRDefault="00905A11" w:rsidP="00611531">
            <w:pPr>
              <w:spacing w:line="240" w:lineRule="auto"/>
              <w:rPr>
                <w:sz w:val="16"/>
                <w:szCs w:val="16"/>
              </w:rPr>
            </w:pPr>
          </w:p>
          <w:p w:rsidR="00905A11" w:rsidRDefault="00905A11" w:rsidP="00611531">
            <w:pPr>
              <w:spacing w:line="240" w:lineRule="auto"/>
              <w:rPr>
                <w:sz w:val="16"/>
                <w:szCs w:val="16"/>
              </w:rPr>
            </w:pPr>
          </w:p>
          <w:p w:rsidR="00905A11" w:rsidRDefault="00905A11" w:rsidP="00611531">
            <w:pPr>
              <w:spacing w:line="240" w:lineRule="auto"/>
              <w:rPr>
                <w:sz w:val="16"/>
                <w:szCs w:val="16"/>
              </w:rPr>
            </w:pPr>
          </w:p>
          <w:p w:rsidR="00905A11" w:rsidRPr="00FD73C6" w:rsidRDefault="00905A11" w:rsidP="00611531">
            <w:pPr>
              <w:spacing w:line="240" w:lineRule="auto"/>
              <w:rPr>
                <w:sz w:val="16"/>
                <w:szCs w:val="16"/>
              </w:rPr>
            </w:pPr>
          </w:p>
          <w:p w:rsidR="00905A11" w:rsidRPr="007D42A4" w:rsidRDefault="00905A11" w:rsidP="00611531">
            <w:pPr>
              <w:spacing w:line="240" w:lineRule="auto"/>
              <w:rPr>
                <w:color w:val="000000" w:themeColor="text1"/>
                <w:sz w:val="16"/>
                <w:szCs w:val="16"/>
              </w:rPr>
            </w:pPr>
          </w:p>
          <w:p w:rsidR="00905A11" w:rsidRPr="0032604E" w:rsidRDefault="00905A11" w:rsidP="00611531">
            <w:pPr>
              <w:spacing w:line="240" w:lineRule="auto"/>
              <w:rPr>
                <w:color w:val="000000" w:themeColor="text1"/>
                <w:sz w:val="16"/>
                <w:szCs w:val="16"/>
              </w:rPr>
            </w:pPr>
            <w:r w:rsidRPr="007D42A4">
              <w:rPr>
                <w:color w:val="000000" w:themeColor="text1"/>
                <w:sz w:val="16"/>
                <w:szCs w:val="16"/>
              </w:rPr>
              <w:t>Výrazný růst plošné velikosti nově povolených nebytových budov</w:t>
            </w:r>
          </w:p>
        </w:tc>
        <w:tc>
          <w:tcPr>
            <w:tcW w:w="145" w:type="pct"/>
          </w:tcPr>
          <w:p w:rsidR="00905A11" w:rsidRDefault="00905A11" w:rsidP="00611531">
            <w:pPr>
              <w:pStyle w:val="Textpoznpodarou"/>
              <w:jc w:val="both"/>
              <w:rPr>
                <w:spacing w:val="-2"/>
              </w:rPr>
            </w:pPr>
          </w:p>
        </w:tc>
        <w:tc>
          <w:tcPr>
            <w:tcW w:w="3765" w:type="pct"/>
          </w:tcPr>
          <w:p w:rsidR="00905A11" w:rsidRPr="00114FC0" w:rsidRDefault="00905A11" w:rsidP="00611531">
            <w:pPr>
              <w:pStyle w:val="Textpoznpodarou"/>
              <w:jc w:val="both"/>
            </w:pPr>
            <w:r w:rsidRPr="00114FC0">
              <w:t xml:space="preserve">Dobré výsledky stavebnictví po většinu roku 2015 byly zčásti odrazem realizace vysoké zásoby loňských nových zakázek na inženýrské stavby (v hodnotě 117 mld. korun, nejvyšší po roce 2008). V 2. pololetí hodnota nových zakázek (v podnicích </w:t>
            </w:r>
            <w:r w:rsidR="009867BC" w:rsidRPr="00114FC0">
              <w:t>s</w:t>
            </w:r>
            <w:r w:rsidR="009867BC" w:rsidRPr="00114FC0">
              <w:rPr>
                <w:color w:val="0D0D0D" w:themeColor="text1" w:themeTint="F2"/>
              </w:rPr>
              <w:t> </w:t>
            </w:r>
            <w:r w:rsidRPr="00114FC0">
              <w:t>50 a více zam</w:t>
            </w:r>
            <w:r w:rsidR="00124DA1">
              <w:t xml:space="preserve">ěstnanci) meziročně poklesla o 1,7 %. </w:t>
            </w:r>
            <w:r w:rsidRPr="00114FC0">
              <w:t>Zvýšený tlak na dokončení zejména dopravních staveb se na konci roku projevil citelným poklesem zásoby všech dosud nereali</w:t>
            </w:r>
            <w:r w:rsidR="00124DA1">
              <w:t>zovaných zakázek (meziročně o 38,3</w:t>
            </w:r>
            <w:r w:rsidRPr="00114FC0">
              <w:t xml:space="preserve"> mld. korun), především vlivem čerpání veřejných zakázek z tuzemska a též objednávek ze zahraničí. Zároveň se zvyšovala orientační hodnota u vydaných stavebních povolení (ve</w:t>
            </w:r>
            <w:r w:rsidR="00114FC0">
              <w:t> </w:t>
            </w:r>
            <w:r w:rsidRPr="00114FC0">
              <w:t>4.</w:t>
            </w:r>
            <w:r w:rsidR="00114FC0">
              <w:t> </w:t>
            </w:r>
            <w:r w:rsidRPr="00114FC0">
              <w:t>čtvrtletí meziročně o</w:t>
            </w:r>
            <w:r w:rsidR="009867BC" w:rsidRPr="00114FC0">
              <w:rPr>
                <w:color w:val="0D0D0D" w:themeColor="text1" w:themeTint="F2"/>
              </w:rPr>
              <w:t> </w:t>
            </w:r>
            <w:r w:rsidR="00676AFC">
              <w:t>14,9</w:t>
            </w:r>
            <w:r w:rsidRPr="00114FC0">
              <w:t> %), nikoliv však na nov</w:t>
            </w:r>
            <w:r w:rsidR="00EB03D4">
              <w:t>o</w:t>
            </w:r>
            <w:r w:rsidRPr="00114FC0">
              <w:t xml:space="preserve">u výstavbu, ale na změny dokončených staveb. Poprvé od roku 2008 meziročně vzrostla plocha u nových budov (povolených v roce 2015), především zásluhou nebytových staveb. Může jít o signál, že zrychlený růst ekonomiky začíná vést podniky (v průmyslu či službách) k rozšiřování </w:t>
            </w:r>
            <w:r w:rsidR="00EB03D4">
              <w:t>jejich</w:t>
            </w:r>
            <w:r w:rsidRPr="00114FC0">
              <w:t xml:space="preserve"> kapacit.</w:t>
            </w:r>
          </w:p>
          <w:p w:rsidR="00905A11" w:rsidRPr="000B1183" w:rsidRDefault="00905A11" w:rsidP="00611531">
            <w:pPr>
              <w:pStyle w:val="Textpoznpodarou"/>
              <w:jc w:val="both"/>
              <w:rPr>
                <w:spacing w:val="-4"/>
                <w:sz w:val="12"/>
                <w:szCs w:val="12"/>
              </w:rPr>
            </w:pPr>
          </w:p>
        </w:tc>
      </w:tr>
      <w:tr w:rsidR="00905A11" w:rsidTr="00611531">
        <w:tc>
          <w:tcPr>
            <w:tcW w:w="1090" w:type="pct"/>
          </w:tcPr>
          <w:p w:rsidR="00905A11" w:rsidRPr="00FD73C6" w:rsidRDefault="00905A11" w:rsidP="00611531">
            <w:pPr>
              <w:spacing w:line="240" w:lineRule="auto"/>
              <w:rPr>
                <w:spacing w:val="-4"/>
                <w:sz w:val="16"/>
                <w:szCs w:val="16"/>
              </w:rPr>
            </w:pPr>
            <w:r w:rsidRPr="00FD73C6">
              <w:rPr>
                <w:spacing w:val="-4"/>
                <w:sz w:val="16"/>
                <w:szCs w:val="16"/>
              </w:rPr>
              <w:t xml:space="preserve">Počet zahájených bytů v bytových domech (BD) rostl již tři roky po sobě, proti vrcholu z období konjunktury (rok 2007) byl ale slabší o 55 % </w:t>
            </w:r>
          </w:p>
          <w:p w:rsidR="00905A11" w:rsidRPr="00166385" w:rsidRDefault="00905A11" w:rsidP="00611531">
            <w:pPr>
              <w:spacing w:line="240" w:lineRule="auto"/>
              <w:rPr>
                <w:color w:val="000000" w:themeColor="text1"/>
                <w:spacing w:val="-4"/>
                <w:sz w:val="16"/>
                <w:szCs w:val="16"/>
              </w:rPr>
            </w:pPr>
          </w:p>
          <w:p w:rsidR="00905A11" w:rsidRPr="0032604E" w:rsidRDefault="00905A11" w:rsidP="00611531">
            <w:pPr>
              <w:spacing w:line="240" w:lineRule="auto"/>
              <w:rPr>
                <w:color w:val="000000" w:themeColor="text1"/>
                <w:sz w:val="16"/>
                <w:szCs w:val="16"/>
              </w:rPr>
            </w:pPr>
            <w:r w:rsidRPr="00166385">
              <w:rPr>
                <w:color w:val="000000" w:themeColor="text1"/>
                <w:spacing w:val="-4"/>
                <w:sz w:val="16"/>
                <w:szCs w:val="16"/>
              </w:rPr>
              <w:t>Územní nerovnoměrnost v zahájené bytové výstavbě se prohlubuje</w:t>
            </w:r>
          </w:p>
        </w:tc>
        <w:tc>
          <w:tcPr>
            <w:tcW w:w="145" w:type="pct"/>
          </w:tcPr>
          <w:p w:rsidR="00905A11" w:rsidRDefault="00905A11" w:rsidP="00611531">
            <w:pPr>
              <w:pStyle w:val="Textpoznpodarou"/>
              <w:jc w:val="both"/>
              <w:rPr>
                <w:spacing w:val="-2"/>
              </w:rPr>
            </w:pPr>
          </w:p>
        </w:tc>
        <w:tc>
          <w:tcPr>
            <w:tcW w:w="3765" w:type="pct"/>
          </w:tcPr>
          <w:p w:rsidR="00905A11" w:rsidRDefault="00905A11" w:rsidP="00611531">
            <w:pPr>
              <w:pStyle w:val="Textpoznpodarou"/>
              <w:jc w:val="both"/>
              <w:rPr>
                <w:spacing w:val="-4"/>
              </w:rPr>
            </w:pPr>
            <w:r>
              <w:rPr>
                <w:spacing w:val="-4"/>
              </w:rPr>
              <w:t>I přes růst disponibilních příjmů domácností a přetrvávání historicky nízkých úrokových sazeb se bytová výstavba od svého dna (rok 2013) odráží jen zvolna. Počet zahájených bytů vzrostl v roce 2015 o 8</w:t>
            </w:r>
            <w:r w:rsidR="00676AFC">
              <w:rPr>
                <w:spacing w:val="-4"/>
              </w:rPr>
              <w:t>,3</w:t>
            </w:r>
            <w:r>
              <w:rPr>
                <w:spacing w:val="-4"/>
              </w:rPr>
              <w:t xml:space="preserve"> % (podobným tempem jako předchozí rok), meziročně bylo více bytů ve všech formách výstavby, vyjma domovů pro seniory, kde pouhých 476 bytů znamenalo druhou nejnižší hodnotu v novodobé historii. </w:t>
            </w:r>
            <w:r w:rsidR="00676AFC">
              <w:rPr>
                <w:spacing w:val="-4"/>
              </w:rPr>
              <w:t>Na Prahu připadalo rekordních 57,7</w:t>
            </w:r>
            <w:r>
              <w:rPr>
                <w:spacing w:val="-4"/>
              </w:rPr>
              <w:t xml:space="preserve"> % celorepublikového počtu zahájených bytů v bytových domech (v období vrcholné konjunktury však necelých 40 %).</w:t>
            </w:r>
          </w:p>
          <w:p w:rsidR="00905A11" w:rsidRPr="000240BC" w:rsidRDefault="00905A11" w:rsidP="00611531">
            <w:pPr>
              <w:pStyle w:val="Textpoznpodarou"/>
              <w:jc w:val="both"/>
              <w:rPr>
                <w:spacing w:val="-4"/>
                <w:sz w:val="14"/>
                <w:szCs w:val="14"/>
              </w:rPr>
            </w:pPr>
            <w:r>
              <w:rPr>
                <w:spacing w:val="-4"/>
              </w:rPr>
              <w:t xml:space="preserve"> </w:t>
            </w:r>
          </w:p>
        </w:tc>
      </w:tr>
      <w:tr w:rsidR="00905A11" w:rsidTr="00611531">
        <w:trPr>
          <w:cantSplit/>
          <w:trHeight w:val="203"/>
        </w:trPr>
        <w:tc>
          <w:tcPr>
            <w:tcW w:w="1090" w:type="pct"/>
          </w:tcPr>
          <w:p w:rsidR="00905A11" w:rsidRPr="00FD73C6" w:rsidRDefault="00905A11" w:rsidP="00611531">
            <w:pPr>
              <w:spacing w:line="240" w:lineRule="auto"/>
              <w:rPr>
                <w:sz w:val="16"/>
                <w:szCs w:val="16"/>
              </w:rPr>
            </w:pPr>
            <w:r w:rsidRPr="00FD73C6">
              <w:rPr>
                <w:sz w:val="16"/>
                <w:szCs w:val="16"/>
              </w:rPr>
              <w:t xml:space="preserve">Zlepšení konjunkturálních ukazatelů ve stavebnictví, krátkodobé vyhlídky příznivější zejména u největších firem, na jejichž bedrech ležela rozhodující část odpovědnosti za realizaci investic do dopravní infrastruktury </w:t>
            </w:r>
          </w:p>
        </w:tc>
        <w:tc>
          <w:tcPr>
            <w:tcW w:w="145" w:type="pct"/>
          </w:tcPr>
          <w:p w:rsidR="00905A11" w:rsidRDefault="00905A11" w:rsidP="00611531">
            <w:pPr>
              <w:pStyle w:val="Textpoznpodarou"/>
              <w:jc w:val="both"/>
              <w:rPr>
                <w:spacing w:val="-2"/>
              </w:rPr>
            </w:pPr>
          </w:p>
        </w:tc>
        <w:tc>
          <w:tcPr>
            <w:tcW w:w="3765" w:type="pct"/>
          </w:tcPr>
          <w:p w:rsidR="00905A11" w:rsidRPr="000B1183" w:rsidRDefault="00905A11" w:rsidP="00611531">
            <w:pPr>
              <w:pStyle w:val="Textpoznpodarou"/>
              <w:jc w:val="both"/>
              <w:rPr>
                <w:spacing w:val="-4"/>
              </w:rPr>
            </w:pPr>
            <w:r w:rsidRPr="00CF6FBA">
              <w:rPr>
                <w:color w:val="000000" w:themeColor="text1"/>
                <w:spacing w:val="-4"/>
              </w:rPr>
              <w:t>Souhrnné saldo důvěry podnikatelů ve stavebnictví</w:t>
            </w:r>
            <w:r>
              <w:rPr>
                <w:color w:val="000000" w:themeColor="text1"/>
                <w:spacing w:val="-4"/>
              </w:rPr>
              <w:t xml:space="preserve"> </w:t>
            </w:r>
            <w:r w:rsidRPr="00123FDC">
              <w:rPr>
                <w:color w:val="000000" w:themeColor="text1"/>
                <w:spacing w:val="-4"/>
              </w:rPr>
              <w:t>se v trendu z</w:t>
            </w:r>
            <w:r>
              <w:rPr>
                <w:color w:val="000000" w:themeColor="text1"/>
                <w:spacing w:val="-4"/>
              </w:rPr>
              <w:t>lepšuje již od počátku roku 2014 a v listopadu 2015 bylo nejvyšší od ledna</w:t>
            </w:r>
            <w:r w:rsidRPr="00123FDC">
              <w:rPr>
                <w:color w:val="000000" w:themeColor="text1"/>
                <w:spacing w:val="-4"/>
              </w:rPr>
              <w:t xml:space="preserve"> 2009</w:t>
            </w:r>
            <w:r>
              <w:rPr>
                <w:color w:val="000000" w:themeColor="text1"/>
                <w:spacing w:val="-4"/>
              </w:rPr>
              <w:t xml:space="preserve">. Podíl podniků považujících nedostatečnou poptávku za bariéru </w:t>
            </w:r>
            <w:r w:rsidRPr="00C01BF8">
              <w:rPr>
                <w:color w:val="000000" w:themeColor="text1"/>
                <w:spacing w:val="-4"/>
              </w:rPr>
              <w:t>vyšší produkce</w:t>
            </w:r>
            <w:r>
              <w:rPr>
                <w:color w:val="000000" w:themeColor="text1"/>
                <w:spacing w:val="-4"/>
              </w:rPr>
              <w:t xml:space="preserve"> se v rámci roku 2015 snížil o více než 10 p</w:t>
            </w:r>
            <w:r w:rsidR="004E7007">
              <w:rPr>
                <w:color w:val="000000" w:themeColor="text1"/>
                <w:spacing w:val="-4"/>
              </w:rPr>
              <w:t>.</w:t>
            </w:r>
            <w:r>
              <w:rPr>
                <w:color w:val="000000" w:themeColor="text1"/>
                <w:spacing w:val="-4"/>
              </w:rPr>
              <w:t>b. (na 56 %), přesto šlo v evropském kontextu o vysokou hodnotu (EU 35 %, Německo 17 %). Během první poloviny roku se naopak zvýšil podíl podniků v ČR, jimž v růstu brání nedostatek pracovní síly (až na 8,5 % v červnu 2015, což bylo nejvíce od prosince 2008</w:t>
            </w:r>
            <w:r w:rsidRPr="000B1183">
              <w:rPr>
                <w:spacing w:val="-4"/>
              </w:rPr>
              <w:t>). Na vyšší poptávku reagovaly letos stavební firmy intenzivnějším využitím stávající pracovní síly (např. formou přesčasové práce). Při stále nižším evidenčním počtu zaměstnanců tak vzrostla průměrná mzda ve 4. čtvrtletí o vysokých 5,3 %, což bylo podstatně více než ve zpracovatelském průmyslu (3,7 %) či celé ekonomice (3,8 %)</w:t>
            </w:r>
            <w:r w:rsidR="00800073">
              <w:rPr>
                <w:spacing w:val="-4"/>
              </w:rPr>
              <w:t>.</w:t>
            </w:r>
          </w:p>
          <w:p w:rsidR="00905A11" w:rsidRPr="000240BC" w:rsidRDefault="00905A11" w:rsidP="00611531">
            <w:pPr>
              <w:pStyle w:val="Textpoznpodarou"/>
              <w:jc w:val="both"/>
              <w:rPr>
                <w:spacing w:val="-4"/>
                <w:sz w:val="14"/>
                <w:szCs w:val="14"/>
              </w:rPr>
            </w:pPr>
          </w:p>
        </w:tc>
      </w:tr>
      <w:tr w:rsidR="00905A11" w:rsidRPr="00A51B62" w:rsidTr="00611531">
        <w:trPr>
          <w:cantSplit/>
          <w:trHeight w:val="250"/>
        </w:trPr>
        <w:tc>
          <w:tcPr>
            <w:tcW w:w="1090" w:type="pct"/>
          </w:tcPr>
          <w:p w:rsidR="00905A11" w:rsidRDefault="00905A11" w:rsidP="00611531">
            <w:pPr>
              <w:spacing w:line="240" w:lineRule="auto"/>
              <w:rPr>
                <w:color w:val="000000" w:themeColor="text1"/>
                <w:sz w:val="16"/>
                <w:szCs w:val="16"/>
              </w:rPr>
            </w:pPr>
            <w:r w:rsidRPr="0032604E">
              <w:rPr>
                <w:color w:val="000000" w:themeColor="text1"/>
                <w:sz w:val="16"/>
                <w:szCs w:val="16"/>
              </w:rPr>
              <w:t xml:space="preserve">Tržby ve službách zrychlily dynamiku (při současném poklesu cen), meziročně rostly nejvíce </w:t>
            </w:r>
            <w:r>
              <w:rPr>
                <w:color w:val="000000" w:themeColor="text1"/>
                <w:sz w:val="16"/>
                <w:szCs w:val="16"/>
              </w:rPr>
              <w:t>po roce 2007</w:t>
            </w:r>
          </w:p>
          <w:p w:rsidR="00905A11" w:rsidRDefault="00905A11" w:rsidP="00611531">
            <w:pPr>
              <w:spacing w:line="240" w:lineRule="auto"/>
              <w:rPr>
                <w:color w:val="000000" w:themeColor="text1"/>
                <w:sz w:val="14"/>
                <w:szCs w:val="14"/>
              </w:rPr>
            </w:pPr>
          </w:p>
          <w:p w:rsidR="00905A11" w:rsidRDefault="00905A11" w:rsidP="00611531">
            <w:pPr>
              <w:spacing w:line="240" w:lineRule="auto"/>
              <w:rPr>
                <w:color w:val="000000" w:themeColor="text1"/>
                <w:sz w:val="14"/>
                <w:szCs w:val="14"/>
              </w:rPr>
            </w:pPr>
          </w:p>
          <w:p w:rsidR="00905A11" w:rsidRDefault="00905A11" w:rsidP="00611531">
            <w:pPr>
              <w:spacing w:line="240" w:lineRule="auto"/>
              <w:rPr>
                <w:color w:val="000000" w:themeColor="text1"/>
                <w:sz w:val="14"/>
                <w:szCs w:val="14"/>
              </w:rPr>
            </w:pPr>
          </w:p>
          <w:p w:rsidR="00905A11" w:rsidRPr="004B28B8" w:rsidRDefault="00905A11" w:rsidP="00611531">
            <w:pPr>
              <w:spacing w:line="240" w:lineRule="auto"/>
              <w:rPr>
                <w:color w:val="000000" w:themeColor="text1"/>
                <w:sz w:val="16"/>
                <w:szCs w:val="16"/>
              </w:rPr>
            </w:pPr>
            <w:r w:rsidRPr="004B28B8">
              <w:rPr>
                <w:color w:val="000000" w:themeColor="text1"/>
                <w:sz w:val="16"/>
                <w:szCs w:val="16"/>
              </w:rPr>
              <w:t xml:space="preserve">Silný růst průmyslu i zahraničního obchodu </w:t>
            </w:r>
            <w:r>
              <w:rPr>
                <w:color w:val="000000" w:themeColor="text1"/>
                <w:sz w:val="16"/>
                <w:szCs w:val="16"/>
              </w:rPr>
              <w:t>se odrazily i ve vy</w:t>
            </w:r>
            <w:r w:rsidR="00AC219A">
              <w:rPr>
                <w:color w:val="000000" w:themeColor="text1"/>
                <w:sz w:val="16"/>
                <w:szCs w:val="16"/>
              </w:rPr>
              <w:t>šších tržbách v pozemní dopravě</w:t>
            </w:r>
          </w:p>
          <w:p w:rsidR="00905A11" w:rsidRDefault="00905A11" w:rsidP="00611531">
            <w:pPr>
              <w:spacing w:line="240" w:lineRule="auto"/>
              <w:rPr>
                <w:color w:val="000000" w:themeColor="text1"/>
                <w:sz w:val="14"/>
                <w:szCs w:val="14"/>
              </w:rPr>
            </w:pPr>
          </w:p>
          <w:p w:rsidR="00905A11" w:rsidRDefault="00905A11" w:rsidP="00611531">
            <w:pPr>
              <w:spacing w:line="240" w:lineRule="auto"/>
              <w:rPr>
                <w:color w:val="000000" w:themeColor="text1"/>
                <w:sz w:val="14"/>
                <w:szCs w:val="14"/>
              </w:rPr>
            </w:pPr>
          </w:p>
          <w:p w:rsidR="00905A11" w:rsidRPr="009D0B10" w:rsidRDefault="00905A11" w:rsidP="00611531">
            <w:pPr>
              <w:spacing w:line="240" w:lineRule="auto"/>
              <w:rPr>
                <w:color w:val="000000" w:themeColor="text1"/>
                <w:sz w:val="14"/>
                <w:szCs w:val="14"/>
              </w:rPr>
            </w:pPr>
          </w:p>
          <w:p w:rsidR="00905A11" w:rsidRDefault="00905A11" w:rsidP="00611531">
            <w:pPr>
              <w:spacing w:line="240" w:lineRule="auto"/>
              <w:rPr>
                <w:color w:val="000000" w:themeColor="text1"/>
                <w:sz w:val="16"/>
                <w:szCs w:val="16"/>
              </w:rPr>
            </w:pPr>
            <w:r>
              <w:rPr>
                <w:color w:val="000000" w:themeColor="text1"/>
                <w:sz w:val="16"/>
                <w:szCs w:val="16"/>
              </w:rPr>
              <w:t>Útlum tržeb cestovní</w:t>
            </w:r>
            <w:r w:rsidR="008B16DE">
              <w:rPr>
                <w:color w:val="000000" w:themeColor="text1"/>
                <w:sz w:val="16"/>
                <w:szCs w:val="16"/>
              </w:rPr>
              <w:t>ch kanceláří pokračoval již třin</w:t>
            </w:r>
            <w:r>
              <w:rPr>
                <w:color w:val="000000" w:themeColor="text1"/>
                <w:sz w:val="16"/>
                <w:szCs w:val="16"/>
              </w:rPr>
              <w:t>áct čtvrtletí v řadě</w:t>
            </w:r>
          </w:p>
          <w:p w:rsidR="00905A11" w:rsidRDefault="00905A11" w:rsidP="00611531">
            <w:pPr>
              <w:spacing w:line="240" w:lineRule="auto"/>
              <w:rPr>
                <w:sz w:val="14"/>
                <w:szCs w:val="14"/>
              </w:rPr>
            </w:pPr>
          </w:p>
          <w:p w:rsidR="00905A11" w:rsidRPr="009D0B10" w:rsidRDefault="00905A11" w:rsidP="00611531">
            <w:pPr>
              <w:spacing w:line="240" w:lineRule="auto"/>
              <w:rPr>
                <w:sz w:val="6"/>
                <w:szCs w:val="6"/>
              </w:rPr>
            </w:pPr>
          </w:p>
        </w:tc>
        <w:tc>
          <w:tcPr>
            <w:tcW w:w="145" w:type="pct"/>
          </w:tcPr>
          <w:p w:rsidR="00905A11" w:rsidRDefault="00905A11" w:rsidP="00611531">
            <w:pPr>
              <w:pStyle w:val="Textpoznpodarou"/>
              <w:jc w:val="both"/>
              <w:rPr>
                <w:spacing w:val="-2"/>
              </w:rPr>
            </w:pPr>
          </w:p>
        </w:tc>
        <w:tc>
          <w:tcPr>
            <w:tcW w:w="3765" w:type="pct"/>
          </w:tcPr>
          <w:p w:rsidR="00905A11" w:rsidRDefault="00905A11" w:rsidP="00611531">
            <w:pPr>
              <w:pStyle w:val="Textpoznpodarou"/>
              <w:jc w:val="both"/>
              <w:rPr>
                <w:spacing w:val="-4"/>
              </w:rPr>
            </w:pPr>
            <w:r w:rsidRPr="001E0AEC">
              <w:rPr>
                <w:color w:val="000000" w:themeColor="text1"/>
                <w:spacing w:val="-4"/>
              </w:rPr>
              <w:t>Tržby ve vybraných službách</w:t>
            </w:r>
            <w:r w:rsidRPr="001E0AEC">
              <w:rPr>
                <w:color w:val="000000" w:themeColor="text1"/>
                <w:spacing w:val="-4"/>
                <w:vertAlign w:val="superscript"/>
              </w:rPr>
              <w:footnoteReference w:id="4"/>
            </w:r>
            <w:r>
              <w:rPr>
                <w:color w:val="000000" w:themeColor="text1"/>
                <w:spacing w:val="-4"/>
              </w:rPr>
              <w:t xml:space="preserve"> se v roce 2015 zvýšily podruhé v řadě, když meziročně zrychlily na 2,6 %. </w:t>
            </w:r>
            <w:r w:rsidRPr="0060521A">
              <w:rPr>
                <w:color w:val="000000" w:themeColor="text1"/>
                <w:spacing w:val="-4"/>
              </w:rPr>
              <w:t>V dopravě a skladování tržby</w:t>
            </w:r>
            <w:r>
              <w:rPr>
                <w:color w:val="000000" w:themeColor="text1"/>
                <w:spacing w:val="-4"/>
              </w:rPr>
              <w:t xml:space="preserve"> fakticky stagnovaly, když </w:t>
            </w:r>
            <w:r>
              <w:rPr>
                <w:spacing w:val="-4"/>
              </w:rPr>
              <w:t>váhově dominantní pozemní a potrubní doprava (+3,9 %) stačila pouze vyrovnat citelný pokles reálných tržeb v letecké dopravě (-3,6 %) a skladování (jehož výsledek byl ovlivněn také vysokou meziroční základnou). P</w:t>
            </w:r>
            <w:r w:rsidRPr="002B161C">
              <w:rPr>
                <w:spacing w:val="-4"/>
              </w:rPr>
              <w:t xml:space="preserve">rofesní, vědecké a </w:t>
            </w:r>
            <w:r>
              <w:rPr>
                <w:color w:val="000000" w:themeColor="text1"/>
                <w:spacing w:val="-4"/>
              </w:rPr>
              <w:t>technické činnosti zažily první růst (o 2,1 %) po šesti letech, když k obratu došlo v roce 2015 ve</w:t>
            </w:r>
            <w:r w:rsidR="00114FC0">
              <w:rPr>
                <w:color w:val="000000" w:themeColor="text1"/>
                <w:spacing w:val="-4"/>
              </w:rPr>
              <w:t> </w:t>
            </w:r>
            <w:r>
              <w:rPr>
                <w:color w:val="000000" w:themeColor="text1"/>
                <w:spacing w:val="-4"/>
              </w:rPr>
              <w:t>všech dílčích oborech (pouze u reklamy trval mírný růst dokonce již dva roky po</w:t>
            </w:r>
            <w:r w:rsidR="00114FC0">
              <w:rPr>
                <w:color w:val="000000" w:themeColor="text1"/>
                <w:spacing w:val="-4"/>
              </w:rPr>
              <w:t> </w:t>
            </w:r>
            <w:r>
              <w:rPr>
                <w:color w:val="000000" w:themeColor="text1"/>
                <w:spacing w:val="-4"/>
              </w:rPr>
              <w:t>sobě). Zrychlený růst ekonomiky se odrazil také v i</w:t>
            </w:r>
            <w:r w:rsidRPr="000213F4">
              <w:rPr>
                <w:color w:val="000000" w:themeColor="text1"/>
                <w:spacing w:val="-4"/>
              </w:rPr>
              <w:t>nformační</w:t>
            </w:r>
            <w:r>
              <w:rPr>
                <w:color w:val="000000" w:themeColor="text1"/>
                <w:spacing w:val="-4"/>
              </w:rPr>
              <w:t>ch</w:t>
            </w:r>
            <w:r w:rsidRPr="000213F4">
              <w:rPr>
                <w:color w:val="000000" w:themeColor="text1"/>
                <w:spacing w:val="-4"/>
              </w:rPr>
              <w:t xml:space="preserve"> a komunikační</w:t>
            </w:r>
            <w:r>
              <w:rPr>
                <w:color w:val="000000" w:themeColor="text1"/>
                <w:spacing w:val="-4"/>
              </w:rPr>
              <w:t>ch činnostech (+5,5 %).</w:t>
            </w:r>
            <w:r w:rsidRPr="000213F4">
              <w:rPr>
                <w:color w:val="000000" w:themeColor="text1"/>
                <w:spacing w:val="-4"/>
              </w:rPr>
              <w:t xml:space="preserve"> </w:t>
            </w:r>
            <w:r>
              <w:rPr>
                <w:color w:val="000000" w:themeColor="text1"/>
                <w:spacing w:val="-4"/>
              </w:rPr>
              <w:t xml:space="preserve">Shodným tempem se tržby zvyšovaly v i </w:t>
            </w:r>
            <w:r w:rsidRPr="004963E7">
              <w:rPr>
                <w:color w:val="000000" w:themeColor="text1"/>
                <w:spacing w:val="-4"/>
              </w:rPr>
              <w:t>administrat</w:t>
            </w:r>
            <w:r>
              <w:rPr>
                <w:color w:val="000000" w:themeColor="text1"/>
                <w:spacing w:val="-4"/>
              </w:rPr>
              <w:t>ivních a podpůrných činnostech, jejichž vývoj z velké části ovlivněn pracovními agenturami (u n</w:t>
            </w:r>
            <w:r w:rsidR="00D37689">
              <w:rPr>
                <w:color w:val="000000" w:themeColor="text1"/>
                <w:spacing w:val="-4"/>
              </w:rPr>
              <w:t>ichž růst tržeb zrychlil o pětinu</w:t>
            </w:r>
            <w:r>
              <w:rPr>
                <w:color w:val="000000" w:themeColor="text1"/>
                <w:spacing w:val="-4"/>
              </w:rPr>
              <w:t xml:space="preserve">). Dařilo se však oborům napříč celému odvětví, vyjma cestovních kanceláří (-7,9 %), jejichž tržby klesaly již třetí rok po sobě. </w:t>
            </w:r>
            <w:r w:rsidR="00CE442A" w:rsidRPr="00CE442A">
              <w:rPr>
                <w:color w:val="000000" w:themeColor="text1"/>
                <w:spacing w:val="-4"/>
              </w:rPr>
              <w:t>Č</w:t>
            </w:r>
            <w:r w:rsidR="00CE442A">
              <w:rPr>
                <w:color w:val="000000" w:themeColor="text1"/>
                <w:spacing w:val="-4"/>
              </w:rPr>
              <w:t>etnější</w:t>
            </w:r>
            <w:r w:rsidR="00114FC0">
              <w:rPr>
                <w:color w:val="000000" w:themeColor="text1"/>
                <w:spacing w:val="-4"/>
              </w:rPr>
              <w:t> </w:t>
            </w:r>
            <w:r w:rsidR="00CE442A">
              <w:rPr>
                <w:spacing w:val="-4"/>
              </w:rPr>
              <w:t>příjezdy</w:t>
            </w:r>
            <w:r>
              <w:rPr>
                <w:spacing w:val="-4"/>
              </w:rPr>
              <w:t xml:space="preserve"> domácích i zahraničních hostů (především v letním období) katapultoval</w:t>
            </w:r>
            <w:r w:rsidR="00CE442A">
              <w:rPr>
                <w:spacing w:val="-4"/>
              </w:rPr>
              <w:t>y</w:t>
            </w:r>
            <w:r>
              <w:rPr>
                <w:spacing w:val="-4"/>
              </w:rPr>
              <w:t xml:space="preserve"> tržby v </w:t>
            </w:r>
            <w:r w:rsidR="008B16DE">
              <w:rPr>
                <w:spacing w:val="-4"/>
              </w:rPr>
              <w:t xml:space="preserve">ubytování (+7,5 %) na nejvyšší </w:t>
            </w:r>
            <w:r w:rsidR="008B16DE" w:rsidRPr="00240C76">
              <w:rPr>
                <w:spacing w:val="-4"/>
              </w:rPr>
              <w:t>meziroční</w:t>
            </w:r>
            <w:r w:rsidRPr="00240C76">
              <w:rPr>
                <w:spacing w:val="-4"/>
              </w:rPr>
              <w:t xml:space="preserve"> </w:t>
            </w:r>
            <w:r w:rsidR="00CE442A" w:rsidRPr="00CE442A">
              <w:rPr>
                <w:spacing w:val="-4"/>
              </w:rPr>
              <w:t>růst</w:t>
            </w:r>
            <w:r w:rsidR="008B16DE" w:rsidRPr="00CE442A">
              <w:rPr>
                <w:spacing w:val="-4"/>
              </w:rPr>
              <w:t xml:space="preserve"> </w:t>
            </w:r>
            <w:r>
              <w:rPr>
                <w:spacing w:val="-4"/>
              </w:rPr>
              <w:t>po roce 2005. Rekordní byly i</w:t>
            </w:r>
            <w:r w:rsidR="009867BC">
              <w:rPr>
                <w:color w:val="0D0D0D" w:themeColor="text1" w:themeTint="F2"/>
                <w:spacing w:val="-4"/>
              </w:rPr>
              <w:t> </w:t>
            </w:r>
            <w:r>
              <w:rPr>
                <w:spacing w:val="-4"/>
              </w:rPr>
              <w:t>tržby ve s</w:t>
            </w:r>
            <w:r w:rsidRPr="00313AE5">
              <w:rPr>
                <w:spacing w:val="-4"/>
              </w:rPr>
              <w:t>travování a pohostinství</w:t>
            </w:r>
            <w:r>
              <w:rPr>
                <w:spacing w:val="-4"/>
              </w:rPr>
              <w:t xml:space="preserve"> (+4,1 %), ty však na rozdíl od</w:t>
            </w:r>
            <w:r w:rsidR="00114FC0">
              <w:rPr>
                <w:spacing w:val="-4"/>
              </w:rPr>
              <w:t> </w:t>
            </w:r>
            <w:r>
              <w:rPr>
                <w:spacing w:val="-4"/>
              </w:rPr>
              <w:t>ubytování zatím nepřekonaly úroveň konjunkturního roku 2008.</w:t>
            </w:r>
          </w:p>
          <w:p w:rsidR="00905A11" w:rsidRPr="00092C9A" w:rsidRDefault="00905A11" w:rsidP="00611531">
            <w:pPr>
              <w:pStyle w:val="Textpoznpodarou"/>
              <w:jc w:val="both"/>
              <w:rPr>
                <w:spacing w:val="-4"/>
                <w:sz w:val="14"/>
                <w:szCs w:val="14"/>
              </w:rPr>
            </w:pPr>
          </w:p>
        </w:tc>
      </w:tr>
      <w:tr w:rsidR="00905A11" w:rsidRPr="00BE4405" w:rsidTr="00FF45A2">
        <w:trPr>
          <w:trHeight w:val="250"/>
        </w:trPr>
        <w:tc>
          <w:tcPr>
            <w:tcW w:w="1090" w:type="pct"/>
          </w:tcPr>
          <w:p w:rsidR="00905A11" w:rsidRDefault="00905A11" w:rsidP="00611531">
            <w:pPr>
              <w:spacing w:line="240" w:lineRule="auto"/>
              <w:rPr>
                <w:color w:val="000000" w:themeColor="text1"/>
                <w:sz w:val="16"/>
                <w:szCs w:val="16"/>
              </w:rPr>
            </w:pPr>
            <w:r>
              <w:rPr>
                <w:color w:val="000000" w:themeColor="text1"/>
                <w:sz w:val="16"/>
                <w:szCs w:val="16"/>
              </w:rPr>
              <w:t xml:space="preserve">Stabilní důvěra spotřebitelů podpořená velmi příznivým vývojem na trhu práce </w:t>
            </w:r>
            <w:r>
              <w:rPr>
                <w:color w:val="000000" w:themeColor="text1"/>
                <w:sz w:val="16"/>
                <w:szCs w:val="16"/>
              </w:rPr>
              <w:lastRenderedPageBreak/>
              <w:t>vyústila v nejvyšší růst maloobchodních tržeb po roce 2007</w:t>
            </w:r>
          </w:p>
          <w:p w:rsidR="00905A11" w:rsidRDefault="00905A11" w:rsidP="00611531">
            <w:pPr>
              <w:spacing w:line="240" w:lineRule="auto"/>
              <w:rPr>
                <w:color w:val="000000" w:themeColor="text1"/>
                <w:sz w:val="16"/>
                <w:szCs w:val="16"/>
              </w:rPr>
            </w:pPr>
          </w:p>
          <w:p w:rsidR="00905A11" w:rsidRDefault="00905A11" w:rsidP="00611531">
            <w:pPr>
              <w:spacing w:line="240" w:lineRule="auto"/>
              <w:rPr>
                <w:color w:val="000000" w:themeColor="text1"/>
                <w:sz w:val="16"/>
                <w:szCs w:val="16"/>
              </w:rPr>
            </w:pPr>
          </w:p>
          <w:p w:rsidR="00905A11" w:rsidRPr="005C666D" w:rsidRDefault="00905A11" w:rsidP="00611531">
            <w:pPr>
              <w:spacing w:line="240" w:lineRule="auto"/>
              <w:rPr>
                <w:color w:val="000000" w:themeColor="text1"/>
                <w:spacing w:val="-4"/>
                <w:sz w:val="16"/>
                <w:szCs w:val="16"/>
              </w:rPr>
            </w:pPr>
            <w:r w:rsidRPr="005C666D">
              <w:rPr>
                <w:color w:val="000000" w:themeColor="text1"/>
                <w:spacing w:val="-4"/>
                <w:sz w:val="16"/>
                <w:szCs w:val="16"/>
              </w:rPr>
              <w:t xml:space="preserve">Příznivý cenový vývoj stimuloval poptávku zejména u prodeje PHM a také počítačových </w:t>
            </w:r>
            <w:r>
              <w:rPr>
                <w:color w:val="000000" w:themeColor="text1"/>
                <w:spacing w:val="-4"/>
                <w:sz w:val="16"/>
                <w:szCs w:val="16"/>
              </w:rPr>
              <w:t>I</w:t>
            </w:r>
            <w:r w:rsidRPr="005C666D">
              <w:rPr>
                <w:color w:val="000000" w:themeColor="text1"/>
                <w:spacing w:val="-4"/>
                <w:sz w:val="16"/>
                <w:szCs w:val="16"/>
              </w:rPr>
              <w:t xml:space="preserve"> komunikačních zařízení, pomáhal udržet vysoká tempa </w:t>
            </w:r>
            <w:r>
              <w:rPr>
                <w:color w:val="000000" w:themeColor="text1"/>
                <w:spacing w:val="-4"/>
                <w:sz w:val="16"/>
                <w:szCs w:val="16"/>
              </w:rPr>
              <w:t>tržeb internetovým</w:t>
            </w:r>
            <w:r w:rsidRPr="005C666D">
              <w:rPr>
                <w:color w:val="000000" w:themeColor="text1"/>
                <w:spacing w:val="-4"/>
                <w:sz w:val="16"/>
                <w:szCs w:val="16"/>
              </w:rPr>
              <w:t xml:space="preserve"> prodejců</w:t>
            </w:r>
            <w:r>
              <w:rPr>
                <w:color w:val="000000" w:themeColor="text1"/>
                <w:spacing w:val="-4"/>
                <w:sz w:val="16"/>
                <w:szCs w:val="16"/>
              </w:rPr>
              <w:t>m</w:t>
            </w:r>
          </w:p>
          <w:p w:rsidR="00905A11" w:rsidRPr="00F3262E" w:rsidRDefault="00905A11" w:rsidP="00611531">
            <w:pPr>
              <w:spacing w:line="240" w:lineRule="auto"/>
              <w:rPr>
                <w:color w:val="000000" w:themeColor="text1"/>
                <w:sz w:val="16"/>
                <w:szCs w:val="16"/>
              </w:rPr>
            </w:pPr>
          </w:p>
        </w:tc>
        <w:tc>
          <w:tcPr>
            <w:tcW w:w="145" w:type="pct"/>
          </w:tcPr>
          <w:p w:rsidR="00905A11" w:rsidRPr="00F3262E" w:rsidRDefault="00905A11" w:rsidP="00611531">
            <w:pPr>
              <w:pStyle w:val="Textpoznpodarou"/>
              <w:jc w:val="both"/>
              <w:rPr>
                <w:color w:val="000000" w:themeColor="text1"/>
                <w:spacing w:val="-2"/>
              </w:rPr>
            </w:pPr>
          </w:p>
        </w:tc>
        <w:tc>
          <w:tcPr>
            <w:tcW w:w="3765" w:type="pct"/>
          </w:tcPr>
          <w:p w:rsidR="00905A11" w:rsidRPr="00114FC0" w:rsidRDefault="00905A11" w:rsidP="00611531">
            <w:pPr>
              <w:pStyle w:val="Textpoznpodarou"/>
              <w:jc w:val="both"/>
              <w:rPr>
                <w:color w:val="000000" w:themeColor="text1"/>
                <w:spacing w:val="-2"/>
              </w:rPr>
            </w:pPr>
            <w:r w:rsidRPr="00114FC0">
              <w:rPr>
                <w:color w:val="000000" w:themeColor="text1"/>
                <w:spacing w:val="-2"/>
              </w:rPr>
              <w:t>Ve shodě s trendy ve službách i v samotném maloobchodu meziroční růst tržeb</w:t>
            </w:r>
            <w:r w:rsidRPr="00114FC0">
              <w:rPr>
                <w:rStyle w:val="Znakapoznpodarou"/>
                <w:color w:val="000000" w:themeColor="text1"/>
                <w:spacing w:val="-2"/>
              </w:rPr>
              <w:footnoteReference w:id="5"/>
            </w:r>
            <w:r w:rsidRPr="00114FC0">
              <w:rPr>
                <w:color w:val="000000" w:themeColor="text1"/>
                <w:spacing w:val="-2"/>
              </w:rPr>
              <w:t xml:space="preserve"> v roce 2015 akceleroval až na 5,9 % a přiblížil se tak hodnotám z období vrcholnýc</w:t>
            </w:r>
            <w:r w:rsidR="00800073">
              <w:rPr>
                <w:color w:val="000000" w:themeColor="text1"/>
                <w:spacing w:val="-2"/>
              </w:rPr>
              <w:t>h konjunkturních let 2005</w:t>
            </w:r>
            <w:r w:rsidR="00800073">
              <w:t>–</w:t>
            </w:r>
            <w:r w:rsidR="008B16DE" w:rsidRPr="00114FC0">
              <w:rPr>
                <w:color w:val="000000" w:themeColor="text1"/>
                <w:spacing w:val="-2"/>
              </w:rPr>
              <w:t>2007</w:t>
            </w:r>
            <w:r w:rsidRPr="00114FC0">
              <w:rPr>
                <w:color w:val="000000" w:themeColor="text1"/>
                <w:spacing w:val="-2"/>
              </w:rPr>
              <w:t xml:space="preserve"> V průběhu roku 2015 nedoznala </w:t>
            </w:r>
            <w:r w:rsidRPr="00114FC0">
              <w:rPr>
                <w:color w:val="000000" w:themeColor="text1"/>
                <w:spacing w:val="-2"/>
              </w:rPr>
              <w:lastRenderedPageBreak/>
              <w:t>dynamika tržeb významných změn, podobně jako příznivé nálady spotřebitelů. Celé odvětví tradičně táhl prodej nepotravinářského zboží (+6,8 %). Dařilo se však i prodeji potravin (3,9</w:t>
            </w:r>
            <w:r w:rsidR="009867BC" w:rsidRPr="00114FC0">
              <w:rPr>
                <w:color w:val="0D0D0D" w:themeColor="text1" w:themeTint="F2"/>
                <w:spacing w:val="-2"/>
              </w:rPr>
              <w:t> </w:t>
            </w:r>
            <w:r w:rsidRPr="00114FC0">
              <w:rPr>
                <w:color w:val="000000" w:themeColor="text1"/>
                <w:spacing w:val="-2"/>
              </w:rPr>
              <w:t>%), a to i ve specializovaných prodejnách (+3 %), které tak zastavily devět let trvající pokles reálných tržeb. Z ostatních specializovaných prodejen pokračoval silný rozvoj prodejů počítačových a komunikačních zařízení (+10 %), tempo růstu tržeb za výrobky pro kulturu a rekreaci se proti roku 2014 téměř zdvojnásobilo. Již třináct měsíců trval dynamický růst tržeb u čerpacích stanic, které byly ve 4. čtvrtletí 2015 meziročně vyšší o 10</w:t>
            </w:r>
            <w:r w:rsidR="00800073">
              <w:rPr>
                <w:color w:val="000000" w:themeColor="text1"/>
                <w:spacing w:val="-2"/>
              </w:rPr>
              <w:t>,6 % (</w:t>
            </w:r>
            <w:r w:rsidRPr="00114FC0">
              <w:rPr>
                <w:color w:val="000000" w:themeColor="text1"/>
                <w:spacing w:val="-2"/>
              </w:rPr>
              <w:t>p</w:t>
            </w:r>
            <w:r w:rsidR="001D5E1B">
              <w:rPr>
                <w:color w:val="000000" w:themeColor="text1"/>
                <w:spacing w:val="-2"/>
              </w:rPr>
              <w:t>řesto zůstaly reálně stále o 5 %</w:t>
            </w:r>
            <w:r w:rsidRPr="00114FC0">
              <w:rPr>
                <w:color w:val="000000" w:themeColor="text1"/>
                <w:spacing w:val="-2"/>
              </w:rPr>
              <w:t xml:space="preserve"> pod úrovní konce roku 2008). Poptávku stimulovaly nízké ceny PHM (i ve srovnání se sousedními státy), zčásti i</w:t>
            </w:r>
            <w:r w:rsidR="009867BC" w:rsidRPr="00114FC0">
              <w:rPr>
                <w:color w:val="0D0D0D" w:themeColor="text1" w:themeTint="F2"/>
                <w:spacing w:val="-2"/>
              </w:rPr>
              <w:t> </w:t>
            </w:r>
            <w:r w:rsidRPr="00114FC0">
              <w:rPr>
                <w:color w:val="000000" w:themeColor="text1"/>
                <w:spacing w:val="-2"/>
              </w:rPr>
              <w:t>vyšší přepravní nároky v</w:t>
            </w:r>
            <w:r w:rsidR="001D5E1B">
              <w:rPr>
                <w:color w:val="000000" w:themeColor="text1"/>
                <w:spacing w:val="-2"/>
              </w:rPr>
              <w:t> </w:t>
            </w:r>
            <w:r w:rsidRPr="00114FC0">
              <w:rPr>
                <w:color w:val="000000" w:themeColor="text1"/>
                <w:spacing w:val="-2"/>
              </w:rPr>
              <w:t>souvislosti</w:t>
            </w:r>
            <w:r w:rsidR="001D5E1B">
              <w:rPr>
                <w:color w:val="000000" w:themeColor="text1"/>
                <w:spacing w:val="-2"/>
              </w:rPr>
              <w:t xml:space="preserve"> s</w:t>
            </w:r>
            <w:r w:rsidRPr="00114FC0">
              <w:rPr>
                <w:color w:val="000000" w:themeColor="text1"/>
                <w:spacing w:val="-2"/>
              </w:rPr>
              <w:t xml:space="preserve"> růstem ekonomiky i zahraničního obchodu. O</w:t>
            </w:r>
            <w:r w:rsidR="009867BC" w:rsidRPr="00114FC0">
              <w:rPr>
                <w:color w:val="0D0D0D" w:themeColor="text1" w:themeTint="F2"/>
                <w:spacing w:val="-2"/>
              </w:rPr>
              <w:t> </w:t>
            </w:r>
            <w:r w:rsidRPr="00114FC0">
              <w:rPr>
                <w:color w:val="000000" w:themeColor="text1"/>
                <w:spacing w:val="-2"/>
              </w:rPr>
              <w:t>osminu se (podobně jako v předchozím roce) zvýšily tržby v obchodu s motorovými vozidly.</w:t>
            </w:r>
          </w:p>
          <w:p w:rsidR="00905A11" w:rsidRPr="00114FC0" w:rsidRDefault="00905A11" w:rsidP="00611531">
            <w:pPr>
              <w:pStyle w:val="Textpoznpodarou"/>
              <w:jc w:val="both"/>
              <w:rPr>
                <w:color w:val="000000" w:themeColor="text1"/>
                <w:spacing w:val="-2"/>
                <w:sz w:val="16"/>
                <w:szCs w:val="16"/>
              </w:rPr>
            </w:pPr>
          </w:p>
        </w:tc>
      </w:tr>
      <w:tr w:rsidR="00905A11" w:rsidRPr="00BE4405" w:rsidTr="00611531">
        <w:trPr>
          <w:cantSplit/>
          <w:trHeight w:val="250"/>
        </w:trPr>
        <w:tc>
          <w:tcPr>
            <w:tcW w:w="1090" w:type="pct"/>
          </w:tcPr>
          <w:p w:rsidR="00905A11" w:rsidRPr="00114531" w:rsidRDefault="00905A11" w:rsidP="00611531">
            <w:pPr>
              <w:spacing w:line="240" w:lineRule="auto"/>
              <w:rPr>
                <w:color w:val="000000" w:themeColor="text1"/>
                <w:spacing w:val="-4"/>
                <w:sz w:val="16"/>
                <w:szCs w:val="16"/>
              </w:rPr>
            </w:pPr>
            <w:r w:rsidRPr="00114531">
              <w:rPr>
                <w:color w:val="000000" w:themeColor="text1"/>
                <w:spacing w:val="-4"/>
                <w:sz w:val="16"/>
                <w:szCs w:val="16"/>
              </w:rPr>
              <w:lastRenderedPageBreak/>
              <w:t>Růst maloobchodních tržeb ČR byl v roce 2015 mezi zeměmi EU čtvrtý nejvyšší, dynamiku EU</w:t>
            </w:r>
            <w:r>
              <w:rPr>
                <w:color w:val="000000" w:themeColor="text1"/>
                <w:spacing w:val="-4"/>
                <w:sz w:val="16"/>
                <w:szCs w:val="16"/>
              </w:rPr>
              <w:t xml:space="preserve"> převyšovala</w:t>
            </w:r>
            <w:r w:rsidRPr="00114531">
              <w:rPr>
                <w:color w:val="000000" w:themeColor="text1"/>
                <w:spacing w:val="-4"/>
                <w:sz w:val="16"/>
                <w:szCs w:val="16"/>
              </w:rPr>
              <w:t xml:space="preserve"> ČR dlouhodobě (vyjma roku 2010)</w:t>
            </w:r>
          </w:p>
          <w:p w:rsidR="00905A11" w:rsidRPr="00BF497A" w:rsidRDefault="00905A11" w:rsidP="00611531">
            <w:pPr>
              <w:spacing w:line="240" w:lineRule="auto"/>
              <w:rPr>
                <w:color w:val="000000" w:themeColor="text1"/>
                <w:sz w:val="16"/>
                <w:szCs w:val="16"/>
              </w:rPr>
            </w:pPr>
          </w:p>
        </w:tc>
        <w:tc>
          <w:tcPr>
            <w:tcW w:w="145" w:type="pct"/>
          </w:tcPr>
          <w:p w:rsidR="00905A11" w:rsidRPr="005A16AE" w:rsidRDefault="00905A11" w:rsidP="00611531">
            <w:pPr>
              <w:rPr>
                <w:color w:val="000000" w:themeColor="text1"/>
                <w:szCs w:val="16"/>
              </w:rPr>
            </w:pPr>
          </w:p>
        </w:tc>
        <w:tc>
          <w:tcPr>
            <w:tcW w:w="3765" w:type="pct"/>
          </w:tcPr>
          <w:p w:rsidR="00240C76" w:rsidRPr="00CE442A" w:rsidRDefault="00905A11" w:rsidP="00611531">
            <w:pPr>
              <w:spacing w:line="240" w:lineRule="auto"/>
              <w:jc w:val="both"/>
              <w:rPr>
                <w:color w:val="000000" w:themeColor="text1"/>
                <w:spacing w:val="-4"/>
              </w:rPr>
            </w:pPr>
            <w:r>
              <w:rPr>
                <w:color w:val="000000" w:themeColor="text1"/>
                <w:spacing w:val="-4"/>
                <w:szCs w:val="20"/>
              </w:rPr>
              <w:t xml:space="preserve">Dynamika </w:t>
            </w:r>
            <w:r w:rsidRPr="00707A42">
              <w:rPr>
                <w:color w:val="000000" w:themeColor="text1"/>
                <w:spacing w:val="-4"/>
                <w:szCs w:val="20"/>
              </w:rPr>
              <w:t>maloobchodních tržeb</w:t>
            </w:r>
            <w:r w:rsidR="000E0ECB">
              <w:rPr>
                <w:rStyle w:val="Znakapoznpodarou"/>
                <w:color w:val="000000" w:themeColor="text1"/>
                <w:spacing w:val="-4"/>
                <w:szCs w:val="20"/>
              </w:rPr>
              <w:footnoteReference w:id="6"/>
            </w:r>
            <w:r w:rsidRPr="00707A42">
              <w:rPr>
                <w:color w:val="000000" w:themeColor="text1"/>
                <w:spacing w:val="-4"/>
                <w:szCs w:val="20"/>
              </w:rPr>
              <w:t xml:space="preserve"> ČR</w:t>
            </w:r>
            <w:r>
              <w:rPr>
                <w:color w:val="000000" w:themeColor="text1"/>
                <w:spacing w:val="-4"/>
                <w:szCs w:val="20"/>
              </w:rPr>
              <w:t xml:space="preserve"> byla v roce 2015 ve srovnání s EU dvojnásobná. Lepších výsledků dosáhly pouze </w:t>
            </w:r>
            <w:r>
              <w:rPr>
                <w:color w:val="000000" w:themeColor="text1"/>
                <w:spacing w:val="-4"/>
              </w:rPr>
              <w:t>Rumunsko (+8,8 %), Polsko (+6,6 %) a Irsko (+6,3 %). Předkrizovou úrov</w:t>
            </w:r>
            <w:r w:rsidR="000E0ECB">
              <w:rPr>
                <w:color w:val="000000" w:themeColor="text1"/>
                <w:spacing w:val="-4"/>
              </w:rPr>
              <w:t>eň tržeb (rok 2008) překonalo 16</w:t>
            </w:r>
            <w:r>
              <w:rPr>
                <w:color w:val="000000" w:themeColor="text1"/>
                <w:spacing w:val="-4"/>
              </w:rPr>
              <w:t xml:space="preserve"> členských států, z větších ekonomik nejvýrazněji Polsko (o pětinu), Velká Británie a Francie (shodně o</w:t>
            </w:r>
            <w:r w:rsidR="009867BC">
              <w:rPr>
                <w:color w:val="0D0D0D" w:themeColor="text1" w:themeTint="F2"/>
                <w:spacing w:val="-4"/>
              </w:rPr>
              <w:t> </w:t>
            </w:r>
            <w:r>
              <w:rPr>
                <w:color w:val="000000" w:themeColor="text1"/>
                <w:spacing w:val="-4"/>
              </w:rPr>
              <w:t>desetinu),</w:t>
            </w:r>
            <w:r w:rsidR="001D5E1B">
              <w:rPr>
                <w:color w:val="000000" w:themeColor="text1"/>
                <w:spacing w:val="-4"/>
              </w:rPr>
              <w:t xml:space="preserve"> s</w:t>
            </w:r>
            <w:r>
              <w:rPr>
                <w:color w:val="000000" w:themeColor="text1"/>
                <w:spacing w:val="-4"/>
              </w:rPr>
              <w:t xml:space="preserve"> odstu</w:t>
            </w:r>
            <w:r w:rsidR="00744D00">
              <w:rPr>
                <w:color w:val="000000" w:themeColor="text1"/>
                <w:spacing w:val="-4"/>
              </w:rPr>
              <w:t>pem také ČR (</w:t>
            </w:r>
            <w:r w:rsidR="00744D00" w:rsidRPr="00CE442A">
              <w:rPr>
                <w:color w:val="000000" w:themeColor="text1"/>
                <w:spacing w:val="-4"/>
              </w:rPr>
              <w:t>6</w:t>
            </w:r>
            <w:r w:rsidR="00CE442A" w:rsidRPr="00CE442A">
              <w:rPr>
                <w:color w:val="000000" w:themeColor="text1"/>
                <w:spacing w:val="-4"/>
              </w:rPr>
              <w:t>,3</w:t>
            </w:r>
            <w:r w:rsidR="00744D00" w:rsidRPr="00CE442A">
              <w:rPr>
                <w:color w:val="000000" w:themeColor="text1"/>
                <w:spacing w:val="-4"/>
              </w:rPr>
              <w:t xml:space="preserve"> </w:t>
            </w:r>
            <w:r w:rsidR="00744D00">
              <w:rPr>
                <w:color w:val="000000" w:themeColor="text1"/>
                <w:spacing w:val="-4"/>
              </w:rPr>
              <w:t>%) či Německo</w:t>
            </w:r>
            <w:r w:rsidR="00CE442A">
              <w:rPr>
                <w:color w:val="000000" w:themeColor="text1"/>
                <w:spacing w:val="-4"/>
              </w:rPr>
              <w:t xml:space="preserve"> (4,1 %)</w:t>
            </w:r>
            <w:r w:rsidR="00744D00">
              <w:rPr>
                <w:color w:val="000000" w:themeColor="text1"/>
                <w:spacing w:val="-4"/>
              </w:rPr>
              <w:t xml:space="preserve"> a</w:t>
            </w:r>
            <w:r>
              <w:rPr>
                <w:color w:val="000000" w:themeColor="text1"/>
                <w:spacing w:val="-4"/>
              </w:rPr>
              <w:t xml:space="preserve"> Rakousko (</w:t>
            </w:r>
            <w:r w:rsidR="00CE442A">
              <w:rPr>
                <w:color w:val="000000" w:themeColor="text1"/>
                <w:spacing w:val="-4"/>
              </w:rPr>
              <w:t>3,7</w:t>
            </w:r>
            <w:r>
              <w:rPr>
                <w:color w:val="000000" w:themeColor="text1"/>
                <w:spacing w:val="-4"/>
              </w:rPr>
              <w:t xml:space="preserve"> %).</w:t>
            </w:r>
          </w:p>
        </w:tc>
      </w:tr>
    </w:tbl>
    <w:p w:rsidR="00CE442A" w:rsidRPr="00D8439B" w:rsidRDefault="00CE442A" w:rsidP="00FE16E6">
      <w:pPr>
        <w:pStyle w:val="Textpoznpodarou"/>
        <w:jc w:val="both"/>
      </w:pPr>
    </w:p>
    <w:tbl>
      <w:tblPr>
        <w:tblW w:w="5059" w:type="pct"/>
        <w:tblLayout w:type="fixed"/>
        <w:tblCellMar>
          <w:left w:w="28" w:type="dxa"/>
          <w:right w:w="28" w:type="dxa"/>
        </w:tblCellMar>
        <w:tblLook w:val="04A0"/>
      </w:tblPr>
      <w:tblGrid>
        <w:gridCol w:w="735"/>
        <w:gridCol w:w="4180"/>
        <w:gridCol w:w="45"/>
        <w:gridCol w:w="738"/>
        <w:gridCol w:w="4110"/>
      </w:tblGrid>
      <w:tr w:rsidR="00905A11" w:rsidTr="00611531">
        <w:tc>
          <w:tcPr>
            <w:tcW w:w="375" w:type="pct"/>
          </w:tcPr>
          <w:p w:rsidR="00905A11" w:rsidRDefault="00905A11" w:rsidP="00611531">
            <w:pPr>
              <w:spacing w:line="240" w:lineRule="auto"/>
            </w:pPr>
            <w:r>
              <w:t>Graf č. 5</w:t>
            </w:r>
          </w:p>
        </w:tc>
        <w:tc>
          <w:tcPr>
            <w:tcW w:w="2131" w:type="pct"/>
          </w:tcPr>
          <w:p w:rsidR="00905A11" w:rsidRPr="001D04BA" w:rsidRDefault="00905A11" w:rsidP="00611531">
            <w:pPr>
              <w:pStyle w:val="Textpoznpodarou"/>
              <w:rPr>
                <w:b/>
              </w:rPr>
            </w:pPr>
            <w:r w:rsidRPr="001D04BA">
              <w:rPr>
                <w:b/>
              </w:rPr>
              <w:t>Produkce v průmyslu a</w:t>
            </w:r>
            <w:r>
              <w:rPr>
                <w:b/>
              </w:rPr>
              <w:t xml:space="preserve"> ve</w:t>
            </w:r>
            <w:r w:rsidRPr="001D04BA">
              <w:rPr>
                <w:b/>
              </w:rPr>
              <w:t xml:space="preserve"> vyb</w:t>
            </w:r>
            <w:r>
              <w:rPr>
                <w:b/>
              </w:rPr>
              <w:t>raných zpracovatelských odvětvích</w:t>
            </w:r>
          </w:p>
          <w:p w:rsidR="00905A11" w:rsidRDefault="00905A11" w:rsidP="00611531">
            <w:pPr>
              <w:pStyle w:val="Textpoznpodarou"/>
              <w:rPr>
                <w:b/>
              </w:rPr>
            </w:pPr>
            <w:r w:rsidRPr="001D04BA">
              <w:t>(reálně, y/y, v %)</w:t>
            </w:r>
          </w:p>
        </w:tc>
        <w:tc>
          <w:tcPr>
            <w:tcW w:w="399" w:type="pct"/>
            <w:gridSpan w:val="2"/>
          </w:tcPr>
          <w:p w:rsidR="00905A11" w:rsidRDefault="00905A11" w:rsidP="00611531">
            <w:pPr>
              <w:spacing w:line="240" w:lineRule="auto"/>
            </w:pPr>
            <w:r>
              <w:t>Graf č. 6</w:t>
            </w:r>
          </w:p>
        </w:tc>
        <w:tc>
          <w:tcPr>
            <w:tcW w:w="2095" w:type="pct"/>
          </w:tcPr>
          <w:p w:rsidR="00905A11" w:rsidRDefault="00905A11" w:rsidP="00611531">
            <w:pPr>
              <w:spacing w:line="240" w:lineRule="auto"/>
              <w:rPr>
                <w:b/>
              </w:rPr>
            </w:pPr>
            <w:r w:rsidRPr="004B22DA">
              <w:rPr>
                <w:b/>
                <w:spacing w:val="-2"/>
              </w:rPr>
              <w:t>Nové zakázky v automobilovém průmyslu</w:t>
            </w:r>
            <w:r>
              <w:rPr>
                <w:b/>
              </w:rPr>
              <w:t xml:space="preserve">, v průmyslu celkem </w:t>
            </w:r>
            <w:r>
              <w:rPr>
                <w:bCs/>
              </w:rPr>
              <w:t xml:space="preserve">(b.c., y/y, v %) </w:t>
            </w:r>
            <w:r w:rsidRPr="004B22DA">
              <w:t>a</w:t>
            </w:r>
            <w:r>
              <w:rPr>
                <w:b/>
              </w:rPr>
              <w:t xml:space="preserve"> saldo indikátoru důvěry v průmyslu </w:t>
            </w:r>
            <w:r w:rsidRPr="00C1711F">
              <w:t>(pravá osa)</w:t>
            </w:r>
          </w:p>
        </w:tc>
      </w:tr>
      <w:tr w:rsidR="00905A11" w:rsidTr="00611531">
        <w:tc>
          <w:tcPr>
            <w:tcW w:w="2506" w:type="pct"/>
            <w:gridSpan w:val="2"/>
          </w:tcPr>
          <w:p w:rsidR="00905A11" w:rsidRDefault="00406D69" w:rsidP="00611531">
            <w:pPr>
              <w:pStyle w:val="Textpoznpodarou"/>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4.8pt;height:183.45pt">
                  <v:imagedata r:id="rId8" o:title=""/>
                </v:shape>
              </w:pict>
            </w:r>
          </w:p>
        </w:tc>
        <w:tc>
          <w:tcPr>
            <w:tcW w:w="2494" w:type="pct"/>
            <w:gridSpan w:val="3"/>
          </w:tcPr>
          <w:p w:rsidR="00905A11" w:rsidRDefault="00406D69" w:rsidP="00611531">
            <w:pPr>
              <w:pStyle w:val="Textpoznpodarou"/>
              <w:jc w:val="both"/>
            </w:pPr>
            <w:r>
              <w:pict>
                <v:shape id="_x0000_i1030" type="#_x0000_t75" style="width:241.65pt;height:182.8pt">
                  <v:imagedata r:id="rId9" o:title=""/>
                </v:shape>
              </w:pict>
            </w:r>
          </w:p>
        </w:tc>
      </w:tr>
      <w:tr w:rsidR="00905A11" w:rsidTr="00611531">
        <w:trPr>
          <w:trHeight w:val="58"/>
        </w:trPr>
        <w:tc>
          <w:tcPr>
            <w:tcW w:w="2529" w:type="pct"/>
            <w:gridSpan w:val="3"/>
          </w:tcPr>
          <w:p w:rsidR="00905A11" w:rsidRDefault="00905A11" w:rsidP="00611531">
            <w:pPr>
              <w:pStyle w:val="Zhlav"/>
              <w:jc w:val="right"/>
              <w:rPr>
                <w:rFonts w:ascii="Arial" w:eastAsia="Times New Roman" w:hAnsi="Arial" w:cs="Arial"/>
                <w:sz w:val="18"/>
                <w:szCs w:val="18"/>
              </w:rPr>
            </w:pPr>
          </w:p>
        </w:tc>
        <w:tc>
          <w:tcPr>
            <w:tcW w:w="2471" w:type="pct"/>
            <w:gridSpan w:val="2"/>
          </w:tcPr>
          <w:p w:rsidR="00905A11" w:rsidRDefault="00905A11" w:rsidP="00611531">
            <w:pPr>
              <w:pStyle w:val="Zhlav"/>
              <w:spacing w:line="240" w:lineRule="auto"/>
              <w:jc w:val="right"/>
              <w:rPr>
                <w:rFonts w:ascii="Arial" w:eastAsia="Times New Roman" w:hAnsi="Arial" w:cs="Arial"/>
                <w:sz w:val="18"/>
                <w:szCs w:val="18"/>
              </w:rPr>
            </w:pPr>
            <w:r w:rsidRPr="000F401E">
              <w:rPr>
                <w:rFonts w:ascii="Arial" w:hAnsi="Arial" w:cs="Arial"/>
                <w:sz w:val="18"/>
                <w:szCs w:val="18"/>
                <w:lang w:eastAsia="cs-CZ"/>
              </w:rPr>
              <w:t>Zdroj: ČSÚ</w:t>
            </w:r>
          </w:p>
        </w:tc>
      </w:tr>
    </w:tbl>
    <w:p w:rsidR="00FE16E6" w:rsidRPr="00C10D62" w:rsidRDefault="00FE16E6" w:rsidP="00FE16E6">
      <w:pPr>
        <w:pStyle w:val="Textpoznpodarou"/>
        <w:jc w:val="both"/>
        <w:rPr>
          <w:sz w:val="16"/>
          <w:szCs w:val="16"/>
        </w:rPr>
      </w:pPr>
    </w:p>
    <w:tbl>
      <w:tblPr>
        <w:tblW w:w="5059" w:type="pct"/>
        <w:tblLayout w:type="fixed"/>
        <w:tblCellMar>
          <w:left w:w="28" w:type="dxa"/>
          <w:right w:w="28" w:type="dxa"/>
        </w:tblCellMar>
        <w:tblLook w:val="04A0"/>
      </w:tblPr>
      <w:tblGrid>
        <w:gridCol w:w="735"/>
        <w:gridCol w:w="4180"/>
        <w:gridCol w:w="45"/>
        <w:gridCol w:w="738"/>
        <w:gridCol w:w="4110"/>
      </w:tblGrid>
      <w:tr w:rsidR="00905A11" w:rsidTr="00611531">
        <w:tc>
          <w:tcPr>
            <w:tcW w:w="375" w:type="pct"/>
          </w:tcPr>
          <w:p w:rsidR="00905A11" w:rsidRDefault="00905A11" w:rsidP="00611531">
            <w:pPr>
              <w:spacing w:line="240" w:lineRule="auto"/>
            </w:pPr>
            <w:r>
              <w:t>Graf č. 7</w:t>
            </w:r>
          </w:p>
        </w:tc>
        <w:tc>
          <w:tcPr>
            <w:tcW w:w="2131" w:type="pct"/>
          </w:tcPr>
          <w:p w:rsidR="00FB16AD" w:rsidRDefault="00905A11" w:rsidP="00611531">
            <w:pPr>
              <w:spacing w:line="240" w:lineRule="auto"/>
              <w:rPr>
                <w:b/>
              </w:rPr>
            </w:pPr>
            <w:r>
              <w:rPr>
                <w:b/>
              </w:rPr>
              <w:t xml:space="preserve">Stavební produkce, hodnota nových zakázek </w:t>
            </w:r>
            <w:r>
              <w:rPr>
                <w:bCs/>
              </w:rPr>
              <w:t xml:space="preserve">(y/y, v %) </w:t>
            </w:r>
            <w:r w:rsidRPr="004B22DA">
              <w:t>a</w:t>
            </w:r>
            <w:r>
              <w:rPr>
                <w:b/>
              </w:rPr>
              <w:t xml:space="preserve"> saldo indikátoru </w:t>
            </w:r>
          </w:p>
          <w:p w:rsidR="00905A11" w:rsidRDefault="00905A11" w:rsidP="00611531">
            <w:pPr>
              <w:spacing w:line="240" w:lineRule="auto"/>
              <w:rPr>
                <w:b/>
              </w:rPr>
            </w:pPr>
            <w:r>
              <w:rPr>
                <w:b/>
              </w:rPr>
              <w:t xml:space="preserve">důvěry ve stavebnictví </w:t>
            </w:r>
            <w:r w:rsidRPr="00C1711F">
              <w:t>(pravá osa)</w:t>
            </w:r>
          </w:p>
        </w:tc>
        <w:tc>
          <w:tcPr>
            <w:tcW w:w="399" w:type="pct"/>
            <w:gridSpan w:val="2"/>
          </w:tcPr>
          <w:p w:rsidR="00905A11" w:rsidRDefault="00905A11" w:rsidP="00611531">
            <w:pPr>
              <w:spacing w:line="240" w:lineRule="auto"/>
            </w:pPr>
            <w:r>
              <w:t>Graf č. 8</w:t>
            </w:r>
          </w:p>
        </w:tc>
        <w:tc>
          <w:tcPr>
            <w:tcW w:w="2095" w:type="pct"/>
          </w:tcPr>
          <w:p w:rsidR="00905A11" w:rsidRDefault="00905A11" w:rsidP="00611531">
            <w:pPr>
              <w:spacing w:line="240" w:lineRule="auto"/>
              <w:rPr>
                <w:b/>
              </w:rPr>
            </w:pPr>
            <w:r>
              <w:rPr>
                <w:b/>
              </w:rPr>
              <w:t xml:space="preserve">Tržby v maloobchodě vč. motoristického segmentu </w:t>
            </w:r>
            <w:r>
              <w:rPr>
                <w:bCs/>
              </w:rPr>
              <w:t xml:space="preserve">(reálně, y/y v %) </w:t>
            </w:r>
            <w:r>
              <w:rPr>
                <w:b/>
              </w:rPr>
              <w:t xml:space="preserve">saldo indikátoru důvěry spotřebitelů </w:t>
            </w:r>
            <w:r w:rsidRPr="00C1711F">
              <w:t>(pravá osa)</w:t>
            </w:r>
          </w:p>
        </w:tc>
      </w:tr>
      <w:tr w:rsidR="00905A11" w:rsidTr="00611531">
        <w:tc>
          <w:tcPr>
            <w:tcW w:w="2506" w:type="pct"/>
            <w:gridSpan w:val="2"/>
          </w:tcPr>
          <w:p w:rsidR="00905A11" w:rsidRDefault="00406D69" w:rsidP="00611531">
            <w:pPr>
              <w:pStyle w:val="Textpoznpodarou"/>
              <w:jc w:val="both"/>
            </w:pPr>
            <w:r>
              <w:pict>
                <v:shape id="_x0000_i1031" type="#_x0000_t75" style="width:242.9pt;height:182.2pt">
                  <v:imagedata r:id="rId10" o:title=""/>
                </v:shape>
              </w:pict>
            </w:r>
          </w:p>
        </w:tc>
        <w:tc>
          <w:tcPr>
            <w:tcW w:w="2494" w:type="pct"/>
            <w:gridSpan w:val="3"/>
          </w:tcPr>
          <w:p w:rsidR="00905A11" w:rsidRDefault="00406D69" w:rsidP="00611531">
            <w:pPr>
              <w:pStyle w:val="Textpoznpodarou"/>
              <w:jc w:val="both"/>
            </w:pPr>
            <w:r>
              <w:pict>
                <v:shape id="_x0000_i1032" type="#_x0000_t75" style="width:239.15pt;height:182.2pt">
                  <v:imagedata r:id="rId11" o:title=""/>
                </v:shape>
              </w:pict>
            </w:r>
          </w:p>
        </w:tc>
      </w:tr>
      <w:tr w:rsidR="00905A11" w:rsidTr="00611531">
        <w:trPr>
          <w:trHeight w:val="58"/>
        </w:trPr>
        <w:tc>
          <w:tcPr>
            <w:tcW w:w="2529" w:type="pct"/>
            <w:gridSpan w:val="3"/>
          </w:tcPr>
          <w:p w:rsidR="00905A11" w:rsidRDefault="00905A11" w:rsidP="00611531">
            <w:pPr>
              <w:pStyle w:val="Zhlav"/>
              <w:jc w:val="right"/>
              <w:rPr>
                <w:rFonts w:ascii="Arial" w:eastAsia="Times New Roman" w:hAnsi="Arial" w:cs="Arial"/>
                <w:sz w:val="18"/>
                <w:szCs w:val="18"/>
              </w:rPr>
            </w:pPr>
          </w:p>
        </w:tc>
        <w:tc>
          <w:tcPr>
            <w:tcW w:w="2471" w:type="pct"/>
            <w:gridSpan w:val="2"/>
          </w:tcPr>
          <w:p w:rsidR="00905A11" w:rsidRDefault="00905A11" w:rsidP="00611531">
            <w:pPr>
              <w:pStyle w:val="Zhlav"/>
              <w:spacing w:line="240" w:lineRule="auto"/>
              <w:jc w:val="right"/>
              <w:rPr>
                <w:rFonts w:ascii="Arial" w:eastAsia="Times New Roman" w:hAnsi="Arial" w:cs="Arial"/>
                <w:sz w:val="18"/>
                <w:szCs w:val="18"/>
              </w:rPr>
            </w:pPr>
            <w:r w:rsidRPr="000F401E">
              <w:rPr>
                <w:rFonts w:ascii="Arial" w:hAnsi="Arial" w:cs="Arial"/>
                <w:sz w:val="18"/>
                <w:szCs w:val="18"/>
                <w:lang w:eastAsia="cs-CZ"/>
              </w:rPr>
              <w:t>Zdroj: ČSÚ</w:t>
            </w:r>
          </w:p>
        </w:tc>
      </w:tr>
    </w:tbl>
    <w:p w:rsidR="00114FC0" w:rsidRPr="00114FC0" w:rsidRDefault="00114FC0" w:rsidP="006D142E">
      <w:pPr>
        <w:pStyle w:val="Textpoznpodarou"/>
        <w:jc w:val="both"/>
        <w:rPr>
          <w:sz w:val="2"/>
          <w:szCs w:val="2"/>
        </w:rPr>
      </w:pPr>
    </w:p>
    <w:sectPr w:rsidR="00114FC0" w:rsidRPr="00114FC0" w:rsidSect="00406D69">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92" w:rsidRDefault="00DB5792" w:rsidP="00E71A58">
      <w:r>
        <w:separator/>
      </w:r>
    </w:p>
  </w:endnote>
  <w:endnote w:type="continuationSeparator" w:id="0">
    <w:p w:rsidR="00DB5792" w:rsidRDefault="00DB5792"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92" w:rsidRDefault="00BD09B7" w:rsidP="00357449">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Description: 3" style="position:absolute;margin-left:445.7pt;margin-top:-4.1pt;width:36.75pt;height:17.25pt;z-index:251657728;visibility:visible">
          <v:imagedata r:id="rId1" o:title=""/>
        </v:shape>
      </w:pict>
    </w:r>
    <w:r w:rsidRPr="005A21E0">
      <w:rPr>
        <w:rFonts w:ascii="Arial" w:hAnsi="Arial" w:cs="Arial"/>
        <w:sz w:val="16"/>
        <w:szCs w:val="16"/>
      </w:rPr>
      <w:fldChar w:fldCharType="begin"/>
    </w:r>
    <w:r w:rsidR="00DB5792" w:rsidRPr="005A21E0">
      <w:rPr>
        <w:rFonts w:ascii="Arial" w:hAnsi="Arial" w:cs="Arial"/>
        <w:sz w:val="16"/>
        <w:szCs w:val="16"/>
      </w:rPr>
      <w:instrText>PAGE   \* MERGEFORMAT</w:instrText>
    </w:r>
    <w:r w:rsidRPr="005A21E0">
      <w:rPr>
        <w:rFonts w:ascii="Arial" w:hAnsi="Arial" w:cs="Arial"/>
        <w:sz w:val="16"/>
        <w:szCs w:val="16"/>
      </w:rPr>
      <w:fldChar w:fldCharType="separate"/>
    </w:r>
    <w:r w:rsidR="00406D69">
      <w:rPr>
        <w:rFonts w:ascii="Arial" w:hAnsi="Arial" w:cs="Arial"/>
        <w:noProof/>
        <w:sz w:val="16"/>
        <w:szCs w:val="16"/>
      </w:rPr>
      <w:t>10</w:t>
    </w:r>
    <w:r w:rsidRPr="005A21E0">
      <w:rPr>
        <w:rFonts w:ascii="Arial" w:hAnsi="Arial" w:cs="Arial"/>
        <w:sz w:val="16"/>
        <w:szCs w:val="16"/>
      </w:rPr>
      <w:fldChar w:fldCharType="end"/>
    </w:r>
    <w:r w:rsidR="00DB5792">
      <w:rPr>
        <w:rFonts w:ascii="Arial" w:hAnsi="Arial" w:cs="Arial"/>
        <w:sz w:val="16"/>
        <w:szCs w:val="16"/>
      </w:rPr>
      <w:tab/>
      <w:t>2016</w:t>
    </w:r>
    <w:r w:rsidR="00DB5792">
      <w:tab/>
    </w:r>
    <w:r w:rsidR="00DB5792">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92" w:rsidRDefault="00BD09B7"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3" style="position:absolute;margin-left:.3pt;margin-top:7.1pt;width:39pt;height:21pt;z-index:251658752;visibility:visible">
          <v:imagedata r:id="rId1" o:title=""/>
        </v:shape>
      </w:pict>
    </w:r>
    <w:r w:rsidR="00DB5792">
      <w:tab/>
    </w:r>
    <w:r w:rsidR="00DB5792">
      <w:tab/>
    </w:r>
    <w:r w:rsidR="00DB5792" w:rsidRPr="00DC5B3B">
      <w:t xml:space="preserve">                              </w:t>
    </w:r>
  </w:p>
  <w:p w:rsidR="00DB5792" w:rsidRPr="00223E00" w:rsidRDefault="00DB5792"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BD09B7"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BD09B7" w:rsidRPr="00223E00">
      <w:rPr>
        <w:rFonts w:ascii="Arial" w:hAnsi="Arial" w:cs="Arial"/>
        <w:sz w:val="16"/>
        <w:szCs w:val="16"/>
      </w:rPr>
      <w:fldChar w:fldCharType="separate"/>
    </w:r>
    <w:r w:rsidR="00406D69">
      <w:rPr>
        <w:rFonts w:ascii="Arial" w:hAnsi="Arial" w:cs="Arial"/>
        <w:noProof/>
        <w:sz w:val="16"/>
        <w:szCs w:val="16"/>
      </w:rPr>
      <w:t>11</w:t>
    </w:r>
    <w:r w:rsidR="00BD09B7"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92" w:rsidRDefault="00DB5792" w:rsidP="00E71A58">
      <w:r>
        <w:separator/>
      </w:r>
    </w:p>
  </w:footnote>
  <w:footnote w:type="continuationSeparator" w:id="0">
    <w:p w:rsidR="00DB5792" w:rsidRDefault="00DB5792" w:rsidP="00E71A58">
      <w:r>
        <w:continuationSeparator/>
      </w:r>
    </w:p>
  </w:footnote>
  <w:footnote w:id="1">
    <w:p w:rsidR="00DB5792" w:rsidRPr="00092C9A" w:rsidRDefault="00DB5792" w:rsidP="00905A11">
      <w:pPr>
        <w:pStyle w:val="Textpoznpodarou"/>
        <w:rPr>
          <w:sz w:val="16"/>
          <w:szCs w:val="16"/>
        </w:rPr>
      </w:pPr>
      <w:r w:rsidRPr="00092C9A">
        <w:rPr>
          <w:rStyle w:val="Znakapoznpodarou"/>
          <w:sz w:val="16"/>
          <w:szCs w:val="16"/>
        </w:rPr>
        <w:footnoteRef/>
      </w:r>
      <w:r w:rsidRPr="00092C9A">
        <w:rPr>
          <w:sz w:val="16"/>
          <w:szCs w:val="16"/>
        </w:rPr>
        <w:t xml:space="preserve"> Pokud není uvedeno jinak, jedná se o údaje v reálném vyjádření a očištěné o sezónní vlivy.</w:t>
      </w:r>
    </w:p>
  </w:footnote>
  <w:footnote w:id="2">
    <w:p w:rsidR="00DB5792" w:rsidRPr="00092C9A" w:rsidRDefault="00DB5792" w:rsidP="00905A11">
      <w:pPr>
        <w:pStyle w:val="Textpoznpodarou"/>
        <w:rPr>
          <w:sz w:val="16"/>
          <w:szCs w:val="16"/>
        </w:rPr>
      </w:pPr>
      <w:r w:rsidRPr="00092C9A">
        <w:rPr>
          <w:rStyle w:val="Znakapoznpodarou"/>
          <w:sz w:val="16"/>
          <w:szCs w:val="16"/>
        </w:rPr>
        <w:footnoteRef/>
      </w:r>
      <w:r w:rsidRPr="00092C9A">
        <w:rPr>
          <w:sz w:val="16"/>
          <w:szCs w:val="16"/>
        </w:rPr>
        <w:t xml:space="preserve"> Sestávají se z dílčích odvětví: Veřejná správa a obrana, vzdělávání, zdravotní a sociální péče.</w:t>
      </w:r>
    </w:p>
  </w:footnote>
  <w:footnote w:id="3">
    <w:p w:rsidR="00DB5792" w:rsidRPr="00EF6BE3" w:rsidRDefault="00DB5792" w:rsidP="00905A11">
      <w:pPr>
        <w:pStyle w:val="Textpoznpodarou"/>
        <w:rPr>
          <w:sz w:val="16"/>
          <w:szCs w:val="16"/>
        </w:rPr>
      </w:pPr>
      <w:r w:rsidRPr="00092C9A">
        <w:rPr>
          <w:rStyle w:val="Znakapoznpodarou"/>
          <w:sz w:val="16"/>
          <w:szCs w:val="16"/>
        </w:rPr>
        <w:footnoteRef/>
      </w:r>
      <w:r w:rsidRPr="00092C9A">
        <w:rPr>
          <w:sz w:val="16"/>
          <w:szCs w:val="16"/>
        </w:rPr>
        <w:t xml:space="preserve"> Zahrnující odvětví dle CZ-NACE: B (Těžba a dobývání), C (Zpracovatelský průmysl), D (Energetika).</w:t>
      </w:r>
    </w:p>
  </w:footnote>
  <w:footnote w:id="4">
    <w:p w:rsidR="00DB5792" w:rsidRPr="00092C9A" w:rsidRDefault="00DB5792" w:rsidP="00905A11">
      <w:pPr>
        <w:pStyle w:val="Textpoznpodarou"/>
        <w:rPr>
          <w:sz w:val="16"/>
          <w:szCs w:val="16"/>
        </w:rPr>
      </w:pPr>
      <w:r w:rsidRPr="00092C9A">
        <w:rPr>
          <w:rStyle w:val="Znakapoznpodarou"/>
          <w:sz w:val="16"/>
          <w:szCs w:val="16"/>
        </w:rPr>
        <w:footnoteRef/>
      </w:r>
      <w:r w:rsidRPr="00092C9A">
        <w:rPr>
          <w:sz w:val="16"/>
          <w:szCs w:val="16"/>
        </w:rPr>
        <w:t xml:space="preserve"> Nezahrnují odvětví obchodu, peněžnictví a pojišťovnictví, vědy a výzkumu a také veřejných služeb.</w:t>
      </w:r>
    </w:p>
  </w:footnote>
  <w:footnote w:id="5">
    <w:p w:rsidR="00DB5792" w:rsidRPr="00E65E26" w:rsidRDefault="00DB5792" w:rsidP="00905A11">
      <w:pPr>
        <w:pStyle w:val="Textpoznpodarou"/>
        <w:rPr>
          <w:sz w:val="16"/>
          <w:szCs w:val="16"/>
        </w:rPr>
      </w:pPr>
      <w:r w:rsidRPr="00092C9A">
        <w:rPr>
          <w:rStyle w:val="Znakapoznpodarou"/>
          <w:sz w:val="16"/>
          <w:szCs w:val="16"/>
        </w:rPr>
        <w:footnoteRef/>
      </w:r>
      <w:r w:rsidRPr="00092C9A">
        <w:rPr>
          <w:sz w:val="16"/>
          <w:szCs w:val="16"/>
        </w:rPr>
        <w:t xml:space="preserve"> Maloobchod bez motoristického segment</w:t>
      </w:r>
      <w:r>
        <w:rPr>
          <w:sz w:val="16"/>
          <w:szCs w:val="16"/>
        </w:rPr>
        <w:t>u</w:t>
      </w:r>
      <w:r w:rsidRPr="00092C9A">
        <w:rPr>
          <w:sz w:val="16"/>
          <w:szCs w:val="16"/>
        </w:rPr>
        <w:t>, údaj očištěný o počet pracovních dní.</w:t>
      </w:r>
    </w:p>
  </w:footnote>
  <w:footnote w:id="6">
    <w:p w:rsidR="00DB5792" w:rsidRPr="00262F34" w:rsidRDefault="00DB5792">
      <w:pPr>
        <w:pStyle w:val="Textpoznpodarou"/>
        <w:rPr>
          <w:sz w:val="16"/>
          <w:szCs w:val="16"/>
        </w:rPr>
      </w:pPr>
      <w:r w:rsidRPr="00262F34">
        <w:rPr>
          <w:rStyle w:val="Znakapoznpodarou"/>
          <w:sz w:val="16"/>
          <w:szCs w:val="16"/>
        </w:rPr>
        <w:footnoteRef/>
      </w:r>
      <w:r w:rsidRPr="00262F34">
        <w:rPr>
          <w:sz w:val="16"/>
          <w:szCs w:val="16"/>
        </w:rPr>
        <w:t xml:space="preserve"> Maloobchod bez motoristického segmentu, údaj očištěný o počet pracovních dní.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92" w:rsidRPr="00D766EF" w:rsidRDefault="00DB5792"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roce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92" w:rsidRPr="00D766EF" w:rsidRDefault="00DB5792"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roce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A555E"/>
    <w:multiLevelType w:val="hybridMultilevel"/>
    <w:tmpl w:val="2A820AE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1024"/>
  <w:doNotTrackMoves/>
  <w:defaultTabStop w:val="708"/>
  <w:hyphenationZone w:val="425"/>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BD"/>
    <w:rsid w:val="00000FA7"/>
    <w:rsid w:val="00001EFF"/>
    <w:rsid w:val="00003687"/>
    <w:rsid w:val="00003C43"/>
    <w:rsid w:val="00007498"/>
    <w:rsid w:val="0000767A"/>
    <w:rsid w:val="000101F5"/>
    <w:rsid w:val="000104B9"/>
    <w:rsid w:val="00010702"/>
    <w:rsid w:val="00011191"/>
    <w:rsid w:val="0001159B"/>
    <w:rsid w:val="00012986"/>
    <w:rsid w:val="00015195"/>
    <w:rsid w:val="0001519F"/>
    <w:rsid w:val="0001572B"/>
    <w:rsid w:val="0001573E"/>
    <w:rsid w:val="000162DB"/>
    <w:rsid w:val="00017F05"/>
    <w:rsid w:val="000202C6"/>
    <w:rsid w:val="00020946"/>
    <w:rsid w:val="00022B41"/>
    <w:rsid w:val="00024887"/>
    <w:rsid w:val="00024CBA"/>
    <w:rsid w:val="00025501"/>
    <w:rsid w:val="00026998"/>
    <w:rsid w:val="000304C4"/>
    <w:rsid w:val="0003066A"/>
    <w:rsid w:val="00030F14"/>
    <w:rsid w:val="000311C5"/>
    <w:rsid w:val="00032838"/>
    <w:rsid w:val="00032C12"/>
    <w:rsid w:val="00035CCF"/>
    <w:rsid w:val="00035FC6"/>
    <w:rsid w:val="00037667"/>
    <w:rsid w:val="0004075D"/>
    <w:rsid w:val="000411E1"/>
    <w:rsid w:val="00043E05"/>
    <w:rsid w:val="0004694F"/>
    <w:rsid w:val="000500DC"/>
    <w:rsid w:val="00052172"/>
    <w:rsid w:val="00053CBA"/>
    <w:rsid w:val="00054E43"/>
    <w:rsid w:val="00055059"/>
    <w:rsid w:val="000553E4"/>
    <w:rsid w:val="000567FA"/>
    <w:rsid w:val="00057C16"/>
    <w:rsid w:val="00060F26"/>
    <w:rsid w:val="00062D43"/>
    <w:rsid w:val="00062EC5"/>
    <w:rsid w:val="00064256"/>
    <w:rsid w:val="000706A4"/>
    <w:rsid w:val="00071F80"/>
    <w:rsid w:val="00072118"/>
    <w:rsid w:val="00073173"/>
    <w:rsid w:val="000779AC"/>
    <w:rsid w:val="00083803"/>
    <w:rsid w:val="00084393"/>
    <w:rsid w:val="0008716A"/>
    <w:rsid w:val="00087634"/>
    <w:rsid w:val="00091237"/>
    <w:rsid w:val="0009191B"/>
    <w:rsid w:val="000920EC"/>
    <w:rsid w:val="00092208"/>
    <w:rsid w:val="00092505"/>
    <w:rsid w:val="00092C9A"/>
    <w:rsid w:val="00097D02"/>
    <w:rsid w:val="000A1183"/>
    <w:rsid w:val="000A2121"/>
    <w:rsid w:val="000A2484"/>
    <w:rsid w:val="000A36CE"/>
    <w:rsid w:val="000A59BF"/>
    <w:rsid w:val="000A66C2"/>
    <w:rsid w:val="000B1CFE"/>
    <w:rsid w:val="000B210A"/>
    <w:rsid w:val="000B249B"/>
    <w:rsid w:val="000B3DB9"/>
    <w:rsid w:val="000B3F02"/>
    <w:rsid w:val="000B48A2"/>
    <w:rsid w:val="000B48E7"/>
    <w:rsid w:val="000B4F41"/>
    <w:rsid w:val="000B7663"/>
    <w:rsid w:val="000C11D3"/>
    <w:rsid w:val="000C12F5"/>
    <w:rsid w:val="000C3408"/>
    <w:rsid w:val="000C5C0F"/>
    <w:rsid w:val="000C6498"/>
    <w:rsid w:val="000D0D51"/>
    <w:rsid w:val="000D14B3"/>
    <w:rsid w:val="000D208B"/>
    <w:rsid w:val="000D2B8D"/>
    <w:rsid w:val="000D2E41"/>
    <w:rsid w:val="000D342A"/>
    <w:rsid w:val="000D5E7A"/>
    <w:rsid w:val="000D5FAA"/>
    <w:rsid w:val="000D65A4"/>
    <w:rsid w:val="000D6AEF"/>
    <w:rsid w:val="000E025B"/>
    <w:rsid w:val="000E0ECB"/>
    <w:rsid w:val="000E153A"/>
    <w:rsid w:val="000E19A8"/>
    <w:rsid w:val="000E4A42"/>
    <w:rsid w:val="000E6476"/>
    <w:rsid w:val="000E78D2"/>
    <w:rsid w:val="000F3332"/>
    <w:rsid w:val="000F33EE"/>
    <w:rsid w:val="000F401E"/>
    <w:rsid w:val="000F5445"/>
    <w:rsid w:val="000F5673"/>
    <w:rsid w:val="000F67B2"/>
    <w:rsid w:val="000F790F"/>
    <w:rsid w:val="000F7E1B"/>
    <w:rsid w:val="00100014"/>
    <w:rsid w:val="0010039A"/>
    <w:rsid w:val="00101FB2"/>
    <w:rsid w:val="00102CB8"/>
    <w:rsid w:val="00102F02"/>
    <w:rsid w:val="0010385D"/>
    <w:rsid w:val="00103E41"/>
    <w:rsid w:val="001041B6"/>
    <w:rsid w:val="001070EA"/>
    <w:rsid w:val="0011002A"/>
    <w:rsid w:val="001107CE"/>
    <w:rsid w:val="0011110A"/>
    <w:rsid w:val="001118AF"/>
    <w:rsid w:val="00111CA5"/>
    <w:rsid w:val="0011256E"/>
    <w:rsid w:val="0011352E"/>
    <w:rsid w:val="00114FC0"/>
    <w:rsid w:val="00116DB9"/>
    <w:rsid w:val="00116F28"/>
    <w:rsid w:val="00121C39"/>
    <w:rsid w:val="00123255"/>
    <w:rsid w:val="00124D2D"/>
    <w:rsid w:val="00124DA1"/>
    <w:rsid w:val="00125326"/>
    <w:rsid w:val="00125CB5"/>
    <w:rsid w:val="00127535"/>
    <w:rsid w:val="001307BE"/>
    <w:rsid w:val="00130C8F"/>
    <w:rsid w:val="001314F2"/>
    <w:rsid w:val="001317DA"/>
    <w:rsid w:val="001323BA"/>
    <w:rsid w:val="0013254D"/>
    <w:rsid w:val="00133AAC"/>
    <w:rsid w:val="00133FBD"/>
    <w:rsid w:val="00136561"/>
    <w:rsid w:val="001400E1"/>
    <w:rsid w:val="001405FA"/>
    <w:rsid w:val="001413B3"/>
    <w:rsid w:val="001425C3"/>
    <w:rsid w:val="00142F16"/>
    <w:rsid w:val="00143E03"/>
    <w:rsid w:val="00143E93"/>
    <w:rsid w:val="00151AC0"/>
    <w:rsid w:val="00151B27"/>
    <w:rsid w:val="00152046"/>
    <w:rsid w:val="00154147"/>
    <w:rsid w:val="00155746"/>
    <w:rsid w:val="00156318"/>
    <w:rsid w:val="0015639A"/>
    <w:rsid w:val="0016081D"/>
    <w:rsid w:val="00160CF3"/>
    <w:rsid w:val="00160E61"/>
    <w:rsid w:val="001620FA"/>
    <w:rsid w:val="00162853"/>
    <w:rsid w:val="00163793"/>
    <w:rsid w:val="001707DE"/>
    <w:rsid w:val="00170B04"/>
    <w:rsid w:val="00170F47"/>
    <w:rsid w:val="001714F2"/>
    <w:rsid w:val="00173642"/>
    <w:rsid w:val="00173AF4"/>
    <w:rsid w:val="00173CB0"/>
    <w:rsid w:val="00174CE8"/>
    <w:rsid w:val="00175351"/>
    <w:rsid w:val="00175F60"/>
    <w:rsid w:val="00176050"/>
    <w:rsid w:val="001764D8"/>
    <w:rsid w:val="00176A8F"/>
    <w:rsid w:val="00180D58"/>
    <w:rsid w:val="00182981"/>
    <w:rsid w:val="00184CF9"/>
    <w:rsid w:val="00185010"/>
    <w:rsid w:val="001852EC"/>
    <w:rsid w:val="00186447"/>
    <w:rsid w:val="001874CF"/>
    <w:rsid w:val="00190D9B"/>
    <w:rsid w:val="00191BAE"/>
    <w:rsid w:val="00193432"/>
    <w:rsid w:val="0019346C"/>
    <w:rsid w:val="00195444"/>
    <w:rsid w:val="001A199D"/>
    <w:rsid w:val="001A2BDB"/>
    <w:rsid w:val="001A30F4"/>
    <w:rsid w:val="001A4C0D"/>
    <w:rsid w:val="001A552F"/>
    <w:rsid w:val="001A56F3"/>
    <w:rsid w:val="001A750C"/>
    <w:rsid w:val="001B1D89"/>
    <w:rsid w:val="001B3110"/>
    <w:rsid w:val="001B4198"/>
    <w:rsid w:val="001B44BC"/>
    <w:rsid w:val="001B618F"/>
    <w:rsid w:val="001B6545"/>
    <w:rsid w:val="001B681B"/>
    <w:rsid w:val="001B6A49"/>
    <w:rsid w:val="001B74FB"/>
    <w:rsid w:val="001B77A1"/>
    <w:rsid w:val="001C0422"/>
    <w:rsid w:val="001C0E0E"/>
    <w:rsid w:val="001C0EB9"/>
    <w:rsid w:val="001C1219"/>
    <w:rsid w:val="001C357A"/>
    <w:rsid w:val="001C3A37"/>
    <w:rsid w:val="001C4384"/>
    <w:rsid w:val="001C65FF"/>
    <w:rsid w:val="001D47E5"/>
    <w:rsid w:val="001D584C"/>
    <w:rsid w:val="001D5E1B"/>
    <w:rsid w:val="001D66C1"/>
    <w:rsid w:val="001D7C6F"/>
    <w:rsid w:val="001E0024"/>
    <w:rsid w:val="001E0C65"/>
    <w:rsid w:val="001E23E3"/>
    <w:rsid w:val="001E387A"/>
    <w:rsid w:val="001E3DA4"/>
    <w:rsid w:val="001E5830"/>
    <w:rsid w:val="001E684C"/>
    <w:rsid w:val="001E701C"/>
    <w:rsid w:val="001E7C03"/>
    <w:rsid w:val="001F02AF"/>
    <w:rsid w:val="001F0649"/>
    <w:rsid w:val="001F28F4"/>
    <w:rsid w:val="001F3055"/>
    <w:rsid w:val="001F31BC"/>
    <w:rsid w:val="001F378E"/>
    <w:rsid w:val="001F3C79"/>
    <w:rsid w:val="001F3E68"/>
    <w:rsid w:val="001F4597"/>
    <w:rsid w:val="001F56A9"/>
    <w:rsid w:val="001F5C6A"/>
    <w:rsid w:val="001F670A"/>
    <w:rsid w:val="00200D15"/>
    <w:rsid w:val="00203074"/>
    <w:rsid w:val="00203B46"/>
    <w:rsid w:val="002048E1"/>
    <w:rsid w:val="00207DB6"/>
    <w:rsid w:val="00210278"/>
    <w:rsid w:val="00210CC2"/>
    <w:rsid w:val="00210F5B"/>
    <w:rsid w:val="00210FFA"/>
    <w:rsid w:val="00211262"/>
    <w:rsid w:val="002115F5"/>
    <w:rsid w:val="00211AC9"/>
    <w:rsid w:val="0021355B"/>
    <w:rsid w:val="002179F9"/>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229C"/>
    <w:rsid w:val="0023355C"/>
    <w:rsid w:val="00234280"/>
    <w:rsid w:val="00235000"/>
    <w:rsid w:val="002350E3"/>
    <w:rsid w:val="00235330"/>
    <w:rsid w:val="00236443"/>
    <w:rsid w:val="00240773"/>
    <w:rsid w:val="00240815"/>
    <w:rsid w:val="00240A5B"/>
    <w:rsid w:val="00240C76"/>
    <w:rsid w:val="002436BA"/>
    <w:rsid w:val="002444ED"/>
    <w:rsid w:val="00244A15"/>
    <w:rsid w:val="00244D40"/>
    <w:rsid w:val="00246AE9"/>
    <w:rsid w:val="0024799E"/>
    <w:rsid w:val="00250C59"/>
    <w:rsid w:val="00250E0D"/>
    <w:rsid w:val="00251D59"/>
    <w:rsid w:val="00252602"/>
    <w:rsid w:val="00252FDC"/>
    <w:rsid w:val="00257613"/>
    <w:rsid w:val="00261E5B"/>
    <w:rsid w:val="00262F34"/>
    <w:rsid w:val="00263470"/>
    <w:rsid w:val="00263733"/>
    <w:rsid w:val="00264676"/>
    <w:rsid w:val="00265536"/>
    <w:rsid w:val="00265E54"/>
    <w:rsid w:val="00266F3E"/>
    <w:rsid w:val="00272464"/>
    <w:rsid w:val="00273DCD"/>
    <w:rsid w:val="00274291"/>
    <w:rsid w:val="00276CFE"/>
    <w:rsid w:val="00277071"/>
    <w:rsid w:val="0027786C"/>
    <w:rsid w:val="00277BF7"/>
    <w:rsid w:val="00281416"/>
    <w:rsid w:val="00285CD3"/>
    <w:rsid w:val="0028686A"/>
    <w:rsid w:val="00286E66"/>
    <w:rsid w:val="002919B5"/>
    <w:rsid w:val="00293441"/>
    <w:rsid w:val="00294238"/>
    <w:rsid w:val="0029493E"/>
    <w:rsid w:val="00296C2E"/>
    <w:rsid w:val="002A1B05"/>
    <w:rsid w:val="002A267F"/>
    <w:rsid w:val="002A3354"/>
    <w:rsid w:val="002A35EA"/>
    <w:rsid w:val="002A37B6"/>
    <w:rsid w:val="002A3BD5"/>
    <w:rsid w:val="002A43A2"/>
    <w:rsid w:val="002A44ED"/>
    <w:rsid w:val="002A4612"/>
    <w:rsid w:val="002A4F70"/>
    <w:rsid w:val="002A5263"/>
    <w:rsid w:val="002A6821"/>
    <w:rsid w:val="002A74D2"/>
    <w:rsid w:val="002A7CDA"/>
    <w:rsid w:val="002A7F47"/>
    <w:rsid w:val="002B1544"/>
    <w:rsid w:val="002B36C8"/>
    <w:rsid w:val="002B7240"/>
    <w:rsid w:val="002C2668"/>
    <w:rsid w:val="002C43BD"/>
    <w:rsid w:val="002C5261"/>
    <w:rsid w:val="002C6091"/>
    <w:rsid w:val="002D0562"/>
    <w:rsid w:val="002D1B5A"/>
    <w:rsid w:val="002D2500"/>
    <w:rsid w:val="002D3F00"/>
    <w:rsid w:val="002D4D59"/>
    <w:rsid w:val="002D54BF"/>
    <w:rsid w:val="002D5E94"/>
    <w:rsid w:val="002D632D"/>
    <w:rsid w:val="002E02A1"/>
    <w:rsid w:val="002E0982"/>
    <w:rsid w:val="002E0DB9"/>
    <w:rsid w:val="002E2CE4"/>
    <w:rsid w:val="002E34F3"/>
    <w:rsid w:val="002E435E"/>
    <w:rsid w:val="002E73F2"/>
    <w:rsid w:val="002F33FB"/>
    <w:rsid w:val="002F7594"/>
    <w:rsid w:val="00301357"/>
    <w:rsid w:val="00301D04"/>
    <w:rsid w:val="003035D4"/>
    <w:rsid w:val="00303DCB"/>
    <w:rsid w:val="00304771"/>
    <w:rsid w:val="00305736"/>
    <w:rsid w:val="00306C5B"/>
    <w:rsid w:val="00306E3B"/>
    <w:rsid w:val="003119B6"/>
    <w:rsid w:val="00312C3D"/>
    <w:rsid w:val="00314331"/>
    <w:rsid w:val="00317E31"/>
    <w:rsid w:val="00320214"/>
    <w:rsid w:val="003209D6"/>
    <w:rsid w:val="0032109A"/>
    <w:rsid w:val="0032214F"/>
    <w:rsid w:val="00322164"/>
    <w:rsid w:val="00323CF7"/>
    <w:rsid w:val="00323E61"/>
    <w:rsid w:val="0032513D"/>
    <w:rsid w:val="00326251"/>
    <w:rsid w:val="0032739C"/>
    <w:rsid w:val="00327DEE"/>
    <w:rsid w:val="003302DA"/>
    <w:rsid w:val="00330EB0"/>
    <w:rsid w:val="003329F3"/>
    <w:rsid w:val="0033352E"/>
    <w:rsid w:val="00333690"/>
    <w:rsid w:val="00333D20"/>
    <w:rsid w:val="00333F53"/>
    <w:rsid w:val="003340EF"/>
    <w:rsid w:val="00334A49"/>
    <w:rsid w:val="0033536F"/>
    <w:rsid w:val="00335BB0"/>
    <w:rsid w:val="0033627B"/>
    <w:rsid w:val="003406BD"/>
    <w:rsid w:val="00343474"/>
    <w:rsid w:val="00343F84"/>
    <w:rsid w:val="00344135"/>
    <w:rsid w:val="003450E2"/>
    <w:rsid w:val="00351B63"/>
    <w:rsid w:val="00352E57"/>
    <w:rsid w:val="003541B0"/>
    <w:rsid w:val="0035457E"/>
    <w:rsid w:val="00355885"/>
    <w:rsid w:val="0035605E"/>
    <w:rsid w:val="00357449"/>
    <w:rsid w:val="0036238B"/>
    <w:rsid w:val="003651A4"/>
    <w:rsid w:val="00365680"/>
    <w:rsid w:val="003657F3"/>
    <w:rsid w:val="00367038"/>
    <w:rsid w:val="00370963"/>
    <w:rsid w:val="0037144E"/>
    <w:rsid w:val="003736B5"/>
    <w:rsid w:val="00374F1E"/>
    <w:rsid w:val="00376DEC"/>
    <w:rsid w:val="00377200"/>
    <w:rsid w:val="00380E04"/>
    <w:rsid w:val="00383227"/>
    <w:rsid w:val="00384D8F"/>
    <w:rsid w:val="00385D98"/>
    <w:rsid w:val="00385EC5"/>
    <w:rsid w:val="0038658E"/>
    <w:rsid w:val="0039066E"/>
    <w:rsid w:val="00391C95"/>
    <w:rsid w:val="00394D49"/>
    <w:rsid w:val="00396DAC"/>
    <w:rsid w:val="003A0214"/>
    <w:rsid w:val="003A027D"/>
    <w:rsid w:val="003A1D74"/>
    <w:rsid w:val="003A2B4D"/>
    <w:rsid w:val="003A2D2B"/>
    <w:rsid w:val="003A2DD4"/>
    <w:rsid w:val="003A3B1C"/>
    <w:rsid w:val="003A4088"/>
    <w:rsid w:val="003A478C"/>
    <w:rsid w:val="003A4F82"/>
    <w:rsid w:val="003A5525"/>
    <w:rsid w:val="003A6B38"/>
    <w:rsid w:val="003B2580"/>
    <w:rsid w:val="003B2E63"/>
    <w:rsid w:val="003B3189"/>
    <w:rsid w:val="003B3A9D"/>
    <w:rsid w:val="003B3DDD"/>
    <w:rsid w:val="003B5031"/>
    <w:rsid w:val="003B5A32"/>
    <w:rsid w:val="003B6105"/>
    <w:rsid w:val="003C03CC"/>
    <w:rsid w:val="003C04C4"/>
    <w:rsid w:val="003C26F4"/>
    <w:rsid w:val="003C3686"/>
    <w:rsid w:val="003C4852"/>
    <w:rsid w:val="003C5BC7"/>
    <w:rsid w:val="003C601E"/>
    <w:rsid w:val="003D2C4E"/>
    <w:rsid w:val="003D3600"/>
    <w:rsid w:val="003D3825"/>
    <w:rsid w:val="003D3EC4"/>
    <w:rsid w:val="003D4760"/>
    <w:rsid w:val="003D49DC"/>
    <w:rsid w:val="003D5D7A"/>
    <w:rsid w:val="003E0663"/>
    <w:rsid w:val="003E133F"/>
    <w:rsid w:val="003E49F6"/>
    <w:rsid w:val="003E699C"/>
    <w:rsid w:val="003E69F3"/>
    <w:rsid w:val="003E782E"/>
    <w:rsid w:val="003E7A0B"/>
    <w:rsid w:val="003E7B2B"/>
    <w:rsid w:val="003F181F"/>
    <w:rsid w:val="003F1A48"/>
    <w:rsid w:val="003F2B0A"/>
    <w:rsid w:val="003F313C"/>
    <w:rsid w:val="003F341B"/>
    <w:rsid w:val="003F37FC"/>
    <w:rsid w:val="003F49A6"/>
    <w:rsid w:val="003F5098"/>
    <w:rsid w:val="003F5568"/>
    <w:rsid w:val="003F5A95"/>
    <w:rsid w:val="003F6D19"/>
    <w:rsid w:val="004000D5"/>
    <w:rsid w:val="004005C1"/>
    <w:rsid w:val="00401716"/>
    <w:rsid w:val="00401A09"/>
    <w:rsid w:val="0040273A"/>
    <w:rsid w:val="00402C25"/>
    <w:rsid w:val="004050D7"/>
    <w:rsid w:val="00406D69"/>
    <w:rsid w:val="004078BD"/>
    <w:rsid w:val="00410132"/>
    <w:rsid w:val="00410BCD"/>
    <w:rsid w:val="0041175D"/>
    <w:rsid w:val="004123BE"/>
    <w:rsid w:val="00414CE5"/>
    <w:rsid w:val="00416673"/>
    <w:rsid w:val="0042160D"/>
    <w:rsid w:val="00423A3C"/>
    <w:rsid w:val="0042681B"/>
    <w:rsid w:val="00427193"/>
    <w:rsid w:val="0043068A"/>
    <w:rsid w:val="004306E0"/>
    <w:rsid w:val="00431D54"/>
    <w:rsid w:val="004329BE"/>
    <w:rsid w:val="00432C38"/>
    <w:rsid w:val="004342EC"/>
    <w:rsid w:val="00437C76"/>
    <w:rsid w:val="0044105C"/>
    <w:rsid w:val="004441A0"/>
    <w:rsid w:val="00444268"/>
    <w:rsid w:val="00444326"/>
    <w:rsid w:val="004443BF"/>
    <w:rsid w:val="00444C19"/>
    <w:rsid w:val="00445218"/>
    <w:rsid w:val="00445CDD"/>
    <w:rsid w:val="00446892"/>
    <w:rsid w:val="00447E36"/>
    <w:rsid w:val="00450C30"/>
    <w:rsid w:val="004540FF"/>
    <w:rsid w:val="004541F1"/>
    <w:rsid w:val="00455ECA"/>
    <w:rsid w:val="00457296"/>
    <w:rsid w:val="00457320"/>
    <w:rsid w:val="00460164"/>
    <w:rsid w:val="0046039A"/>
    <w:rsid w:val="00460A6B"/>
    <w:rsid w:val="00461977"/>
    <w:rsid w:val="004629FD"/>
    <w:rsid w:val="00463B4B"/>
    <w:rsid w:val="00463F4D"/>
    <w:rsid w:val="0046471F"/>
    <w:rsid w:val="00464BE8"/>
    <w:rsid w:val="00465019"/>
    <w:rsid w:val="00465FA4"/>
    <w:rsid w:val="0046613F"/>
    <w:rsid w:val="0046655D"/>
    <w:rsid w:val="0046765E"/>
    <w:rsid w:val="004676E2"/>
    <w:rsid w:val="00471EDD"/>
    <w:rsid w:val="00473E94"/>
    <w:rsid w:val="0047400C"/>
    <w:rsid w:val="004745D9"/>
    <w:rsid w:val="004762D8"/>
    <w:rsid w:val="004765B3"/>
    <w:rsid w:val="00476D29"/>
    <w:rsid w:val="00477241"/>
    <w:rsid w:val="00477EAF"/>
    <w:rsid w:val="00477EE0"/>
    <w:rsid w:val="00480AB8"/>
    <w:rsid w:val="0048139F"/>
    <w:rsid w:val="00481C00"/>
    <w:rsid w:val="00483053"/>
    <w:rsid w:val="00484874"/>
    <w:rsid w:val="00485230"/>
    <w:rsid w:val="004879E9"/>
    <w:rsid w:val="00487F81"/>
    <w:rsid w:val="00490247"/>
    <w:rsid w:val="0049104F"/>
    <w:rsid w:val="00491218"/>
    <w:rsid w:val="00491CFD"/>
    <w:rsid w:val="00493362"/>
    <w:rsid w:val="00494343"/>
    <w:rsid w:val="00496C2F"/>
    <w:rsid w:val="0049740D"/>
    <w:rsid w:val="004978D3"/>
    <w:rsid w:val="004A11F8"/>
    <w:rsid w:val="004A22BD"/>
    <w:rsid w:val="004A22FA"/>
    <w:rsid w:val="004A269A"/>
    <w:rsid w:val="004A30FB"/>
    <w:rsid w:val="004A35DD"/>
    <w:rsid w:val="004A37D3"/>
    <w:rsid w:val="004A3AD6"/>
    <w:rsid w:val="004A5865"/>
    <w:rsid w:val="004A77DF"/>
    <w:rsid w:val="004B0295"/>
    <w:rsid w:val="004B0803"/>
    <w:rsid w:val="004B10A8"/>
    <w:rsid w:val="004B22DA"/>
    <w:rsid w:val="004B3CB7"/>
    <w:rsid w:val="004B3D55"/>
    <w:rsid w:val="004B55B7"/>
    <w:rsid w:val="004C00A6"/>
    <w:rsid w:val="004C0BBB"/>
    <w:rsid w:val="004C1AD6"/>
    <w:rsid w:val="004C1B86"/>
    <w:rsid w:val="004C3382"/>
    <w:rsid w:val="004C3867"/>
    <w:rsid w:val="004C4AB7"/>
    <w:rsid w:val="004C4CD0"/>
    <w:rsid w:val="004C57B5"/>
    <w:rsid w:val="004C5C25"/>
    <w:rsid w:val="004C6717"/>
    <w:rsid w:val="004C6CFF"/>
    <w:rsid w:val="004C70DC"/>
    <w:rsid w:val="004C7268"/>
    <w:rsid w:val="004D0211"/>
    <w:rsid w:val="004D1C9C"/>
    <w:rsid w:val="004D504B"/>
    <w:rsid w:val="004D536E"/>
    <w:rsid w:val="004D76CC"/>
    <w:rsid w:val="004E1839"/>
    <w:rsid w:val="004E4A75"/>
    <w:rsid w:val="004E541A"/>
    <w:rsid w:val="004E5A5C"/>
    <w:rsid w:val="004E7007"/>
    <w:rsid w:val="004E76D6"/>
    <w:rsid w:val="004E7F57"/>
    <w:rsid w:val="004F06F5"/>
    <w:rsid w:val="004F191F"/>
    <w:rsid w:val="004F2A73"/>
    <w:rsid w:val="004F33A0"/>
    <w:rsid w:val="004F4353"/>
    <w:rsid w:val="004F447D"/>
    <w:rsid w:val="004F4C28"/>
    <w:rsid w:val="004F4E82"/>
    <w:rsid w:val="004F5CC5"/>
    <w:rsid w:val="004F6350"/>
    <w:rsid w:val="005028E1"/>
    <w:rsid w:val="0050692E"/>
    <w:rsid w:val="00507040"/>
    <w:rsid w:val="005079F8"/>
    <w:rsid w:val="00510189"/>
    <w:rsid w:val="005108C0"/>
    <w:rsid w:val="00511873"/>
    <w:rsid w:val="00513B7E"/>
    <w:rsid w:val="005140DE"/>
    <w:rsid w:val="00514474"/>
    <w:rsid w:val="005147E9"/>
    <w:rsid w:val="0051778E"/>
    <w:rsid w:val="005215EF"/>
    <w:rsid w:val="00524637"/>
    <w:rsid w:val="00524FDD"/>
    <w:rsid w:val="00525137"/>
    <w:rsid w:val="005251DD"/>
    <w:rsid w:val="00526DB6"/>
    <w:rsid w:val="0053017A"/>
    <w:rsid w:val="00530492"/>
    <w:rsid w:val="00532854"/>
    <w:rsid w:val="005350F2"/>
    <w:rsid w:val="00535152"/>
    <w:rsid w:val="00535359"/>
    <w:rsid w:val="005357A2"/>
    <w:rsid w:val="00535D87"/>
    <w:rsid w:val="00535EF0"/>
    <w:rsid w:val="005363DF"/>
    <w:rsid w:val="0053734B"/>
    <w:rsid w:val="005375B1"/>
    <w:rsid w:val="00537AFD"/>
    <w:rsid w:val="00537CB4"/>
    <w:rsid w:val="0054516B"/>
    <w:rsid w:val="0054559E"/>
    <w:rsid w:val="005513D5"/>
    <w:rsid w:val="005523B9"/>
    <w:rsid w:val="005545E0"/>
    <w:rsid w:val="00554865"/>
    <w:rsid w:val="00554E57"/>
    <w:rsid w:val="00562749"/>
    <w:rsid w:val="00562DE9"/>
    <w:rsid w:val="005638A5"/>
    <w:rsid w:val="00566381"/>
    <w:rsid w:val="00566A03"/>
    <w:rsid w:val="00571932"/>
    <w:rsid w:val="00573C97"/>
    <w:rsid w:val="00574240"/>
    <w:rsid w:val="00575CDC"/>
    <w:rsid w:val="005765D5"/>
    <w:rsid w:val="00576A3E"/>
    <w:rsid w:val="0057703D"/>
    <w:rsid w:val="0058366F"/>
    <w:rsid w:val="00583D5B"/>
    <w:rsid w:val="00583FFD"/>
    <w:rsid w:val="00587CCD"/>
    <w:rsid w:val="005908AE"/>
    <w:rsid w:val="0059176E"/>
    <w:rsid w:val="00592854"/>
    <w:rsid w:val="00593152"/>
    <w:rsid w:val="00593CA3"/>
    <w:rsid w:val="00594161"/>
    <w:rsid w:val="00594969"/>
    <w:rsid w:val="00596C5E"/>
    <w:rsid w:val="005A2194"/>
    <w:rsid w:val="005A21E0"/>
    <w:rsid w:val="005A33A1"/>
    <w:rsid w:val="005A54EE"/>
    <w:rsid w:val="005A563B"/>
    <w:rsid w:val="005A7500"/>
    <w:rsid w:val="005A77E4"/>
    <w:rsid w:val="005B1BDB"/>
    <w:rsid w:val="005B2BAA"/>
    <w:rsid w:val="005B2D53"/>
    <w:rsid w:val="005B3247"/>
    <w:rsid w:val="005B3409"/>
    <w:rsid w:val="005B498A"/>
    <w:rsid w:val="005B7B12"/>
    <w:rsid w:val="005C16CB"/>
    <w:rsid w:val="005C21D6"/>
    <w:rsid w:val="005C3F9F"/>
    <w:rsid w:val="005C406F"/>
    <w:rsid w:val="005C4A23"/>
    <w:rsid w:val="005C562C"/>
    <w:rsid w:val="005C5812"/>
    <w:rsid w:val="005C6400"/>
    <w:rsid w:val="005C7F1E"/>
    <w:rsid w:val="005D374F"/>
    <w:rsid w:val="005D5802"/>
    <w:rsid w:val="005D6CFC"/>
    <w:rsid w:val="005D73E2"/>
    <w:rsid w:val="005D757A"/>
    <w:rsid w:val="005E1E4B"/>
    <w:rsid w:val="005E362D"/>
    <w:rsid w:val="005E492C"/>
    <w:rsid w:val="005E4BAA"/>
    <w:rsid w:val="005E52EF"/>
    <w:rsid w:val="005E5B56"/>
    <w:rsid w:val="005E6088"/>
    <w:rsid w:val="005E61DF"/>
    <w:rsid w:val="005E6B65"/>
    <w:rsid w:val="005E6B78"/>
    <w:rsid w:val="005F26CE"/>
    <w:rsid w:val="005F4057"/>
    <w:rsid w:val="005F4088"/>
    <w:rsid w:val="005F601D"/>
    <w:rsid w:val="005F6119"/>
    <w:rsid w:val="005F7940"/>
    <w:rsid w:val="0060107A"/>
    <w:rsid w:val="00601AFF"/>
    <w:rsid w:val="00602D1D"/>
    <w:rsid w:val="00604307"/>
    <w:rsid w:val="0060487F"/>
    <w:rsid w:val="00605814"/>
    <w:rsid w:val="00606B93"/>
    <w:rsid w:val="00607727"/>
    <w:rsid w:val="00610BD5"/>
    <w:rsid w:val="00611531"/>
    <w:rsid w:val="006118AA"/>
    <w:rsid w:val="006139C7"/>
    <w:rsid w:val="006153E3"/>
    <w:rsid w:val="006167AB"/>
    <w:rsid w:val="00617D2D"/>
    <w:rsid w:val="00617D83"/>
    <w:rsid w:val="00620430"/>
    <w:rsid w:val="00620AC5"/>
    <w:rsid w:val="00621575"/>
    <w:rsid w:val="006215FC"/>
    <w:rsid w:val="00624093"/>
    <w:rsid w:val="00630F66"/>
    <w:rsid w:val="00631FC2"/>
    <w:rsid w:val="00632171"/>
    <w:rsid w:val="0063332A"/>
    <w:rsid w:val="006347F9"/>
    <w:rsid w:val="0063494E"/>
    <w:rsid w:val="00634C90"/>
    <w:rsid w:val="00635E79"/>
    <w:rsid w:val="00636E5E"/>
    <w:rsid w:val="006379E0"/>
    <w:rsid w:val="006404A7"/>
    <w:rsid w:val="006407F3"/>
    <w:rsid w:val="006408EC"/>
    <w:rsid w:val="0064129B"/>
    <w:rsid w:val="00644DFC"/>
    <w:rsid w:val="006451E4"/>
    <w:rsid w:val="006454B4"/>
    <w:rsid w:val="00645A9C"/>
    <w:rsid w:val="006460B8"/>
    <w:rsid w:val="006504A0"/>
    <w:rsid w:val="006520C7"/>
    <w:rsid w:val="00652CBB"/>
    <w:rsid w:val="006530B8"/>
    <w:rsid w:val="006535D6"/>
    <w:rsid w:val="006572ED"/>
    <w:rsid w:val="00657E87"/>
    <w:rsid w:val="00660457"/>
    <w:rsid w:val="00660E1E"/>
    <w:rsid w:val="006637B1"/>
    <w:rsid w:val="00664B64"/>
    <w:rsid w:val="00665D67"/>
    <w:rsid w:val="00665D77"/>
    <w:rsid w:val="006660CD"/>
    <w:rsid w:val="00666EC8"/>
    <w:rsid w:val="00666F4B"/>
    <w:rsid w:val="006676D0"/>
    <w:rsid w:val="0066796E"/>
    <w:rsid w:val="00670FAC"/>
    <w:rsid w:val="006710C9"/>
    <w:rsid w:val="006716A5"/>
    <w:rsid w:val="00675E37"/>
    <w:rsid w:val="00676AFC"/>
    <w:rsid w:val="00676F11"/>
    <w:rsid w:val="00680079"/>
    <w:rsid w:val="00680F68"/>
    <w:rsid w:val="0068260E"/>
    <w:rsid w:val="0068373D"/>
    <w:rsid w:val="00683BFE"/>
    <w:rsid w:val="0068437D"/>
    <w:rsid w:val="006857DF"/>
    <w:rsid w:val="00685E66"/>
    <w:rsid w:val="00686B72"/>
    <w:rsid w:val="00686BF1"/>
    <w:rsid w:val="00690A09"/>
    <w:rsid w:val="00690A25"/>
    <w:rsid w:val="00693EA1"/>
    <w:rsid w:val="00693FEA"/>
    <w:rsid w:val="00694930"/>
    <w:rsid w:val="00695170"/>
    <w:rsid w:val="00695BEF"/>
    <w:rsid w:val="006960D6"/>
    <w:rsid w:val="00696AA5"/>
    <w:rsid w:val="006977F6"/>
    <w:rsid w:val="00697A13"/>
    <w:rsid w:val="006A109C"/>
    <w:rsid w:val="006A18AE"/>
    <w:rsid w:val="006A2EE8"/>
    <w:rsid w:val="006A3CF3"/>
    <w:rsid w:val="006A568F"/>
    <w:rsid w:val="006A65EF"/>
    <w:rsid w:val="006A672B"/>
    <w:rsid w:val="006B23A9"/>
    <w:rsid w:val="006B3F8A"/>
    <w:rsid w:val="006B5CA3"/>
    <w:rsid w:val="006B6B3B"/>
    <w:rsid w:val="006B7714"/>
    <w:rsid w:val="006B78D8"/>
    <w:rsid w:val="006C090F"/>
    <w:rsid w:val="006C0935"/>
    <w:rsid w:val="006C0BCE"/>
    <w:rsid w:val="006C113F"/>
    <w:rsid w:val="006C2AED"/>
    <w:rsid w:val="006C38DD"/>
    <w:rsid w:val="006C5577"/>
    <w:rsid w:val="006C559A"/>
    <w:rsid w:val="006C58FA"/>
    <w:rsid w:val="006D042D"/>
    <w:rsid w:val="006D06EF"/>
    <w:rsid w:val="006D142E"/>
    <w:rsid w:val="006D4497"/>
    <w:rsid w:val="006D4E6F"/>
    <w:rsid w:val="006D61F6"/>
    <w:rsid w:val="006E0EB0"/>
    <w:rsid w:val="006E1F4C"/>
    <w:rsid w:val="006E22C8"/>
    <w:rsid w:val="006E279A"/>
    <w:rsid w:val="006E2F3F"/>
    <w:rsid w:val="006E313B"/>
    <w:rsid w:val="006E442A"/>
    <w:rsid w:val="006E4434"/>
    <w:rsid w:val="006E59FC"/>
    <w:rsid w:val="006E5CFD"/>
    <w:rsid w:val="006E7E2C"/>
    <w:rsid w:val="006F1326"/>
    <w:rsid w:val="006F2BEE"/>
    <w:rsid w:val="006F3708"/>
    <w:rsid w:val="006F3E6B"/>
    <w:rsid w:val="006F4619"/>
    <w:rsid w:val="006F4A59"/>
    <w:rsid w:val="00700232"/>
    <w:rsid w:val="007014C7"/>
    <w:rsid w:val="00702D6F"/>
    <w:rsid w:val="00703B6C"/>
    <w:rsid w:val="00703C6B"/>
    <w:rsid w:val="007047D5"/>
    <w:rsid w:val="00705D98"/>
    <w:rsid w:val="00707891"/>
    <w:rsid w:val="00707D43"/>
    <w:rsid w:val="00711EF1"/>
    <w:rsid w:val="0071229A"/>
    <w:rsid w:val="00712572"/>
    <w:rsid w:val="00713495"/>
    <w:rsid w:val="00713EEB"/>
    <w:rsid w:val="007159D2"/>
    <w:rsid w:val="0072050E"/>
    <w:rsid w:val="00720FA2"/>
    <w:rsid w:val="007211F5"/>
    <w:rsid w:val="00724666"/>
    <w:rsid w:val="00726043"/>
    <w:rsid w:val="0072704A"/>
    <w:rsid w:val="00730AE8"/>
    <w:rsid w:val="00731963"/>
    <w:rsid w:val="00734321"/>
    <w:rsid w:val="0073532E"/>
    <w:rsid w:val="00740310"/>
    <w:rsid w:val="00740652"/>
    <w:rsid w:val="00740F02"/>
    <w:rsid w:val="00740FEC"/>
    <w:rsid w:val="0074132E"/>
    <w:rsid w:val="00741493"/>
    <w:rsid w:val="007426B3"/>
    <w:rsid w:val="007426FD"/>
    <w:rsid w:val="0074329D"/>
    <w:rsid w:val="00744376"/>
    <w:rsid w:val="007449EA"/>
    <w:rsid w:val="00744D00"/>
    <w:rsid w:val="00745273"/>
    <w:rsid w:val="00746DD9"/>
    <w:rsid w:val="0075057A"/>
    <w:rsid w:val="00751771"/>
    <w:rsid w:val="00751C1C"/>
    <w:rsid w:val="00752180"/>
    <w:rsid w:val="007521A1"/>
    <w:rsid w:val="00752BC3"/>
    <w:rsid w:val="0075315D"/>
    <w:rsid w:val="007538F9"/>
    <w:rsid w:val="00754253"/>
    <w:rsid w:val="007552BB"/>
    <w:rsid w:val="007558D3"/>
    <w:rsid w:val="007559D7"/>
    <w:rsid w:val="00755D3A"/>
    <w:rsid w:val="00760141"/>
    <w:rsid w:val="007609C6"/>
    <w:rsid w:val="007610A0"/>
    <w:rsid w:val="007620F2"/>
    <w:rsid w:val="00762EBA"/>
    <w:rsid w:val="0076359D"/>
    <w:rsid w:val="0077058D"/>
    <w:rsid w:val="00772536"/>
    <w:rsid w:val="00773613"/>
    <w:rsid w:val="00774782"/>
    <w:rsid w:val="00776476"/>
    <w:rsid w:val="00776527"/>
    <w:rsid w:val="007805E1"/>
    <w:rsid w:val="0078113E"/>
    <w:rsid w:val="00781834"/>
    <w:rsid w:val="007821DB"/>
    <w:rsid w:val="00782818"/>
    <w:rsid w:val="007838F1"/>
    <w:rsid w:val="00784C4A"/>
    <w:rsid w:val="00787432"/>
    <w:rsid w:val="00787507"/>
    <w:rsid w:val="007879F2"/>
    <w:rsid w:val="00791CF8"/>
    <w:rsid w:val="00791EF9"/>
    <w:rsid w:val="00792262"/>
    <w:rsid w:val="00793387"/>
    <w:rsid w:val="00793BAE"/>
    <w:rsid w:val="00794E0A"/>
    <w:rsid w:val="00796642"/>
    <w:rsid w:val="007A11D9"/>
    <w:rsid w:val="007A327B"/>
    <w:rsid w:val="007A45B1"/>
    <w:rsid w:val="007A4606"/>
    <w:rsid w:val="007B0D67"/>
    <w:rsid w:val="007B1966"/>
    <w:rsid w:val="007B2779"/>
    <w:rsid w:val="007B3DCC"/>
    <w:rsid w:val="007B4518"/>
    <w:rsid w:val="007B5031"/>
    <w:rsid w:val="007B573F"/>
    <w:rsid w:val="007C0065"/>
    <w:rsid w:val="007C010B"/>
    <w:rsid w:val="007C605B"/>
    <w:rsid w:val="007D2A5A"/>
    <w:rsid w:val="007D2AD8"/>
    <w:rsid w:val="007D2C47"/>
    <w:rsid w:val="007D3167"/>
    <w:rsid w:val="007D4128"/>
    <w:rsid w:val="007D4281"/>
    <w:rsid w:val="007D42F5"/>
    <w:rsid w:val="007D44C3"/>
    <w:rsid w:val="007D5947"/>
    <w:rsid w:val="007D65C1"/>
    <w:rsid w:val="007E030F"/>
    <w:rsid w:val="007E0E59"/>
    <w:rsid w:val="007E0F4B"/>
    <w:rsid w:val="007E3715"/>
    <w:rsid w:val="007E7E61"/>
    <w:rsid w:val="007F0845"/>
    <w:rsid w:val="007F16F9"/>
    <w:rsid w:val="007F3E3E"/>
    <w:rsid w:val="007F42E0"/>
    <w:rsid w:val="007F500D"/>
    <w:rsid w:val="007F5F14"/>
    <w:rsid w:val="007F7B54"/>
    <w:rsid w:val="00800073"/>
    <w:rsid w:val="008005D7"/>
    <w:rsid w:val="00801FDD"/>
    <w:rsid w:val="008020C2"/>
    <w:rsid w:val="0080255C"/>
    <w:rsid w:val="0081187C"/>
    <w:rsid w:val="00811E24"/>
    <w:rsid w:val="00812386"/>
    <w:rsid w:val="00812E2B"/>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7181"/>
    <w:rsid w:val="0082733C"/>
    <w:rsid w:val="00827746"/>
    <w:rsid w:val="0083143E"/>
    <w:rsid w:val="0083159D"/>
    <w:rsid w:val="008318FF"/>
    <w:rsid w:val="00832187"/>
    <w:rsid w:val="00832493"/>
    <w:rsid w:val="008336D8"/>
    <w:rsid w:val="008339C4"/>
    <w:rsid w:val="00834F0A"/>
    <w:rsid w:val="00834FAA"/>
    <w:rsid w:val="00835181"/>
    <w:rsid w:val="00835991"/>
    <w:rsid w:val="00836086"/>
    <w:rsid w:val="00840699"/>
    <w:rsid w:val="00841D9F"/>
    <w:rsid w:val="00842604"/>
    <w:rsid w:val="00843ECF"/>
    <w:rsid w:val="00846673"/>
    <w:rsid w:val="0085281A"/>
    <w:rsid w:val="008559FE"/>
    <w:rsid w:val="00857339"/>
    <w:rsid w:val="00860706"/>
    <w:rsid w:val="00862A7A"/>
    <w:rsid w:val="00863104"/>
    <w:rsid w:val="008636CD"/>
    <w:rsid w:val="00863D9E"/>
    <w:rsid w:val="00863FDC"/>
    <w:rsid w:val="008642AF"/>
    <w:rsid w:val="00865ED4"/>
    <w:rsid w:val="008669A7"/>
    <w:rsid w:val="00867E29"/>
    <w:rsid w:val="00870F2B"/>
    <w:rsid w:val="008746E6"/>
    <w:rsid w:val="0087594C"/>
    <w:rsid w:val="00876086"/>
    <w:rsid w:val="008768D6"/>
    <w:rsid w:val="008775D1"/>
    <w:rsid w:val="008777BB"/>
    <w:rsid w:val="00877D68"/>
    <w:rsid w:val="00877E5D"/>
    <w:rsid w:val="00880150"/>
    <w:rsid w:val="00880ABA"/>
    <w:rsid w:val="00883A67"/>
    <w:rsid w:val="00883D45"/>
    <w:rsid w:val="00884D69"/>
    <w:rsid w:val="0088503D"/>
    <w:rsid w:val="00886A8F"/>
    <w:rsid w:val="0088733A"/>
    <w:rsid w:val="00891BE0"/>
    <w:rsid w:val="00893302"/>
    <w:rsid w:val="00893648"/>
    <w:rsid w:val="00893F3C"/>
    <w:rsid w:val="008945A1"/>
    <w:rsid w:val="00894A63"/>
    <w:rsid w:val="00895A54"/>
    <w:rsid w:val="00896916"/>
    <w:rsid w:val="00896BDE"/>
    <w:rsid w:val="008A0861"/>
    <w:rsid w:val="008A0BB2"/>
    <w:rsid w:val="008A1AB3"/>
    <w:rsid w:val="008A1D5C"/>
    <w:rsid w:val="008A3292"/>
    <w:rsid w:val="008A3A85"/>
    <w:rsid w:val="008A43E9"/>
    <w:rsid w:val="008A4CB1"/>
    <w:rsid w:val="008A615E"/>
    <w:rsid w:val="008A632B"/>
    <w:rsid w:val="008A6BFE"/>
    <w:rsid w:val="008B00C2"/>
    <w:rsid w:val="008B07EF"/>
    <w:rsid w:val="008B16DE"/>
    <w:rsid w:val="008B190E"/>
    <w:rsid w:val="008B1A8A"/>
    <w:rsid w:val="008B1FC9"/>
    <w:rsid w:val="008B6B67"/>
    <w:rsid w:val="008B7306"/>
    <w:rsid w:val="008B775F"/>
    <w:rsid w:val="008B7C02"/>
    <w:rsid w:val="008B7D13"/>
    <w:rsid w:val="008B7F9E"/>
    <w:rsid w:val="008C0E88"/>
    <w:rsid w:val="008C1AA8"/>
    <w:rsid w:val="008C22A8"/>
    <w:rsid w:val="008C5B43"/>
    <w:rsid w:val="008C63FD"/>
    <w:rsid w:val="008C6CB8"/>
    <w:rsid w:val="008C7815"/>
    <w:rsid w:val="008C7A07"/>
    <w:rsid w:val="008D0171"/>
    <w:rsid w:val="008D13EA"/>
    <w:rsid w:val="008D2671"/>
    <w:rsid w:val="008D2A16"/>
    <w:rsid w:val="008D2ECF"/>
    <w:rsid w:val="008D3F3D"/>
    <w:rsid w:val="008E0367"/>
    <w:rsid w:val="008E308D"/>
    <w:rsid w:val="008E31FF"/>
    <w:rsid w:val="008E46A3"/>
    <w:rsid w:val="008E5DE6"/>
    <w:rsid w:val="008E6113"/>
    <w:rsid w:val="008E6AB3"/>
    <w:rsid w:val="008E6AD3"/>
    <w:rsid w:val="008E71A6"/>
    <w:rsid w:val="008E77B6"/>
    <w:rsid w:val="008E7C55"/>
    <w:rsid w:val="008F032E"/>
    <w:rsid w:val="008F0F14"/>
    <w:rsid w:val="008F4FCE"/>
    <w:rsid w:val="008F5301"/>
    <w:rsid w:val="008F6967"/>
    <w:rsid w:val="008F6A0C"/>
    <w:rsid w:val="008F7721"/>
    <w:rsid w:val="008F7D28"/>
    <w:rsid w:val="009003A8"/>
    <w:rsid w:val="009010A7"/>
    <w:rsid w:val="00902CBE"/>
    <w:rsid w:val="00902D74"/>
    <w:rsid w:val="00902EFF"/>
    <w:rsid w:val="00903E06"/>
    <w:rsid w:val="00904B9D"/>
    <w:rsid w:val="00905A11"/>
    <w:rsid w:val="009066E1"/>
    <w:rsid w:val="00907A41"/>
    <w:rsid w:val="009102BD"/>
    <w:rsid w:val="00910F93"/>
    <w:rsid w:val="0091255A"/>
    <w:rsid w:val="00914426"/>
    <w:rsid w:val="0091675F"/>
    <w:rsid w:val="00917709"/>
    <w:rsid w:val="00917918"/>
    <w:rsid w:val="00920874"/>
    <w:rsid w:val="00921F14"/>
    <w:rsid w:val="00923750"/>
    <w:rsid w:val="009243A5"/>
    <w:rsid w:val="009250D2"/>
    <w:rsid w:val="0092540B"/>
    <w:rsid w:val="00926283"/>
    <w:rsid w:val="00937B11"/>
    <w:rsid w:val="00940F1F"/>
    <w:rsid w:val="00941250"/>
    <w:rsid w:val="0094427A"/>
    <w:rsid w:val="00944380"/>
    <w:rsid w:val="009459C5"/>
    <w:rsid w:val="0094626C"/>
    <w:rsid w:val="0095013A"/>
    <w:rsid w:val="00953AEF"/>
    <w:rsid w:val="009551E2"/>
    <w:rsid w:val="00955783"/>
    <w:rsid w:val="00955E5F"/>
    <w:rsid w:val="009560B0"/>
    <w:rsid w:val="00956F23"/>
    <w:rsid w:val="00957871"/>
    <w:rsid w:val="00960077"/>
    <w:rsid w:val="00960769"/>
    <w:rsid w:val="00962D2E"/>
    <w:rsid w:val="00963724"/>
    <w:rsid w:val="00964498"/>
    <w:rsid w:val="0096504D"/>
    <w:rsid w:val="00965A2D"/>
    <w:rsid w:val="009663EB"/>
    <w:rsid w:val="0096650F"/>
    <w:rsid w:val="00967AD2"/>
    <w:rsid w:val="009700DB"/>
    <w:rsid w:val="00971DC6"/>
    <w:rsid w:val="00972263"/>
    <w:rsid w:val="00972502"/>
    <w:rsid w:val="00972D8D"/>
    <w:rsid w:val="00973AAE"/>
    <w:rsid w:val="0097476C"/>
    <w:rsid w:val="00974923"/>
    <w:rsid w:val="00974D48"/>
    <w:rsid w:val="00974D5F"/>
    <w:rsid w:val="00975017"/>
    <w:rsid w:val="009759DF"/>
    <w:rsid w:val="00980373"/>
    <w:rsid w:val="00980621"/>
    <w:rsid w:val="00982072"/>
    <w:rsid w:val="009833FA"/>
    <w:rsid w:val="00983DBB"/>
    <w:rsid w:val="00983ECF"/>
    <w:rsid w:val="00986745"/>
    <w:rsid w:val="009867BC"/>
    <w:rsid w:val="00987109"/>
    <w:rsid w:val="00987309"/>
    <w:rsid w:val="0099012D"/>
    <w:rsid w:val="00990363"/>
    <w:rsid w:val="009954FF"/>
    <w:rsid w:val="009961BC"/>
    <w:rsid w:val="00996355"/>
    <w:rsid w:val="009A2014"/>
    <w:rsid w:val="009A3A87"/>
    <w:rsid w:val="009A4E12"/>
    <w:rsid w:val="009A5C68"/>
    <w:rsid w:val="009A6EF7"/>
    <w:rsid w:val="009B04D0"/>
    <w:rsid w:val="009B052C"/>
    <w:rsid w:val="009B0EF2"/>
    <w:rsid w:val="009B23A3"/>
    <w:rsid w:val="009B4925"/>
    <w:rsid w:val="009B4B4B"/>
    <w:rsid w:val="009B6FD3"/>
    <w:rsid w:val="009B70BD"/>
    <w:rsid w:val="009C07A5"/>
    <w:rsid w:val="009C7388"/>
    <w:rsid w:val="009D0CFF"/>
    <w:rsid w:val="009D1551"/>
    <w:rsid w:val="009D2859"/>
    <w:rsid w:val="009D36EC"/>
    <w:rsid w:val="009D4173"/>
    <w:rsid w:val="009D6095"/>
    <w:rsid w:val="009D6306"/>
    <w:rsid w:val="009E048A"/>
    <w:rsid w:val="009E1FBA"/>
    <w:rsid w:val="009E2C54"/>
    <w:rsid w:val="009E3710"/>
    <w:rsid w:val="009E7B1F"/>
    <w:rsid w:val="009F41C4"/>
    <w:rsid w:val="009F5846"/>
    <w:rsid w:val="009F7B52"/>
    <w:rsid w:val="009F7D77"/>
    <w:rsid w:val="00A015EA"/>
    <w:rsid w:val="00A10D66"/>
    <w:rsid w:val="00A12BA8"/>
    <w:rsid w:val="00A1420C"/>
    <w:rsid w:val="00A1456C"/>
    <w:rsid w:val="00A14821"/>
    <w:rsid w:val="00A17754"/>
    <w:rsid w:val="00A2055B"/>
    <w:rsid w:val="00A2253C"/>
    <w:rsid w:val="00A23545"/>
    <w:rsid w:val="00A23A55"/>
    <w:rsid w:val="00A23E43"/>
    <w:rsid w:val="00A24F8C"/>
    <w:rsid w:val="00A262BF"/>
    <w:rsid w:val="00A271AD"/>
    <w:rsid w:val="00A276D5"/>
    <w:rsid w:val="00A30336"/>
    <w:rsid w:val="00A30BB5"/>
    <w:rsid w:val="00A3128F"/>
    <w:rsid w:val="00A326D0"/>
    <w:rsid w:val="00A35287"/>
    <w:rsid w:val="00A378F8"/>
    <w:rsid w:val="00A40B19"/>
    <w:rsid w:val="00A424F8"/>
    <w:rsid w:val="00A437B7"/>
    <w:rsid w:val="00A46D48"/>
    <w:rsid w:val="00A46DE0"/>
    <w:rsid w:val="00A4778A"/>
    <w:rsid w:val="00A504C0"/>
    <w:rsid w:val="00A5067F"/>
    <w:rsid w:val="00A55301"/>
    <w:rsid w:val="00A572FB"/>
    <w:rsid w:val="00A57B3C"/>
    <w:rsid w:val="00A57F1B"/>
    <w:rsid w:val="00A6128E"/>
    <w:rsid w:val="00A62CE1"/>
    <w:rsid w:val="00A631FA"/>
    <w:rsid w:val="00A64203"/>
    <w:rsid w:val="00A64348"/>
    <w:rsid w:val="00A644E1"/>
    <w:rsid w:val="00A721FB"/>
    <w:rsid w:val="00A727BA"/>
    <w:rsid w:val="00A72D4B"/>
    <w:rsid w:val="00A732AE"/>
    <w:rsid w:val="00A75E40"/>
    <w:rsid w:val="00A77EB2"/>
    <w:rsid w:val="00A81094"/>
    <w:rsid w:val="00A82B66"/>
    <w:rsid w:val="00A83B58"/>
    <w:rsid w:val="00A84FAF"/>
    <w:rsid w:val="00A851B6"/>
    <w:rsid w:val="00A85729"/>
    <w:rsid w:val="00A8574B"/>
    <w:rsid w:val="00A857C0"/>
    <w:rsid w:val="00A91336"/>
    <w:rsid w:val="00A9221C"/>
    <w:rsid w:val="00A94628"/>
    <w:rsid w:val="00A96463"/>
    <w:rsid w:val="00A97E3F"/>
    <w:rsid w:val="00AA09D3"/>
    <w:rsid w:val="00AA23FB"/>
    <w:rsid w:val="00AA42AB"/>
    <w:rsid w:val="00AA559A"/>
    <w:rsid w:val="00AB104D"/>
    <w:rsid w:val="00AB2AF1"/>
    <w:rsid w:val="00AB440B"/>
    <w:rsid w:val="00AB47E3"/>
    <w:rsid w:val="00AB74C5"/>
    <w:rsid w:val="00AB7BEE"/>
    <w:rsid w:val="00AB7DF2"/>
    <w:rsid w:val="00AC1E3F"/>
    <w:rsid w:val="00AC219A"/>
    <w:rsid w:val="00AC4F18"/>
    <w:rsid w:val="00AD0B46"/>
    <w:rsid w:val="00AD1094"/>
    <w:rsid w:val="00AD2565"/>
    <w:rsid w:val="00AD306C"/>
    <w:rsid w:val="00AD3424"/>
    <w:rsid w:val="00AD50D1"/>
    <w:rsid w:val="00AD59BB"/>
    <w:rsid w:val="00AD5D68"/>
    <w:rsid w:val="00AD6C73"/>
    <w:rsid w:val="00AD7D49"/>
    <w:rsid w:val="00AE06D0"/>
    <w:rsid w:val="00AE1B8A"/>
    <w:rsid w:val="00AE39DC"/>
    <w:rsid w:val="00AE3CDA"/>
    <w:rsid w:val="00AE7968"/>
    <w:rsid w:val="00AF128B"/>
    <w:rsid w:val="00AF1AEA"/>
    <w:rsid w:val="00AF2852"/>
    <w:rsid w:val="00AF3225"/>
    <w:rsid w:val="00AF518B"/>
    <w:rsid w:val="00AF5275"/>
    <w:rsid w:val="00AF6367"/>
    <w:rsid w:val="00AF6A79"/>
    <w:rsid w:val="00AF724E"/>
    <w:rsid w:val="00AF73A9"/>
    <w:rsid w:val="00B01436"/>
    <w:rsid w:val="00B01C2C"/>
    <w:rsid w:val="00B0231C"/>
    <w:rsid w:val="00B13681"/>
    <w:rsid w:val="00B15DCD"/>
    <w:rsid w:val="00B17E71"/>
    <w:rsid w:val="00B17FDE"/>
    <w:rsid w:val="00B208FC"/>
    <w:rsid w:val="00B20C65"/>
    <w:rsid w:val="00B22E17"/>
    <w:rsid w:val="00B266C5"/>
    <w:rsid w:val="00B27293"/>
    <w:rsid w:val="00B3229E"/>
    <w:rsid w:val="00B32DDB"/>
    <w:rsid w:val="00B35174"/>
    <w:rsid w:val="00B35BEA"/>
    <w:rsid w:val="00B37915"/>
    <w:rsid w:val="00B3793D"/>
    <w:rsid w:val="00B41BE6"/>
    <w:rsid w:val="00B428A4"/>
    <w:rsid w:val="00B457E7"/>
    <w:rsid w:val="00B45D1B"/>
    <w:rsid w:val="00B46D25"/>
    <w:rsid w:val="00B47430"/>
    <w:rsid w:val="00B52D2D"/>
    <w:rsid w:val="00B55BA8"/>
    <w:rsid w:val="00B55F15"/>
    <w:rsid w:val="00B561A6"/>
    <w:rsid w:val="00B60062"/>
    <w:rsid w:val="00B62960"/>
    <w:rsid w:val="00B63A11"/>
    <w:rsid w:val="00B63FD0"/>
    <w:rsid w:val="00B65C84"/>
    <w:rsid w:val="00B6608F"/>
    <w:rsid w:val="00B74317"/>
    <w:rsid w:val="00B76D1E"/>
    <w:rsid w:val="00B77BC8"/>
    <w:rsid w:val="00B800EB"/>
    <w:rsid w:val="00B822D2"/>
    <w:rsid w:val="00B83D46"/>
    <w:rsid w:val="00B848B8"/>
    <w:rsid w:val="00B84A41"/>
    <w:rsid w:val="00B84D57"/>
    <w:rsid w:val="00B8504B"/>
    <w:rsid w:val="00B85689"/>
    <w:rsid w:val="00B86748"/>
    <w:rsid w:val="00B907EA"/>
    <w:rsid w:val="00B91EC9"/>
    <w:rsid w:val="00B924CA"/>
    <w:rsid w:val="00B92A4B"/>
    <w:rsid w:val="00B93384"/>
    <w:rsid w:val="00B94417"/>
    <w:rsid w:val="00B95566"/>
    <w:rsid w:val="00B95940"/>
    <w:rsid w:val="00B95EF8"/>
    <w:rsid w:val="00B95F50"/>
    <w:rsid w:val="00B96BD9"/>
    <w:rsid w:val="00BB0274"/>
    <w:rsid w:val="00BB1CFD"/>
    <w:rsid w:val="00BB2C53"/>
    <w:rsid w:val="00BB32DA"/>
    <w:rsid w:val="00BB3A54"/>
    <w:rsid w:val="00BB4D26"/>
    <w:rsid w:val="00BB4E21"/>
    <w:rsid w:val="00BB7746"/>
    <w:rsid w:val="00BC22EB"/>
    <w:rsid w:val="00BC682B"/>
    <w:rsid w:val="00BC6B04"/>
    <w:rsid w:val="00BC6D27"/>
    <w:rsid w:val="00BD09B7"/>
    <w:rsid w:val="00BD186B"/>
    <w:rsid w:val="00BD1EAC"/>
    <w:rsid w:val="00BD254C"/>
    <w:rsid w:val="00BD3428"/>
    <w:rsid w:val="00BD366B"/>
    <w:rsid w:val="00BD534C"/>
    <w:rsid w:val="00BD56BC"/>
    <w:rsid w:val="00BD5D91"/>
    <w:rsid w:val="00BD6615"/>
    <w:rsid w:val="00BD6D50"/>
    <w:rsid w:val="00BE0D79"/>
    <w:rsid w:val="00BE0DB0"/>
    <w:rsid w:val="00BE3381"/>
    <w:rsid w:val="00BE3F09"/>
    <w:rsid w:val="00BE670A"/>
    <w:rsid w:val="00BE6906"/>
    <w:rsid w:val="00BF18F4"/>
    <w:rsid w:val="00BF1A69"/>
    <w:rsid w:val="00BF3BC8"/>
    <w:rsid w:val="00BF3DF1"/>
    <w:rsid w:val="00BF4C31"/>
    <w:rsid w:val="00BF4E57"/>
    <w:rsid w:val="00BF53B8"/>
    <w:rsid w:val="00BF7CB8"/>
    <w:rsid w:val="00C00F20"/>
    <w:rsid w:val="00C01700"/>
    <w:rsid w:val="00C034E6"/>
    <w:rsid w:val="00C05715"/>
    <w:rsid w:val="00C05926"/>
    <w:rsid w:val="00C0784A"/>
    <w:rsid w:val="00C10B28"/>
    <w:rsid w:val="00C10D62"/>
    <w:rsid w:val="00C10FAE"/>
    <w:rsid w:val="00C123B4"/>
    <w:rsid w:val="00C12A69"/>
    <w:rsid w:val="00C13737"/>
    <w:rsid w:val="00C150BE"/>
    <w:rsid w:val="00C158B0"/>
    <w:rsid w:val="00C15A0C"/>
    <w:rsid w:val="00C15DCB"/>
    <w:rsid w:val="00C1711F"/>
    <w:rsid w:val="00C17E38"/>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76C5"/>
    <w:rsid w:val="00C503B0"/>
    <w:rsid w:val="00C511C2"/>
    <w:rsid w:val="00C53D82"/>
    <w:rsid w:val="00C54748"/>
    <w:rsid w:val="00C60696"/>
    <w:rsid w:val="00C60EEF"/>
    <w:rsid w:val="00C6121D"/>
    <w:rsid w:val="00C615F1"/>
    <w:rsid w:val="00C61627"/>
    <w:rsid w:val="00C64E60"/>
    <w:rsid w:val="00C657A4"/>
    <w:rsid w:val="00C6736C"/>
    <w:rsid w:val="00C71A1D"/>
    <w:rsid w:val="00C71EC4"/>
    <w:rsid w:val="00C7591E"/>
    <w:rsid w:val="00C75C7E"/>
    <w:rsid w:val="00C75C9B"/>
    <w:rsid w:val="00C76D8E"/>
    <w:rsid w:val="00C77833"/>
    <w:rsid w:val="00C80C9B"/>
    <w:rsid w:val="00C8335E"/>
    <w:rsid w:val="00C83F9C"/>
    <w:rsid w:val="00C84CE3"/>
    <w:rsid w:val="00C85614"/>
    <w:rsid w:val="00C86127"/>
    <w:rsid w:val="00C90CF4"/>
    <w:rsid w:val="00C91C19"/>
    <w:rsid w:val="00C929A0"/>
    <w:rsid w:val="00C93389"/>
    <w:rsid w:val="00C937DB"/>
    <w:rsid w:val="00C94519"/>
    <w:rsid w:val="00C94E83"/>
    <w:rsid w:val="00CA02B2"/>
    <w:rsid w:val="00CA0883"/>
    <w:rsid w:val="00CA140F"/>
    <w:rsid w:val="00CA25C2"/>
    <w:rsid w:val="00CA37BB"/>
    <w:rsid w:val="00CA37CA"/>
    <w:rsid w:val="00CA5724"/>
    <w:rsid w:val="00CA6508"/>
    <w:rsid w:val="00CA6BA1"/>
    <w:rsid w:val="00CA6CD5"/>
    <w:rsid w:val="00CB1910"/>
    <w:rsid w:val="00CB2150"/>
    <w:rsid w:val="00CB28EE"/>
    <w:rsid w:val="00CB43A7"/>
    <w:rsid w:val="00CB4DF1"/>
    <w:rsid w:val="00CB5996"/>
    <w:rsid w:val="00CB6809"/>
    <w:rsid w:val="00CB7452"/>
    <w:rsid w:val="00CC0E10"/>
    <w:rsid w:val="00CC1DAF"/>
    <w:rsid w:val="00CC2642"/>
    <w:rsid w:val="00CC2A36"/>
    <w:rsid w:val="00CC2E15"/>
    <w:rsid w:val="00CC3908"/>
    <w:rsid w:val="00CC62AD"/>
    <w:rsid w:val="00CC6CA2"/>
    <w:rsid w:val="00CC7B80"/>
    <w:rsid w:val="00CD2B3C"/>
    <w:rsid w:val="00CD30F6"/>
    <w:rsid w:val="00CD4B29"/>
    <w:rsid w:val="00CD6954"/>
    <w:rsid w:val="00CD6DA3"/>
    <w:rsid w:val="00CD6EF1"/>
    <w:rsid w:val="00CD7E35"/>
    <w:rsid w:val="00CE21C7"/>
    <w:rsid w:val="00CE2682"/>
    <w:rsid w:val="00CE442A"/>
    <w:rsid w:val="00CE57D8"/>
    <w:rsid w:val="00CE617A"/>
    <w:rsid w:val="00CF25D2"/>
    <w:rsid w:val="00CF28C2"/>
    <w:rsid w:val="00CF42BD"/>
    <w:rsid w:val="00CF51EC"/>
    <w:rsid w:val="00CF6A9D"/>
    <w:rsid w:val="00CF6CD7"/>
    <w:rsid w:val="00CF75EC"/>
    <w:rsid w:val="00D0037A"/>
    <w:rsid w:val="00D00DAF"/>
    <w:rsid w:val="00D017EC"/>
    <w:rsid w:val="00D01CDA"/>
    <w:rsid w:val="00D040DD"/>
    <w:rsid w:val="00D04E1B"/>
    <w:rsid w:val="00D0547B"/>
    <w:rsid w:val="00D076DB"/>
    <w:rsid w:val="00D1067C"/>
    <w:rsid w:val="00D136D4"/>
    <w:rsid w:val="00D13830"/>
    <w:rsid w:val="00D13ECF"/>
    <w:rsid w:val="00D142E5"/>
    <w:rsid w:val="00D148CD"/>
    <w:rsid w:val="00D1611E"/>
    <w:rsid w:val="00D16E69"/>
    <w:rsid w:val="00D205A9"/>
    <w:rsid w:val="00D217EE"/>
    <w:rsid w:val="00D245BA"/>
    <w:rsid w:val="00D26923"/>
    <w:rsid w:val="00D27856"/>
    <w:rsid w:val="00D301CA"/>
    <w:rsid w:val="00D30740"/>
    <w:rsid w:val="00D31075"/>
    <w:rsid w:val="00D31445"/>
    <w:rsid w:val="00D31932"/>
    <w:rsid w:val="00D37689"/>
    <w:rsid w:val="00D378CC"/>
    <w:rsid w:val="00D4042C"/>
    <w:rsid w:val="00D40B9E"/>
    <w:rsid w:val="00D41281"/>
    <w:rsid w:val="00D42312"/>
    <w:rsid w:val="00D43998"/>
    <w:rsid w:val="00D451E0"/>
    <w:rsid w:val="00D4615E"/>
    <w:rsid w:val="00D478E2"/>
    <w:rsid w:val="00D5264C"/>
    <w:rsid w:val="00D547BA"/>
    <w:rsid w:val="00D55626"/>
    <w:rsid w:val="00D556BC"/>
    <w:rsid w:val="00D5626D"/>
    <w:rsid w:val="00D60277"/>
    <w:rsid w:val="00D60336"/>
    <w:rsid w:val="00D61F88"/>
    <w:rsid w:val="00D62901"/>
    <w:rsid w:val="00D6470C"/>
    <w:rsid w:val="00D64853"/>
    <w:rsid w:val="00D64CB5"/>
    <w:rsid w:val="00D66D48"/>
    <w:rsid w:val="00D7162F"/>
    <w:rsid w:val="00D73256"/>
    <w:rsid w:val="00D73A30"/>
    <w:rsid w:val="00D74C65"/>
    <w:rsid w:val="00D75DC2"/>
    <w:rsid w:val="00D766EF"/>
    <w:rsid w:val="00D76C03"/>
    <w:rsid w:val="00D77F8D"/>
    <w:rsid w:val="00D82462"/>
    <w:rsid w:val="00D868CE"/>
    <w:rsid w:val="00D86DAE"/>
    <w:rsid w:val="00D90C1E"/>
    <w:rsid w:val="00D91BDF"/>
    <w:rsid w:val="00D91F2C"/>
    <w:rsid w:val="00D93F09"/>
    <w:rsid w:val="00D954C2"/>
    <w:rsid w:val="00D97BB8"/>
    <w:rsid w:val="00DA1318"/>
    <w:rsid w:val="00DA1382"/>
    <w:rsid w:val="00DA28B7"/>
    <w:rsid w:val="00DA2FE8"/>
    <w:rsid w:val="00DA4AF6"/>
    <w:rsid w:val="00DB016E"/>
    <w:rsid w:val="00DB06E9"/>
    <w:rsid w:val="00DB19BD"/>
    <w:rsid w:val="00DB378E"/>
    <w:rsid w:val="00DB3E9D"/>
    <w:rsid w:val="00DB47B9"/>
    <w:rsid w:val="00DB4FB8"/>
    <w:rsid w:val="00DB53CE"/>
    <w:rsid w:val="00DB549D"/>
    <w:rsid w:val="00DB5792"/>
    <w:rsid w:val="00DB6A88"/>
    <w:rsid w:val="00DB7BA4"/>
    <w:rsid w:val="00DC226A"/>
    <w:rsid w:val="00DC257F"/>
    <w:rsid w:val="00DC350B"/>
    <w:rsid w:val="00DC3790"/>
    <w:rsid w:val="00DC408A"/>
    <w:rsid w:val="00DC5B3B"/>
    <w:rsid w:val="00DC6796"/>
    <w:rsid w:val="00DC78DF"/>
    <w:rsid w:val="00DC7D4C"/>
    <w:rsid w:val="00DD0821"/>
    <w:rsid w:val="00DD0E32"/>
    <w:rsid w:val="00DD2872"/>
    <w:rsid w:val="00DD2BFE"/>
    <w:rsid w:val="00DD373E"/>
    <w:rsid w:val="00DD57AD"/>
    <w:rsid w:val="00DE009B"/>
    <w:rsid w:val="00DE0C31"/>
    <w:rsid w:val="00DE2ED9"/>
    <w:rsid w:val="00DE319A"/>
    <w:rsid w:val="00DF0DC3"/>
    <w:rsid w:val="00DF21FD"/>
    <w:rsid w:val="00DF2873"/>
    <w:rsid w:val="00DF4C74"/>
    <w:rsid w:val="00DF5578"/>
    <w:rsid w:val="00DF78DD"/>
    <w:rsid w:val="00DF7FEC"/>
    <w:rsid w:val="00E01C0E"/>
    <w:rsid w:val="00E02086"/>
    <w:rsid w:val="00E02740"/>
    <w:rsid w:val="00E03B27"/>
    <w:rsid w:val="00E04694"/>
    <w:rsid w:val="00E049F6"/>
    <w:rsid w:val="00E04CA9"/>
    <w:rsid w:val="00E05B2B"/>
    <w:rsid w:val="00E06A2A"/>
    <w:rsid w:val="00E07F05"/>
    <w:rsid w:val="00E127E1"/>
    <w:rsid w:val="00E144D2"/>
    <w:rsid w:val="00E144D6"/>
    <w:rsid w:val="00E15346"/>
    <w:rsid w:val="00E15B7D"/>
    <w:rsid w:val="00E2097E"/>
    <w:rsid w:val="00E215EA"/>
    <w:rsid w:val="00E21CAB"/>
    <w:rsid w:val="00E221FC"/>
    <w:rsid w:val="00E24619"/>
    <w:rsid w:val="00E25223"/>
    <w:rsid w:val="00E30BEA"/>
    <w:rsid w:val="00E31764"/>
    <w:rsid w:val="00E32BC2"/>
    <w:rsid w:val="00E34985"/>
    <w:rsid w:val="00E34E4A"/>
    <w:rsid w:val="00E365B3"/>
    <w:rsid w:val="00E366BB"/>
    <w:rsid w:val="00E37C45"/>
    <w:rsid w:val="00E40AAA"/>
    <w:rsid w:val="00E42444"/>
    <w:rsid w:val="00E438CF"/>
    <w:rsid w:val="00E43C41"/>
    <w:rsid w:val="00E4500E"/>
    <w:rsid w:val="00E450CE"/>
    <w:rsid w:val="00E45A00"/>
    <w:rsid w:val="00E45CE7"/>
    <w:rsid w:val="00E4631F"/>
    <w:rsid w:val="00E47CB8"/>
    <w:rsid w:val="00E522BB"/>
    <w:rsid w:val="00E539E4"/>
    <w:rsid w:val="00E569C7"/>
    <w:rsid w:val="00E571F2"/>
    <w:rsid w:val="00E57429"/>
    <w:rsid w:val="00E61EA8"/>
    <w:rsid w:val="00E64EA1"/>
    <w:rsid w:val="00E70510"/>
    <w:rsid w:val="00E71262"/>
    <w:rsid w:val="00E71A58"/>
    <w:rsid w:val="00E737F6"/>
    <w:rsid w:val="00E7568F"/>
    <w:rsid w:val="00E7724B"/>
    <w:rsid w:val="00E84F21"/>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C68"/>
    <w:rsid w:val="00EA19E2"/>
    <w:rsid w:val="00EA3EBE"/>
    <w:rsid w:val="00EA3FAC"/>
    <w:rsid w:val="00EA4153"/>
    <w:rsid w:val="00EA5CD6"/>
    <w:rsid w:val="00EA76FD"/>
    <w:rsid w:val="00EB03D4"/>
    <w:rsid w:val="00EB0555"/>
    <w:rsid w:val="00EB20A0"/>
    <w:rsid w:val="00EB30B6"/>
    <w:rsid w:val="00EB4FA4"/>
    <w:rsid w:val="00EB5146"/>
    <w:rsid w:val="00EB522B"/>
    <w:rsid w:val="00EB55E9"/>
    <w:rsid w:val="00EB5641"/>
    <w:rsid w:val="00EB5CA9"/>
    <w:rsid w:val="00EB5ED4"/>
    <w:rsid w:val="00EB6537"/>
    <w:rsid w:val="00EB70E1"/>
    <w:rsid w:val="00EB7EB5"/>
    <w:rsid w:val="00EC454B"/>
    <w:rsid w:val="00EC6153"/>
    <w:rsid w:val="00EC7F92"/>
    <w:rsid w:val="00ED00A8"/>
    <w:rsid w:val="00ED0A79"/>
    <w:rsid w:val="00ED2989"/>
    <w:rsid w:val="00ED2CA5"/>
    <w:rsid w:val="00ED336F"/>
    <w:rsid w:val="00ED40F0"/>
    <w:rsid w:val="00ED4AC0"/>
    <w:rsid w:val="00ED54D6"/>
    <w:rsid w:val="00ED5726"/>
    <w:rsid w:val="00EE0113"/>
    <w:rsid w:val="00EE0298"/>
    <w:rsid w:val="00EE0384"/>
    <w:rsid w:val="00EE10AA"/>
    <w:rsid w:val="00EE1637"/>
    <w:rsid w:val="00EE3B7A"/>
    <w:rsid w:val="00EE3E78"/>
    <w:rsid w:val="00EE495A"/>
    <w:rsid w:val="00EE5E02"/>
    <w:rsid w:val="00EE617D"/>
    <w:rsid w:val="00EE61BF"/>
    <w:rsid w:val="00EE6748"/>
    <w:rsid w:val="00EE6C6B"/>
    <w:rsid w:val="00EF0E75"/>
    <w:rsid w:val="00EF1F5A"/>
    <w:rsid w:val="00EF4685"/>
    <w:rsid w:val="00EF5397"/>
    <w:rsid w:val="00EF6BE3"/>
    <w:rsid w:val="00F00D0E"/>
    <w:rsid w:val="00F00D3C"/>
    <w:rsid w:val="00F04811"/>
    <w:rsid w:val="00F0488C"/>
    <w:rsid w:val="00F0496E"/>
    <w:rsid w:val="00F04D10"/>
    <w:rsid w:val="00F0625B"/>
    <w:rsid w:val="00F101FF"/>
    <w:rsid w:val="00F104DF"/>
    <w:rsid w:val="00F10A33"/>
    <w:rsid w:val="00F1186C"/>
    <w:rsid w:val="00F14ACD"/>
    <w:rsid w:val="00F15BEF"/>
    <w:rsid w:val="00F172BE"/>
    <w:rsid w:val="00F1776C"/>
    <w:rsid w:val="00F2037E"/>
    <w:rsid w:val="00F20D17"/>
    <w:rsid w:val="00F2103E"/>
    <w:rsid w:val="00F214FC"/>
    <w:rsid w:val="00F21C31"/>
    <w:rsid w:val="00F23825"/>
    <w:rsid w:val="00F23FFF"/>
    <w:rsid w:val="00F2441D"/>
    <w:rsid w:val="00F24FAA"/>
    <w:rsid w:val="00F26197"/>
    <w:rsid w:val="00F273D4"/>
    <w:rsid w:val="00F307DD"/>
    <w:rsid w:val="00F318FC"/>
    <w:rsid w:val="00F31F76"/>
    <w:rsid w:val="00F3364D"/>
    <w:rsid w:val="00F35ACD"/>
    <w:rsid w:val="00F365BF"/>
    <w:rsid w:val="00F36BF8"/>
    <w:rsid w:val="00F375BA"/>
    <w:rsid w:val="00F37760"/>
    <w:rsid w:val="00F403D1"/>
    <w:rsid w:val="00F43921"/>
    <w:rsid w:val="00F4524F"/>
    <w:rsid w:val="00F45530"/>
    <w:rsid w:val="00F4591F"/>
    <w:rsid w:val="00F4736B"/>
    <w:rsid w:val="00F47997"/>
    <w:rsid w:val="00F47D05"/>
    <w:rsid w:val="00F50030"/>
    <w:rsid w:val="00F502F5"/>
    <w:rsid w:val="00F50B9D"/>
    <w:rsid w:val="00F51FC9"/>
    <w:rsid w:val="00F541ED"/>
    <w:rsid w:val="00F54B31"/>
    <w:rsid w:val="00F54FD3"/>
    <w:rsid w:val="00F55605"/>
    <w:rsid w:val="00F57CD7"/>
    <w:rsid w:val="00F62F02"/>
    <w:rsid w:val="00F63DDE"/>
    <w:rsid w:val="00F63FB7"/>
    <w:rsid w:val="00F64726"/>
    <w:rsid w:val="00F6561A"/>
    <w:rsid w:val="00F70309"/>
    <w:rsid w:val="00F7078A"/>
    <w:rsid w:val="00F727D5"/>
    <w:rsid w:val="00F72F44"/>
    <w:rsid w:val="00F73A0C"/>
    <w:rsid w:val="00F759DC"/>
    <w:rsid w:val="00F7717C"/>
    <w:rsid w:val="00F771A5"/>
    <w:rsid w:val="00F817A4"/>
    <w:rsid w:val="00F81C3A"/>
    <w:rsid w:val="00F835FC"/>
    <w:rsid w:val="00F8373A"/>
    <w:rsid w:val="00F83E21"/>
    <w:rsid w:val="00F83FA4"/>
    <w:rsid w:val="00F84E18"/>
    <w:rsid w:val="00F852E5"/>
    <w:rsid w:val="00F9310A"/>
    <w:rsid w:val="00F95117"/>
    <w:rsid w:val="00FA05D7"/>
    <w:rsid w:val="00FA1C6C"/>
    <w:rsid w:val="00FA2447"/>
    <w:rsid w:val="00FA2C2A"/>
    <w:rsid w:val="00FA309A"/>
    <w:rsid w:val="00FA7644"/>
    <w:rsid w:val="00FB0A9A"/>
    <w:rsid w:val="00FB16AD"/>
    <w:rsid w:val="00FB483B"/>
    <w:rsid w:val="00FB56F1"/>
    <w:rsid w:val="00FB5FD4"/>
    <w:rsid w:val="00FB67F3"/>
    <w:rsid w:val="00FC0D8A"/>
    <w:rsid w:val="00FC0E5F"/>
    <w:rsid w:val="00FC135D"/>
    <w:rsid w:val="00FC3C84"/>
    <w:rsid w:val="00FC4660"/>
    <w:rsid w:val="00FC56DE"/>
    <w:rsid w:val="00FC5E01"/>
    <w:rsid w:val="00FD1261"/>
    <w:rsid w:val="00FD1627"/>
    <w:rsid w:val="00FD1BBD"/>
    <w:rsid w:val="00FD473D"/>
    <w:rsid w:val="00FD61C8"/>
    <w:rsid w:val="00FD63CE"/>
    <w:rsid w:val="00FD7D49"/>
    <w:rsid w:val="00FE1251"/>
    <w:rsid w:val="00FE16E6"/>
    <w:rsid w:val="00FE2F78"/>
    <w:rsid w:val="00FE3510"/>
    <w:rsid w:val="00FE371D"/>
    <w:rsid w:val="00FE375F"/>
    <w:rsid w:val="00FE3D8B"/>
    <w:rsid w:val="00FE4FCB"/>
    <w:rsid w:val="00FE705E"/>
    <w:rsid w:val="00FF02E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388E8-ADEC-4E55-9D61-93D79A99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867</TotalTime>
  <Pages>4</Pages>
  <Words>2646</Words>
  <Characters>15614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292</cp:revision>
  <cp:lastPrinted>2015-06-19T06:21:00Z</cp:lastPrinted>
  <dcterms:created xsi:type="dcterms:W3CDTF">2015-12-16T13:30:00Z</dcterms:created>
  <dcterms:modified xsi:type="dcterms:W3CDTF">2016-03-23T12:44:00Z</dcterms:modified>
</cp:coreProperties>
</file>