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C1" w:rsidRPr="007D09E0" w:rsidRDefault="005578C1" w:rsidP="005578C1">
      <w:pPr>
        <w:pStyle w:val="Nadpis1"/>
      </w:pPr>
      <w:bookmarkStart w:id="0" w:name="_Toc483838345"/>
      <w:bookmarkStart w:id="1" w:name="_Toc483901833"/>
      <w:r w:rsidRPr="007D09E0">
        <w:t>4. Přílohy</w:t>
      </w:r>
      <w:bookmarkEnd w:id="0"/>
      <w:bookmarkEnd w:id="1"/>
      <w:r w:rsidRPr="007D09E0">
        <w:t xml:space="preserve"> </w:t>
      </w:r>
    </w:p>
    <w:p w:rsidR="00C464D1" w:rsidRDefault="00C464D1" w:rsidP="00C464D1">
      <w:pPr>
        <w:pStyle w:val="Nadpis2"/>
        <w:rPr>
          <w:szCs w:val="20"/>
        </w:rPr>
      </w:pPr>
      <w:r>
        <w:t>Příloha č. 2 - Legislativní změny v nemocenském pojištění v období 1999 - 2017</w:t>
      </w:r>
      <w:r w:rsidRPr="00C91277">
        <w:rPr>
          <w:b w:val="0"/>
          <w:color w:val="auto"/>
          <w:sz w:val="20"/>
          <w:vertAlign w:val="superscript"/>
        </w:rPr>
        <w:footnoteReference w:id="1"/>
      </w:r>
    </w:p>
    <w:p w:rsidR="00C464D1" w:rsidRDefault="00C464D1" w:rsidP="00C464D1">
      <w:pPr>
        <w:spacing w:before="240" w:after="120"/>
        <w:jc w:val="both"/>
        <w:rPr>
          <w:rFonts w:cs="Arial"/>
          <w:szCs w:val="20"/>
        </w:rPr>
      </w:pPr>
      <w:r>
        <w:rPr>
          <w:rFonts w:cs="Arial"/>
          <w:b/>
          <w:szCs w:val="20"/>
        </w:rPr>
        <w:t>V roce 1999</w:t>
      </w:r>
    </w:p>
    <w:p w:rsidR="00C464D1" w:rsidRDefault="00C464D1" w:rsidP="00C464D1">
      <w:pPr>
        <w:numPr>
          <w:ilvl w:val="0"/>
          <w:numId w:val="21"/>
        </w:numPr>
        <w:suppressAutoHyphens/>
        <w:spacing w:after="0"/>
        <w:jc w:val="both"/>
        <w:rPr>
          <w:rFonts w:cs="Arial"/>
          <w:szCs w:val="20"/>
        </w:rPr>
      </w:pPr>
      <w:r>
        <w:rPr>
          <w:rFonts w:cs="Arial"/>
          <w:szCs w:val="20"/>
        </w:rPr>
        <w:t xml:space="preserve">Byl zaveden systém redukčních hranic pro stanovení výše nemocenského a jejich pravidelná valorizace (každoročně k 1. lednu) </w:t>
      </w:r>
    </w:p>
    <w:p w:rsidR="00C464D1" w:rsidRDefault="00C464D1" w:rsidP="00C464D1">
      <w:pPr>
        <w:spacing w:before="240" w:after="120"/>
        <w:rPr>
          <w:rFonts w:cs="Arial"/>
          <w:szCs w:val="20"/>
        </w:rPr>
      </w:pPr>
      <w:r>
        <w:rPr>
          <w:rFonts w:cs="Arial"/>
          <w:b/>
          <w:szCs w:val="20"/>
        </w:rPr>
        <w:t xml:space="preserve">V roce 2002 </w:t>
      </w:r>
    </w:p>
    <w:p w:rsidR="00C464D1" w:rsidRDefault="00C464D1" w:rsidP="00C464D1">
      <w:pPr>
        <w:pStyle w:val="Odstavecseseznamem"/>
        <w:numPr>
          <w:ilvl w:val="0"/>
          <w:numId w:val="22"/>
        </w:numPr>
        <w:spacing w:before="0" w:after="0"/>
        <w:jc w:val="both"/>
        <w:rPr>
          <w:rFonts w:cs="Arial"/>
          <w:b/>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C464D1" w:rsidRDefault="00C464D1" w:rsidP="00C464D1">
      <w:pPr>
        <w:spacing w:before="240" w:after="120" w:line="240" w:lineRule="auto"/>
        <w:jc w:val="both"/>
        <w:rPr>
          <w:rFonts w:cs="Arial"/>
          <w:szCs w:val="20"/>
        </w:rPr>
      </w:pPr>
      <w:r>
        <w:rPr>
          <w:rFonts w:cs="Arial"/>
          <w:b/>
          <w:szCs w:val="20"/>
        </w:rPr>
        <w:t>V roce 2003</w:t>
      </w:r>
    </w:p>
    <w:p w:rsidR="00C464D1" w:rsidRDefault="00C464D1" w:rsidP="00C464D1">
      <w:pPr>
        <w:spacing w:line="240" w:lineRule="auto"/>
        <w:jc w:val="both"/>
        <w:rPr>
          <w:rFonts w:cs="Arial"/>
          <w:szCs w:val="20"/>
        </w:rPr>
      </w:pPr>
      <w:r>
        <w:rPr>
          <w:rFonts w:cs="Arial"/>
          <w:szCs w:val="20"/>
        </w:rPr>
        <w:t xml:space="preserve">S účinností od 1. ledna 2004 </w:t>
      </w:r>
    </w:p>
    <w:p w:rsidR="00C464D1" w:rsidRPr="00C91277" w:rsidRDefault="00C464D1" w:rsidP="00C464D1">
      <w:pPr>
        <w:pStyle w:val="Odstavecseseznamem"/>
        <w:numPr>
          <w:ilvl w:val="0"/>
          <w:numId w:val="22"/>
        </w:numPr>
        <w:spacing w:before="0" w:after="0"/>
        <w:jc w:val="both"/>
        <w:rPr>
          <w:rFonts w:ascii="Arial" w:hAnsi="Arial" w:cs="Arial"/>
          <w:sz w:val="20"/>
          <w:szCs w:val="20"/>
        </w:rPr>
      </w:pPr>
      <w:r w:rsidRPr="00C91277">
        <w:rPr>
          <w:rFonts w:ascii="Arial" w:hAnsi="Arial" w:cs="Arial"/>
          <w:sz w:val="20"/>
          <w:szCs w:val="20"/>
        </w:rPr>
        <w:t xml:space="preserve">bylo prodlouženo rozhodné období, ze kterého se zjišťuje denní vyměřovací základ pro stanovení dávek nemocenského pojištění, z </w:t>
      </w:r>
      <w:r w:rsidRPr="00C91277">
        <w:rPr>
          <w:rFonts w:cs="Arial"/>
          <w:szCs w:val="20"/>
        </w:rPr>
        <w:t xml:space="preserve">kalendářního </w:t>
      </w:r>
      <w:r w:rsidRPr="00C91277">
        <w:rPr>
          <w:rFonts w:ascii="Arial" w:hAnsi="Arial" w:cs="Arial"/>
          <w:sz w:val="20"/>
          <w:szCs w:val="20"/>
        </w:rPr>
        <w:t>čtvrtletí na 12 kalendářních měsíců,</w:t>
      </w:r>
      <w:r w:rsidRPr="00C91277">
        <w:rPr>
          <w:rFonts w:cs="Arial"/>
          <w:szCs w:val="20"/>
        </w:rPr>
        <w:t xml:space="preserve"> </w:t>
      </w:r>
    </w:p>
    <w:p w:rsidR="00C464D1" w:rsidRDefault="00C464D1" w:rsidP="00C464D1">
      <w:pPr>
        <w:pStyle w:val="Odstavecseseznamem"/>
        <w:numPr>
          <w:ilvl w:val="0"/>
          <w:numId w:val="22"/>
        </w:numPr>
        <w:spacing w:before="0" w:after="0"/>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C464D1" w:rsidRDefault="00C464D1" w:rsidP="00C464D1">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byla snížena procentní sazba pro výpočet nemocenské </w:t>
      </w:r>
      <w:proofErr w:type="gramStart"/>
      <w:r>
        <w:rPr>
          <w:rFonts w:ascii="Arial" w:hAnsi="Arial" w:cs="Arial"/>
          <w:sz w:val="20"/>
          <w:szCs w:val="20"/>
        </w:rPr>
        <w:t>ho</w:t>
      </w:r>
      <w:proofErr w:type="gramEnd"/>
      <w:r>
        <w:rPr>
          <w:rFonts w:ascii="Arial" w:hAnsi="Arial" w:cs="Arial"/>
          <w:sz w:val="20"/>
          <w:szCs w:val="20"/>
        </w:rPr>
        <w:t xml:space="preserve"> z 50% na 25% za první tři kalendářní dny pracovní neschopnosti</w:t>
      </w:r>
    </w:p>
    <w:p w:rsidR="00C464D1" w:rsidRDefault="00C464D1" w:rsidP="00C464D1">
      <w:pPr>
        <w:pStyle w:val="Odstavecseseznamem"/>
        <w:numPr>
          <w:ilvl w:val="0"/>
          <w:numId w:val="22"/>
        </w:numPr>
        <w:spacing w:before="0" w:after="0"/>
        <w:jc w:val="both"/>
        <w:rPr>
          <w:rFonts w:cs="Arial"/>
          <w:szCs w:val="20"/>
        </w:rPr>
      </w:pPr>
      <w:r>
        <w:rPr>
          <w:rFonts w:ascii="Arial" w:hAnsi="Arial" w:cs="Arial"/>
          <w:sz w:val="20"/>
          <w:szCs w:val="20"/>
        </w:rPr>
        <w:t>byla prodloužena doba, po kterou nebudou zvyšovány redukční hranice denního vyměřovacího základu, i na roky 2004 a 2005</w:t>
      </w:r>
    </w:p>
    <w:p w:rsidR="00C464D1" w:rsidRDefault="00C464D1" w:rsidP="00C464D1">
      <w:pPr>
        <w:spacing w:before="240" w:after="120" w:line="240" w:lineRule="auto"/>
        <w:jc w:val="both"/>
        <w:rPr>
          <w:rFonts w:cs="Arial"/>
          <w:b/>
          <w:szCs w:val="20"/>
        </w:rPr>
      </w:pPr>
      <w:r>
        <w:rPr>
          <w:rFonts w:cs="Arial"/>
          <w:b/>
          <w:szCs w:val="20"/>
        </w:rPr>
        <w:t>V roce 2006</w:t>
      </w:r>
    </w:p>
    <w:p w:rsidR="00C464D1" w:rsidRDefault="00C464D1" w:rsidP="00C464D1">
      <w:pPr>
        <w:pStyle w:val="Odstavecseseznamem"/>
        <w:numPr>
          <w:ilvl w:val="0"/>
          <w:numId w:val="23"/>
        </w:numPr>
        <w:spacing w:before="0" w:after="0"/>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C464D1" w:rsidRDefault="00C464D1" w:rsidP="00C464D1">
      <w:pPr>
        <w:pStyle w:val="Odstavecseseznamem"/>
        <w:numPr>
          <w:ilvl w:val="0"/>
          <w:numId w:val="23"/>
        </w:numPr>
        <w:spacing w:before="0" w:after="0"/>
        <w:jc w:val="both"/>
        <w:rPr>
          <w:rFonts w:cs="Arial"/>
          <w:b/>
          <w:szCs w:val="20"/>
        </w:rPr>
      </w:pPr>
      <w:r>
        <w:rPr>
          <w:rFonts w:ascii="Arial" w:hAnsi="Arial" w:cs="Arial"/>
          <w:sz w:val="20"/>
          <w:szCs w:val="20"/>
        </w:rPr>
        <w:t xml:space="preserve"> 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 účinnost však byla odložena ještě jednou až na 1. 1. 2009 - viz níže)</w:t>
      </w:r>
    </w:p>
    <w:p w:rsidR="00C464D1" w:rsidRDefault="00C464D1" w:rsidP="00C464D1">
      <w:pPr>
        <w:spacing w:before="240" w:after="120" w:line="240" w:lineRule="auto"/>
        <w:jc w:val="both"/>
        <w:rPr>
          <w:rFonts w:cs="Arial"/>
          <w:szCs w:val="20"/>
        </w:rPr>
      </w:pPr>
      <w:r>
        <w:rPr>
          <w:rFonts w:cs="Arial"/>
          <w:b/>
          <w:szCs w:val="20"/>
        </w:rPr>
        <w:t>V roce 2007</w:t>
      </w:r>
    </w:p>
    <w:p w:rsidR="00C464D1" w:rsidRDefault="00C464D1" w:rsidP="00C464D1">
      <w:pPr>
        <w:pStyle w:val="Odstavecseseznamem"/>
        <w:numPr>
          <w:ilvl w:val="0"/>
          <w:numId w:val="24"/>
        </w:numPr>
        <w:spacing w:before="0" w:after="0"/>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C464D1" w:rsidRDefault="00C464D1" w:rsidP="00C464D1">
      <w:pPr>
        <w:pStyle w:val="Odstavecseseznamem"/>
        <w:numPr>
          <w:ilvl w:val="0"/>
          <w:numId w:val="24"/>
        </w:numPr>
        <w:spacing w:before="0" w:after="0"/>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C464D1" w:rsidRDefault="00C464D1" w:rsidP="00C464D1">
      <w:pPr>
        <w:pStyle w:val="Odstavecseseznamem"/>
        <w:numPr>
          <w:ilvl w:val="1"/>
          <w:numId w:val="24"/>
        </w:numPr>
        <w:spacing w:before="0" w:after="0"/>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C464D1" w:rsidRPr="00C91277" w:rsidRDefault="00C464D1" w:rsidP="00C464D1">
      <w:pPr>
        <w:pStyle w:val="Odstavecseseznamem"/>
        <w:numPr>
          <w:ilvl w:val="1"/>
          <w:numId w:val="24"/>
        </w:numPr>
        <w:spacing w:before="0" w:after="0"/>
        <w:jc w:val="both"/>
        <w:rPr>
          <w:rFonts w:ascii="Arial" w:hAnsi="Arial" w:cs="Arial"/>
          <w:sz w:val="20"/>
          <w:szCs w:val="20"/>
        </w:rPr>
      </w:pPr>
      <w:r>
        <w:rPr>
          <w:rFonts w:ascii="Arial" w:hAnsi="Arial" w:cs="Arial"/>
          <w:sz w:val="20"/>
          <w:szCs w:val="20"/>
        </w:rPr>
        <w:t>ponechání redukce příjmu do výše první redukční hranice pro výpočet nemocenské ho a podpory při ošetřování člena rodiny i po 14. dnu trvání sociální události, pro kterou tyto dávky náleží,</w:t>
      </w:r>
    </w:p>
    <w:p w:rsidR="00C464D1" w:rsidRDefault="00C464D1" w:rsidP="00C464D1">
      <w:pPr>
        <w:pStyle w:val="Odstavecseseznamem"/>
        <w:numPr>
          <w:ilvl w:val="1"/>
          <w:numId w:val="24"/>
        </w:numPr>
        <w:spacing w:before="0" w:after="0"/>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C464D1" w:rsidRDefault="00C464D1" w:rsidP="00C464D1">
      <w:pPr>
        <w:pStyle w:val="Odstavecseseznamem"/>
        <w:numPr>
          <w:ilvl w:val="1"/>
          <w:numId w:val="24"/>
        </w:numPr>
        <w:spacing w:before="0" w:after="0"/>
        <w:jc w:val="both"/>
        <w:rPr>
          <w:rFonts w:ascii="Arial" w:hAnsi="Arial" w:cs="Arial"/>
          <w:sz w:val="20"/>
          <w:szCs w:val="20"/>
        </w:rPr>
      </w:pPr>
      <w:r>
        <w:rPr>
          <w:rFonts w:ascii="Arial" w:hAnsi="Arial" w:cs="Arial"/>
          <w:sz w:val="20"/>
          <w:szCs w:val="20"/>
        </w:rPr>
        <w:t>zkrácení ochranné lhůty (obecná délka ochranné lhůty 42 kalendářních dnů byla zkrácena na 7 kalendářních dnů),</w:t>
      </w:r>
    </w:p>
    <w:p w:rsidR="00C464D1" w:rsidRDefault="00C464D1" w:rsidP="00C464D1">
      <w:pPr>
        <w:pStyle w:val="Odstavecseseznamem"/>
        <w:numPr>
          <w:ilvl w:val="1"/>
          <w:numId w:val="24"/>
        </w:numPr>
        <w:spacing w:before="0" w:after="0"/>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C464D1" w:rsidRDefault="00C464D1" w:rsidP="00C464D1">
      <w:pPr>
        <w:pStyle w:val="Odstavecseseznamem"/>
        <w:numPr>
          <w:ilvl w:val="1"/>
          <w:numId w:val="24"/>
        </w:numPr>
        <w:spacing w:before="0" w:after="0"/>
        <w:jc w:val="both"/>
        <w:rPr>
          <w:rFonts w:ascii="Arial" w:hAnsi="Arial" w:cs="Arial"/>
          <w:sz w:val="20"/>
          <w:szCs w:val="20"/>
        </w:rPr>
      </w:pPr>
      <w:r>
        <w:rPr>
          <w:rFonts w:ascii="Arial" w:hAnsi="Arial" w:cs="Arial"/>
          <w:sz w:val="20"/>
          <w:szCs w:val="20"/>
        </w:rPr>
        <w:lastRenderedPageBreak/>
        <w:t>zrušení „osamělosti“ jako podmínky pro prodloužení poskytování peněžité pomoci v mateřství z 28 na 37 týdnů,</w:t>
      </w:r>
    </w:p>
    <w:p w:rsidR="00C464D1" w:rsidRDefault="00C464D1" w:rsidP="00C464D1">
      <w:pPr>
        <w:pStyle w:val="Odstavecseseznamem"/>
        <w:numPr>
          <w:ilvl w:val="1"/>
          <w:numId w:val="24"/>
        </w:numPr>
        <w:spacing w:before="0" w:after="0"/>
        <w:jc w:val="both"/>
        <w:rPr>
          <w:rFonts w:cs="Arial"/>
          <w:szCs w:val="20"/>
        </w:rPr>
      </w:pPr>
      <w:r>
        <w:rPr>
          <w:rFonts w:ascii="Arial" w:hAnsi="Arial" w:cs="Arial"/>
          <w:sz w:val="20"/>
          <w:szCs w:val="20"/>
        </w:rPr>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C464D1" w:rsidRDefault="00C464D1" w:rsidP="00C464D1">
      <w:pPr>
        <w:spacing w:before="240" w:after="120"/>
        <w:rPr>
          <w:rFonts w:cs="Arial"/>
          <w:szCs w:val="20"/>
        </w:rPr>
      </w:pPr>
      <w:r>
        <w:rPr>
          <w:rFonts w:cs="Arial"/>
          <w:b/>
          <w:szCs w:val="20"/>
        </w:rPr>
        <w:t xml:space="preserve">V roce 2008 </w:t>
      </w:r>
    </w:p>
    <w:p w:rsidR="00C464D1" w:rsidRDefault="00C464D1" w:rsidP="00C464D1">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Nálezem Ústavního soudu ze dne 23. dubna 2008 vyhlášeným pod č.166/2008 Sb. byla s účinností od 30. 6. 2008 zrušena úprava, kdy se neposkytovalo nemocenské v době prvních tří dnů dočasné pracovní neschopnosti. </w:t>
      </w:r>
    </w:p>
    <w:p w:rsidR="00C464D1" w:rsidRDefault="00C464D1" w:rsidP="00C464D1">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C464D1" w:rsidRDefault="00C464D1" w:rsidP="00C464D1">
      <w:pPr>
        <w:pStyle w:val="Odstavecseseznamem"/>
        <w:numPr>
          <w:ilvl w:val="1"/>
          <w:numId w:val="22"/>
        </w:numPr>
        <w:spacing w:before="0" w:after="0"/>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C464D1" w:rsidRDefault="00C464D1" w:rsidP="00C464D1">
      <w:pPr>
        <w:pStyle w:val="Odstavecseseznamem"/>
        <w:numPr>
          <w:ilvl w:val="1"/>
          <w:numId w:val="22"/>
        </w:numPr>
        <w:spacing w:before="0" w:after="0"/>
        <w:jc w:val="both"/>
        <w:rPr>
          <w:rFonts w:ascii="Arial" w:hAnsi="Arial" w:cs="Arial"/>
          <w:sz w:val="20"/>
          <w:szCs w:val="20"/>
        </w:rPr>
      </w:pPr>
      <w:r>
        <w:rPr>
          <w:rFonts w:ascii="Arial" w:hAnsi="Arial" w:cs="Arial"/>
          <w:sz w:val="20"/>
          <w:szCs w:val="20"/>
        </w:rPr>
        <w:t xml:space="preserve">nemocenské náleží i při karanténě kratší než 4 dny, </w:t>
      </w:r>
    </w:p>
    <w:p w:rsidR="00C464D1" w:rsidRDefault="00C464D1" w:rsidP="00C464D1">
      <w:pPr>
        <w:pStyle w:val="Odstavecseseznamem"/>
        <w:numPr>
          <w:ilvl w:val="1"/>
          <w:numId w:val="22"/>
        </w:numPr>
        <w:spacing w:before="0" w:after="0"/>
        <w:jc w:val="both"/>
        <w:rPr>
          <w:rFonts w:cs="Arial"/>
          <w:b/>
          <w:szCs w:val="20"/>
        </w:rPr>
      </w:pPr>
      <w:r>
        <w:rPr>
          <w:rFonts w:ascii="Arial" w:hAnsi="Arial" w:cs="Arial"/>
          <w:sz w:val="20"/>
          <w:szCs w:val="20"/>
        </w:rPr>
        <w:t xml:space="preserve">vojákům z povolání a příslušníkům bezpečnostních sborů náleží nemocenské za první 3 kalendářní dny dočasné pracovní neschopnosti ke službě. </w:t>
      </w:r>
    </w:p>
    <w:p w:rsidR="00C464D1" w:rsidRDefault="00C464D1" w:rsidP="00C464D1">
      <w:pPr>
        <w:spacing w:before="240" w:after="120"/>
        <w:jc w:val="both"/>
        <w:rPr>
          <w:rFonts w:cs="Arial"/>
          <w:szCs w:val="20"/>
        </w:rPr>
      </w:pPr>
      <w:r>
        <w:rPr>
          <w:rFonts w:cs="Arial"/>
          <w:b/>
          <w:szCs w:val="20"/>
        </w:rPr>
        <w:t xml:space="preserve">V roce 2009 </w:t>
      </w:r>
    </w:p>
    <w:p w:rsidR="00C464D1" w:rsidRDefault="00C464D1" w:rsidP="00C464D1">
      <w:pPr>
        <w:pStyle w:val="Odstavecseseznamem"/>
        <w:numPr>
          <w:ilvl w:val="0"/>
          <w:numId w:val="25"/>
        </w:numPr>
        <w:spacing w:before="0" w:after="200" w:line="276" w:lineRule="auto"/>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C464D1" w:rsidRDefault="00C464D1" w:rsidP="00C464D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C464D1" w:rsidRDefault="00C464D1" w:rsidP="00C464D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C464D1" w:rsidRDefault="00C464D1" w:rsidP="00C464D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C464D1" w:rsidRDefault="00C464D1" w:rsidP="00C464D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zainteresoval zaměstnavatele na vývoji pracovní neschopnosti zaměstnanců. Zaměstnavatelé začali vyplácet náhradu mzdy za prvních 14 (později 21) dnů dočasné pracovní neschopnosti. </w:t>
      </w:r>
    </w:p>
    <w:p w:rsidR="00C464D1" w:rsidRDefault="00C464D1" w:rsidP="00C464D1">
      <w:pPr>
        <w:pStyle w:val="Odstavecseseznamem"/>
        <w:numPr>
          <w:ilvl w:val="0"/>
          <w:numId w:val="22"/>
        </w:numPr>
        <w:spacing w:before="0" w:after="0"/>
        <w:jc w:val="both"/>
        <w:rPr>
          <w:rFonts w:ascii="Arial" w:hAnsi="Arial" w:cs="Arial"/>
          <w:sz w:val="20"/>
          <w:szCs w:val="20"/>
        </w:rPr>
      </w:pPr>
      <w:r>
        <w:rPr>
          <w:rFonts w:ascii="Arial" w:hAnsi="Arial" w:cs="Arial"/>
          <w:sz w:val="20"/>
          <w:szCs w:val="20"/>
        </w:rPr>
        <w:t>V zákoně o pojistném na sociální zabezpečení:</w:t>
      </w:r>
    </w:p>
    <w:p w:rsidR="00C464D1" w:rsidRDefault="00C464D1" w:rsidP="00C464D1">
      <w:pPr>
        <w:pStyle w:val="Odstavecseseznamem"/>
        <w:numPr>
          <w:ilvl w:val="1"/>
          <w:numId w:val="25"/>
        </w:numPr>
        <w:spacing w:before="0" w:after="0" w:line="276" w:lineRule="auto"/>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C464D1" w:rsidRDefault="00C464D1" w:rsidP="00C464D1">
      <w:pPr>
        <w:pStyle w:val="Odstavecseseznamem"/>
        <w:numPr>
          <w:ilvl w:val="1"/>
          <w:numId w:val="25"/>
        </w:numPr>
        <w:spacing w:before="0" w:after="0" w:line="276" w:lineRule="auto"/>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1 130 640 Kč).</w:t>
      </w:r>
    </w:p>
    <w:p w:rsidR="00C464D1" w:rsidRDefault="00C464D1" w:rsidP="00C464D1">
      <w:pPr>
        <w:pStyle w:val="Odstavecseseznamem"/>
        <w:numPr>
          <w:ilvl w:val="2"/>
          <w:numId w:val="22"/>
        </w:numPr>
        <w:spacing w:before="0" w:after="0"/>
        <w:ind w:left="709" w:hanging="283"/>
        <w:jc w:val="both"/>
        <w:rPr>
          <w:rFonts w:cs="Arial"/>
          <w:szCs w:val="20"/>
        </w:rPr>
      </w:pPr>
      <w:r>
        <w:rPr>
          <w:rFonts w:ascii="Arial" w:hAnsi="Arial" w:cs="Arial"/>
          <w:sz w:val="20"/>
          <w:szCs w:val="20"/>
        </w:rPr>
        <w:t xml:space="preserve">Od 1. prosince 2009 nabyl účinnosti zákon č. 302/2009 Sb. Tímto zákonem se změnily některé povinnosti ošetřujícího lékaře a zaměstnavatele. </w:t>
      </w:r>
    </w:p>
    <w:p w:rsidR="00C464D1" w:rsidRDefault="00C464D1" w:rsidP="00C464D1">
      <w:pPr>
        <w:spacing w:before="240" w:after="120"/>
        <w:rPr>
          <w:rFonts w:cs="Arial"/>
          <w:szCs w:val="20"/>
        </w:rPr>
      </w:pPr>
      <w:r>
        <w:rPr>
          <w:rFonts w:cs="Arial"/>
          <w:b/>
          <w:szCs w:val="20"/>
        </w:rPr>
        <w:t xml:space="preserve">V roce 2010 </w:t>
      </w:r>
    </w:p>
    <w:p w:rsidR="00C464D1" w:rsidRDefault="00C464D1" w:rsidP="00C464D1">
      <w:pPr>
        <w:pStyle w:val="Odstavecseseznamem"/>
        <w:numPr>
          <w:ilvl w:val="0"/>
          <w:numId w:val="22"/>
        </w:numPr>
        <w:spacing w:before="0" w:after="120" w:line="276" w:lineRule="auto"/>
        <w:ind w:left="714" w:hanging="357"/>
        <w:rPr>
          <w:rFonts w:ascii="Arial" w:hAnsi="Arial" w:cs="Arial"/>
          <w:sz w:val="20"/>
          <w:szCs w:val="20"/>
        </w:rPr>
      </w:pPr>
      <w:r>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 jejichž cílem bylo snížení deficitu státního rozpočtu.</w:t>
      </w:r>
    </w:p>
    <w:p w:rsidR="00C464D1" w:rsidRPr="001F64B4" w:rsidRDefault="00C464D1" w:rsidP="00C464D1">
      <w:pPr>
        <w:pStyle w:val="Odstavecseseznamem"/>
        <w:spacing w:before="0" w:after="120" w:line="288" w:lineRule="auto"/>
        <w:ind w:left="357" w:firstLine="346"/>
        <w:rPr>
          <w:rFonts w:ascii="Arial" w:hAnsi="Arial" w:cs="Arial"/>
          <w:sz w:val="20"/>
          <w:szCs w:val="20"/>
        </w:rPr>
      </w:pPr>
      <w:r w:rsidRPr="001F64B4">
        <w:rPr>
          <w:rFonts w:ascii="Arial" w:hAnsi="Arial" w:cs="Arial"/>
          <w:sz w:val="20"/>
          <w:szCs w:val="20"/>
        </w:rPr>
        <w:t xml:space="preserve">Přehled změn v oblasti nemocenského pojištění: </w:t>
      </w:r>
    </w:p>
    <w:p w:rsidR="00C464D1" w:rsidRPr="001F64B4" w:rsidRDefault="00C464D1" w:rsidP="00C464D1">
      <w:pPr>
        <w:pStyle w:val="Odstavecseseznamem"/>
        <w:numPr>
          <w:ilvl w:val="1"/>
          <w:numId w:val="24"/>
        </w:numPr>
        <w:spacing w:before="0" w:after="0" w:line="288" w:lineRule="auto"/>
        <w:ind w:left="1080"/>
        <w:jc w:val="both"/>
        <w:rPr>
          <w:rFonts w:ascii="Arial" w:hAnsi="Arial" w:cs="Arial"/>
          <w:sz w:val="20"/>
          <w:szCs w:val="20"/>
        </w:rPr>
      </w:pPr>
      <w:r w:rsidRPr="001F64B4">
        <w:rPr>
          <w:rFonts w:ascii="Arial" w:hAnsi="Arial" w:cs="Arial"/>
          <w:sz w:val="20"/>
          <w:szCs w:val="20"/>
        </w:rPr>
        <w:t xml:space="preserve">zavedení jednotné procentní sazby pro výpočet denní výše nemocenského ve výši 60 %, </w:t>
      </w:r>
    </w:p>
    <w:p w:rsidR="00C464D1" w:rsidRPr="001F64B4" w:rsidRDefault="00C464D1" w:rsidP="00C464D1">
      <w:pPr>
        <w:pStyle w:val="Odstavecseseznamem"/>
        <w:numPr>
          <w:ilvl w:val="1"/>
          <w:numId w:val="24"/>
        </w:numPr>
        <w:spacing w:before="0" w:after="0" w:line="288" w:lineRule="auto"/>
        <w:ind w:left="1080"/>
        <w:jc w:val="both"/>
        <w:rPr>
          <w:rFonts w:ascii="Arial" w:hAnsi="Arial" w:cs="Arial"/>
          <w:sz w:val="20"/>
          <w:szCs w:val="20"/>
        </w:rPr>
      </w:pPr>
      <w:r w:rsidRPr="001F64B4">
        <w:rPr>
          <w:rFonts w:ascii="Arial" w:hAnsi="Arial" w:cs="Arial"/>
          <w:sz w:val="20"/>
          <w:szCs w:val="20"/>
        </w:rPr>
        <w:t xml:space="preserve">snížení zápočtu příjmu pro stanovení denního vyměřovacího základu do první redukční hranice u peněžité pomoci v mateřství a vyrovnávacího příspěvku v těhotenství a mateřství ze 100 % na 90 %, snížení procentní sazby pro výpočet peněžité pomoci v mateřství ze 70 % na 60 %, </w:t>
      </w:r>
    </w:p>
    <w:p w:rsidR="00C464D1" w:rsidRPr="001F64B4" w:rsidRDefault="00C464D1" w:rsidP="00C464D1">
      <w:pPr>
        <w:pStyle w:val="Odstavecseseznamem"/>
        <w:numPr>
          <w:ilvl w:val="1"/>
          <w:numId w:val="24"/>
        </w:numPr>
        <w:spacing w:before="0" w:after="60" w:line="288" w:lineRule="auto"/>
        <w:ind w:left="1077" w:hanging="357"/>
        <w:jc w:val="both"/>
        <w:rPr>
          <w:rFonts w:ascii="Arial" w:hAnsi="Arial" w:cs="Arial"/>
          <w:sz w:val="20"/>
          <w:szCs w:val="20"/>
        </w:rPr>
      </w:pPr>
      <w:r w:rsidRPr="001F64B4">
        <w:rPr>
          <w:rFonts w:ascii="Arial" w:hAnsi="Arial" w:cs="Arial"/>
          <w:sz w:val="20"/>
          <w:szCs w:val="20"/>
        </w:rPr>
        <w:t xml:space="preserve">zavedení třídenní karenční doby u ošetřovného. </w:t>
      </w:r>
    </w:p>
    <w:p w:rsidR="00C464D1" w:rsidRDefault="00C464D1" w:rsidP="00C464D1">
      <w:pPr>
        <w:pStyle w:val="Odstavecseseznamem"/>
        <w:numPr>
          <w:ilvl w:val="0"/>
          <w:numId w:val="22"/>
        </w:numPr>
        <w:spacing w:before="0" w:after="0"/>
        <w:jc w:val="both"/>
        <w:rPr>
          <w:rFonts w:cs="Arial"/>
          <w:szCs w:val="20"/>
        </w:rPr>
      </w:pPr>
      <w:r w:rsidRPr="001F64B4">
        <w:rPr>
          <w:rFonts w:ascii="Arial" w:hAnsi="Arial" w:cs="Arial"/>
          <w:sz w:val="20"/>
          <w:szCs w:val="20"/>
        </w:rPr>
        <w:lastRenderedPageBreak/>
        <w:t>Od 1. 6. 2010 nabyl účinnosti zákon č. 166/2010 Sb. Tímto zákonem byly zrušeny změny zavedené zákonem č. 362/2009 Sb., které byly účinné od 1. 1. 2010 a týkaly se výše peněžité pomoci v</w:t>
      </w:r>
      <w:r>
        <w:rPr>
          <w:rFonts w:ascii="Arial" w:hAnsi="Arial" w:cs="Arial"/>
          <w:sz w:val="20"/>
          <w:szCs w:val="20"/>
        </w:rPr>
        <w:t xml:space="preserve"> mateřství, ošetřovného a vyrovnávacího příspěvku v těhotenství a mateřství, byla zrušena ustanovení § 21a, § 37a a § 40a. </w:t>
      </w:r>
    </w:p>
    <w:p w:rsidR="00C464D1" w:rsidRDefault="00C464D1" w:rsidP="00C464D1">
      <w:pPr>
        <w:spacing w:before="240" w:after="120" w:line="240" w:lineRule="auto"/>
        <w:jc w:val="both"/>
        <w:rPr>
          <w:rFonts w:cs="Arial"/>
          <w:szCs w:val="20"/>
        </w:rPr>
      </w:pPr>
      <w:r>
        <w:rPr>
          <w:rFonts w:cs="Arial"/>
          <w:b/>
          <w:szCs w:val="20"/>
        </w:rPr>
        <w:t xml:space="preserve">V roce 2011 </w:t>
      </w:r>
    </w:p>
    <w:p w:rsidR="00C464D1" w:rsidRDefault="00C464D1" w:rsidP="00C464D1">
      <w:pPr>
        <w:numPr>
          <w:ilvl w:val="0"/>
          <w:numId w:val="22"/>
        </w:numPr>
        <w:suppressAutoHyphens/>
        <w:spacing w:after="0"/>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C464D1" w:rsidRDefault="00C464D1" w:rsidP="00C464D1">
      <w:pPr>
        <w:numPr>
          <w:ilvl w:val="1"/>
          <w:numId w:val="22"/>
        </w:numPr>
        <w:suppressAutoHyphens/>
        <w:spacing w:after="0"/>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neschopnosti či nařízené karantény poskytuje zaměstnavatel zaměstnanci náhradu mzdy podle zákoníku práce (toto opatření platí do 31. 12. 2013), </w:t>
      </w:r>
    </w:p>
    <w:p w:rsidR="00C464D1" w:rsidRDefault="00C464D1" w:rsidP="00C464D1">
      <w:pPr>
        <w:numPr>
          <w:ilvl w:val="1"/>
          <w:numId w:val="22"/>
        </w:numPr>
        <w:suppressAutoHyphens/>
        <w:spacing w:after="0"/>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C464D1" w:rsidRDefault="00C464D1" w:rsidP="00C464D1">
      <w:pPr>
        <w:numPr>
          <w:ilvl w:val="1"/>
          <w:numId w:val="22"/>
        </w:numPr>
        <w:suppressAutoHyphens/>
        <w:spacing w:after="0"/>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C464D1" w:rsidRDefault="00C464D1" w:rsidP="00C464D1">
      <w:pPr>
        <w:numPr>
          <w:ilvl w:val="0"/>
          <w:numId w:val="22"/>
        </w:numPr>
        <w:suppressAutoHyphens/>
        <w:spacing w:after="0"/>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C464D1" w:rsidRDefault="00C464D1" w:rsidP="00C464D1">
      <w:pPr>
        <w:numPr>
          <w:ilvl w:val="0"/>
          <w:numId w:val="22"/>
        </w:numPr>
        <w:suppressAutoHyphens/>
        <w:spacing w:after="0"/>
        <w:jc w:val="both"/>
        <w:rPr>
          <w:rFonts w:cs="Arial"/>
          <w:szCs w:val="20"/>
        </w:rPr>
      </w:pPr>
      <w:r>
        <w:rPr>
          <w:rFonts w:cs="Arial"/>
          <w:szCs w:val="20"/>
        </w:rPr>
        <w:t xml:space="preserve">Nález Ústavního soudu </w:t>
      </w:r>
      <w:proofErr w:type="spellStart"/>
      <w:r>
        <w:rPr>
          <w:rFonts w:cs="Arial"/>
          <w:szCs w:val="20"/>
        </w:rPr>
        <w:t>Pl</w:t>
      </w:r>
      <w:proofErr w:type="spellEnd"/>
      <w:r>
        <w:rPr>
          <w:rFonts w:cs="Arial"/>
          <w:szCs w:val="20"/>
        </w:rPr>
        <w:t xml:space="preserve">. ÚS 55/10 vyhlášený pod č. 80/2011 Sb. - zrušil některá ustanovení zákona č. 347/2010 Sb., kterým se měnily některé zákony v souvislosti s úspornými opatřeními v působnosti MPSV, uplynutím dne 31. prosince 2011. </w:t>
      </w:r>
    </w:p>
    <w:p w:rsidR="00C464D1" w:rsidRDefault="00C464D1" w:rsidP="00C464D1">
      <w:pPr>
        <w:spacing w:before="240" w:after="120" w:line="240" w:lineRule="auto"/>
        <w:jc w:val="both"/>
        <w:rPr>
          <w:rFonts w:cs="Arial"/>
          <w:szCs w:val="20"/>
        </w:rPr>
      </w:pPr>
      <w:r>
        <w:rPr>
          <w:rFonts w:cs="Arial"/>
          <w:b/>
          <w:szCs w:val="20"/>
        </w:rPr>
        <w:t xml:space="preserve">V roce 2012 </w:t>
      </w:r>
    </w:p>
    <w:p w:rsidR="00C464D1" w:rsidRDefault="00C464D1" w:rsidP="00C464D1">
      <w:pPr>
        <w:numPr>
          <w:ilvl w:val="0"/>
          <w:numId w:val="26"/>
        </w:numPr>
        <w:suppressAutoHyphens/>
        <w:spacing w:after="0"/>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C464D1" w:rsidRDefault="00C464D1" w:rsidP="00C464D1">
      <w:pPr>
        <w:numPr>
          <w:ilvl w:val="0"/>
          <w:numId w:val="26"/>
        </w:numPr>
        <w:suppressAutoHyphens/>
        <w:spacing w:after="0"/>
        <w:jc w:val="both"/>
        <w:rPr>
          <w:rFonts w:cs="Arial"/>
          <w:szCs w:val="20"/>
        </w:rPr>
      </w:pPr>
      <w:r>
        <w:rPr>
          <w:rFonts w:cs="Arial"/>
          <w:szCs w:val="20"/>
        </w:rPr>
        <w:t xml:space="preserve">Zákonem č. 365/2011 Sb., kterým se měnil zákon č. 262/2006 Sb., zákoník práce, ve znění pozdějších předpisů, a další související zákony, byl od 1. 1. 2012 novelizován také zákon č. 187/2006 Sb., o nemocenském pojištění. Touto novelou se rozšířil okruh </w:t>
      </w:r>
      <w:proofErr w:type="spellStart"/>
      <w:r>
        <w:rPr>
          <w:rFonts w:cs="Arial"/>
          <w:szCs w:val="20"/>
        </w:rPr>
        <w:t>nemocensky</w:t>
      </w:r>
      <w:proofErr w:type="spellEnd"/>
      <w:r>
        <w:rPr>
          <w:rFonts w:cs="Arial"/>
          <w:szCs w:val="20"/>
        </w:rPr>
        <w:t xml:space="preserve">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C464D1" w:rsidRDefault="00C464D1" w:rsidP="00C464D1">
      <w:pPr>
        <w:numPr>
          <w:ilvl w:val="0"/>
          <w:numId w:val="26"/>
        </w:numPr>
        <w:suppressAutoHyphens/>
        <w:spacing w:after="0"/>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w:t>
      </w:r>
      <w:proofErr w:type="spellStart"/>
      <w:r>
        <w:rPr>
          <w:rFonts w:cs="Arial"/>
          <w:szCs w:val="20"/>
        </w:rPr>
        <w:t>nemocensky</w:t>
      </w:r>
      <w:proofErr w:type="spellEnd"/>
      <w:r>
        <w:rPr>
          <w:rFonts w:cs="Arial"/>
          <w:szCs w:val="20"/>
        </w:rPr>
        <w:t xml:space="preserve"> pojištěných osob. </w:t>
      </w:r>
    </w:p>
    <w:p w:rsidR="00C464D1" w:rsidRDefault="00C464D1" w:rsidP="00C464D1">
      <w:pPr>
        <w:ind w:firstLine="708"/>
        <w:jc w:val="both"/>
        <w:rPr>
          <w:rFonts w:cs="Arial"/>
          <w:szCs w:val="20"/>
        </w:rPr>
      </w:pPr>
      <w:r>
        <w:rPr>
          <w:rFonts w:cs="Arial"/>
          <w:szCs w:val="20"/>
        </w:rPr>
        <w:t xml:space="preserve">Další změny v oblasti nemocenského pojištění: </w:t>
      </w:r>
    </w:p>
    <w:p w:rsidR="00C464D1" w:rsidRDefault="00C464D1" w:rsidP="00C464D1">
      <w:pPr>
        <w:numPr>
          <w:ilvl w:val="0"/>
          <w:numId w:val="27"/>
        </w:numPr>
        <w:suppressAutoHyphens/>
        <w:spacing w:after="0"/>
        <w:jc w:val="both"/>
        <w:rPr>
          <w:rFonts w:cs="Arial"/>
          <w:szCs w:val="20"/>
        </w:rPr>
      </w:pPr>
      <w:r>
        <w:rPr>
          <w:rFonts w:cs="Arial"/>
          <w:szCs w:val="20"/>
        </w:rPr>
        <w:t xml:space="preserve">do vyloučených dnů se nově zahrnují dny neplaceného pracovního volna, </w:t>
      </w:r>
    </w:p>
    <w:p w:rsidR="00C464D1" w:rsidRDefault="00C464D1" w:rsidP="00C464D1">
      <w:pPr>
        <w:numPr>
          <w:ilvl w:val="0"/>
          <w:numId w:val="27"/>
        </w:numPr>
        <w:suppressAutoHyphens/>
        <w:spacing w:after="0"/>
        <w:jc w:val="both"/>
        <w:rPr>
          <w:rFonts w:cs="Arial"/>
          <w:szCs w:val="20"/>
        </w:rPr>
      </w:pPr>
      <w:r>
        <w:rPr>
          <w:rFonts w:cs="Arial"/>
          <w:szCs w:val="20"/>
        </w:rPr>
        <w:t xml:space="preserve">změny v úpravě při stanovování rozhodného období a pravděpodobného příjmu, </w:t>
      </w:r>
    </w:p>
    <w:p w:rsidR="00C464D1" w:rsidRDefault="00C464D1" w:rsidP="00C464D1">
      <w:pPr>
        <w:numPr>
          <w:ilvl w:val="0"/>
          <w:numId w:val="27"/>
        </w:numPr>
        <w:suppressAutoHyphens/>
        <w:spacing w:after="0"/>
        <w:jc w:val="both"/>
        <w:rPr>
          <w:rFonts w:cs="Arial"/>
          <w:szCs w:val="20"/>
        </w:rPr>
      </w:pPr>
      <w:r>
        <w:rPr>
          <w:rFonts w:cs="Arial"/>
          <w:szCs w:val="20"/>
        </w:rPr>
        <w:t xml:space="preserve">doba studia, pokud bylo úspěšně ukončeno, se započítává jako doba účasti na nemocenském pojištění při zjišťování podmínky 270 dnů účasti na nemocenském pojištění v posledních dvou letech před nástupem na peněžitou pomoc v mateřství, </w:t>
      </w:r>
    </w:p>
    <w:p w:rsidR="00C464D1" w:rsidRDefault="00C464D1" w:rsidP="00C464D1">
      <w:pPr>
        <w:spacing w:before="240" w:after="120"/>
        <w:rPr>
          <w:rFonts w:cs="Arial"/>
          <w:szCs w:val="20"/>
        </w:rPr>
      </w:pPr>
      <w:r>
        <w:rPr>
          <w:rFonts w:cs="Arial"/>
          <w:b/>
          <w:szCs w:val="20"/>
        </w:rPr>
        <w:t xml:space="preserve">V roce 2013 </w:t>
      </w:r>
    </w:p>
    <w:p w:rsidR="00C464D1" w:rsidRDefault="00C464D1" w:rsidP="00C464D1">
      <w:pPr>
        <w:ind w:firstLine="708"/>
        <w:jc w:val="both"/>
        <w:rPr>
          <w:rFonts w:cs="Arial"/>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C464D1" w:rsidRDefault="00C464D1" w:rsidP="00C464D1">
      <w:pPr>
        <w:numPr>
          <w:ilvl w:val="0"/>
          <w:numId w:val="28"/>
        </w:numPr>
        <w:suppressAutoHyphens/>
        <w:spacing w:after="0"/>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w:t>
      </w:r>
      <w:r>
        <w:rPr>
          <w:rFonts w:cs="Arial"/>
          <w:szCs w:val="20"/>
        </w:rPr>
        <w:lastRenderedPageBreak/>
        <w:t xml:space="preserve">neschopnosti do konce dočasné pracovní neschopnosti, maximálně však 380 kalendářních dnů počítaných od vzniku dočasné pracovní neschopnosti (včetně zápočtů předchozí doby trvání dočasné pracovní neschopnosti). </w:t>
      </w:r>
    </w:p>
    <w:p w:rsidR="00C464D1" w:rsidRDefault="00C464D1" w:rsidP="00C464D1">
      <w:pPr>
        <w:numPr>
          <w:ilvl w:val="0"/>
          <w:numId w:val="28"/>
        </w:numPr>
        <w:suppressAutoHyphens/>
        <w:spacing w:after="0"/>
        <w:jc w:val="both"/>
        <w:rPr>
          <w:rFonts w:cs="Arial"/>
          <w:b/>
          <w:szCs w:val="20"/>
        </w:rPr>
      </w:pPr>
      <w:r>
        <w:rPr>
          <w:rFonts w:cs="Arial"/>
          <w:szCs w:val="20"/>
        </w:rPr>
        <w:t xml:space="preserve">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 pracovního dne (při karanténě od prvního pracovního dne). </w:t>
      </w:r>
    </w:p>
    <w:p w:rsidR="00C464D1" w:rsidRDefault="00C464D1" w:rsidP="00C464D1">
      <w:pPr>
        <w:spacing w:before="240" w:after="120"/>
        <w:rPr>
          <w:rFonts w:cs="Arial"/>
          <w:szCs w:val="20"/>
        </w:rPr>
      </w:pPr>
      <w:r>
        <w:rPr>
          <w:rFonts w:cs="Arial"/>
          <w:b/>
          <w:szCs w:val="20"/>
        </w:rPr>
        <w:t xml:space="preserve">V roce 2014 </w:t>
      </w:r>
    </w:p>
    <w:p w:rsidR="00C464D1" w:rsidRDefault="00C464D1" w:rsidP="00C464D1">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C464D1" w:rsidRDefault="00C464D1" w:rsidP="00C464D1">
      <w:pPr>
        <w:numPr>
          <w:ilvl w:val="0"/>
          <w:numId w:val="29"/>
        </w:numPr>
        <w:suppressAutoHyphens/>
        <w:spacing w:after="0"/>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C464D1" w:rsidRDefault="00C464D1" w:rsidP="00C464D1">
      <w:pPr>
        <w:numPr>
          <w:ilvl w:val="0"/>
          <w:numId w:val="29"/>
        </w:numPr>
        <w:suppressAutoHyphens/>
        <w:spacing w:after="0"/>
        <w:jc w:val="both"/>
        <w:rPr>
          <w:rFonts w:cs="Arial"/>
          <w:szCs w:val="20"/>
        </w:rPr>
      </w:pPr>
      <w:r>
        <w:rPr>
          <w:rFonts w:cs="Arial"/>
          <w:szCs w:val="20"/>
        </w:rPr>
        <w:t xml:space="preserve">Byly nově definovány některé pojmy </w:t>
      </w:r>
    </w:p>
    <w:p w:rsidR="00C464D1" w:rsidRDefault="00C464D1" w:rsidP="00C464D1">
      <w:pPr>
        <w:numPr>
          <w:ilvl w:val="0"/>
          <w:numId w:val="30"/>
        </w:numPr>
        <w:suppressAutoHyphens/>
        <w:spacing w:after="0"/>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C464D1" w:rsidRDefault="00C464D1" w:rsidP="00C464D1">
      <w:pPr>
        <w:numPr>
          <w:ilvl w:val="0"/>
          <w:numId w:val="30"/>
        </w:numPr>
        <w:suppressAutoHyphens/>
        <w:spacing w:after="0"/>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C464D1" w:rsidRDefault="00C464D1" w:rsidP="00C464D1">
      <w:pPr>
        <w:numPr>
          <w:ilvl w:val="0"/>
          <w:numId w:val="31"/>
        </w:numPr>
        <w:suppressAutoHyphens/>
        <w:spacing w:after="0"/>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C464D1" w:rsidRDefault="00C464D1" w:rsidP="00C464D1">
      <w:pPr>
        <w:numPr>
          <w:ilvl w:val="0"/>
          <w:numId w:val="31"/>
        </w:numPr>
        <w:suppressAutoHyphens/>
        <w:spacing w:after="0"/>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 výkonu zaměstnání malého rozsahu je zaměstnanec pojištěn jen v těch kalendářních měsících, v nichž dosáhl aspoň příjmu v příslušné rozhodné výši.</w:t>
      </w:r>
    </w:p>
    <w:p w:rsidR="00C464D1" w:rsidRDefault="00C464D1" w:rsidP="00C464D1">
      <w:pPr>
        <w:numPr>
          <w:ilvl w:val="0"/>
          <w:numId w:val="31"/>
        </w:numPr>
        <w:suppressAutoHyphens/>
        <w:spacing w:after="0"/>
        <w:ind w:left="709"/>
        <w:jc w:val="both"/>
        <w:rPr>
          <w:rFonts w:cs="Arial"/>
          <w:szCs w:val="20"/>
        </w:rPr>
      </w:pPr>
      <w:r>
        <w:rPr>
          <w:rFonts w:cs="Arial"/>
          <w:szCs w:val="20"/>
        </w:rPr>
        <w:t xml:space="preserve">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 sazbě 2,3 % činí minimální pojistné na nemocenské pojištění 115 Kč za kalendářní měsíc. </w:t>
      </w:r>
    </w:p>
    <w:p w:rsidR="00C464D1" w:rsidRDefault="00C464D1" w:rsidP="00C464D1">
      <w:pPr>
        <w:numPr>
          <w:ilvl w:val="0"/>
          <w:numId w:val="31"/>
        </w:numPr>
        <w:suppressAutoHyphens/>
        <w:spacing w:after="0"/>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C464D1" w:rsidRDefault="00C464D1" w:rsidP="00C464D1">
      <w:pPr>
        <w:spacing w:before="240" w:after="120"/>
        <w:ind w:left="709" w:hanging="709"/>
        <w:rPr>
          <w:rFonts w:cs="Arial"/>
          <w:b/>
        </w:rPr>
      </w:pPr>
    </w:p>
    <w:p w:rsidR="00C464D1" w:rsidRPr="00C91277" w:rsidRDefault="00C464D1" w:rsidP="00C464D1">
      <w:pPr>
        <w:spacing w:before="240" w:after="120"/>
        <w:ind w:left="709" w:hanging="709"/>
        <w:rPr>
          <w:rFonts w:cs="Arial"/>
          <w:sz w:val="16"/>
          <w:szCs w:val="20"/>
        </w:rPr>
      </w:pPr>
      <w:r w:rsidRPr="00C91277">
        <w:rPr>
          <w:rFonts w:cs="Arial"/>
          <w:b/>
        </w:rPr>
        <w:t>V roce 2015</w:t>
      </w:r>
    </w:p>
    <w:p w:rsidR="00C464D1" w:rsidRDefault="00C464D1" w:rsidP="00C464D1">
      <w:pPr>
        <w:numPr>
          <w:ilvl w:val="0"/>
          <w:numId w:val="32"/>
        </w:numPr>
        <w:suppressAutoHyphens/>
        <w:spacing w:after="0"/>
        <w:ind w:left="567"/>
        <w:jc w:val="both"/>
        <w:rPr>
          <w:rFonts w:cs="Arial"/>
          <w:szCs w:val="20"/>
        </w:rPr>
      </w:pPr>
      <w:r>
        <w:rPr>
          <w:rFonts w:cs="Arial"/>
          <w:szCs w:val="20"/>
        </w:rPr>
        <w:t>V roce 2015 je zrušena zvýšená sazba pojistného na sociální zabezpečení pro zaměstnavatele s počtem zaměstnanců menším než 26 a navazující úprava, kdy si takový zaměstnavatel mohl od pojistného odečíst polovinu ze zúčtované a vyplacené náhrady mzdy za dobu trvání dočasné pracovní neschopnosti jeho zaměstnanců.</w:t>
      </w:r>
    </w:p>
    <w:p w:rsidR="00C464D1" w:rsidRDefault="00C464D1" w:rsidP="00C464D1">
      <w:pPr>
        <w:suppressAutoHyphens/>
        <w:spacing w:after="0"/>
        <w:ind w:left="567"/>
        <w:jc w:val="both"/>
        <w:rPr>
          <w:rFonts w:cs="Arial"/>
          <w:szCs w:val="20"/>
        </w:rPr>
      </w:pPr>
    </w:p>
    <w:p w:rsidR="00C464D1" w:rsidRPr="004736B0" w:rsidRDefault="00C464D1" w:rsidP="00C464D1">
      <w:pPr>
        <w:rPr>
          <w:rFonts w:cs="Arial"/>
          <w:b/>
          <w:szCs w:val="20"/>
        </w:rPr>
      </w:pPr>
      <w:r>
        <w:rPr>
          <w:rFonts w:cs="Arial"/>
          <w:b/>
          <w:szCs w:val="20"/>
        </w:rPr>
        <w:t>V roce 2016</w:t>
      </w:r>
    </w:p>
    <w:p w:rsidR="00C464D1" w:rsidRDefault="00C464D1" w:rsidP="00C464D1">
      <w:pPr>
        <w:numPr>
          <w:ilvl w:val="0"/>
          <w:numId w:val="39"/>
        </w:numPr>
        <w:spacing w:after="0"/>
        <w:ind w:left="567"/>
        <w:jc w:val="both"/>
        <w:rPr>
          <w:rFonts w:cs="Arial"/>
          <w:szCs w:val="20"/>
        </w:rPr>
      </w:pPr>
      <w:r>
        <w:rPr>
          <w:rFonts w:cs="Arial"/>
          <w:szCs w:val="20"/>
        </w:rPr>
        <w:t>V</w:t>
      </w:r>
      <w:r w:rsidRPr="00664943">
        <w:rPr>
          <w:rFonts w:cs="Arial"/>
          <w:szCs w:val="20"/>
        </w:rPr>
        <w:t xml:space="preserve"> návaznosti na zvýšení průměrné mzdy se od 1. 1. 2016 zvýšily redukční hranice pro výpočet náhrady mzdy za dobu dočasné pracovní neschopnosti a pro výpočet dávek nemocenského pojištění.</w:t>
      </w:r>
    </w:p>
    <w:p w:rsidR="00C464D1" w:rsidRDefault="00C464D1" w:rsidP="00C464D1">
      <w:pPr>
        <w:numPr>
          <w:ilvl w:val="0"/>
          <w:numId w:val="39"/>
        </w:numPr>
        <w:spacing w:after="0"/>
        <w:ind w:left="567"/>
        <w:jc w:val="both"/>
        <w:rPr>
          <w:rFonts w:cs="Arial"/>
          <w:szCs w:val="20"/>
        </w:rPr>
      </w:pPr>
      <w:r w:rsidRPr="00664943">
        <w:rPr>
          <w:rFonts w:cs="Arial"/>
          <w:szCs w:val="20"/>
        </w:rPr>
        <w:t>K významné změně dochází ve stanovení místní příslušnosti zaměstnavatelů k okresní správě sociálního zabezpečení, která se již nemusí řídit pouze sídlem zaměstnavatele.</w:t>
      </w:r>
      <w:r>
        <w:rPr>
          <w:rFonts w:cs="Arial"/>
          <w:szCs w:val="20"/>
        </w:rPr>
        <w:t> </w:t>
      </w:r>
    </w:p>
    <w:p w:rsidR="00C464D1" w:rsidRDefault="00C464D1" w:rsidP="00C464D1">
      <w:pPr>
        <w:spacing w:after="0"/>
        <w:jc w:val="both"/>
        <w:rPr>
          <w:rFonts w:cs="Arial"/>
          <w:szCs w:val="20"/>
        </w:rPr>
      </w:pPr>
    </w:p>
    <w:p w:rsidR="00C464D1" w:rsidRDefault="00C464D1" w:rsidP="00C464D1">
      <w:pPr>
        <w:spacing w:after="0"/>
        <w:jc w:val="both"/>
        <w:rPr>
          <w:rFonts w:cs="Arial"/>
          <w:b/>
          <w:szCs w:val="20"/>
        </w:rPr>
      </w:pPr>
      <w:r w:rsidRPr="00575067">
        <w:rPr>
          <w:rFonts w:cs="Arial"/>
          <w:b/>
          <w:szCs w:val="20"/>
        </w:rPr>
        <w:t>V roce 2017</w:t>
      </w:r>
    </w:p>
    <w:p w:rsidR="00C464D1" w:rsidRDefault="00C464D1" w:rsidP="00C464D1">
      <w:pPr>
        <w:spacing w:after="0"/>
        <w:jc w:val="both"/>
        <w:rPr>
          <w:rFonts w:cs="Arial"/>
          <w:b/>
          <w:szCs w:val="20"/>
        </w:rPr>
      </w:pPr>
    </w:p>
    <w:p w:rsidR="00C464D1" w:rsidRPr="003C6DA7" w:rsidRDefault="00C464D1" w:rsidP="00C464D1">
      <w:pPr>
        <w:numPr>
          <w:ilvl w:val="0"/>
          <w:numId w:val="39"/>
        </w:numPr>
        <w:spacing w:after="0"/>
        <w:ind w:left="567"/>
        <w:jc w:val="both"/>
        <w:rPr>
          <w:rFonts w:cs="Arial"/>
          <w:szCs w:val="20"/>
        </w:rPr>
      </w:pPr>
      <w:r w:rsidRPr="003C6DA7">
        <w:rPr>
          <w:rFonts w:cs="Arial"/>
          <w:szCs w:val="20"/>
        </w:rPr>
        <w:t>Redukční hranice pro úpravu denního vyměřovacího základu, který slouží pro výpočet výše dávek nemocenského pojištění, jsou pro rok 2017 následující:</w:t>
      </w:r>
    </w:p>
    <w:p w:rsidR="00C464D1" w:rsidRPr="003C6DA7" w:rsidRDefault="00C464D1" w:rsidP="00C464D1">
      <w:pPr>
        <w:numPr>
          <w:ilvl w:val="1"/>
          <w:numId w:val="39"/>
        </w:numPr>
        <w:spacing w:after="0"/>
        <w:jc w:val="both"/>
        <w:rPr>
          <w:rFonts w:cs="Arial"/>
          <w:szCs w:val="20"/>
        </w:rPr>
      </w:pPr>
      <w:r w:rsidRPr="003C6DA7">
        <w:rPr>
          <w:rFonts w:cs="Arial"/>
          <w:szCs w:val="20"/>
        </w:rPr>
        <w:t>první redukční hranice činí 942 Kč,</w:t>
      </w:r>
    </w:p>
    <w:p w:rsidR="00C464D1" w:rsidRPr="003C6DA7" w:rsidRDefault="00C464D1" w:rsidP="00C464D1">
      <w:pPr>
        <w:numPr>
          <w:ilvl w:val="1"/>
          <w:numId w:val="39"/>
        </w:numPr>
        <w:spacing w:after="0"/>
        <w:jc w:val="both"/>
        <w:rPr>
          <w:rFonts w:cs="Arial"/>
          <w:szCs w:val="20"/>
        </w:rPr>
      </w:pPr>
      <w:r w:rsidRPr="003C6DA7">
        <w:rPr>
          <w:rFonts w:cs="Arial"/>
          <w:szCs w:val="20"/>
        </w:rPr>
        <w:t>druhá redukční hranice činí 1 412 Kč,</w:t>
      </w:r>
    </w:p>
    <w:p w:rsidR="00C464D1" w:rsidRPr="003C6DA7" w:rsidRDefault="00C464D1" w:rsidP="00C464D1">
      <w:pPr>
        <w:numPr>
          <w:ilvl w:val="1"/>
          <w:numId w:val="39"/>
        </w:numPr>
        <w:spacing w:after="0"/>
        <w:jc w:val="both"/>
        <w:rPr>
          <w:rFonts w:cs="Arial"/>
          <w:szCs w:val="20"/>
        </w:rPr>
      </w:pPr>
      <w:r w:rsidRPr="003C6DA7">
        <w:rPr>
          <w:rFonts w:cs="Arial"/>
          <w:szCs w:val="20"/>
        </w:rPr>
        <w:t>třetí redukční hranice činí 2 824 Kč.</w:t>
      </w:r>
    </w:p>
    <w:p w:rsidR="00C464D1" w:rsidRPr="003C6DA7" w:rsidRDefault="00C464D1" w:rsidP="00C464D1">
      <w:pPr>
        <w:numPr>
          <w:ilvl w:val="0"/>
          <w:numId w:val="39"/>
        </w:numPr>
        <w:spacing w:after="0"/>
        <w:ind w:left="567"/>
        <w:jc w:val="both"/>
        <w:rPr>
          <w:rFonts w:cs="Arial"/>
          <w:szCs w:val="20"/>
        </w:rPr>
      </w:pPr>
      <w:r w:rsidRPr="003C6DA7">
        <w:rPr>
          <w:rFonts w:cs="Arial"/>
          <w:szCs w:val="20"/>
        </w:rPr>
        <w:t>Částka rozhodného příjmu potřebná pro účast na nemocenském pojištění činí 2 500 Kč i v roce 2017.</w:t>
      </w:r>
    </w:p>
    <w:p w:rsidR="00C464D1" w:rsidRPr="00575067" w:rsidRDefault="00C464D1" w:rsidP="00C464D1">
      <w:pPr>
        <w:spacing w:after="0"/>
        <w:jc w:val="both"/>
        <w:rPr>
          <w:rFonts w:cs="Arial"/>
          <w:b/>
          <w:szCs w:val="20"/>
        </w:rPr>
      </w:pPr>
    </w:p>
    <w:p w:rsidR="00C464D1" w:rsidRDefault="00C464D1" w:rsidP="00C464D1">
      <w:pPr>
        <w:jc w:val="both"/>
        <w:rPr>
          <w:rFonts w:cs="Arial"/>
          <w:szCs w:val="20"/>
        </w:rPr>
      </w:pPr>
    </w:p>
    <w:p w:rsidR="00C464D1" w:rsidRPr="009C1E88" w:rsidRDefault="00C464D1" w:rsidP="00C464D1">
      <w:pPr>
        <w:spacing w:after="0" w:line="240" w:lineRule="auto"/>
        <w:rPr>
          <w:rFonts w:eastAsia="MS Gothic"/>
          <w:b/>
          <w:bCs/>
          <w:color w:val="BC091B"/>
          <w:sz w:val="28"/>
          <w:szCs w:val="26"/>
        </w:rPr>
      </w:pPr>
    </w:p>
    <w:p w:rsidR="005578C1" w:rsidRDefault="005578C1">
      <w:pPr>
        <w:spacing w:after="0" w:line="240" w:lineRule="auto"/>
        <w:rPr>
          <w:rFonts w:eastAsia="MS Gothic"/>
          <w:b/>
          <w:bCs/>
          <w:color w:val="BC091B"/>
          <w:sz w:val="28"/>
          <w:szCs w:val="26"/>
        </w:rPr>
      </w:pPr>
      <w:bookmarkStart w:id="2" w:name="_Příloha_č._2"/>
      <w:bookmarkStart w:id="3" w:name="__RefHeading___Toc449685193"/>
      <w:bookmarkEnd w:id="2"/>
      <w:bookmarkEnd w:id="3"/>
    </w:p>
    <w:sectPr w:rsidR="005578C1" w:rsidSect="006F5416">
      <w:headerReference w:type="even" r:id="rId8"/>
      <w:headerReference w:type="default" r:id="rId9"/>
      <w:footerReference w:type="even" r:id="rId10"/>
      <w:footerReference w:type="default" r:id="rId11"/>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8E5" w:rsidRDefault="006878E5" w:rsidP="00E71A58">
      <w:r>
        <w:separator/>
      </w:r>
    </w:p>
  </w:endnote>
  <w:endnote w:type="continuationSeparator" w:id="0">
    <w:p w:rsidR="006878E5" w:rsidRDefault="006878E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33" w:rsidRPr="00932443" w:rsidRDefault="00343833"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tab/>
    </w:r>
    <w:r>
      <w:rPr>
        <w:szCs w:val="16"/>
      </w:rPr>
      <w:t>201</w:t>
    </w:r>
    <w:r w:rsidR="0023764B">
      <w:rPr>
        <w:szCs w:val="16"/>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33" w:rsidRPr="00932443" w:rsidRDefault="00343833"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w:t>
    </w:r>
    <w:r w:rsidR="0023764B">
      <w:rPr>
        <w:rStyle w:val="ZpatChar"/>
        <w:szCs w:val="16"/>
      </w:rPr>
      <w:t>7</w:t>
    </w:r>
    <w:r w:rsidRPr="00932443">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8E5" w:rsidRDefault="006878E5" w:rsidP="00E71A58">
      <w:r>
        <w:separator/>
      </w:r>
    </w:p>
  </w:footnote>
  <w:footnote w:type="continuationSeparator" w:id="0">
    <w:p w:rsidR="006878E5" w:rsidRDefault="006878E5" w:rsidP="00E71A58">
      <w:r>
        <w:continuationSeparator/>
      </w:r>
    </w:p>
  </w:footnote>
  <w:footnote w:id="1">
    <w:p w:rsidR="00C464D1" w:rsidRDefault="00C464D1" w:rsidP="00C464D1">
      <w:pPr>
        <w:pStyle w:val="Textpoznpodarou"/>
      </w:pPr>
      <w:r>
        <w:rPr>
          <w:rStyle w:val="Znakapoznpodarou"/>
        </w:rPr>
        <w:footnoteRef/>
      </w:r>
      <w:r>
        <w:t xml:space="preserve"> </w:t>
      </w:r>
      <w:r w:rsidRPr="00C91277">
        <w:rPr>
          <w:sz w:val="16"/>
        </w:rPr>
        <w:t xml:space="preserve">podrobněji viz </w:t>
      </w:r>
      <w:hyperlink r:id="rId1" w:history="1">
        <w:r w:rsidRPr="00C91277">
          <w:rPr>
            <w:rStyle w:val="Hypertextovodkaz"/>
            <w:sz w:val="16"/>
          </w:rPr>
          <w:t>http://www.mpsv.cz/files/clanky/23180/Analyza_nemocenskeho_pojisteni_2015.pdf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33" w:rsidRDefault="00343833" w:rsidP="0023764B">
    <w:pPr>
      <w:pStyle w:val="Zhlav"/>
    </w:pPr>
    <w:r>
      <w:t xml:space="preserve">Pracovní neschopnost pro nemoc a úraz v České republice za </w:t>
    </w:r>
    <w:r w:rsidR="0023764B">
      <w:t>1. pololetí 2017</w:t>
    </w:r>
  </w:p>
  <w:p w:rsidR="0023764B" w:rsidRPr="00940A27" w:rsidRDefault="0023764B" w:rsidP="0023764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33" w:rsidRPr="006F5416" w:rsidRDefault="00343833" w:rsidP="00937AE2">
    <w:pPr>
      <w:pStyle w:val="Zhlav"/>
    </w:pPr>
    <w:r>
      <w:t>Pracovní neschopnost pro nemoc a úraz v České republice za</w:t>
    </w:r>
    <w:r w:rsidR="00D75BA6">
      <w:t xml:space="preserve"> 1. pol</w:t>
    </w:r>
    <w:r w:rsidR="0023764B">
      <w:t>oletí</w:t>
    </w:r>
    <w:r w:rsidR="00D75BA6">
      <w:t xml:space="preserve"> 2017</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3"/>
    <w:multiLevelType w:val="multilevel"/>
    <w:tmpl w:val="00000003"/>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4"/>
    <w:multiLevelType w:val="multilevel"/>
    <w:tmpl w:val="00000004"/>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5"/>
    <w:multiLevelType w:val="multilevel"/>
    <w:tmpl w:val="00000005"/>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6"/>
    <w:multiLevelType w:val="multilevel"/>
    <w:tmpl w:val="00000006"/>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07"/>
    <w:multiLevelType w:val="multilevel"/>
    <w:tmpl w:val="00000007"/>
    <w:lvl w:ilvl="0">
      <w:numFmt w:val="bullet"/>
      <w:lvlText w:val=""/>
      <w:lvlJc w:val="left"/>
      <w:pPr>
        <w:tabs>
          <w:tab w:val="num" w:pos="720"/>
        </w:tabs>
        <w:ind w:left="720" w:hanging="360"/>
      </w:pPr>
      <w:rPr>
        <w:rFonts w:ascii="Symbol" w:hAnsi="Symbol" w:cs="Symbol" w:hint="default"/>
        <w:sz w:val="20"/>
        <w:szCs w:val="20"/>
      </w:rPr>
    </w:lvl>
    <w:lvl w:ilv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0"/>
        </w:tabs>
        <w:ind w:left="2160" w:hanging="360"/>
      </w:pPr>
      <w:rPr>
        <w:rFonts w:cs="Times New Roman"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08"/>
    <w:multiLevelType w:val="multilevel"/>
    <w:tmpl w:val="00000008"/>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0A"/>
    <w:multiLevelType w:val="singleLevel"/>
    <w:tmpl w:val="0000000A"/>
    <w:lvl w:ilvl="0">
      <w:numFmt w:val="bullet"/>
      <w:lvlText w:val=""/>
      <w:lvlJc w:val="left"/>
      <w:pPr>
        <w:tabs>
          <w:tab w:val="num" w:pos="0"/>
        </w:tabs>
        <w:ind w:left="720" w:hanging="360"/>
      </w:pPr>
      <w:rPr>
        <w:rFonts w:ascii="Symbol" w:hAnsi="Symbol" w:cs="Symbol" w:hint="default"/>
      </w:rPr>
    </w:lvl>
  </w:abstractNum>
  <w:abstractNum w:abstractNumId="18">
    <w:nsid w:val="0000000B"/>
    <w:multiLevelType w:val="multilevel"/>
    <w:tmpl w:val="14E6014E"/>
    <w:lvl w:ilvl="0">
      <w:numFmt w:val="bullet"/>
      <w:lvlText w:val=""/>
      <w:lvlJc w:val="left"/>
      <w:pPr>
        <w:tabs>
          <w:tab w:val="num" w:pos="0"/>
        </w:tabs>
        <w:ind w:left="720" w:hanging="360"/>
      </w:pPr>
      <w:rPr>
        <w:rFonts w:ascii="Symbol" w:hAnsi="Symbol" w:cs="Symbol" w:hint="default"/>
        <w:sz w:val="20"/>
        <w:szCs w:val="20"/>
      </w:rPr>
    </w:lvl>
    <w:lvl w:ilvl="1">
      <w:numFmt w:val="bullet"/>
      <w:lvlText w:val=""/>
      <w:lvlJc w:val="left"/>
      <w:pPr>
        <w:tabs>
          <w:tab w:val="num" w:pos="0"/>
        </w:tabs>
        <w:ind w:left="1440" w:hanging="360"/>
      </w:pPr>
      <w:rPr>
        <w:rFonts w:ascii="Wingdings" w:hAnsi="Wingdings" w:cs="Wingdings" w:hint="default"/>
        <w:sz w:val="20"/>
        <w:szCs w:val="20"/>
      </w:rPr>
    </w:lvl>
    <w:lvl w:ilvl="2">
      <w:start w:val="1"/>
      <w:numFmt w:val="bullet"/>
      <w:lvlText w:val=""/>
      <w:lvlJc w:val="left"/>
      <w:pPr>
        <w:tabs>
          <w:tab w:val="num" w:pos="0"/>
        </w:tabs>
        <w:ind w:left="2160" w:hanging="360"/>
      </w:pPr>
      <w:rPr>
        <w:rFonts w:ascii="Symbol" w:hAnsi="Symbol" w:cs="Wingdings" w:hint="default"/>
        <w:sz w:val="20"/>
        <w:szCs w:val="20"/>
      </w:rPr>
    </w:lvl>
    <w:lvl w:ilvl="3">
      <w:start w:val="1"/>
      <w:numFmt w:val="bullet"/>
      <w:lvlText w:val=""/>
      <w:lvlJc w:val="left"/>
      <w:pPr>
        <w:tabs>
          <w:tab w:val="num" w:pos="0"/>
        </w:tabs>
        <w:ind w:left="2880" w:hanging="360"/>
      </w:pPr>
      <w:rPr>
        <w:rFonts w:ascii="Symbol" w:hAnsi="Symbol" w:cs="Symbol" w:hint="default"/>
        <w:sz w:val="20"/>
        <w:szCs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sz w:val="20"/>
        <w:szCs w:val="2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19">
    <w:nsid w:val="0000000C"/>
    <w:multiLevelType w:val="singleLevel"/>
    <w:tmpl w:val="0000000C"/>
    <w:lvl w:ilvl="0">
      <w:numFmt w:val="bullet"/>
      <w:lvlText w:val=""/>
      <w:lvlJc w:val="left"/>
      <w:pPr>
        <w:tabs>
          <w:tab w:val="num" w:pos="0"/>
        </w:tabs>
        <w:ind w:left="720" w:hanging="360"/>
      </w:pPr>
      <w:rPr>
        <w:rFonts w:ascii="Symbol" w:hAnsi="Symbol" w:cs="Symbol" w:hint="default"/>
      </w:rPr>
    </w:lvl>
  </w:abstractNum>
  <w:abstractNum w:abstractNumId="20">
    <w:nsid w:val="0000000D"/>
    <w:multiLevelType w:val="multilevel"/>
    <w:tmpl w:val="0000000D"/>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Wingdings" w:hAnsi="Wingdings" w:cs="Wingdings" w:hint="default"/>
        <w:sz w:val="20"/>
        <w:szCs w:val="20"/>
      </w:rPr>
    </w:lvl>
    <w:lvl w:ilvl="2">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21">
    <w:nsid w:val="0000000E"/>
    <w:multiLevelType w:val="multilevel"/>
    <w:tmpl w:val="0000000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0000000F"/>
    <w:multiLevelType w:val="singleLevel"/>
    <w:tmpl w:val="0000000F"/>
    <w:lvl w:ilvl="0">
      <w:numFmt w:val="bullet"/>
      <w:lvlText w:val=""/>
      <w:lvlJc w:val="left"/>
      <w:pPr>
        <w:tabs>
          <w:tab w:val="num" w:pos="0"/>
        </w:tabs>
        <w:ind w:left="720" w:hanging="360"/>
      </w:pPr>
      <w:rPr>
        <w:rFonts w:ascii="Symbol" w:hAnsi="Symbol" w:cs="Symbol" w:hint="default"/>
      </w:rPr>
    </w:lvl>
  </w:abstractNum>
  <w:abstractNum w:abstractNumId="23">
    <w:nsid w:val="00000010"/>
    <w:multiLevelType w:val="singleLevel"/>
    <w:tmpl w:val="00000010"/>
    <w:lvl w:ilvl="0">
      <w:numFmt w:val="bullet"/>
      <w:lvlText w:val=""/>
      <w:lvlJc w:val="left"/>
      <w:pPr>
        <w:tabs>
          <w:tab w:val="num" w:pos="0"/>
        </w:tabs>
        <w:ind w:left="1428" w:hanging="360"/>
      </w:pPr>
      <w:rPr>
        <w:rFonts w:ascii="Wingdings" w:hAnsi="Wingdings" w:cs="Wingdings" w:hint="default"/>
      </w:rPr>
    </w:lvl>
  </w:abstractNum>
  <w:abstractNum w:abstractNumId="24">
    <w:nsid w:val="00000011"/>
    <w:multiLevelType w:val="singleLevel"/>
    <w:tmpl w:val="00000011"/>
    <w:lvl w:ilvl="0">
      <w:numFmt w:val="bullet"/>
      <w:lvlText w:val=""/>
      <w:lvlJc w:val="left"/>
      <w:pPr>
        <w:tabs>
          <w:tab w:val="num" w:pos="0"/>
        </w:tabs>
        <w:ind w:left="720" w:hanging="360"/>
      </w:pPr>
      <w:rPr>
        <w:rFonts w:ascii="Symbol" w:hAnsi="Symbol" w:cs="Symbol" w:hint="default"/>
      </w:rPr>
    </w:lvl>
  </w:abstractNum>
  <w:abstractNum w:abstractNumId="25">
    <w:nsid w:val="00000012"/>
    <w:multiLevelType w:val="singleLevel"/>
    <w:tmpl w:val="00000012"/>
    <w:lvl w:ilvl="0">
      <w:numFmt w:val="bullet"/>
      <w:lvlText w:val=""/>
      <w:lvlJc w:val="left"/>
      <w:pPr>
        <w:tabs>
          <w:tab w:val="num" w:pos="0"/>
        </w:tabs>
        <w:ind w:left="720" w:hanging="360"/>
      </w:pPr>
      <w:rPr>
        <w:rFonts w:ascii="Symbol" w:hAnsi="Symbol" w:cs="Symbol" w:hint="default"/>
      </w:rPr>
    </w:lvl>
  </w:abstractNum>
  <w:abstractNum w:abstractNumId="26">
    <w:nsid w:val="00000013"/>
    <w:multiLevelType w:val="singleLevel"/>
    <w:tmpl w:val="00000013"/>
    <w:lvl w:ilvl="0">
      <w:numFmt w:val="bullet"/>
      <w:lvlText w:val=""/>
      <w:lvlJc w:val="left"/>
      <w:pPr>
        <w:tabs>
          <w:tab w:val="num" w:pos="0"/>
        </w:tabs>
        <w:ind w:left="1068" w:hanging="360"/>
      </w:pPr>
      <w:rPr>
        <w:rFonts w:ascii="Wingdings" w:hAnsi="Wingdings" w:cs="Wingdings" w:hint="default"/>
      </w:rPr>
    </w:lvl>
  </w:abstractNum>
  <w:abstractNum w:abstractNumId="27">
    <w:nsid w:val="00000014"/>
    <w:multiLevelType w:val="singleLevel"/>
    <w:tmpl w:val="00000014"/>
    <w:lvl w:ilvl="0">
      <w:numFmt w:val="bullet"/>
      <w:lvlText w:val=""/>
      <w:lvlJc w:val="left"/>
      <w:pPr>
        <w:tabs>
          <w:tab w:val="num" w:pos="0"/>
        </w:tabs>
        <w:ind w:left="1068" w:hanging="360"/>
      </w:pPr>
      <w:rPr>
        <w:rFonts w:ascii="Symbol" w:hAnsi="Symbol" w:cs="Symbol" w:hint="default"/>
      </w:rPr>
    </w:lvl>
  </w:abstractNum>
  <w:abstractNum w:abstractNumId="28">
    <w:nsid w:val="00000015"/>
    <w:multiLevelType w:val="singleLevel"/>
    <w:tmpl w:val="00000015"/>
    <w:lvl w:ilvl="0">
      <w:numFmt w:val="bullet"/>
      <w:lvlText w:val=""/>
      <w:lvlJc w:val="left"/>
      <w:pPr>
        <w:tabs>
          <w:tab w:val="num" w:pos="0"/>
        </w:tabs>
        <w:ind w:left="862" w:hanging="360"/>
      </w:pPr>
      <w:rPr>
        <w:rFonts w:ascii="Symbol" w:hAnsi="Symbol" w:cs="Symbol" w:hint="default"/>
      </w:rPr>
    </w:lvl>
  </w:abstractNum>
  <w:abstractNum w:abstractNumId="29">
    <w:nsid w:val="0EBE4D72"/>
    <w:multiLevelType w:val="multilevel"/>
    <w:tmpl w:val="CC78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E1A76F5"/>
    <w:multiLevelType w:val="multilevel"/>
    <w:tmpl w:val="D918F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B353A5A"/>
    <w:multiLevelType w:val="hybridMultilevel"/>
    <w:tmpl w:val="C734C23E"/>
    <w:lvl w:ilvl="0" w:tplc="05806C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EB82BDE"/>
    <w:multiLevelType w:val="multilevel"/>
    <w:tmpl w:val="398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9">
    <w:nsid w:val="618E6117"/>
    <w:multiLevelType w:val="hybridMultilevel"/>
    <w:tmpl w:val="A2844C48"/>
    <w:lvl w:ilvl="0" w:tplc="04050001">
      <w:start w:val="1"/>
      <w:numFmt w:val="bullet"/>
      <w:lvlText w:val=""/>
      <w:lvlJc w:val="left"/>
      <w:pPr>
        <w:ind w:left="862" w:hanging="360"/>
      </w:pPr>
      <w:rPr>
        <w:rFonts w:ascii="Symbol" w:hAnsi="Symbol" w:hint="default"/>
      </w:rPr>
    </w:lvl>
    <w:lvl w:ilvl="1" w:tplc="578C2E40">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0">
    <w:nsid w:val="62AE080E"/>
    <w:multiLevelType w:val="hybridMultilevel"/>
    <w:tmpl w:val="4C9A3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C7759D6"/>
    <w:multiLevelType w:val="hybridMultilevel"/>
    <w:tmpl w:val="CE7E5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2"/>
  </w:num>
  <w:num w:numId="13">
    <w:abstractNumId w:val="36"/>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30"/>
  </w:num>
  <w:num w:numId="34">
    <w:abstractNumId w:val="38"/>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3"/>
  </w:num>
  <w:num w:numId="38">
    <w:abstractNumId w:val="40"/>
  </w:num>
  <w:num w:numId="39">
    <w:abstractNumId w:val="39"/>
  </w:num>
  <w:num w:numId="40">
    <w:abstractNumId w:val="37"/>
  </w:num>
  <w:num w:numId="41">
    <w:abstractNumId w:val="31"/>
  </w:num>
  <w:num w:numId="42">
    <w:abstractNumId w:val="29"/>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0242">
      <o:colormru v:ext="edit" colors="#ecf4dd,#eaecee,#fcec0a,#fcecdb,#f1daf5"/>
    </o:shapedefaults>
  </w:hdrShapeDefaults>
  <w:footnotePr>
    <w:footnote w:id="-1"/>
    <w:footnote w:id="0"/>
  </w:footnotePr>
  <w:endnotePr>
    <w:endnote w:id="-1"/>
    <w:endnote w:id="0"/>
  </w:endnotePr>
  <w:compat/>
  <w:rsids>
    <w:rsidRoot w:val="00E84756"/>
    <w:rsid w:val="0000209D"/>
    <w:rsid w:val="00004D5A"/>
    <w:rsid w:val="000056D5"/>
    <w:rsid w:val="0000767A"/>
    <w:rsid w:val="00010702"/>
    <w:rsid w:val="00011ADC"/>
    <w:rsid w:val="000168EC"/>
    <w:rsid w:val="00016992"/>
    <w:rsid w:val="000234D6"/>
    <w:rsid w:val="00023D29"/>
    <w:rsid w:val="00026389"/>
    <w:rsid w:val="00027817"/>
    <w:rsid w:val="00031AE0"/>
    <w:rsid w:val="000320C7"/>
    <w:rsid w:val="000322EF"/>
    <w:rsid w:val="00033FCD"/>
    <w:rsid w:val="00037487"/>
    <w:rsid w:val="00041C65"/>
    <w:rsid w:val="00041CEC"/>
    <w:rsid w:val="0004694F"/>
    <w:rsid w:val="000522E4"/>
    <w:rsid w:val="000610E1"/>
    <w:rsid w:val="00062EC5"/>
    <w:rsid w:val="00062F22"/>
    <w:rsid w:val="0006589E"/>
    <w:rsid w:val="000658D1"/>
    <w:rsid w:val="0006675B"/>
    <w:rsid w:val="00070879"/>
    <w:rsid w:val="000712B3"/>
    <w:rsid w:val="0008263E"/>
    <w:rsid w:val="00082C19"/>
    <w:rsid w:val="00085395"/>
    <w:rsid w:val="00087634"/>
    <w:rsid w:val="00087F2B"/>
    <w:rsid w:val="000926D8"/>
    <w:rsid w:val="000974D1"/>
    <w:rsid w:val="0009799E"/>
    <w:rsid w:val="000A1183"/>
    <w:rsid w:val="000A256D"/>
    <w:rsid w:val="000A3A2C"/>
    <w:rsid w:val="000A4451"/>
    <w:rsid w:val="000B4E9E"/>
    <w:rsid w:val="000B535E"/>
    <w:rsid w:val="000C08DA"/>
    <w:rsid w:val="000C1ECC"/>
    <w:rsid w:val="000C3408"/>
    <w:rsid w:val="000C6AFD"/>
    <w:rsid w:val="000D5637"/>
    <w:rsid w:val="000E172C"/>
    <w:rsid w:val="000E4E05"/>
    <w:rsid w:val="000E6FBD"/>
    <w:rsid w:val="00100F5C"/>
    <w:rsid w:val="00101AD4"/>
    <w:rsid w:val="001021B4"/>
    <w:rsid w:val="0010437D"/>
    <w:rsid w:val="00104C4C"/>
    <w:rsid w:val="0011739E"/>
    <w:rsid w:val="0012000B"/>
    <w:rsid w:val="0012192F"/>
    <w:rsid w:val="00121E64"/>
    <w:rsid w:val="00122693"/>
    <w:rsid w:val="00125D69"/>
    <w:rsid w:val="001405FA"/>
    <w:rsid w:val="0014092E"/>
    <w:rsid w:val="001425C3"/>
    <w:rsid w:val="00155F4A"/>
    <w:rsid w:val="0015712C"/>
    <w:rsid w:val="00157FA0"/>
    <w:rsid w:val="0016256B"/>
    <w:rsid w:val="00163793"/>
    <w:rsid w:val="001706D6"/>
    <w:rsid w:val="001714F2"/>
    <w:rsid w:val="001734D6"/>
    <w:rsid w:val="001841A8"/>
    <w:rsid w:val="00184B08"/>
    <w:rsid w:val="00185010"/>
    <w:rsid w:val="00191107"/>
    <w:rsid w:val="00191941"/>
    <w:rsid w:val="001A552F"/>
    <w:rsid w:val="001B08F1"/>
    <w:rsid w:val="001B2CA9"/>
    <w:rsid w:val="001B3110"/>
    <w:rsid w:val="001B4729"/>
    <w:rsid w:val="001B6C09"/>
    <w:rsid w:val="001C05CD"/>
    <w:rsid w:val="001C4096"/>
    <w:rsid w:val="001C49F5"/>
    <w:rsid w:val="001D2B23"/>
    <w:rsid w:val="001D68B2"/>
    <w:rsid w:val="001E4E08"/>
    <w:rsid w:val="001E627B"/>
    <w:rsid w:val="001F4597"/>
    <w:rsid w:val="001F64B4"/>
    <w:rsid w:val="001F7E69"/>
    <w:rsid w:val="001F7EE8"/>
    <w:rsid w:val="00205BF6"/>
    <w:rsid w:val="002118B9"/>
    <w:rsid w:val="002167EF"/>
    <w:rsid w:val="00217C5B"/>
    <w:rsid w:val="0022139E"/>
    <w:rsid w:val="002252E0"/>
    <w:rsid w:val="002255F6"/>
    <w:rsid w:val="00227850"/>
    <w:rsid w:val="00227A53"/>
    <w:rsid w:val="00230C6E"/>
    <w:rsid w:val="00236443"/>
    <w:rsid w:val="0023764B"/>
    <w:rsid w:val="002436BA"/>
    <w:rsid w:val="00244A15"/>
    <w:rsid w:val="00247319"/>
    <w:rsid w:val="0024799E"/>
    <w:rsid w:val="00251C51"/>
    <w:rsid w:val="00253C0F"/>
    <w:rsid w:val="00257597"/>
    <w:rsid w:val="00260F5C"/>
    <w:rsid w:val="00263E2F"/>
    <w:rsid w:val="00271465"/>
    <w:rsid w:val="00280FAA"/>
    <w:rsid w:val="00285412"/>
    <w:rsid w:val="002A00BE"/>
    <w:rsid w:val="002A0E77"/>
    <w:rsid w:val="002A16D4"/>
    <w:rsid w:val="002A230C"/>
    <w:rsid w:val="002A3339"/>
    <w:rsid w:val="002C088D"/>
    <w:rsid w:val="002C0F46"/>
    <w:rsid w:val="002C43BD"/>
    <w:rsid w:val="002D0E59"/>
    <w:rsid w:val="002D1050"/>
    <w:rsid w:val="002D14DE"/>
    <w:rsid w:val="002D67AC"/>
    <w:rsid w:val="002E02A1"/>
    <w:rsid w:val="002E4E4C"/>
    <w:rsid w:val="00304771"/>
    <w:rsid w:val="003052D4"/>
    <w:rsid w:val="00306C5B"/>
    <w:rsid w:val="00306F7F"/>
    <w:rsid w:val="003154C5"/>
    <w:rsid w:val="003209D6"/>
    <w:rsid w:val="00320AB7"/>
    <w:rsid w:val="00321924"/>
    <w:rsid w:val="0032656E"/>
    <w:rsid w:val="00332190"/>
    <w:rsid w:val="00343833"/>
    <w:rsid w:val="00344668"/>
    <w:rsid w:val="00344B81"/>
    <w:rsid w:val="003462D9"/>
    <w:rsid w:val="003476F0"/>
    <w:rsid w:val="00360C86"/>
    <w:rsid w:val="0036300D"/>
    <w:rsid w:val="003657F3"/>
    <w:rsid w:val="0037611E"/>
    <w:rsid w:val="00376D35"/>
    <w:rsid w:val="00377495"/>
    <w:rsid w:val="003818DC"/>
    <w:rsid w:val="00384327"/>
    <w:rsid w:val="00385D98"/>
    <w:rsid w:val="0038792F"/>
    <w:rsid w:val="00392A7D"/>
    <w:rsid w:val="003A2B4D"/>
    <w:rsid w:val="003A478C"/>
    <w:rsid w:val="003A5525"/>
    <w:rsid w:val="003A6B38"/>
    <w:rsid w:val="003A72A1"/>
    <w:rsid w:val="003B224A"/>
    <w:rsid w:val="003B5A32"/>
    <w:rsid w:val="003C0288"/>
    <w:rsid w:val="003C2033"/>
    <w:rsid w:val="003C295B"/>
    <w:rsid w:val="003C3490"/>
    <w:rsid w:val="003C6DA7"/>
    <w:rsid w:val="003D019C"/>
    <w:rsid w:val="003D1A92"/>
    <w:rsid w:val="003D5551"/>
    <w:rsid w:val="003D6920"/>
    <w:rsid w:val="003E0B54"/>
    <w:rsid w:val="003E42AE"/>
    <w:rsid w:val="003E4C91"/>
    <w:rsid w:val="003E6827"/>
    <w:rsid w:val="003F313C"/>
    <w:rsid w:val="003F4B2C"/>
    <w:rsid w:val="003F551C"/>
    <w:rsid w:val="003F7D23"/>
    <w:rsid w:val="00407C13"/>
    <w:rsid w:val="00407D4F"/>
    <w:rsid w:val="00410638"/>
    <w:rsid w:val="004231EB"/>
    <w:rsid w:val="0042743B"/>
    <w:rsid w:val="00432A58"/>
    <w:rsid w:val="004336A9"/>
    <w:rsid w:val="00434617"/>
    <w:rsid w:val="00437F81"/>
    <w:rsid w:val="00440900"/>
    <w:rsid w:val="00443FDF"/>
    <w:rsid w:val="004441A0"/>
    <w:rsid w:val="00450EF8"/>
    <w:rsid w:val="00451C8F"/>
    <w:rsid w:val="00460FB3"/>
    <w:rsid w:val="00461757"/>
    <w:rsid w:val="00465864"/>
    <w:rsid w:val="0047307D"/>
    <w:rsid w:val="004742CD"/>
    <w:rsid w:val="00475609"/>
    <w:rsid w:val="00476240"/>
    <w:rsid w:val="00476439"/>
    <w:rsid w:val="0047735C"/>
    <w:rsid w:val="004776BC"/>
    <w:rsid w:val="004806B0"/>
    <w:rsid w:val="0048139F"/>
    <w:rsid w:val="00481E40"/>
    <w:rsid w:val="00483609"/>
    <w:rsid w:val="00484ECE"/>
    <w:rsid w:val="004900FF"/>
    <w:rsid w:val="004915CB"/>
    <w:rsid w:val="004924DC"/>
    <w:rsid w:val="004A14E4"/>
    <w:rsid w:val="004A1BD8"/>
    <w:rsid w:val="004A3212"/>
    <w:rsid w:val="004A489C"/>
    <w:rsid w:val="004A61C5"/>
    <w:rsid w:val="004A77DF"/>
    <w:rsid w:val="004B004C"/>
    <w:rsid w:val="004B0C1D"/>
    <w:rsid w:val="004B1417"/>
    <w:rsid w:val="004B199F"/>
    <w:rsid w:val="004B55B7"/>
    <w:rsid w:val="004B6468"/>
    <w:rsid w:val="004B715E"/>
    <w:rsid w:val="004C384C"/>
    <w:rsid w:val="004C3867"/>
    <w:rsid w:val="004C4CD0"/>
    <w:rsid w:val="004C70DC"/>
    <w:rsid w:val="004D0211"/>
    <w:rsid w:val="004D0794"/>
    <w:rsid w:val="004D1DCC"/>
    <w:rsid w:val="004E1A95"/>
    <w:rsid w:val="004E1C6F"/>
    <w:rsid w:val="004F06F5"/>
    <w:rsid w:val="004F33A0"/>
    <w:rsid w:val="004F60D9"/>
    <w:rsid w:val="00500A8A"/>
    <w:rsid w:val="00502626"/>
    <w:rsid w:val="00506056"/>
    <w:rsid w:val="005108C0"/>
    <w:rsid w:val="00511873"/>
    <w:rsid w:val="00512A2F"/>
    <w:rsid w:val="00513B7E"/>
    <w:rsid w:val="00515C74"/>
    <w:rsid w:val="00517460"/>
    <w:rsid w:val="0052007E"/>
    <w:rsid w:val="0052337A"/>
    <w:rsid w:val="00525137"/>
    <w:rsid w:val="005251DD"/>
    <w:rsid w:val="00532CE7"/>
    <w:rsid w:val="0053324C"/>
    <w:rsid w:val="00534A28"/>
    <w:rsid w:val="00541508"/>
    <w:rsid w:val="00544109"/>
    <w:rsid w:val="00544731"/>
    <w:rsid w:val="0055599F"/>
    <w:rsid w:val="00556D68"/>
    <w:rsid w:val="005578C1"/>
    <w:rsid w:val="005647BF"/>
    <w:rsid w:val="00570BDC"/>
    <w:rsid w:val="0057364B"/>
    <w:rsid w:val="00574773"/>
    <w:rsid w:val="00575067"/>
    <w:rsid w:val="00583FFD"/>
    <w:rsid w:val="005911BE"/>
    <w:rsid w:val="005918EF"/>
    <w:rsid w:val="00591C3D"/>
    <w:rsid w:val="00593152"/>
    <w:rsid w:val="005963B8"/>
    <w:rsid w:val="005A10F2"/>
    <w:rsid w:val="005A21E0"/>
    <w:rsid w:val="005A28FF"/>
    <w:rsid w:val="005A2FEE"/>
    <w:rsid w:val="005A3DF8"/>
    <w:rsid w:val="005A4643"/>
    <w:rsid w:val="005A5549"/>
    <w:rsid w:val="005B121D"/>
    <w:rsid w:val="005B2FE1"/>
    <w:rsid w:val="005B37EE"/>
    <w:rsid w:val="005B4C59"/>
    <w:rsid w:val="005C019F"/>
    <w:rsid w:val="005C0219"/>
    <w:rsid w:val="005C06ED"/>
    <w:rsid w:val="005C528E"/>
    <w:rsid w:val="005C60A8"/>
    <w:rsid w:val="005D2888"/>
    <w:rsid w:val="005D5802"/>
    <w:rsid w:val="005D7890"/>
    <w:rsid w:val="005E7C78"/>
    <w:rsid w:val="005F064C"/>
    <w:rsid w:val="005F3EB1"/>
    <w:rsid w:val="005F5469"/>
    <w:rsid w:val="005F694D"/>
    <w:rsid w:val="0060288D"/>
    <w:rsid w:val="00602BDF"/>
    <w:rsid w:val="00604307"/>
    <w:rsid w:val="0060467F"/>
    <w:rsid w:val="0060487F"/>
    <w:rsid w:val="00604EAD"/>
    <w:rsid w:val="00605231"/>
    <w:rsid w:val="00606E50"/>
    <w:rsid w:val="006104FB"/>
    <w:rsid w:val="0061298F"/>
    <w:rsid w:val="00612A2F"/>
    <w:rsid w:val="00616E05"/>
    <w:rsid w:val="00620759"/>
    <w:rsid w:val="00623167"/>
    <w:rsid w:val="00624093"/>
    <w:rsid w:val="00624603"/>
    <w:rsid w:val="00626807"/>
    <w:rsid w:val="006306D0"/>
    <w:rsid w:val="00636444"/>
    <w:rsid w:val="0063780A"/>
    <w:rsid w:val="006404A7"/>
    <w:rsid w:val="00645051"/>
    <w:rsid w:val="006451E4"/>
    <w:rsid w:val="00645B33"/>
    <w:rsid w:val="006516CB"/>
    <w:rsid w:val="006538C2"/>
    <w:rsid w:val="00657E87"/>
    <w:rsid w:val="00661E90"/>
    <w:rsid w:val="006621EE"/>
    <w:rsid w:val="00662326"/>
    <w:rsid w:val="00664803"/>
    <w:rsid w:val="00665BA4"/>
    <w:rsid w:val="00667AF2"/>
    <w:rsid w:val="006710C9"/>
    <w:rsid w:val="006745A1"/>
    <w:rsid w:val="00674D89"/>
    <w:rsid w:val="00675E37"/>
    <w:rsid w:val="0068174E"/>
    <w:rsid w:val="00681DCE"/>
    <w:rsid w:val="0068260E"/>
    <w:rsid w:val="006850EA"/>
    <w:rsid w:val="006865CC"/>
    <w:rsid w:val="006878E5"/>
    <w:rsid w:val="00695BEF"/>
    <w:rsid w:val="006977F6"/>
    <w:rsid w:val="00697A13"/>
    <w:rsid w:val="00697C67"/>
    <w:rsid w:val="00697DD0"/>
    <w:rsid w:val="006A109C"/>
    <w:rsid w:val="006A255E"/>
    <w:rsid w:val="006A62EE"/>
    <w:rsid w:val="006B15AD"/>
    <w:rsid w:val="006B344A"/>
    <w:rsid w:val="006B6662"/>
    <w:rsid w:val="006B78D8"/>
    <w:rsid w:val="006C113F"/>
    <w:rsid w:val="006C123E"/>
    <w:rsid w:val="006C56D4"/>
    <w:rsid w:val="006C5BCB"/>
    <w:rsid w:val="006C6924"/>
    <w:rsid w:val="006C7CA6"/>
    <w:rsid w:val="006D22EF"/>
    <w:rsid w:val="006D356F"/>
    <w:rsid w:val="006D3E8A"/>
    <w:rsid w:val="006D61F6"/>
    <w:rsid w:val="006E279A"/>
    <w:rsid w:val="006E313B"/>
    <w:rsid w:val="006E6C6E"/>
    <w:rsid w:val="006E7839"/>
    <w:rsid w:val="006F2B57"/>
    <w:rsid w:val="006F5416"/>
    <w:rsid w:val="006F7137"/>
    <w:rsid w:val="00706AD4"/>
    <w:rsid w:val="0071206E"/>
    <w:rsid w:val="007140BE"/>
    <w:rsid w:val="00714ED2"/>
    <w:rsid w:val="007211F5"/>
    <w:rsid w:val="00721DE2"/>
    <w:rsid w:val="00725BB5"/>
    <w:rsid w:val="00730AE8"/>
    <w:rsid w:val="00737DF2"/>
    <w:rsid w:val="00741493"/>
    <w:rsid w:val="00741E71"/>
    <w:rsid w:val="0075019E"/>
    <w:rsid w:val="00752180"/>
    <w:rsid w:val="00755202"/>
    <w:rsid w:val="00755D3A"/>
    <w:rsid w:val="007578D3"/>
    <w:rsid w:val="007609C6"/>
    <w:rsid w:val="0076175D"/>
    <w:rsid w:val="0076521E"/>
    <w:rsid w:val="007661E9"/>
    <w:rsid w:val="00767817"/>
    <w:rsid w:val="00776169"/>
    <w:rsid w:val="00776527"/>
    <w:rsid w:val="00780EF1"/>
    <w:rsid w:val="00783F52"/>
    <w:rsid w:val="00784B9F"/>
    <w:rsid w:val="00790764"/>
    <w:rsid w:val="0079453C"/>
    <w:rsid w:val="00794677"/>
    <w:rsid w:val="007949B6"/>
    <w:rsid w:val="007A1DC3"/>
    <w:rsid w:val="007B00BD"/>
    <w:rsid w:val="007B5FEA"/>
    <w:rsid w:val="007B6689"/>
    <w:rsid w:val="007D0416"/>
    <w:rsid w:val="007D09E0"/>
    <w:rsid w:val="007D40DF"/>
    <w:rsid w:val="007D436E"/>
    <w:rsid w:val="007D49EC"/>
    <w:rsid w:val="007D4C51"/>
    <w:rsid w:val="007E4088"/>
    <w:rsid w:val="007E4C36"/>
    <w:rsid w:val="007E7E61"/>
    <w:rsid w:val="007F0845"/>
    <w:rsid w:val="00807C82"/>
    <w:rsid w:val="008121EB"/>
    <w:rsid w:val="00815318"/>
    <w:rsid w:val="00815543"/>
    <w:rsid w:val="00816905"/>
    <w:rsid w:val="00821C6F"/>
    <w:rsid w:val="00821FF6"/>
    <w:rsid w:val="00825628"/>
    <w:rsid w:val="00825BFD"/>
    <w:rsid w:val="00825C4D"/>
    <w:rsid w:val="00830E19"/>
    <w:rsid w:val="00830E27"/>
    <w:rsid w:val="0083143E"/>
    <w:rsid w:val="00831CDE"/>
    <w:rsid w:val="008320A9"/>
    <w:rsid w:val="00834304"/>
    <w:rsid w:val="00834FAA"/>
    <w:rsid w:val="00836086"/>
    <w:rsid w:val="00841B36"/>
    <w:rsid w:val="0084708F"/>
    <w:rsid w:val="008477C8"/>
    <w:rsid w:val="0085114D"/>
    <w:rsid w:val="00851819"/>
    <w:rsid w:val="00852217"/>
    <w:rsid w:val="00855408"/>
    <w:rsid w:val="00856D65"/>
    <w:rsid w:val="00861B41"/>
    <w:rsid w:val="00861BB2"/>
    <w:rsid w:val="00863434"/>
    <w:rsid w:val="00865E4C"/>
    <w:rsid w:val="00867DA1"/>
    <w:rsid w:val="00870153"/>
    <w:rsid w:val="008701E4"/>
    <w:rsid w:val="00875A32"/>
    <w:rsid w:val="00876086"/>
    <w:rsid w:val="008873D4"/>
    <w:rsid w:val="00893E85"/>
    <w:rsid w:val="00894031"/>
    <w:rsid w:val="008A358E"/>
    <w:rsid w:val="008A5029"/>
    <w:rsid w:val="008B2A10"/>
    <w:rsid w:val="008B4402"/>
    <w:rsid w:val="008B5FAC"/>
    <w:rsid w:val="008B67E3"/>
    <w:rsid w:val="008B7C02"/>
    <w:rsid w:val="008B7D2B"/>
    <w:rsid w:val="008C0049"/>
    <w:rsid w:val="008C0E88"/>
    <w:rsid w:val="008C37F2"/>
    <w:rsid w:val="008D1E6A"/>
    <w:rsid w:val="008D2A16"/>
    <w:rsid w:val="008E0873"/>
    <w:rsid w:val="008E2C57"/>
    <w:rsid w:val="008E31FF"/>
    <w:rsid w:val="008E6E12"/>
    <w:rsid w:val="008E6F06"/>
    <w:rsid w:val="008F029B"/>
    <w:rsid w:val="008F3FC9"/>
    <w:rsid w:val="008F585B"/>
    <w:rsid w:val="009003A8"/>
    <w:rsid w:val="00902500"/>
    <w:rsid w:val="00902EFF"/>
    <w:rsid w:val="00903832"/>
    <w:rsid w:val="00904DDC"/>
    <w:rsid w:val="009050A9"/>
    <w:rsid w:val="00906401"/>
    <w:rsid w:val="0091155E"/>
    <w:rsid w:val="00912A92"/>
    <w:rsid w:val="009145DC"/>
    <w:rsid w:val="0091728D"/>
    <w:rsid w:val="00917A95"/>
    <w:rsid w:val="0092180B"/>
    <w:rsid w:val="00921F14"/>
    <w:rsid w:val="00924AC8"/>
    <w:rsid w:val="0092597A"/>
    <w:rsid w:val="00932443"/>
    <w:rsid w:val="0093445E"/>
    <w:rsid w:val="00936783"/>
    <w:rsid w:val="00937AE2"/>
    <w:rsid w:val="00940A27"/>
    <w:rsid w:val="0094427A"/>
    <w:rsid w:val="00945C47"/>
    <w:rsid w:val="009516EA"/>
    <w:rsid w:val="009566FE"/>
    <w:rsid w:val="00966FD2"/>
    <w:rsid w:val="00974923"/>
    <w:rsid w:val="00976B41"/>
    <w:rsid w:val="00980055"/>
    <w:rsid w:val="00980D3D"/>
    <w:rsid w:val="00984FF2"/>
    <w:rsid w:val="00985F96"/>
    <w:rsid w:val="00987A30"/>
    <w:rsid w:val="00992CF3"/>
    <w:rsid w:val="009968D6"/>
    <w:rsid w:val="009A1CA3"/>
    <w:rsid w:val="009A1CAB"/>
    <w:rsid w:val="009A60D1"/>
    <w:rsid w:val="009B6FD3"/>
    <w:rsid w:val="009B76C1"/>
    <w:rsid w:val="009C1051"/>
    <w:rsid w:val="009C1750"/>
    <w:rsid w:val="009C2770"/>
    <w:rsid w:val="009C285F"/>
    <w:rsid w:val="009C2E29"/>
    <w:rsid w:val="009C4A16"/>
    <w:rsid w:val="009C554B"/>
    <w:rsid w:val="009C719E"/>
    <w:rsid w:val="009D3ACD"/>
    <w:rsid w:val="009D6BE0"/>
    <w:rsid w:val="009D6C0E"/>
    <w:rsid w:val="009E3386"/>
    <w:rsid w:val="009E5273"/>
    <w:rsid w:val="009E5DDB"/>
    <w:rsid w:val="009F4CA7"/>
    <w:rsid w:val="009F6F09"/>
    <w:rsid w:val="00A024CC"/>
    <w:rsid w:val="00A06427"/>
    <w:rsid w:val="00A10D66"/>
    <w:rsid w:val="00A116A7"/>
    <w:rsid w:val="00A14114"/>
    <w:rsid w:val="00A146DE"/>
    <w:rsid w:val="00A16413"/>
    <w:rsid w:val="00A2322E"/>
    <w:rsid w:val="00A23E43"/>
    <w:rsid w:val="00A254FE"/>
    <w:rsid w:val="00A30F65"/>
    <w:rsid w:val="00A333BA"/>
    <w:rsid w:val="00A356D5"/>
    <w:rsid w:val="00A40E01"/>
    <w:rsid w:val="00A418BC"/>
    <w:rsid w:val="00A422FD"/>
    <w:rsid w:val="00A46DE0"/>
    <w:rsid w:val="00A50D73"/>
    <w:rsid w:val="00A52CAD"/>
    <w:rsid w:val="00A53FC7"/>
    <w:rsid w:val="00A62CE1"/>
    <w:rsid w:val="00A6741E"/>
    <w:rsid w:val="00A75E40"/>
    <w:rsid w:val="00A77D1D"/>
    <w:rsid w:val="00A83B7C"/>
    <w:rsid w:val="00A857C0"/>
    <w:rsid w:val="00A977AC"/>
    <w:rsid w:val="00AA2996"/>
    <w:rsid w:val="00AA52BF"/>
    <w:rsid w:val="00AA559A"/>
    <w:rsid w:val="00AB2AF1"/>
    <w:rsid w:val="00AD306C"/>
    <w:rsid w:val="00AE09B3"/>
    <w:rsid w:val="00AE1A83"/>
    <w:rsid w:val="00AE5A3D"/>
    <w:rsid w:val="00AF08AD"/>
    <w:rsid w:val="00AF127F"/>
    <w:rsid w:val="00AF4936"/>
    <w:rsid w:val="00AF7DDB"/>
    <w:rsid w:val="00B00913"/>
    <w:rsid w:val="00B01593"/>
    <w:rsid w:val="00B0272D"/>
    <w:rsid w:val="00B0777E"/>
    <w:rsid w:val="00B10A4D"/>
    <w:rsid w:val="00B130D4"/>
    <w:rsid w:val="00B138AB"/>
    <w:rsid w:val="00B17E71"/>
    <w:rsid w:val="00B17FDE"/>
    <w:rsid w:val="00B21915"/>
    <w:rsid w:val="00B21B4A"/>
    <w:rsid w:val="00B2379C"/>
    <w:rsid w:val="00B24C3D"/>
    <w:rsid w:val="00B2687D"/>
    <w:rsid w:val="00B32DDB"/>
    <w:rsid w:val="00B33C6D"/>
    <w:rsid w:val="00B34528"/>
    <w:rsid w:val="00B402FC"/>
    <w:rsid w:val="00B46604"/>
    <w:rsid w:val="00B530CD"/>
    <w:rsid w:val="00B55F5E"/>
    <w:rsid w:val="00B5752E"/>
    <w:rsid w:val="00B63A11"/>
    <w:rsid w:val="00B64C24"/>
    <w:rsid w:val="00B6608F"/>
    <w:rsid w:val="00B679FB"/>
    <w:rsid w:val="00B70030"/>
    <w:rsid w:val="00B75897"/>
    <w:rsid w:val="00B76D1E"/>
    <w:rsid w:val="00B80EC6"/>
    <w:rsid w:val="00B850F3"/>
    <w:rsid w:val="00B87064"/>
    <w:rsid w:val="00B92D1D"/>
    <w:rsid w:val="00B938C5"/>
    <w:rsid w:val="00B95940"/>
    <w:rsid w:val="00BA010F"/>
    <w:rsid w:val="00BA06E2"/>
    <w:rsid w:val="00BA5740"/>
    <w:rsid w:val="00BB2131"/>
    <w:rsid w:val="00BB46F3"/>
    <w:rsid w:val="00BB4CB1"/>
    <w:rsid w:val="00BB4F98"/>
    <w:rsid w:val="00BB5DBF"/>
    <w:rsid w:val="00BB6662"/>
    <w:rsid w:val="00BC7154"/>
    <w:rsid w:val="00BD359E"/>
    <w:rsid w:val="00BD366B"/>
    <w:rsid w:val="00BD6D50"/>
    <w:rsid w:val="00BE1236"/>
    <w:rsid w:val="00BE18B9"/>
    <w:rsid w:val="00BE2495"/>
    <w:rsid w:val="00BE6523"/>
    <w:rsid w:val="00BF1578"/>
    <w:rsid w:val="00BF2E65"/>
    <w:rsid w:val="00BF2FDD"/>
    <w:rsid w:val="00C02AA6"/>
    <w:rsid w:val="00C07866"/>
    <w:rsid w:val="00C21F94"/>
    <w:rsid w:val="00C27913"/>
    <w:rsid w:val="00C27ECC"/>
    <w:rsid w:val="00C31483"/>
    <w:rsid w:val="00C31CED"/>
    <w:rsid w:val="00C33B68"/>
    <w:rsid w:val="00C345C5"/>
    <w:rsid w:val="00C36A79"/>
    <w:rsid w:val="00C405D4"/>
    <w:rsid w:val="00C41EA4"/>
    <w:rsid w:val="00C43067"/>
    <w:rsid w:val="00C4513B"/>
    <w:rsid w:val="00C464D1"/>
    <w:rsid w:val="00C50D09"/>
    <w:rsid w:val="00C54697"/>
    <w:rsid w:val="00C55B6D"/>
    <w:rsid w:val="00C57AD7"/>
    <w:rsid w:val="00C716E8"/>
    <w:rsid w:val="00C73885"/>
    <w:rsid w:val="00C747B1"/>
    <w:rsid w:val="00C81290"/>
    <w:rsid w:val="00C82191"/>
    <w:rsid w:val="00C828B6"/>
    <w:rsid w:val="00C90CF4"/>
    <w:rsid w:val="00C91277"/>
    <w:rsid w:val="00C9155B"/>
    <w:rsid w:val="00C92749"/>
    <w:rsid w:val="00C92EB6"/>
    <w:rsid w:val="00C93389"/>
    <w:rsid w:val="00CA306D"/>
    <w:rsid w:val="00CA40ED"/>
    <w:rsid w:val="00CB4689"/>
    <w:rsid w:val="00CB4930"/>
    <w:rsid w:val="00CB59CA"/>
    <w:rsid w:val="00CB6429"/>
    <w:rsid w:val="00CB6DF5"/>
    <w:rsid w:val="00CC16D5"/>
    <w:rsid w:val="00CC2E7D"/>
    <w:rsid w:val="00CD10A5"/>
    <w:rsid w:val="00CD16FC"/>
    <w:rsid w:val="00CD1E01"/>
    <w:rsid w:val="00CD2076"/>
    <w:rsid w:val="00CD39E5"/>
    <w:rsid w:val="00CD3AB0"/>
    <w:rsid w:val="00CD7255"/>
    <w:rsid w:val="00CD7C7C"/>
    <w:rsid w:val="00CE670B"/>
    <w:rsid w:val="00CF100D"/>
    <w:rsid w:val="00CF51EC"/>
    <w:rsid w:val="00CF73AE"/>
    <w:rsid w:val="00D040DD"/>
    <w:rsid w:val="00D13986"/>
    <w:rsid w:val="00D145B5"/>
    <w:rsid w:val="00D235B7"/>
    <w:rsid w:val="00D25B9C"/>
    <w:rsid w:val="00D25F28"/>
    <w:rsid w:val="00D26C95"/>
    <w:rsid w:val="00D27973"/>
    <w:rsid w:val="00D3656E"/>
    <w:rsid w:val="00D40FC4"/>
    <w:rsid w:val="00D456A0"/>
    <w:rsid w:val="00D50F46"/>
    <w:rsid w:val="00D54E0E"/>
    <w:rsid w:val="00D579A7"/>
    <w:rsid w:val="00D60D5F"/>
    <w:rsid w:val="00D66223"/>
    <w:rsid w:val="00D66F25"/>
    <w:rsid w:val="00D74431"/>
    <w:rsid w:val="00D75BA6"/>
    <w:rsid w:val="00D8084C"/>
    <w:rsid w:val="00D812B3"/>
    <w:rsid w:val="00D95761"/>
    <w:rsid w:val="00DA0BC9"/>
    <w:rsid w:val="00DA1E72"/>
    <w:rsid w:val="00DA230C"/>
    <w:rsid w:val="00DA5EBB"/>
    <w:rsid w:val="00DA7C0C"/>
    <w:rsid w:val="00DB2DB1"/>
    <w:rsid w:val="00DB2EC8"/>
    <w:rsid w:val="00DB34CC"/>
    <w:rsid w:val="00DB4EC8"/>
    <w:rsid w:val="00DC574D"/>
    <w:rsid w:val="00DC5B3B"/>
    <w:rsid w:val="00DD129F"/>
    <w:rsid w:val="00DD7E88"/>
    <w:rsid w:val="00DF42FF"/>
    <w:rsid w:val="00DF57CA"/>
    <w:rsid w:val="00DF5E90"/>
    <w:rsid w:val="00DF5FBC"/>
    <w:rsid w:val="00DF6EE5"/>
    <w:rsid w:val="00E01C0E"/>
    <w:rsid w:val="00E03F9A"/>
    <w:rsid w:val="00E04694"/>
    <w:rsid w:val="00E11D1C"/>
    <w:rsid w:val="00E12B1E"/>
    <w:rsid w:val="00E17262"/>
    <w:rsid w:val="00E1798C"/>
    <w:rsid w:val="00E217C0"/>
    <w:rsid w:val="00E253A2"/>
    <w:rsid w:val="00E3309D"/>
    <w:rsid w:val="00E34ECF"/>
    <w:rsid w:val="00E377EF"/>
    <w:rsid w:val="00E405AB"/>
    <w:rsid w:val="00E41984"/>
    <w:rsid w:val="00E50156"/>
    <w:rsid w:val="00E53470"/>
    <w:rsid w:val="00E539F6"/>
    <w:rsid w:val="00E650F0"/>
    <w:rsid w:val="00E6519D"/>
    <w:rsid w:val="00E67696"/>
    <w:rsid w:val="00E67B42"/>
    <w:rsid w:val="00E71130"/>
    <w:rsid w:val="00E71A58"/>
    <w:rsid w:val="00E72A7A"/>
    <w:rsid w:val="00E7514E"/>
    <w:rsid w:val="00E75C94"/>
    <w:rsid w:val="00E819C4"/>
    <w:rsid w:val="00E84756"/>
    <w:rsid w:val="00E93820"/>
    <w:rsid w:val="00E94306"/>
    <w:rsid w:val="00E94AB3"/>
    <w:rsid w:val="00EA0C68"/>
    <w:rsid w:val="00EA32BC"/>
    <w:rsid w:val="00EA3DB5"/>
    <w:rsid w:val="00EA78B1"/>
    <w:rsid w:val="00EB4511"/>
    <w:rsid w:val="00EB5AF2"/>
    <w:rsid w:val="00EB70F0"/>
    <w:rsid w:val="00EB72F9"/>
    <w:rsid w:val="00EC03D7"/>
    <w:rsid w:val="00EC2C4C"/>
    <w:rsid w:val="00EC5F71"/>
    <w:rsid w:val="00ED62C6"/>
    <w:rsid w:val="00ED64C1"/>
    <w:rsid w:val="00EE3446"/>
    <w:rsid w:val="00EE362C"/>
    <w:rsid w:val="00EE3E78"/>
    <w:rsid w:val="00EE47BF"/>
    <w:rsid w:val="00EE4B1B"/>
    <w:rsid w:val="00EE590C"/>
    <w:rsid w:val="00EE69CC"/>
    <w:rsid w:val="00EF0E09"/>
    <w:rsid w:val="00EF150D"/>
    <w:rsid w:val="00EF1F5A"/>
    <w:rsid w:val="00EF47BF"/>
    <w:rsid w:val="00EF758F"/>
    <w:rsid w:val="00F04811"/>
    <w:rsid w:val="00F0488C"/>
    <w:rsid w:val="00F057DA"/>
    <w:rsid w:val="00F05F5E"/>
    <w:rsid w:val="00F0736C"/>
    <w:rsid w:val="00F10F11"/>
    <w:rsid w:val="00F1163D"/>
    <w:rsid w:val="00F15AAA"/>
    <w:rsid w:val="00F15BEF"/>
    <w:rsid w:val="00F20201"/>
    <w:rsid w:val="00F2077B"/>
    <w:rsid w:val="00F212F9"/>
    <w:rsid w:val="00F223AB"/>
    <w:rsid w:val="00F23422"/>
    <w:rsid w:val="00F24407"/>
    <w:rsid w:val="00F24FAA"/>
    <w:rsid w:val="00F3364D"/>
    <w:rsid w:val="00F437CC"/>
    <w:rsid w:val="00F443D9"/>
    <w:rsid w:val="00F47067"/>
    <w:rsid w:val="00F525EB"/>
    <w:rsid w:val="00F63DDE"/>
    <w:rsid w:val="00F63FB7"/>
    <w:rsid w:val="00F649D2"/>
    <w:rsid w:val="00F6602B"/>
    <w:rsid w:val="00F669B4"/>
    <w:rsid w:val="00F7260E"/>
    <w:rsid w:val="00F73A0C"/>
    <w:rsid w:val="00F756DB"/>
    <w:rsid w:val="00F81BA4"/>
    <w:rsid w:val="00F8486D"/>
    <w:rsid w:val="00F85066"/>
    <w:rsid w:val="00F869C8"/>
    <w:rsid w:val="00F86D63"/>
    <w:rsid w:val="00F87E03"/>
    <w:rsid w:val="00F932FF"/>
    <w:rsid w:val="00FA2C57"/>
    <w:rsid w:val="00FA5D4D"/>
    <w:rsid w:val="00FB0831"/>
    <w:rsid w:val="00FB0EE2"/>
    <w:rsid w:val="00FB1494"/>
    <w:rsid w:val="00FB542E"/>
    <w:rsid w:val="00FC0E5F"/>
    <w:rsid w:val="00FC1A95"/>
    <w:rsid w:val="00FC1D9A"/>
    <w:rsid w:val="00FC3B99"/>
    <w:rsid w:val="00FC56DE"/>
    <w:rsid w:val="00FC684B"/>
    <w:rsid w:val="00FC6E63"/>
    <w:rsid w:val="00FD3265"/>
    <w:rsid w:val="00FD7429"/>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99"/>
    <w:rsid w:val="00A33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443D9"/>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F443D9"/>
    <w:rPr>
      <w:rFonts w:ascii="Arial" w:eastAsia="Times New Roman" w:hAnsi="Arial"/>
      <w:lang w:eastAsia="cs-CZ"/>
    </w:rPr>
  </w:style>
  <w:style w:type="character" w:customStyle="1" w:styleId="Znakypropoznmkupodarou">
    <w:name w:val="Znaky pro poznámku pod čarou"/>
    <w:rsid w:val="00F443D9"/>
    <w:rPr>
      <w:rFonts w:cs="Times New Roman"/>
      <w:vertAlign w:val="superscript"/>
    </w:rPr>
  </w:style>
  <w:style w:type="character" w:styleId="Znakapoznpodarou">
    <w:name w:val="footnote reference"/>
    <w:uiPriority w:val="99"/>
    <w:rsid w:val="00F443D9"/>
    <w:rPr>
      <w:vertAlign w:val="superscript"/>
    </w:rPr>
  </w:style>
  <w:style w:type="paragraph" w:styleId="Odstavecseseznamem">
    <w:name w:val="List Paragraph"/>
    <w:basedOn w:val="Normln"/>
    <w:uiPriority w:val="99"/>
    <w:qFormat/>
    <w:rsid w:val="00F443D9"/>
    <w:pPr>
      <w:suppressAutoHyphens/>
      <w:spacing w:before="280" w:after="280" w:line="240" w:lineRule="auto"/>
      <w:ind w:left="720"/>
    </w:pPr>
    <w:rPr>
      <w:rFonts w:ascii="Times New Roman" w:hAnsi="Times New Roman"/>
      <w:sz w:val="24"/>
      <w:lang w:eastAsia="ar-SA"/>
    </w:rPr>
  </w:style>
  <w:style w:type="paragraph" w:styleId="Normlnweb">
    <w:name w:val="Normal (Web)"/>
    <w:basedOn w:val="Normln"/>
    <w:uiPriority w:val="99"/>
    <w:rsid w:val="00F443D9"/>
    <w:pPr>
      <w:suppressAutoHyphens/>
      <w:spacing w:before="280" w:after="280" w:line="240" w:lineRule="auto"/>
    </w:pPr>
    <w:rPr>
      <w:rFonts w:ascii="Times New Roman" w:hAnsi="Times New Roman"/>
      <w:sz w:val="24"/>
      <w:lang w:eastAsia="ar-SA"/>
    </w:rPr>
  </w:style>
  <w:style w:type="paragraph" w:styleId="Textpoznpodarou">
    <w:name w:val="footnote text"/>
    <w:basedOn w:val="Normln"/>
    <w:link w:val="TextpoznpodarouChar"/>
    <w:uiPriority w:val="99"/>
    <w:semiHidden/>
    <w:rsid w:val="00F443D9"/>
    <w:pPr>
      <w:spacing w:after="0"/>
    </w:pPr>
    <w:rPr>
      <w:szCs w:val="20"/>
    </w:rPr>
  </w:style>
  <w:style w:type="character" w:customStyle="1" w:styleId="TextpoznpodarouChar">
    <w:name w:val="Text pozn. pod čarou Char"/>
    <w:basedOn w:val="Standardnpsmoodstavce"/>
    <w:link w:val="Textpoznpodarou"/>
    <w:uiPriority w:val="99"/>
    <w:semiHidden/>
    <w:rsid w:val="00F443D9"/>
    <w:rPr>
      <w:rFonts w:ascii="Arial" w:eastAsia="Times New Roman" w:hAnsi="Arial"/>
      <w:lang w:eastAsia="cs-CZ"/>
    </w:rPr>
  </w:style>
  <w:style w:type="paragraph" w:styleId="Nadpisobsahu">
    <w:name w:val="TOC Heading"/>
    <w:basedOn w:val="Nadpis1"/>
    <w:next w:val="Normln"/>
    <w:uiPriority w:val="39"/>
    <w:unhideWhenUsed/>
    <w:qFormat/>
    <w:rsid w:val="00C91277"/>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F2077B"/>
    <w:rPr>
      <w:sz w:val="16"/>
      <w:szCs w:val="16"/>
    </w:rPr>
  </w:style>
  <w:style w:type="paragraph" w:styleId="Textkomente">
    <w:name w:val="annotation text"/>
    <w:basedOn w:val="Normln"/>
    <w:link w:val="TextkomenteChar"/>
    <w:uiPriority w:val="99"/>
    <w:semiHidden/>
    <w:unhideWhenUsed/>
    <w:rsid w:val="00F2077B"/>
    <w:pPr>
      <w:spacing w:line="240" w:lineRule="auto"/>
    </w:pPr>
    <w:rPr>
      <w:szCs w:val="20"/>
    </w:rPr>
  </w:style>
  <w:style w:type="character" w:customStyle="1" w:styleId="TextkomenteChar">
    <w:name w:val="Text komentáře Char"/>
    <w:basedOn w:val="Standardnpsmoodstavce"/>
    <w:link w:val="Textkomente"/>
    <w:uiPriority w:val="99"/>
    <w:semiHidden/>
    <w:rsid w:val="00F2077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F2077B"/>
    <w:rPr>
      <w:b/>
      <w:bCs/>
    </w:rPr>
  </w:style>
  <w:style w:type="character" w:customStyle="1" w:styleId="PedmtkomenteChar">
    <w:name w:val="Předmět komentáře Char"/>
    <w:basedOn w:val="TextkomenteChar"/>
    <w:link w:val="Pedmtkomente"/>
    <w:uiPriority w:val="99"/>
    <w:semiHidden/>
    <w:rsid w:val="00F2077B"/>
    <w:rPr>
      <w:rFonts w:ascii="Arial" w:eastAsia="Times New Roman" w:hAnsi="Arial"/>
      <w:b/>
      <w:bCs/>
      <w:lang w:eastAsia="cs-CZ"/>
    </w:rPr>
  </w:style>
  <w:style w:type="character" w:styleId="Sledovanodkaz">
    <w:name w:val="FollowedHyperlink"/>
    <w:basedOn w:val="Standardnpsmoodstavce"/>
    <w:uiPriority w:val="99"/>
    <w:semiHidden/>
    <w:unhideWhenUsed/>
    <w:rsid w:val="00F2077B"/>
    <w:rPr>
      <w:color w:val="800080" w:themeColor="followedHyperlink"/>
      <w:u w:val="single"/>
    </w:rPr>
  </w:style>
  <w:style w:type="character" w:customStyle="1" w:styleId="content">
    <w:name w:val="content"/>
    <w:basedOn w:val="Standardnpsmoodstavce"/>
    <w:rsid w:val="00697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36805567">
      <w:bodyDiv w:val="1"/>
      <w:marLeft w:val="0"/>
      <w:marRight w:val="0"/>
      <w:marTop w:val="0"/>
      <w:marBottom w:val="0"/>
      <w:divBdr>
        <w:top w:val="none" w:sz="0" w:space="0" w:color="auto"/>
        <w:left w:val="none" w:sz="0" w:space="0" w:color="auto"/>
        <w:bottom w:val="none" w:sz="0" w:space="0" w:color="auto"/>
        <w:right w:val="none" w:sz="0" w:space="0" w:color="auto"/>
      </w:divBdr>
    </w:div>
    <w:div w:id="192809618">
      <w:bodyDiv w:val="1"/>
      <w:marLeft w:val="0"/>
      <w:marRight w:val="0"/>
      <w:marTop w:val="0"/>
      <w:marBottom w:val="0"/>
      <w:divBdr>
        <w:top w:val="none" w:sz="0" w:space="0" w:color="auto"/>
        <w:left w:val="none" w:sz="0" w:space="0" w:color="auto"/>
        <w:bottom w:val="none" w:sz="0" w:space="0" w:color="auto"/>
        <w:right w:val="none" w:sz="0" w:space="0" w:color="auto"/>
      </w:divBdr>
    </w:div>
    <w:div w:id="221604398">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22634606">
      <w:bodyDiv w:val="1"/>
      <w:marLeft w:val="0"/>
      <w:marRight w:val="0"/>
      <w:marTop w:val="0"/>
      <w:marBottom w:val="0"/>
      <w:divBdr>
        <w:top w:val="none" w:sz="0" w:space="0" w:color="auto"/>
        <w:left w:val="none" w:sz="0" w:space="0" w:color="auto"/>
        <w:bottom w:val="none" w:sz="0" w:space="0" w:color="auto"/>
        <w:right w:val="none" w:sz="0" w:space="0" w:color="auto"/>
      </w:divBdr>
    </w:div>
    <w:div w:id="360253621">
      <w:bodyDiv w:val="1"/>
      <w:marLeft w:val="0"/>
      <w:marRight w:val="0"/>
      <w:marTop w:val="0"/>
      <w:marBottom w:val="0"/>
      <w:divBdr>
        <w:top w:val="none" w:sz="0" w:space="0" w:color="auto"/>
        <w:left w:val="none" w:sz="0" w:space="0" w:color="auto"/>
        <w:bottom w:val="none" w:sz="0" w:space="0" w:color="auto"/>
        <w:right w:val="none" w:sz="0" w:space="0" w:color="auto"/>
      </w:divBdr>
    </w:div>
    <w:div w:id="438380764">
      <w:bodyDiv w:val="1"/>
      <w:marLeft w:val="0"/>
      <w:marRight w:val="0"/>
      <w:marTop w:val="0"/>
      <w:marBottom w:val="0"/>
      <w:divBdr>
        <w:top w:val="none" w:sz="0" w:space="0" w:color="auto"/>
        <w:left w:val="none" w:sz="0" w:space="0" w:color="auto"/>
        <w:bottom w:val="none" w:sz="0" w:space="0" w:color="auto"/>
        <w:right w:val="none" w:sz="0" w:space="0" w:color="auto"/>
      </w:divBdr>
    </w:div>
    <w:div w:id="444036374">
      <w:bodyDiv w:val="1"/>
      <w:marLeft w:val="0"/>
      <w:marRight w:val="0"/>
      <w:marTop w:val="0"/>
      <w:marBottom w:val="0"/>
      <w:divBdr>
        <w:top w:val="none" w:sz="0" w:space="0" w:color="auto"/>
        <w:left w:val="none" w:sz="0" w:space="0" w:color="auto"/>
        <w:bottom w:val="none" w:sz="0" w:space="0" w:color="auto"/>
        <w:right w:val="none" w:sz="0" w:space="0" w:color="auto"/>
      </w:divBdr>
    </w:div>
    <w:div w:id="45633397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51355279">
      <w:bodyDiv w:val="1"/>
      <w:marLeft w:val="0"/>
      <w:marRight w:val="0"/>
      <w:marTop w:val="0"/>
      <w:marBottom w:val="0"/>
      <w:divBdr>
        <w:top w:val="none" w:sz="0" w:space="0" w:color="auto"/>
        <w:left w:val="none" w:sz="0" w:space="0" w:color="auto"/>
        <w:bottom w:val="none" w:sz="0" w:space="0" w:color="auto"/>
        <w:right w:val="none" w:sz="0" w:space="0" w:color="auto"/>
      </w:divBdr>
    </w:div>
    <w:div w:id="644359900">
      <w:bodyDiv w:val="1"/>
      <w:marLeft w:val="0"/>
      <w:marRight w:val="0"/>
      <w:marTop w:val="0"/>
      <w:marBottom w:val="0"/>
      <w:divBdr>
        <w:top w:val="none" w:sz="0" w:space="0" w:color="auto"/>
        <w:left w:val="none" w:sz="0" w:space="0" w:color="auto"/>
        <w:bottom w:val="none" w:sz="0" w:space="0" w:color="auto"/>
        <w:right w:val="none" w:sz="0" w:space="0" w:color="auto"/>
      </w:divBdr>
    </w:div>
    <w:div w:id="666321182">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30229470">
      <w:bodyDiv w:val="1"/>
      <w:marLeft w:val="0"/>
      <w:marRight w:val="0"/>
      <w:marTop w:val="0"/>
      <w:marBottom w:val="0"/>
      <w:divBdr>
        <w:top w:val="none" w:sz="0" w:space="0" w:color="auto"/>
        <w:left w:val="none" w:sz="0" w:space="0" w:color="auto"/>
        <w:bottom w:val="none" w:sz="0" w:space="0" w:color="auto"/>
        <w:right w:val="none" w:sz="0" w:space="0" w:color="auto"/>
      </w:divBdr>
    </w:div>
    <w:div w:id="753360462">
      <w:bodyDiv w:val="1"/>
      <w:marLeft w:val="0"/>
      <w:marRight w:val="0"/>
      <w:marTop w:val="0"/>
      <w:marBottom w:val="0"/>
      <w:divBdr>
        <w:top w:val="none" w:sz="0" w:space="0" w:color="auto"/>
        <w:left w:val="none" w:sz="0" w:space="0" w:color="auto"/>
        <w:bottom w:val="none" w:sz="0" w:space="0" w:color="auto"/>
        <w:right w:val="none" w:sz="0" w:space="0" w:color="auto"/>
      </w:divBdr>
    </w:div>
    <w:div w:id="850342489">
      <w:bodyDiv w:val="1"/>
      <w:marLeft w:val="0"/>
      <w:marRight w:val="0"/>
      <w:marTop w:val="0"/>
      <w:marBottom w:val="0"/>
      <w:divBdr>
        <w:top w:val="none" w:sz="0" w:space="0" w:color="auto"/>
        <w:left w:val="none" w:sz="0" w:space="0" w:color="auto"/>
        <w:bottom w:val="none" w:sz="0" w:space="0" w:color="auto"/>
        <w:right w:val="none" w:sz="0" w:space="0" w:color="auto"/>
      </w:divBdr>
    </w:div>
    <w:div w:id="873931094">
      <w:bodyDiv w:val="1"/>
      <w:marLeft w:val="0"/>
      <w:marRight w:val="0"/>
      <w:marTop w:val="0"/>
      <w:marBottom w:val="0"/>
      <w:divBdr>
        <w:top w:val="none" w:sz="0" w:space="0" w:color="auto"/>
        <w:left w:val="none" w:sz="0" w:space="0" w:color="auto"/>
        <w:bottom w:val="none" w:sz="0" w:space="0" w:color="auto"/>
        <w:right w:val="none" w:sz="0" w:space="0" w:color="auto"/>
      </w:divBdr>
    </w:div>
    <w:div w:id="957879570">
      <w:bodyDiv w:val="1"/>
      <w:marLeft w:val="0"/>
      <w:marRight w:val="0"/>
      <w:marTop w:val="0"/>
      <w:marBottom w:val="0"/>
      <w:divBdr>
        <w:top w:val="none" w:sz="0" w:space="0" w:color="auto"/>
        <w:left w:val="none" w:sz="0" w:space="0" w:color="auto"/>
        <w:bottom w:val="none" w:sz="0" w:space="0" w:color="auto"/>
        <w:right w:val="none" w:sz="0" w:space="0" w:color="auto"/>
      </w:divBdr>
    </w:div>
    <w:div w:id="964238754">
      <w:bodyDiv w:val="1"/>
      <w:marLeft w:val="0"/>
      <w:marRight w:val="0"/>
      <w:marTop w:val="0"/>
      <w:marBottom w:val="0"/>
      <w:divBdr>
        <w:top w:val="none" w:sz="0" w:space="0" w:color="auto"/>
        <w:left w:val="none" w:sz="0" w:space="0" w:color="auto"/>
        <w:bottom w:val="none" w:sz="0" w:space="0" w:color="auto"/>
        <w:right w:val="none" w:sz="0" w:space="0" w:color="auto"/>
      </w:divBdr>
    </w:div>
    <w:div w:id="1080295726">
      <w:bodyDiv w:val="1"/>
      <w:marLeft w:val="0"/>
      <w:marRight w:val="0"/>
      <w:marTop w:val="0"/>
      <w:marBottom w:val="0"/>
      <w:divBdr>
        <w:top w:val="none" w:sz="0" w:space="0" w:color="auto"/>
        <w:left w:val="none" w:sz="0" w:space="0" w:color="auto"/>
        <w:bottom w:val="none" w:sz="0" w:space="0" w:color="auto"/>
        <w:right w:val="none" w:sz="0" w:space="0" w:color="auto"/>
      </w:divBdr>
    </w:div>
    <w:div w:id="1115952008">
      <w:bodyDiv w:val="1"/>
      <w:marLeft w:val="0"/>
      <w:marRight w:val="0"/>
      <w:marTop w:val="0"/>
      <w:marBottom w:val="0"/>
      <w:divBdr>
        <w:top w:val="none" w:sz="0" w:space="0" w:color="auto"/>
        <w:left w:val="none" w:sz="0" w:space="0" w:color="auto"/>
        <w:bottom w:val="none" w:sz="0" w:space="0" w:color="auto"/>
        <w:right w:val="none" w:sz="0" w:space="0" w:color="auto"/>
      </w:divBdr>
    </w:div>
    <w:div w:id="115757575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8669534">
      <w:bodyDiv w:val="1"/>
      <w:marLeft w:val="0"/>
      <w:marRight w:val="0"/>
      <w:marTop w:val="0"/>
      <w:marBottom w:val="0"/>
      <w:divBdr>
        <w:top w:val="none" w:sz="0" w:space="0" w:color="auto"/>
        <w:left w:val="none" w:sz="0" w:space="0" w:color="auto"/>
        <w:bottom w:val="none" w:sz="0" w:space="0" w:color="auto"/>
        <w:right w:val="none" w:sz="0" w:space="0" w:color="auto"/>
      </w:divBdr>
    </w:div>
    <w:div w:id="1268537233">
      <w:bodyDiv w:val="1"/>
      <w:marLeft w:val="0"/>
      <w:marRight w:val="0"/>
      <w:marTop w:val="0"/>
      <w:marBottom w:val="0"/>
      <w:divBdr>
        <w:top w:val="none" w:sz="0" w:space="0" w:color="auto"/>
        <w:left w:val="none" w:sz="0" w:space="0" w:color="auto"/>
        <w:bottom w:val="none" w:sz="0" w:space="0" w:color="auto"/>
        <w:right w:val="none" w:sz="0" w:space="0" w:color="auto"/>
      </w:divBdr>
    </w:div>
    <w:div w:id="127764347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60304724">
      <w:bodyDiv w:val="1"/>
      <w:marLeft w:val="0"/>
      <w:marRight w:val="0"/>
      <w:marTop w:val="0"/>
      <w:marBottom w:val="0"/>
      <w:divBdr>
        <w:top w:val="none" w:sz="0" w:space="0" w:color="auto"/>
        <w:left w:val="none" w:sz="0" w:space="0" w:color="auto"/>
        <w:bottom w:val="none" w:sz="0" w:space="0" w:color="auto"/>
        <w:right w:val="none" w:sz="0" w:space="0" w:color="auto"/>
      </w:divBdr>
    </w:div>
    <w:div w:id="1690443918">
      <w:bodyDiv w:val="1"/>
      <w:marLeft w:val="0"/>
      <w:marRight w:val="0"/>
      <w:marTop w:val="0"/>
      <w:marBottom w:val="0"/>
      <w:divBdr>
        <w:top w:val="none" w:sz="0" w:space="0" w:color="auto"/>
        <w:left w:val="none" w:sz="0" w:space="0" w:color="auto"/>
        <w:bottom w:val="none" w:sz="0" w:space="0" w:color="auto"/>
        <w:right w:val="none" w:sz="0" w:space="0" w:color="auto"/>
      </w:divBdr>
    </w:div>
    <w:div w:id="1757819904">
      <w:bodyDiv w:val="1"/>
      <w:marLeft w:val="0"/>
      <w:marRight w:val="0"/>
      <w:marTop w:val="0"/>
      <w:marBottom w:val="0"/>
      <w:divBdr>
        <w:top w:val="none" w:sz="0" w:space="0" w:color="auto"/>
        <w:left w:val="none" w:sz="0" w:space="0" w:color="auto"/>
        <w:bottom w:val="none" w:sz="0" w:space="0" w:color="auto"/>
        <w:right w:val="none" w:sz="0" w:space="0" w:color="auto"/>
      </w:divBdr>
    </w:div>
    <w:div w:id="188606239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psv.cz/files/clanky/23180/Analyza_nemocenskeho_pojisteni_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1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F532-8DB6-47FD-A34C-F3FBF8EA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1</TotalTime>
  <Pages>5</Pages>
  <Words>2105</Words>
  <Characters>12426</Characters>
  <Application>Microsoft Office Word</Application>
  <DocSecurity>0</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Hrivíková</dc:creator>
  <cp:lastModifiedBy>Operator</cp:lastModifiedBy>
  <cp:revision>3</cp:revision>
  <cp:lastPrinted>2014-07-17T14:07:00Z</cp:lastPrinted>
  <dcterms:created xsi:type="dcterms:W3CDTF">2017-10-27T08:02:00Z</dcterms:created>
  <dcterms:modified xsi:type="dcterms:W3CDTF">2017-10-27T08:03:00Z</dcterms:modified>
</cp:coreProperties>
</file>