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3E" w:rsidRPr="007E5776" w:rsidRDefault="00336C3E" w:rsidP="00A75292">
      <w:pPr>
        <w:pStyle w:val="Nzev"/>
        <w:ind w:firstLine="720"/>
        <w:outlineLvl w:val="0"/>
      </w:pPr>
      <w:r w:rsidRPr="007E5776">
        <w:t>STRUČNÝ KOMENTÁŘ</w:t>
      </w:r>
    </w:p>
    <w:p w:rsidR="00336C3E" w:rsidRPr="007E5776" w:rsidRDefault="00336C3E" w:rsidP="004046C7">
      <w:pPr>
        <w:pStyle w:val="Zkladntextodsazen"/>
        <w:ind w:firstLine="720"/>
      </w:pPr>
      <w:r w:rsidRPr="007E5776">
        <w:t xml:space="preserve">Šetření </w:t>
      </w:r>
      <w:r w:rsidRPr="007E5776">
        <w:rPr>
          <w:i/>
          <w:iCs/>
        </w:rPr>
        <w:t>Životní podmínky</w:t>
      </w:r>
      <w:r w:rsidRPr="007E5776">
        <w:t xml:space="preserve"> každoročně</w:t>
      </w:r>
      <w:r w:rsidR="006E1690">
        <w:t xml:space="preserve"> již deset let</w:t>
      </w:r>
      <w:r w:rsidRPr="007E5776">
        <w:t xml:space="preserve"> přináší </w:t>
      </w:r>
      <w:r w:rsidR="00282A15">
        <w:t xml:space="preserve">údaje </w:t>
      </w:r>
      <w:r w:rsidR="00DC3F71">
        <w:t xml:space="preserve">o </w:t>
      </w:r>
      <w:r w:rsidRPr="007E5776">
        <w:t>sociální a ekonomické situac</w:t>
      </w:r>
      <w:r w:rsidR="00DC3F71">
        <w:t>i</w:t>
      </w:r>
      <w:r w:rsidRPr="007E5776">
        <w:t xml:space="preserve"> českých domácností. </w:t>
      </w:r>
      <w:r w:rsidR="00B95A50">
        <w:t>Přináší výsledky o výši a skladbě</w:t>
      </w:r>
      <w:r w:rsidR="006E1690">
        <w:t xml:space="preserve"> jejich příjmů a </w:t>
      </w:r>
      <w:r w:rsidR="00DC3F71">
        <w:t xml:space="preserve">informuje o </w:t>
      </w:r>
      <w:r w:rsidRPr="007E5776">
        <w:t>podílu populace</w:t>
      </w:r>
      <w:r w:rsidR="00F812DB">
        <w:t xml:space="preserve"> </w:t>
      </w:r>
      <w:r w:rsidR="00342327">
        <w:t>žijící v</w:t>
      </w:r>
      <w:r w:rsidR="00DC3F71">
        <w:t xml:space="preserve"> určit</w:t>
      </w:r>
      <w:r w:rsidR="00342327">
        <w:t>é</w:t>
      </w:r>
      <w:r w:rsidR="00DC3F71">
        <w:t>m materiálním nedostatk</w:t>
      </w:r>
      <w:r w:rsidR="00342327">
        <w:t>u</w:t>
      </w:r>
      <w:r w:rsidR="00DC3F71">
        <w:t xml:space="preserve">, </w:t>
      </w:r>
      <w:r w:rsidR="00282A15">
        <w:t xml:space="preserve">resp. </w:t>
      </w:r>
      <w:r w:rsidR="00DC3F71">
        <w:t xml:space="preserve">podílu osob </w:t>
      </w:r>
      <w:r w:rsidRPr="007E5776">
        <w:t>ohrožen</w:t>
      </w:r>
      <w:r w:rsidR="00DC3F71">
        <w:t>ých chudobou a </w:t>
      </w:r>
      <w:r w:rsidRPr="007E5776">
        <w:t xml:space="preserve">sociálním vyloučením. Výsledky šetření </w:t>
      </w:r>
      <w:r w:rsidRPr="007E5776">
        <w:rPr>
          <w:i/>
          <w:iCs/>
        </w:rPr>
        <w:t>Životní podmínky 201</w:t>
      </w:r>
      <w:r w:rsidR="00DC3F71">
        <w:rPr>
          <w:i/>
          <w:iCs/>
        </w:rPr>
        <w:t>4</w:t>
      </w:r>
      <w:r w:rsidRPr="007E5776">
        <w:t xml:space="preserve"> odráží stav v roce 201</w:t>
      </w:r>
      <w:r w:rsidR="00DC3F71">
        <w:t>3</w:t>
      </w:r>
      <w:r w:rsidRPr="007E5776">
        <w:t xml:space="preserve"> a v d</w:t>
      </w:r>
      <w:r w:rsidR="00DC3F71">
        <w:t>obě dotazování, tj. na jaře 2014</w:t>
      </w:r>
      <w:r w:rsidRPr="007E5776">
        <w:t xml:space="preserve">. </w:t>
      </w:r>
    </w:p>
    <w:p w:rsidR="004046C7" w:rsidRPr="00851607" w:rsidRDefault="00A75292" w:rsidP="00DE6002">
      <w:pPr>
        <w:spacing w:after="120"/>
        <w:ind w:firstLine="709"/>
        <w:jc w:val="both"/>
      </w:pPr>
      <w:r>
        <w:t>Nominální příjmy domácností v roce 2013 stejně jako v předchozím roce rostly a poprvé od roku 2009 se</w:t>
      </w:r>
      <w:r w:rsidR="00B95A50">
        <w:t xml:space="preserve"> </w:t>
      </w:r>
      <w:r>
        <w:t>meziročně</w:t>
      </w:r>
      <w:r w:rsidR="00B95A50" w:rsidRPr="00B95A50">
        <w:t xml:space="preserve"> </w:t>
      </w:r>
      <w:r w:rsidR="00B95A50">
        <w:t>výrazněji</w:t>
      </w:r>
      <w:r>
        <w:t xml:space="preserve"> zvýšily i příjmy reálné</w:t>
      </w:r>
      <w:r w:rsidR="00B95A50">
        <w:t xml:space="preserve"> (o 1,0 p. </w:t>
      </w:r>
      <w:proofErr w:type="spellStart"/>
      <w:r w:rsidR="00B95A50">
        <w:t>b</w:t>
      </w:r>
      <w:proofErr w:type="spellEnd"/>
      <w:r w:rsidR="00223343">
        <w:t>.</w:t>
      </w:r>
      <w:r w:rsidR="00B95A50">
        <w:t>)</w:t>
      </w:r>
      <w:r w:rsidR="00282A15">
        <w:t>, j</w:t>
      </w:r>
      <w:r>
        <w:t>ejich</w:t>
      </w:r>
      <w:r w:rsidR="00223343">
        <w:t xml:space="preserve"> reálná</w:t>
      </w:r>
      <w:r>
        <w:t xml:space="preserve"> </w:t>
      </w:r>
      <w:r w:rsidR="00282A15">
        <w:t>hodnota</w:t>
      </w:r>
      <w:r w:rsidR="00223343">
        <w:t xml:space="preserve"> tak</w:t>
      </w:r>
      <w:r w:rsidR="00282A15">
        <w:t xml:space="preserve"> </w:t>
      </w:r>
      <w:r w:rsidR="00223343">
        <w:t xml:space="preserve">dosáhla úrovně z roku 2008. </w:t>
      </w:r>
      <w:r w:rsidR="004046C7" w:rsidRPr="00B31556">
        <w:t xml:space="preserve">Průměrný čistý </w:t>
      </w:r>
      <w:r w:rsidR="002B08D2">
        <w:t xml:space="preserve">roční </w:t>
      </w:r>
      <w:r w:rsidR="004046C7" w:rsidRPr="00B31556">
        <w:t>peněžní příjem domácnosti v přepočtu na osobu v roce 201</w:t>
      </w:r>
      <w:r w:rsidR="00B31556" w:rsidRPr="00B31556">
        <w:t>3 činil 153</w:t>
      </w:r>
      <w:r w:rsidR="004046C7" w:rsidRPr="00B31556">
        <w:t>,</w:t>
      </w:r>
      <w:r w:rsidR="00B31556" w:rsidRPr="00B31556">
        <w:t>3</w:t>
      </w:r>
      <w:r w:rsidR="004046C7" w:rsidRPr="00B31556">
        <w:t> tis. Kč.</w:t>
      </w:r>
      <w:r w:rsidR="004046C7" w:rsidRPr="004046C7">
        <w:rPr>
          <w:color w:val="FF0000"/>
        </w:rPr>
        <w:t xml:space="preserve"> </w:t>
      </w:r>
      <w:r w:rsidR="004046C7" w:rsidRPr="00B31556">
        <w:t xml:space="preserve">Z hlediska postavení osoby v čele domácnosti se zvýšily příjmy všem </w:t>
      </w:r>
      <w:r w:rsidR="004046C7" w:rsidRPr="00667A1F">
        <w:t>skupinám</w:t>
      </w:r>
      <w:r w:rsidR="002B08D2">
        <w:t xml:space="preserve"> domácností</w:t>
      </w:r>
      <w:r w:rsidR="004046C7" w:rsidRPr="00667A1F">
        <w:t>. Čisté roční příjmy domácností zaměstnanců s vyš</w:t>
      </w:r>
      <w:r w:rsidR="00667A1F" w:rsidRPr="00667A1F">
        <w:t>ším vzděláním činily v roce 2013</w:t>
      </w:r>
      <w:r w:rsidR="004046C7" w:rsidRPr="00667A1F">
        <w:t xml:space="preserve"> 1</w:t>
      </w:r>
      <w:r w:rsidR="00667A1F" w:rsidRPr="00667A1F">
        <w:t>80</w:t>
      </w:r>
      <w:r w:rsidR="004046C7" w:rsidRPr="00667A1F">
        <w:t>,</w:t>
      </w:r>
      <w:r w:rsidR="00667A1F" w:rsidRPr="00667A1F">
        <w:t>8</w:t>
      </w:r>
      <w:r w:rsidR="004046C7" w:rsidRPr="00667A1F">
        <w:t xml:space="preserve"> tis. Kč</w:t>
      </w:r>
      <w:r w:rsidR="00F13867">
        <w:t xml:space="preserve"> na osobu</w:t>
      </w:r>
      <w:r w:rsidR="004046C7" w:rsidRPr="00667A1F">
        <w:t xml:space="preserve">, tedy </w:t>
      </w:r>
      <w:r w:rsidR="00667A1F" w:rsidRPr="00667A1F">
        <w:t>o 4</w:t>
      </w:r>
      <w:r w:rsidR="002D4301">
        <w:t xml:space="preserve"> 289</w:t>
      </w:r>
      <w:r w:rsidR="00667A1F" w:rsidRPr="00667A1F">
        <w:t xml:space="preserve"> Kč (tj. o 2,4 %) více než </w:t>
      </w:r>
      <w:r w:rsidR="004046C7" w:rsidRPr="00667A1F">
        <w:t>v předchozím roce.</w:t>
      </w:r>
      <w:r w:rsidR="00667A1F" w:rsidRPr="00667A1F">
        <w:t xml:space="preserve"> Růst zaznamenaly také příjmy domácností zaměstnanců s nižším vzděláním, které v průměru dosáhly 135,9 tis. Kč čistého na osobu za rok, tedy o 4,3 % více než v roce 2012. Nejvýrazněji </w:t>
      </w:r>
      <w:r w:rsidR="00F812DB">
        <w:t xml:space="preserve">se </w:t>
      </w:r>
      <w:r w:rsidR="00667A1F" w:rsidRPr="00667A1F">
        <w:t xml:space="preserve">však </w:t>
      </w:r>
      <w:r w:rsidR="00F812DB">
        <w:t xml:space="preserve">zvýšily </w:t>
      </w:r>
      <w:r w:rsidR="00667A1F" w:rsidRPr="00667A1F">
        <w:t>příjmy samostatně činných</w:t>
      </w:r>
      <w:r w:rsidR="00DE6002">
        <w:t xml:space="preserve"> (o 4,9 </w:t>
      </w:r>
      <w:r w:rsidR="00DE6002">
        <w:rPr>
          <w:lang w:val="en-US"/>
        </w:rPr>
        <w:t>%)</w:t>
      </w:r>
      <w:r w:rsidR="008D7CEA">
        <w:t xml:space="preserve">. Výše jejich čistých ročních příjmů </w:t>
      </w:r>
      <w:r w:rsidR="00F13867">
        <w:t xml:space="preserve">na osobu </w:t>
      </w:r>
      <w:r w:rsidR="008D7CEA">
        <w:t xml:space="preserve">dosáhla </w:t>
      </w:r>
      <w:r w:rsidR="00795D44">
        <w:t>170,3 </w:t>
      </w:r>
      <w:r w:rsidR="008D7CEA" w:rsidRPr="00667A1F">
        <w:t>tis. Kč</w:t>
      </w:r>
      <w:r w:rsidR="008D7CEA">
        <w:t>.</w:t>
      </w:r>
      <w:r w:rsidR="00667A1F" w:rsidRPr="00667A1F">
        <w:t xml:space="preserve"> </w:t>
      </w:r>
      <w:r w:rsidR="008D7CEA">
        <w:t xml:space="preserve">Nominálně rostly příjmy samostatně činných již druhým rokem, reálně zaznamenaly meziroční nárůst poprvé od </w:t>
      </w:r>
      <w:r w:rsidR="00DE6002">
        <w:t>roku 2008</w:t>
      </w:r>
      <w:r w:rsidR="008D7CEA">
        <w:t>.</w:t>
      </w:r>
      <w:r w:rsidR="00DE6002">
        <w:t xml:space="preserve"> </w:t>
      </w:r>
      <w:r w:rsidR="00667A1F" w:rsidRPr="00667A1F">
        <w:t xml:space="preserve">Nejpomaleji rostly </w:t>
      </w:r>
      <w:r w:rsidR="004046C7" w:rsidRPr="00667A1F">
        <w:t xml:space="preserve">průměrné čisté roční příjmy domácností nepracujících důchodců, </w:t>
      </w:r>
      <w:r w:rsidR="00667A1F" w:rsidRPr="00667A1F">
        <w:t xml:space="preserve">a to </w:t>
      </w:r>
      <w:r w:rsidR="00795D44">
        <w:t xml:space="preserve">o 0,6 p. </w:t>
      </w:r>
      <w:proofErr w:type="spellStart"/>
      <w:r w:rsidR="00795D44">
        <w:t>b</w:t>
      </w:r>
      <w:proofErr w:type="spellEnd"/>
      <w:r w:rsidR="00795D44">
        <w:t>. Příjmy těchto domácností se zvýšily z</w:t>
      </w:r>
      <w:r w:rsidR="00667A1F" w:rsidRPr="00667A1F">
        <w:t xml:space="preserve"> 138,3 tis. Kč </w:t>
      </w:r>
      <w:r w:rsidR="00F13867">
        <w:t xml:space="preserve">na osobu </w:t>
      </w:r>
      <w:r w:rsidR="00667A1F" w:rsidRPr="00667A1F">
        <w:t>v roce 2012 na 139,2 tis. Kč v roce 2013</w:t>
      </w:r>
      <w:r w:rsidR="003C585A">
        <w:t>.</w:t>
      </w:r>
    </w:p>
    <w:p w:rsidR="009A05B8" w:rsidRDefault="009A05B8" w:rsidP="00B95A50">
      <w:pPr>
        <w:pStyle w:val="Zkladntext"/>
        <w:ind w:firstLine="709"/>
        <w:jc w:val="both"/>
      </w:pPr>
      <w:r w:rsidRPr="008C56B2">
        <w:t>Zlepšení finanční situace domácností se odrazilo i na tom, jak domácnosti vycházely se svými příjmy</w:t>
      </w:r>
      <w:r>
        <w:t xml:space="preserve">. </w:t>
      </w:r>
      <w:r w:rsidRPr="008C56B2">
        <w:t xml:space="preserve">Podíl domácností vycházejících s příjmy obtížně nebo velmi obtížně mírně poklesl z 32,2 % v roce 2013 na 31,2 % v roce 2014 (tj. o 1,0 p. </w:t>
      </w:r>
      <w:proofErr w:type="spellStart"/>
      <w:r w:rsidRPr="008C56B2">
        <w:t>b</w:t>
      </w:r>
      <w:proofErr w:type="spellEnd"/>
      <w:r w:rsidRPr="008C56B2">
        <w:t xml:space="preserve">.). </w:t>
      </w:r>
      <w:r w:rsidR="00223343">
        <w:t xml:space="preserve">S velkými obtížemi či s obtížemi vycházelo se svými příjmy téměř osmdesát procent (79,4 %) domácností nezaměstnaných, více než třetina (35,3 %) domácností důchodců bez ekonomicky aktivních členů, více než čtvrtina (27,7 %) domácností zaměstnanců a necelá pětina (18,2 %) domácností samostatně činných. Naopak snadno či velmi snadno s příjmy vycházela necelá dvě procenta (1,7 %) domácností nezaměstnaných, 5,8 % domácností důchodců bez ekonomicky aktivních členů, téměř desetina (9,6 %) domácností zaměstnanců a 13,0 % domácností samostatně činných. </w:t>
      </w:r>
    </w:p>
    <w:p w:rsidR="009A05B8" w:rsidRPr="00895D05" w:rsidRDefault="009A05B8" w:rsidP="009A05B8">
      <w:pPr>
        <w:pStyle w:val="Zkladntext"/>
        <w:ind w:firstLine="720"/>
        <w:jc w:val="both"/>
      </w:pPr>
      <w:r w:rsidRPr="002B6684">
        <w:t xml:space="preserve">Výdaje domácností na bydlení </w:t>
      </w:r>
      <w:r>
        <w:t xml:space="preserve">ve srovnání </w:t>
      </w:r>
      <w:r w:rsidRPr="002B6684">
        <w:t>s</w:t>
      </w:r>
      <w:r>
        <w:t xml:space="preserve"> předchozím rokem prakticky stagnovaly a činily v průměru </w:t>
      </w:r>
      <w:r w:rsidRPr="002B6684">
        <w:t>5 602 Kč na domácnost a měsíc. Podíl příjmů,</w:t>
      </w:r>
      <w:r w:rsidRPr="008C56B2">
        <w:t xml:space="preserve"> které domácnosti v roce 201</w:t>
      </w:r>
      <w:r>
        <w:t>3</w:t>
      </w:r>
      <w:r w:rsidRPr="008C56B2">
        <w:t xml:space="preserve"> vynakládaly na bydlení, se meziročně mírně </w:t>
      </w:r>
      <w:r>
        <w:t>snížil (z 18,6 </w:t>
      </w:r>
      <w:r w:rsidRPr="008C56B2">
        <w:t>% na 18,3 %), a to zejména v dů</w:t>
      </w:r>
      <w:r>
        <w:t xml:space="preserve">sledku růstu příjmů domácností. S tím souvisí i zlepšení </w:t>
      </w:r>
      <w:r w:rsidRPr="008C56B2">
        <w:t xml:space="preserve">vnímání nákladů na bydlení jako zátěže rodinného rozpočtu. Zatímco v roce 2013 vnímalo náklady na bydlení jako velkou zátěž 28,7 % domácností, v roce 2014 to bylo 27,2 % domácností. </w:t>
      </w:r>
      <w:r w:rsidRPr="00895D05">
        <w:t>Podíl domácností, které nepovažovaly náklady na bydlení za zátěž, se oproti tomu zvýšil, a to ze 7,8 % na 8,9 %.</w:t>
      </w:r>
    </w:p>
    <w:p w:rsidR="009A05B8" w:rsidRPr="008C56B2" w:rsidRDefault="009A05B8" w:rsidP="009A05B8">
      <w:pPr>
        <w:pStyle w:val="Zkladntext"/>
        <w:ind w:firstLine="720"/>
        <w:jc w:val="both"/>
      </w:pPr>
      <w:r>
        <w:t>Nejvyšší podíl na čistých příjmech domácnosti představují náklady na bydlení v domácnostech nezaměstnaných, kde výdaje na bydlení tvoří více než třetinu jejich příjmů (36,8 %). Meziročně došlo u těchto domácností k nárůstu nákladů na bydlení o 2,6 %, zatímco jejich příjmy se zvýšily pouz</w:t>
      </w:r>
      <w:r w:rsidR="00F13867">
        <w:t>e o 1,5 %, což se odrazilo v jejich</w:t>
      </w:r>
      <w:r>
        <w:t xml:space="preserve"> zhoršeném vnímání nákladů na bydlení jako zátěže rozpočtu domácnosti. </w:t>
      </w:r>
      <w:r w:rsidRPr="00895D05">
        <w:t xml:space="preserve">Jako velkou zátěž vnímaly v roce 2014 náklady na bydlení již dvě třetiny domácností nezaměstnaných, v roce 2013 to bylo 59,9 % domácností. </w:t>
      </w:r>
      <w:r>
        <w:t>Naopak došlo ke snížení podílu domácností</w:t>
      </w:r>
      <w:r w:rsidR="00F13867">
        <w:t xml:space="preserve"> nezaměstnaných</w:t>
      </w:r>
      <w:r>
        <w:t>, pro které náklady na bydlení</w:t>
      </w:r>
      <w:r w:rsidR="00F13867">
        <w:t xml:space="preserve"> představovaly určitou zátěž, a </w:t>
      </w:r>
      <w:r>
        <w:t xml:space="preserve">to z 37,1 % v roce 2013 na 32,0 % v roce 2014 a rovněž domácností, které náklady na bydlení nepovažovaly za zátěž, a to z 2,9 % v předchozím roce na 1,9 % v roce 2014. </w:t>
      </w:r>
    </w:p>
    <w:p w:rsidR="00F13867" w:rsidRDefault="00223343" w:rsidP="00BC1AF8">
      <w:pPr>
        <w:pStyle w:val="Zkladntext"/>
        <w:ind w:firstLine="709"/>
        <w:jc w:val="both"/>
      </w:pPr>
      <w:r>
        <w:lastRenderedPageBreak/>
        <w:t xml:space="preserve">Míra ohrožení příjmovou chudobou, která </w:t>
      </w:r>
      <w:r w:rsidRPr="00E46B8F">
        <w:t>se počítá jako podíl osob žijících v domácnostech, jejichž příjem je nižší než stanovená hranice chudoby</w:t>
      </w:r>
      <w:r>
        <w:t xml:space="preserve">, dosáhla v roce 2014 úrovně 9,7 %. </w:t>
      </w:r>
      <w:r w:rsidR="00F13867">
        <w:t>Hranice ohrožení příjmovou chudobou</w:t>
      </w:r>
      <w:r w:rsidR="00F13867" w:rsidRPr="00E46B8F">
        <w:t xml:space="preserve"> </w:t>
      </w:r>
      <w:r w:rsidR="00F13867">
        <w:t>je určena</w:t>
      </w:r>
      <w:r w:rsidR="006E6009">
        <w:t xml:space="preserve"> jako 60 % mediánu </w:t>
      </w:r>
      <w:proofErr w:type="spellStart"/>
      <w:r w:rsidR="006E6009">
        <w:t>ekv</w:t>
      </w:r>
      <w:r w:rsidR="00EE59CB">
        <w:t>iv</w:t>
      </w:r>
      <w:r w:rsidR="00F13867" w:rsidRPr="00E46B8F">
        <w:t>alizovaného</w:t>
      </w:r>
      <w:proofErr w:type="spellEnd"/>
      <w:r w:rsidR="00F13867" w:rsidRPr="00E46B8F">
        <w:t xml:space="preserve"> d</w:t>
      </w:r>
      <w:r w:rsidR="003F0C2D">
        <w:t>isponibilního příjmu domácnosti a zohledňuje tak velikost a složení domácnosti. Aby domácnost jednotlivce v roce 2014 nespadla pod hranici chudoby, musel být její čistý měsíční příjem vyšší než 9 901 </w:t>
      </w:r>
      <w:r w:rsidR="00F13867">
        <w:t>Kč</w:t>
      </w:r>
      <w:r w:rsidR="003F0C2D">
        <w:t>, domácnost dvou dospělých musela mít příjmy vyšší než 14 852 Kč/měsíc, rodič s dítětem do 13 let musel mít více než 12 872 Kč měsíčně a partnerský pár se dvěma dětmi do 13 let 20 793 Kč.</w:t>
      </w:r>
    </w:p>
    <w:p w:rsidR="00BC1AF8" w:rsidRDefault="004046C7" w:rsidP="00BC1AF8">
      <w:pPr>
        <w:pStyle w:val="Zkladntext"/>
        <w:ind w:firstLine="709"/>
        <w:jc w:val="both"/>
      </w:pPr>
      <w:r w:rsidRPr="00E46B8F">
        <w:t xml:space="preserve">Počet osob </w:t>
      </w:r>
      <w:r w:rsidR="00223343">
        <w:t>žijících v domácnostech s příjmy</w:t>
      </w:r>
      <w:r w:rsidRPr="00E46B8F">
        <w:t xml:space="preserve"> pod hranicí chudoby </w:t>
      </w:r>
      <w:r w:rsidR="00C70155">
        <w:t>se dlouhodobě</w:t>
      </w:r>
      <w:r w:rsidR="00E46B8F" w:rsidRPr="00E46B8F">
        <w:t xml:space="preserve"> pohybuje na úrovni 9 % až 10 % a ani rok 2014 </w:t>
      </w:r>
      <w:r w:rsidR="00223343">
        <w:t xml:space="preserve">tak </w:t>
      </w:r>
      <w:r w:rsidR="00E46B8F" w:rsidRPr="00E46B8F">
        <w:t>nevybočuje z</w:t>
      </w:r>
      <w:r w:rsidR="00E46B8F">
        <w:t xml:space="preserve"> tohoto intervalu. </w:t>
      </w:r>
      <w:r w:rsidR="00BC1AF8">
        <w:t>Z dlouhodobého hlediska jsou nejvíce ohroženými skupinami nezaměstnaní, neúplné rodiny s dětmi a rodiny se třemi a více dětmi. Podíl osob, jejichž převažující ekonomickou aktivitou v průběhu roku 2013 byla nezaměstnanost</w:t>
      </w:r>
      <w:r w:rsidR="00D63CBC">
        <w:t>,</w:t>
      </w:r>
      <w:r w:rsidR="00BC1AF8">
        <w:t xml:space="preserve"> a které byly ohrožené příjmovou chudobou, dosáhl v roce 2014 téměř poloviny (47,8 %). Osob z neúplných rodin s dětmi byla příjmovou chudobou ohrožena více než třetina (35,9 %) a osob z rodin se třemi a více dětmi téměř čtvrtina (24,0 %). </w:t>
      </w:r>
    </w:p>
    <w:p w:rsidR="00265D17" w:rsidRDefault="004046C7" w:rsidP="00265D17">
      <w:pPr>
        <w:pStyle w:val="Zkladntext"/>
        <w:ind w:firstLine="720"/>
        <w:jc w:val="both"/>
      </w:pPr>
      <w:r w:rsidRPr="00477340">
        <w:t xml:space="preserve">Celková míra materiální deprivace vyjadřující podíl osob, které trpí určitým materiálním nedostatkem, </w:t>
      </w:r>
      <w:proofErr w:type="gramStart"/>
      <w:r w:rsidRPr="00477340">
        <w:t>tzn. nemohou</w:t>
      </w:r>
      <w:proofErr w:type="gramEnd"/>
      <w:r w:rsidRPr="00477340">
        <w:t xml:space="preserve"> si dovolit některé věci, služby či požitky, oproti předcházejícímu roku </w:t>
      </w:r>
      <w:r w:rsidR="00A72F57">
        <w:t>nepatrně</w:t>
      </w:r>
      <w:r w:rsidR="00A72F57" w:rsidRPr="00477340">
        <w:t xml:space="preserve"> </w:t>
      </w:r>
      <w:r w:rsidR="00CC65A3" w:rsidRPr="00477340">
        <w:t>vzrostla</w:t>
      </w:r>
      <w:r w:rsidRPr="00477340">
        <w:t xml:space="preserve">. Podíl </w:t>
      </w:r>
      <w:r w:rsidR="0009182A">
        <w:t>osob</w:t>
      </w:r>
      <w:r w:rsidR="0009182A" w:rsidRPr="00477340">
        <w:t xml:space="preserve"> </w:t>
      </w:r>
      <w:r w:rsidRPr="00477340">
        <w:t xml:space="preserve">žijících v domácnostech, které postrádaly nejméně 3 </w:t>
      </w:r>
      <w:r w:rsidRPr="00667A1F">
        <w:t xml:space="preserve">položky z 9 sledovaných, se oproti předchozímu roku </w:t>
      </w:r>
      <w:r w:rsidR="00CC65A3" w:rsidRPr="00667A1F">
        <w:t>zvýšil</w:t>
      </w:r>
      <w:r w:rsidR="002B6684">
        <w:t xml:space="preserve"> z </w:t>
      </w:r>
      <w:r w:rsidRPr="00667A1F">
        <w:t>1</w:t>
      </w:r>
      <w:r w:rsidR="00CC65A3" w:rsidRPr="00667A1F">
        <w:t>5</w:t>
      </w:r>
      <w:r w:rsidRPr="00667A1F">
        <w:t>,</w:t>
      </w:r>
      <w:r w:rsidR="00CC65A3" w:rsidRPr="00667A1F">
        <w:t>9</w:t>
      </w:r>
      <w:r w:rsidRPr="00667A1F">
        <w:t> % na 1</w:t>
      </w:r>
      <w:r w:rsidR="00CC65A3" w:rsidRPr="00667A1F">
        <w:t>6</w:t>
      </w:r>
      <w:r w:rsidRPr="00667A1F">
        <w:t>,</w:t>
      </w:r>
      <w:r w:rsidR="00CC65A3" w:rsidRPr="00667A1F">
        <w:t>4</w:t>
      </w:r>
      <w:r w:rsidRPr="00667A1F">
        <w:t> %, podíl těch, kterým chyběly 4 a více položek, činil 6,</w:t>
      </w:r>
      <w:r w:rsidR="00CC65A3" w:rsidRPr="00667A1F">
        <w:t xml:space="preserve">7 </w:t>
      </w:r>
      <w:r w:rsidRPr="00667A1F">
        <w:t xml:space="preserve">%, </w:t>
      </w:r>
      <w:r w:rsidR="00CC65A3" w:rsidRPr="00667A1F">
        <w:t xml:space="preserve">tedy </w:t>
      </w:r>
      <w:r w:rsidRPr="00667A1F">
        <w:t>podobně jako v</w:t>
      </w:r>
      <w:r w:rsidR="00CC65A3" w:rsidRPr="00667A1F">
        <w:t> předchozích dvou letech</w:t>
      </w:r>
      <w:r w:rsidRPr="00667A1F">
        <w:t>.</w:t>
      </w:r>
      <w:r w:rsidR="006E1690" w:rsidRPr="00667A1F">
        <w:t xml:space="preserve"> </w:t>
      </w:r>
      <w:r w:rsidR="00F13867">
        <w:t>Podobně jako u </w:t>
      </w:r>
      <w:r w:rsidR="00265D17">
        <w:t>míry ohrožení příjmovou</w:t>
      </w:r>
      <w:r w:rsidR="00F13867">
        <w:t xml:space="preserve"> </w:t>
      </w:r>
      <w:r w:rsidR="00265D17">
        <w:t xml:space="preserve">chudobou </w:t>
      </w:r>
      <w:r w:rsidR="00F13867">
        <w:t xml:space="preserve">patří </w:t>
      </w:r>
      <w:r w:rsidR="00265D17">
        <w:t xml:space="preserve">mezi nejvíce deprivované osoby nezaměstnaní (24,7 %), osoby z neúplných rodin s dětmi (23,9 %) a osoby z rodin se třemi a více dětmi (14,3 %). </w:t>
      </w:r>
    </w:p>
    <w:p w:rsidR="004046C7" w:rsidRPr="00477340" w:rsidRDefault="009A05B8" w:rsidP="004046C7">
      <w:pPr>
        <w:pStyle w:val="Zkladntext"/>
        <w:ind w:firstLine="720"/>
        <w:jc w:val="both"/>
        <w:rPr>
          <w:color w:val="4F81BD" w:themeColor="accent1"/>
        </w:rPr>
      </w:pPr>
      <w:r w:rsidRPr="008C56B2">
        <w:t>Na zlepšení finanční</w:t>
      </w:r>
      <w:r>
        <w:t xml:space="preserve"> situace domácnosti poukazují i </w:t>
      </w:r>
      <w:r w:rsidRPr="008C56B2">
        <w:t>snižující se podíl</w:t>
      </w:r>
      <w:r>
        <w:t>y</w:t>
      </w:r>
      <w:r w:rsidRPr="008C56B2">
        <w:t xml:space="preserve"> domácností, které si z finančních důvodů nemohou dovolit zaplatit dovolenou všem členům domácnosti, jíst maso alespoň každý druhý den, dostatečně vytápět svůj byt či zaplatit neočekávaný výdaj ve výši 9 600 Kč. Podíl domácností, které si nemohly dovolit zaplatit dovolenou</w:t>
      </w:r>
      <w:r>
        <w:t>,</w:t>
      </w:r>
      <w:r w:rsidRPr="008C56B2">
        <w:t xml:space="preserve"> pokles</w:t>
      </w:r>
      <w:r>
        <w:t>l</w:t>
      </w:r>
      <w:r w:rsidRPr="008C56B2">
        <w:t xml:space="preserve"> z necelých dvou pětin (39,8 %) v roce 2013 na 37,8 %</w:t>
      </w:r>
      <w:r w:rsidR="00795D44">
        <w:t xml:space="preserve"> v roce 2014</w:t>
      </w:r>
      <w:r w:rsidRPr="008C56B2">
        <w:t>, tj. o celé dva procentní body. Zatímco v</w:t>
      </w:r>
      <w:r w:rsidR="00795D44">
        <w:t> </w:t>
      </w:r>
      <w:r w:rsidRPr="008C56B2">
        <w:t>roce</w:t>
      </w:r>
      <w:r w:rsidR="00795D44">
        <w:t xml:space="preserve"> 2013</w:t>
      </w:r>
      <w:r w:rsidRPr="008C56B2">
        <w:t xml:space="preserve"> si nemohlo dovolit zaplatit neočekáva</w:t>
      </w:r>
      <w:r w:rsidR="00795D44">
        <w:t>ný výdaj 43,2 % domácností, v roce 2014</w:t>
      </w:r>
      <w:r w:rsidRPr="008C56B2">
        <w:t xml:space="preserve"> to by</w:t>
      </w:r>
      <w:r w:rsidR="00EE59CB">
        <w:t>lo 42,3 % domácností (tj. </w:t>
      </w:r>
      <w:r>
        <w:t>o 0,9 </w:t>
      </w:r>
      <w:r w:rsidRPr="008C56B2">
        <w:t xml:space="preserve">p. </w:t>
      </w:r>
      <w:proofErr w:type="spellStart"/>
      <w:r w:rsidRPr="008C56B2">
        <w:t>b</w:t>
      </w:r>
      <w:proofErr w:type="spellEnd"/>
      <w:r w:rsidRPr="008C56B2">
        <w:t xml:space="preserve">. </w:t>
      </w:r>
      <w:proofErr w:type="gramStart"/>
      <w:r w:rsidRPr="008C56B2">
        <w:t>méně</w:t>
      </w:r>
      <w:proofErr w:type="gramEnd"/>
      <w:r w:rsidRPr="008C56B2">
        <w:t>).</w:t>
      </w:r>
    </w:p>
    <w:p w:rsidR="00EB442A" w:rsidRPr="004046C7" w:rsidRDefault="00EB442A" w:rsidP="004046C7">
      <w:pPr>
        <w:jc w:val="both"/>
        <w:rPr>
          <w:color w:val="FF0000"/>
        </w:rPr>
      </w:pPr>
    </w:p>
    <w:sectPr w:rsidR="00EB442A" w:rsidRPr="004046C7" w:rsidSect="005C4F93">
      <w:pgSz w:w="11906" w:h="16838" w:code="9"/>
      <w:pgMar w:top="1418" w:right="1440" w:bottom="1440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98" w:rsidRDefault="005E2198" w:rsidP="009A2FD3">
      <w:r>
        <w:separator/>
      </w:r>
    </w:p>
  </w:endnote>
  <w:endnote w:type="continuationSeparator" w:id="0">
    <w:p w:rsidR="005E2198" w:rsidRDefault="005E2198" w:rsidP="009A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98" w:rsidRDefault="005E2198" w:rsidP="009A2FD3">
      <w:r>
        <w:separator/>
      </w:r>
    </w:p>
  </w:footnote>
  <w:footnote w:type="continuationSeparator" w:id="0">
    <w:p w:rsidR="005E2198" w:rsidRDefault="005E2198" w:rsidP="009A2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3E"/>
    <w:rsid w:val="00085FD3"/>
    <w:rsid w:val="0009182A"/>
    <w:rsid w:val="00095250"/>
    <w:rsid w:val="000C5001"/>
    <w:rsid w:val="001105B9"/>
    <w:rsid w:val="00110A76"/>
    <w:rsid w:val="00162194"/>
    <w:rsid w:val="00167319"/>
    <w:rsid w:val="001A482F"/>
    <w:rsid w:val="001F4C9D"/>
    <w:rsid w:val="00223343"/>
    <w:rsid w:val="00257D46"/>
    <w:rsid w:val="00265D17"/>
    <w:rsid w:val="00282A15"/>
    <w:rsid w:val="002A606E"/>
    <w:rsid w:val="002B08D2"/>
    <w:rsid w:val="002B5B8F"/>
    <w:rsid w:val="002B6684"/>
    <w:rsid w:val="002D4301"/>
    <w:rsid w:val="00327672"/>
    <w:rsid w:val="00336C3E"/>
    <w:rsid w:val="00342327"/>
    <w:rsid w:val="003C585A"/>
    <w:rsid w:val="003E59FC"/>
    <w:rsid w:val="003F0C2D"/>
    <w:rsid w:val="004046C7"/>
    <w:rsid w:val="00443979"/>
    <w:rsid w:val="00474240"/>
    <w:rsid w:val="004760E1"/>
    <w:rsid w:val="00477340"/>
    <w:rsid w:val="00496D95"/>
    <w:rsid w:val="004E5579"/>
    <w:rsid w:val="005760D6"/>
    <w:rsid w:val="005C4F93"/>
    <w:rsid w:val="005E2198"/>
    <w:rsid w:val="006157ED"/>
    <w:rsid w:val="00667383"/>
    <w:rsid w:val="00667A1F"/>
    <w:rsid w:val="006E1690"/>
    <w:rsid w:val="006E55F2"/>
    <w:rsid w:val="006E6009"/>
    <w:rsid w:val="006E7F4C"/>
    <w:rsid w:val="006F0136"/>
    <w:rsid w:val="007253B1"/>
    <w:rsid w:val="00751E0B"/>
    <w:rsid w:val="0075773D"/>
    <w:rsid w:val="00763F99"/>
    <w:rsid w:val="00795D44"/>
    <w:rsid w:val="0081111B"/>
    <w:rsid w:val="008200FB"/>
    <w:rsid w:val="00822B07"/>
    <w:rsid w:val="008373AB"/>
    <w:rsid w:val="00837FBC"/>
    <w:rsid w:val="00850074"/>
    <w:rsid w:val="00851607"/>
    <w:rsid w:val="00895D05"/>
    <w:rsid w:val="008C56B2"/>
    <w:rsid w:val="008D7CEA"/>
    <w:rsid w:val="008E7E94"/>
    <w:rsid w:val="009A05B8"/>
    <w:rsid w:val="009A2FD3"/>
    <w:rsid w:val="009D71AD"/>
    <w:rsid w:val="00A13EFC"/>
    <w:rsid w:val="00A273CA"/>
    <w:rsid w:val="00A5513B"/>
    <w:rsid w:val="00A61BB7"/>
    <w:rsid w:val="00A72F57"/>
    <w:rsid w:val="00A75292"/>
    <w:rsid w:val="00AC2C19"/>
    <w:rsid w:val="00AC5FE4"/>
    <w:rsid w:val="00AD7A66"/>
    <w:rsid w:val="00AE68E1"/>
    <w:rsid w:val="00B31556"/>
    <w:rsid w:val="00B95A50"/>
    <w:rsid w:val="00BC1AF8"/>
    <w:rsid w:val="00C53BFF"/>
    <w:rsid w:val="00C70155"/>
    <w:rsid w:val="00CC65A3"/>
    <w:rsid w:val="00D63CBC"/>
    <w:rsid w:val="00DC3F71"/>
    <w:rsid w:val="00DE6002"/>
    <w:rsid w:val="00E46B8F"/>
    <w:rsid w:val="00EB442A"/>
    <w:rsid w:val="00ED2D76"/>
    <w:rsid w:val="00EE59CB"/>
    <w:rsid w:val="00F13867"/>
    <w:rsid w:val="00F8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336C3E"/>
    <w:pPr>
      <w:spacing w:after="12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C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36C3E"/>
    <w:pPr>
      <w:spacing w:after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36C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046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046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_"/>
    <w:next w:val="Normln"/>
    <w:qFormat/>
    <w:rsid w:val="004046C7"/>
    <w:pPr>
      <w:autoSpaceDE w:val="0"/>
      <w:autoSpaceDN w:val="0"/>
      <w:adjustRightInd w:val="0"/>
      <w:spacing w:after="280"/>
    </w:pPr>
    <w:rPr>
      <w:rFonts w:ascii="Arial" w:eastAsia="Calibri" w:hAnsi="Arial" w:cs="Arial"/>
      <w:b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8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8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F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FE4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2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2F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7A3CD-833B-47AD-8E0C-29A011F3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Šustová</dc:creator>
  <cp:lastModifiedBy>Kovářová Helena</cp:lastModifiedBy>
  <cp:revision>8</cp:revision>
  <cp:lastPrinted>2015-05-25T10:27:00Z</cp:lastPrinted>
  <dcterms:created xsi:type="dcterms:W3CDTF">2015-05-26T07:29:00Z</dcterms:created>
  <dcterms:modified xsi:type="dcterms:W3CDTF">2015-05-26T12:12:00Z</dcterms:modified>
</cp:coreProperties>
</file>