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6D" w:rsidRPr="001328C6" w:rsidRDefault="00D7626D" w:rsidP="006E4CC9">
      <w:pPr>
        <w:pStyle w:val="Nadpis1"/>
      </w:pPr>
      <w:bookmarkStart w:id="0" w:name="_Toc451166910"/>
      <w:bookmarkStart w:id="1" w:name="_Toc451166926"/>
      <w:bookmarkStart w:id="2" w:name="_Toc451175099"/>
      <w:bookmarkStart w:id="3" w:name="_Toc451180155"/>
      <w:bookmarkStart w:id="4" w:name="_Toc514772612"/>
      <w:r w:rsidRPr="001328C6">
        <w:t>1. Ú</w:t>
      </w:r>
      <w:r w:rsidR="00DB6382" w:rsidRPr="001328C6">
        <w:t>vod</w:t>
      </w:r>
      <w:bookmarkEnd w:id="0"/>
      <w:bookmarkEnd w:id="1"/>
      <w:bookmarkEnd w:id="2"/>
      <w:bookmarkEnd w:id="3"/>
      <w:bookmarkEnd w:id="4"/>
    </w:p>
    <w:p w:rsidR="00F51E97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 xml:space="preserve">Satelitní účet kultury ČR (dále také „účet kultury“) byl v návaznosti na růst významu sledování ekonomického rozměru kultury a úkol vyplývající z usnesení vlády ČR č. 1452 z roku 2008 poprvé zpracován v ověřovacím provedení za referenční rok 2009. V průběhu sestavování účtu i v rámci hodnocení jeho výsledků za rok 2009 a za rok následující se ukázalo, že některé předpoklady a záměry obsažené v původním metodickém manuálu k účtu nemohly být zcela naplněny, resp. musely být poopraveny. </w:t>
      </w:r>
    </w:p>
    <w:p w:rsidR="00F51E97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 xml:space="preserve">Pro prvé ověřovací sestavení kulturního účtu za rok 2009 byl sektor kultury vymezen v rámci dohody zainteresovaných institucí (MK ČR resp. NIPOS a ČSÚ). Na podzim roku 2011 byl však ukončen projekt ESSnet Culture organizovaný Eurostatem, jehož úkolem </w:t>
      </w:r>
      <w:r w:rsidR="00F85E8C" w:rsidRPr="001328C6">
        <w:rPr>
          <w:rFonts w:cs="Arial"/>
        </w:rPr>
        <w:t>–</w:t>
      </w:r>
      <w:r w:rsidRPr="001328C6">
        <w:rPr>
          <w:rFonts w:cs="Arial"/>
          <w:szCs w:val="20"/>
        </w:rPr>
        <w:t xml:space="preserve"> mimo jiné </w:t>
      </w:r>
      <w:r w:rsidR="00F85E8C" w:rsidRPr="001328C6">
        <w:rPr>
          <w:rFonts w:cs="Arial"/>
        </w:rPr>
        <w:t>–</w:t>
      </w:r>
      <w:r w:rsidRPr="001328C6">
        <w:rPr>
          <w:rFonts w:cs="Arial"/>
          <w:szCs w:val="20"/>
        </w:rPr>
        <w:t xml:space="preserve"> bylo jednotné vymezení sektoru kultury v rámci celé EU. Výsledky výše uvedeného projektu byly zapracovány do novelizované metodiky sestavení kulturního účtu a staly se východiskem pro sestavení účtu za rok 2010 a následující léta. </w:t>
      </w:r>
    </w:p>
    <w:p w:rsidR="00F51E97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>Co se zmíněných změn – v porovnání s původním pojetím kulturního účtu za rok 2009 – týče, byl sektor kultury rozšířen o některé maloobchodní činnosti (NACE 47.63, 78 a 79), překladatelské a tlumočnické služby (NACE 74.30), pronájem videokazet a disků (NACE 77.22) a umělecké vzdělávání (NACE 85.52). Nutno doda</w:t>
      </w:r>
      <w:r w:rsidR="0060269C" w:rsidRPr="001328C6">
        <w:rPr>
          <w:rFonts w:cs="Arial"/>
          <w:szCs w:val="20"/>
        </w:rPr>
        <w:t>t, že některé maloobchodní akti</w:t>
      </w:r>
      <w:r w:rsidRPr="001328C6">
        <w:rPr>
          <w:rFonts w:cs="Arial"/>
          <w:szCs w:val="20"/>
        </w:rPr>
        <w:t xml:space="preserve">vity (NACE 47.78 a 79) se však vztahují ke kultuře jen částečně </w:t>
      </w:r>
      <w:r w:rsidRPr="00A40930">
        <w:t>a</w:t>
      </w:r>
      <w:r w:rsidR="00A40930">
        <w:t> </w:t>
      </w:r>
      <w:r w:rsidRPr="00A40930">
        <w:t>odpovídající</w:t>
      </w:r>
      <w:r w:rsidRPr="001328C6">
        <w:rPr>
          <w:rFonts w:cs="Arial"/>
          <w:szCs w:val="20"/>
        </w:rPr>
        <w:t xml:space="preserve"> data je proto nezbytné složitými postupy kvantifikovat (resp. částečně i odhadovat). </w:t>
      </w:r>
    </w:p>
    <w:p w:rsidR="00F51E97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>Další odlišnosti oproti prvému ověřovacímu zpracování účtu spočívaly v rozsahu a kvalitě zjištěných dat. Pomocí doplňkových zjišťování (např. v uměleckých řemeslech, či v archivech) se postupně rozšiřoval okruh respondentů, jejichž data jsou k sestavení kulturního účtu využita. Svůj význam pro kvalitu dat měla také skutečnost, že si respondenti začali postupně zvykat na vykazování ekonomických údajů,</w:t>
      </w:r>
      <w:r w:rsidR="00A40930">
        <w:rPr>
          <w:rFonts w:cs="Arial"/>
          <w:szCs w:val="20"/>
        </w:rPr>
        <w:t xml:space="preserve"> které byly do s</w:t>
      </w:r>
      <w:r w:rsidRPr="001328C6">
        <w:rPr>
          <w:rFonts w:cs="Arial"/>
          <w:szCs w:val="20"/>
        </w:rPr>
        <w:t xml:space="preserve">tatistických šetření KULT zavedeny v referenčním roce 2009. </w:t>
      </w:r>
    </w:p>
    <w:p w:rsidR="00F51E97" w:rsidRPr="00F85E8C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  <w:szCs w:val="20"/>
        </w:rPr>
        <w:t>Z výše uvedeného je patrné, že srovnávání výsledků účtů kultury v celé časové řadě má nemalá úskalí. Zejména data za referenční rok 2009, která vycházejí z užšího vymezení sektoru kultury, nejsou s daty za</w:t>
      </w:r>
      <w:r w:rsidR="00A40930">
        <w:rPr>
          <w:rFonts w:cs="Arial"/>
          <w:szCs w:val="20"/>
        </w:rPr>
        <w:t> </w:t>
      </w:r>
      <w:r w:rsidRPr="001328C6">
        <w:rPr>
          <w:rFonts w:cs="Arial"/>
          <w:szCs w:val="20"/>
        </w:rPr>
        <w:t xml:space="preserve">pozdější roční období v přijatelné míře porovnatelná. Tuto skutečnost je třeba mít </w:t>
      </w:r>
      <w:r w:rsidR="00F85E8C" w:rsidRPr="001328C6">
        <w:rPr>
          <w:rFonts w:cs="Arial"/>
        </w:rPr>
        <w:t>–</w:t>
      </w:r>
      <w:r w:rsidRPr="001328C6">
        <w:rPr>
          <w:rFonts w:cs="Arial"/>
          <w:szCs w:val="20"/>
        </w:rPr>
        <w:t xml:space="preserve"> při práci s uvedenými údaji </w:t>
      </w:r>
      <w:r w:rsidR="00F85E8C" w:rsidRPr="001328C6">
        <w:rPr>
          <w:rFonts w:cs="Arial"/>
        </w:rPr>
        <w:t>–</w:t>
      </w:r>
      <w:r w:rsidRPr="001328C6">
        <w:rPr>
          <w:rFonts w:cs="Arial"/>
          <w:szCs w:val="20"/>
        </w:rPr>
        <w:t xml:space="preserve"> vždy na paměti. </w:t>
      </w:r>
    </w:p>
    <w:p w:rsidR="00E90EA6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 xml:space="preserve">V roce 2015 byl usnesením vlády ČR č. 266 k návrhu Státní kulturní politiky na léta 2015 – 2020 (s výhledem do roku 2025) úkol týkající se sestavování Satelitního účtu kultury prodloužen do dalšího období a navíc rozšířen o vyhodnocení časové řady výsledků zmíněného účtu za léta 2010 – 2015. Toto zadání </w:t>
      </w:r>
      <w:r w:rsidR="00F85E8C" w:rsidRPr="001328C6">
        <w:rPr>
          <w:rFonts w:cs="Arial"/>
        </w:rPr>
        <w:t>–</w:t>
      </w:r>
      <w:r w:rsidR="00113B2D">
        <w:rPr>
          <w:rFonts w:cs="Arial"/>
        </w:rPr>
        <w:t xml:space="preserve"> </w:t>
      </w:r>
      <w:r w:rsidRPr="001328C6">
        <w:rPr>
          <w:rFonts w:cs="Arial"/>
          <w:szCs w:val="20"/>
        </w:rPr>
        <w:t>formulované jako společný úkol MK, resp. NIPOS a ČSÚ – bylo koncem roku 2017 naplněno.</w:t>
      </w:r>
    </w:p>
    <w:p w:rsidR="00D7626D" w:rsidRPr="001328C6" w:rsidRDefault="00D7626D" w:rsidP="006E4CC9">
      <w:pPr>
        <w:pStyle w:val="Nadpis2"/>
        <w:rPr>
          <w:szCs w:val="24"/>
        </w:rPr>
      </w:pPr>
      <w:bookmarkStart w:id="5" w:name="_Toc451166911"/>
      <w:bookmarkStart w:id="6" w:name="_Toc451166927"/>
      <w:bookmarkStart w:id="7" w:name="_Toc451175100"/>
      <w:bookmarkStart w:id="8" w:name="_Toc451180156"/>
      <w:bookmarkStart w:id="9" w:name="_Toc514772613"/>
      <w:r w:rsidRPr="001328C6">
        <w:t>1.1. Vymezení a členění sektoru kultury</w:t>
      </w:r>
      <w:bookmarkEnd w:id="5"/>
      <w:bookmarkEnd w:id="6"/>
      <w:bookmarkEnd w:id="7"/>
      <w:bookmarkEnd w:id="8"/>
      <w:bookmarkEnd w:id="9"/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Před vlastním zjišťováním a hodnocením ekonomického rozměru kultur</w:t>
      </w:r>
      <w:r w:rsidR="00A40930">
        <w:rPr>
          <w:rFonts w:cs="Arial"/>
        </w:rPr>
        <w:t>y je nutné jasně určit rozsah a </w:t>
      </w:r>
      <w:r w:rsidRPr="001328C6">
        <w:rPr>
          <w:rFonts w:cs="Arial"/>
        </w:rPr>
        <w:t xml:space="preserve">strukturu objektu, který je předmětem našeho zájmu. Nejdříve je třeba odlišit jeho vymezení z pohledu věcného od vymezení průřezového charakteru, které vychází z účelu resp. funkce a z průběhu dějů v čase. V prvém případě lze hovořit o jednotlivých oblastech či sférách, poskytovatelích, kulturních a kreativních sektorech kultury a ve druhém o tzv. kulturním cyklu.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V souladu s dostupnými mezinárodními dokumenty (EUROSTAT, UNESCO, OECD) rozlišujeme tyto kulturní oblasti či odvětví označe</w:t>
      </w:r>
      <w:r w:rsidR="00F85E8C">
        <w:rPr>
          <w:rFonts w:cs="Arial"/>
        </w:rPr>
        <w:t>né „O 11 – O 19“ (s uvedením CZ-</w:t>
      </w:r>
      <w:r w:rsidRPr="001328C6">
        <w:rPr>
          <w:rFonts w:cs="Arial"/>
        </w:rPr>
        <w:t xml:space="preserve">NACE):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kulturní dědictví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O.11 (91.01, 02, 03, 47.78, 79)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interpretační (scénické) umění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O.12 (90.01, 02, 04)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>výtva</w:t>
      </w:r>
      <w:r w:rsidR="00302A92">
        <w:rPr>
          <w:rFonts w:cs="Arial"/>
        </w:rPr>
        <w:t xml:space="preserve">rné (vizuální) umění a řemesla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O.13 (74.10, 20, 90.03, část sekce C) </w:t>
      </w:r>
    </w:p>
    <w:p w:rsidR="00F51E97" w:rsidRPr="001328C6" w:rsidRDefault="00302A92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>
        <w:rPr>
          <w:rFonts w:cs="Arial"/>
        </w:rPr>
        <w:lastRenderedPageBreak/>
        <w:t xml:space="preserve">periodický a neperiodický tisk </w:t>
      </w:r>
      <w:r w:rsidRPr="00302A92">
        <w:rPr>
          <w:rFonts w:cs="Arial"/>
        </w:rPr>
        <w:t>–</w:t>
      </w:r>
      <w:r w:rsidR="00F51E97" w:rsidRPr="001328C6">
        <w:rPr>
          <w:rFonts w:cs="Arial"/>
        </w:rPr>
        <w:t xml:space="preserve"> O.14 (58.11,13, 63.91, 74.30, 47.61, 62)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audiovizuální a interaktivní média – O.15 (58.21, 59.11, 12, 13, 14, 20, 60.10, 20, 47.63, 77.22)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architektura – O.16 (71.11)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reklama – O.17 (73.11)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umělecké vzdělávání – O.18 (85.52)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správa kultury vč. její podpory – O.19 (84.11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část, 12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část, 94.99.2)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Z praktických důvodů, souvisejících s problémy se získáním a členěním potřebných dat, je nutné výše uvedené oblasti doplnit o další blíže neurčenou oblast, kterou budeme nazývat „neznámá oblast “. </w:t>
      </w:r>
    </w:p>
    <w:p w:rsidR="00F51E97" w:rsidRPr="001328C6" w:rsidRDefault="00F51E97" w:rsidP="00A04B0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1328C6">
        <w:rPr>
          <w:rFonts w:cs="Arial"/>
        </w:rPr>
        <w:t>V rámci jednotlivých oblastí rozeznáváme kulturní činnosti (představují či zprostředkovávají kulturní projevy) jako např. činnost muzeí a galerií a dále kulturní služby či statky (např. konzervace a archivace v rámci muzeí či originály zvukových nahrávek). Nositele uvedených kulturních činností, popř. služeb či statků, lze také souhrnně označit za poskytovatele kulturních statků a služeb (dále také „poskytovatele“). Mezi ně patří např. muzea, knihovny, divadla, kina, rozhlas či televize. Nutno dodat, že jejich počet je do značné míry dán pragmatickými důvody spočívajícími v dosažitelnosti statistických dat (zejména cestou statistických zjišťování). Jinými slovy řečeno to znamená, že data o některých významných kulturních aktivitách (např. archeologických nalezištích, uměleckých řemeslech, činnosti spisovatelů, malířů či sochařů apod.) v</w:t>
      </w:r>
      <w:r w:rsidR="00A40930">
        <w:rPr>
          <w:rFonts w:cs="Arial"/>
        </w:rPr>
        <w:t> </w:t>
      </w:r>
      <w:r w:rsidRPr="001328C6">
        <w:rPr>
          <w:rFonts w:cs="Arial"/>
        </w:rPr>
        <w:t>současné době nejsou, popř. z velké</w:t>
      </w:r>
      <w:r w:rsidR="009826B4" w:rsidRPr="001328C6">
        <w:rPr>
          <w:rFonts w:cs="Arial"/>
        </w:rPr>
        <w:t xml:space="preserve"> části nejsou k dis</w:t>
      </w:r>
      <w:r w:rsidRPr="001328C6">
        <w:rPr>
          <w:rFonts w:cs="Arial"/>
        </w:rPr>
        <w:t xml:space="preserve">pozici.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V souladu se zaměřením prováděných statistických šetření v kultuře (KULT) přiřazujeme stávající institucionálně vymezené poskytovatele (respondenty šetření) k obsahově vymezeným kulturním oblastem (odvětvím) tj. O.11 – O.19, takto: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historická památka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(O.11)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muzeum a galerie </w:t>
      </w:r>
      <w:r w:rsidR="00302A92" w:rsidRPr="001328C6">
        <w:rPr>
          <w:rFonts w:cs="Arial"/>
        </w:rPr>
        <w:t xml:space="preserve">– </w:t>
      </w:r>
      <w:r w:rsidRPr="001328C6">
        <w:rPr>
          <w:rFonts w:cs="Arial"/>
        </w:rPr>
        <w:t xml:space="preserve">(O.11)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archiv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(O.11)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knihovna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 11)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divadlo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(O.12)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koncertní sál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(O.12) </w:t>
      </w:r>
    </w:p>
    <w:p w:rsidR="00F51E97" w:rsidRPr="001328C6" w:rsidRDefault="001328C6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>
        <w:rPr>
          <w:rFonts w:cs="Arial"/>
        </w:rPr>
        <w:t xml:space="preserve">kulturní domy </w:t>
      </w:r>
      <w:r w:rsidR="00302A92" w:rsidRPr="001328C6">
        <w:rPr>
          <w:rFonts w:cs="Arial"/>
        </w:rPr>
        <w:t>–</w:t>
      </w:r>
      <w:r w:rsidR="00F51E97" w:rsidRPr="001328C6">
        <w:rPr>
          <w:rFonts w:cs="Arial"/>
        </w:rPr>
        <w:t xml:space="preserve"> (O.12)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výstavní sál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(O.13)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nakladatelství/vydavatelství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(O.14)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výrobci a distributoři audiovizuálních děl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(O.15)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rozhlas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(O.15)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televize </w:t>
      </w:r>
      <w:r w:rsidR="00302A92" w:rsidRPr="001328C6">
        <w:rPr>
          <w:rFonts w:cs="Arial"/>
        </w:rPr>
        <w:t xml:space="preserve">– </w:t>
      </w:r>
      <w:r w:rsidRPr="001328C6">
        <w:rPr>
          <w:rFonts w:cs="Arial"/>
        </w:rPr>
        <w:t xml:space="preserve">(O.15)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školy uměleckého vzdělávání – (O.18)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organizace ochrany aut. práv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(O.19)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ostatní poskytovatelé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(O.11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O.19)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Jak je z uvedeného členění patrné, např. ve velmi významn</w:t>
      </w:r>
      <w:r w:rsidR="0060269C" w:rsidRPr="001328C6">
        <w:rPr>
          <w:rFonts w:cs="Arial"/>
        </w:rPr>
        <w:t>é oblasti architektonických čin</w:t>
      </w:r>
      <w:r w:rsidRPr="001328C6">
        <w:rPr>
          <w:rFonts w:cs="Arial"/>
        </w:rPr>
        <w:t>ností (O.16) se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zatím žádný jednoznačně vymezený poskytovatel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z důvodu nedostatku odpovídajících dat získáv</w:t>
      </w:r>
      <w:r w:rsidR="009826B4" w:rsidRPr="001328C6">
        <w:rPr>
          <w:rFonts w:cs="Arial"/>
        </w:rPr>
        <w:t xml:space="preserve">aných statistickými šetřeními </w:t>
      </w:r>
      <w:r w:rsidR="00F85E8C" w:rsidRPr="001328C6">
        <w:rPr>
          <w:rFonts w:cs="Arial"/>
        </w:rPr>
        <w:t>–</w:t>
      </w:r>
      <w:r w:rsidR="009826B4" w:rsidRPr="001328C6">
        <w:rPr>
          <w:rFonts w:cs="Arial"/>
        </w:rPr>
        <w:t xml:space="preserve"> </w:t>
      </w:r>
      <w:r w:rsidRPr="001328C6">
        <w:rPr>
          <w:rFonts w:cs="Arial"/>
        </w:rPr>
        <w:t>n</w:t>
      </w:r>
      <w:r w:rsidR="0060269C" w:rsidRPr="001328C6">
        <w:rPr>
          <w:rFonts w:cs="Arial"/>
        </w:rPr>
        <w:t>enachází. Obvykle je rozsah kul</w:t>
      </w:r>
      <w:r w:rsidRPr="001328C6">
        <w:rPr>
          <w:rFonts w:cs="Arial"/>
        </w:rPr>
        <w:t xml:space="preserve">turních oblastí širší než činnosti poskytovatelů, kteří do nich jsou zařazeni. Poskytovatelé jsou tak svým způsobem vybranými (statisticky zvlášť </w:t>
      </w:r>
      <w:r w:rsidRPr="001328C6">
        <w:rPr>
          <w:rFonts w:cs="Arial"/>
        </w:rPr>
        <w:lastRenderedPageBreak/>
        <w:t>sledovanými) reprezent</w:t>
      </w:r>
      <w:r w:rsidR="00975D76" w:rsidRPr="001328C6">
        <w:rPr>
          <w:rFonts w:cs="Arial"/>
        </w:rPr>
        <w:t>anty jednot</w:t>
      </w:r>
      <w:r w:rsidRPr="001328C6">
        <w:rPr>
          <w:rFonts w:cs="Arial"/>
        </w:rPr>
        <w:t>livých oblastí, kteří však vyčerpávajícím způso</w:t>
      </w:r>
      <w:r w:rsidR="00975D76" w:rsidRPr="001328C6">
        <w:rPr>
          <w:rFonts w:cs="Arial"/>
        </w:rPr>
        <w:t>bem celou oblast nepokrývají.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Za údaje o ostatních poskytovatelích se považují zjišťovan</w:t>
      </w:r>
      <w:r w:rsidR="00975D76" w:rsidRPr="001328C6">
        <w:rPr>
          <w:rFonts w:cs="Arial"/>
        </w:rPr>
        <w:t>á data o činnosti v těch kultur</w:t>
      </w:r>
      <w:r w:rsidRPr="001328C6">
        <w:rPr>
          <w:rFonts w:cs="Arial"/>
        </w:rPr>
        <w:t xml:space="preserve">ních oblastech, které nelze jednoznačně přiřadit k předcházejícím poskytovatelům (např. maloobchodní prodej knih, starožitností, uměleckých předmětů, tvorba hudebních nahrávek, služby designu, aktivity zpravodajských agentur, správní činnosti ministerstva kultury a jím řízených institucí atd.).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Z podobných důvodů jako v případě oblastí – tj. nemožn</w:t>
      </w:r>
      <w:r w:rsidR="00975D76" w:rsidRPr="001328C6">
        <w:rPr>
          <w:rFonts w:cs="Arial"/>
        </w:rPr>
        <w:t>osti věrohodného rozčlenění sou</w:t>
      </w:r>
      <w:r w:rsidRPr="001328C6">
        <w:rPr>
          <w:rFonts w:cs="Arial"/>
        </w:rPr>
        <w:t xml:space="preserve">hrnných dat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je nutné předpokládat i tzv. „neznámého poskytovatele“. V této souvislosti je patrné, že postupné snižování významu (váhy) dat uve</w:t>
      </w:r>
      <w:r w:rsidR="009826B4" w:rsidRPr="001328C6">
        <w:rPr>
          <w:rFonts w:cs="Arial"/>
        </w:rPr>
        <w:t>dených za neznámou oblast či ne</w:t>
      </w:r>
      <w:r w:rsidRPr="001328C6">
        <w:rPr>
          <w:rFonts w:cs="Arial"/>
        </w:rPr>
        <w:t>známého poskytovatele v relaci k celkovým údajům za k</w:t>
      </w:r>
      <w:r w:rsidR="00975D76" w:rsidRPr="001328C6">
        <w:rPr>
          <w:rFonts w:cs="Arial"/>
        </w:rPr>
        <w:t>ulturu by mělo být projevem zdo</w:t>
      </w:r>
      <w:r w:rsidRPr="001328C6">
        <w:rPr>
          <w:rFonts w:cs="Arial"/>
        </w:rPr>
        <w:t xml:space="preserve">konalování účtu kultury jako takového. To je však velmi </w:t>
      </w:r>
      <w:r w:rsidR="00975D76" w:rsidRPr="001328C6">
        <w:rPr>
          <w:rFonts w:cs="Arial"/>
        </w:rPr>
        <w:t>obtížný a dlouhodobý úkol souvi</w:t>
      </w:r>
      <w:r w:rsidRPr="001328C6">
        <w:rPr>
          <w:rFonts w:cs="Arial"/>
        </w:rPr>
        <w:t>sející zejména s možnostmi rozšiřování a prohlubování stati</w:t>
      </w:r>
      <w:r w:rsidR="00975D76" w:rsidRPr="001328C6">
        <w:rPr>
          <w:rFonts w:cs="Arial"/>
        </w:rPr>
        <w:t>stického výkaznictví (ochota re</w:t>
      </w:r>
      <w:r w:rsidRPr="001328C6">
        <w:rPr>
          <w:rFonts w:cs="Arial"/>
        </w:rPr>
        <w:t>spondentů, finanční možnosti a pracovní kapacity statist</w:t>
      </w:r>
      <w:r w:rsidR="00975D76" w:rsidRPr="001328C6">
        <w:rPr>
          <w:rFonts w:cs="Arial"/>
        </w:rPr>
        <w:t>ických pracovišť, snahy o snižo</w:t>
      </w:r>
      <w:r w:rsidRPr="001328C6">
        <w:rPr>
          <w:rFonts w:cs="Arial"/>
        </w:rPr>
        <w:t xml:space="preserve">vání administrativní zátěže apod.).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Jak je z výše uvedeného zřejmé, členění poskytovatelů kulturních služeb, které je do značné míry ovlivněno možnostmi získání potřebných dat za danou sféru kulturních aktivit, se bude se změnami ve statistickém zjišťování v čase měnit.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Lze použít i jiné členění sektoru kultury než je výše uvedené, které můžeme označit za výchozí či základní. Tak např. kulturní oblasti lze seskupit do čtyř tzv. sfér. Každá z nich odráží rozhodující příbuzné rysy několika oblastí. Za takovou skupinu příbuzných oblastí lze považovat sféru kulturního (hmotného a</w:t>
      </w:r>
      <w:r w:rsidR="00A40930">
        <w:rPr>
          <w:rFonts w:cs="Arial"/>
        </w:rPr>
        <w:t> </w:t>
      </w:r>
      <w:r w:rsidRPr="001328C6">
        <w:rPr>
          <w:rFonts w:cs="Arial"/>
        </w:rPr>
        <w:t>nehmotnéh</w:t>
      </w:r>
      <w:r w:rsidR="00975D76" w:rsidRPr="001328C6">
        <w:rPr>
          <w:rFonts w:cs="Arial"/>
        </w:rPr>
        <w:t>o) dědictví, kam patří např. pa</w:t>
      </w:r>
      <w:r w:rsidRPr="001328C6">
        <w:rPr>
          <w:rFonts w:cs="Arial"/>
        </w:rPr>
        <w:t>mátky, archeologická naleziště, muzea a galerie, archivy a</w:t>
      </w:r>
      <w:r w:rsidR="00A40930">
        <w:rPr>
          <w:rFonts w:cs="Arial"/>
        </w:rPr>
        <w:t> </w:t>
      </w:r>
      <w:r w:rsidRPr="001328C6">
        <w:rPr>
          <w:rFonts w:cs="Arial"/>
        </w:rPr>
        <w:t>knihovny, dál</w:t>
      </w:r>
      <w:r w:rsidR="00975D76" w:rsidRPr="001328C6">
        <w:rPr>
          <w:rFonts w:cs="Arial"/>
        </w:rPr>
        <w:t>e sféru živé origi</w:t>
      </w:r>
      <w:r w:rsidRPr="001328C6">
        <w:rPr>
          <w:rFonts w:cs="Arial"/>
        </w:rPr>
        <w:t>nální umělecké tvorby (např. interpretační a výtvarné umění, umělecká řemesla, design, architektura, reklama) a sféru kulturních medií (např. film, televiz</w:t>
      </w:r>
      <w:r w:rsidR="001328C6">
        <w:rPr>
          <w:rFonts w:cs="Arial"/>
        </w:rPr>
        <w:t xml:space="preserve">e, rozhlas, vydávání videoher a tisk). Čtvrtou sféru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ač ne ryze kulturní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by mohly tvořit správní (režijní) činnosti (včetně ochrany autorských práv a podpory kultury), které jsou s kulturou – jako s každou jinou oblastí lidských aktivit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neoddělitelně spojeny a dále umělecké vzdělávání.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Samozřejmě nemalý význam mají i jiná členění kulturního sektoru. Evropská Komise člení kulturu v zásadě na kulturní sektor a kreativní sektor. Prvý tvoří oblast tradičního umění (výtvarné a interpretační umění, kulturní dědictví) a oblast kulturních průmyslů (film a video, televize a rozhlas, videohry, hudba, knihy a tisk), druhý – kre</w:t>
      </w:r>
      <w:r w:rsidR="00975D76" w:rsidRPr="001328C6">
        <w:rPr>
          <w:rFonts w:cs="Arial"/>
        </w:rPr>
        <w:t>ativní sektor tvoří oblast krea</w:t>
      </w:r>
      <w:r w:rsidRPr="001328C6">
        <w:rPr>
          <w:rFonts w:cs="Arial"/>
        </w:rPr>
        <w:t xml:space="preserve">tivních průmyslů (design, architektura a reklamní průmysl) </w:t>
      </w:r>
      <w:r w:rsidR="00975D76" w:rsidRPr="001328C6">
        <w:rPr>
          <w:rFonts w:cs="Arial"/>
        </w:rPr>
        <w:t>a oblast příbuzných odvětví (vý</w:t>
      </w:r>
      <w:r w:rsidRPr="001328C6">
        <w:rPr>
          <w:rFonts w:cs="Arial"/>
        </w:rPr>
        <w:t xml:space="preserve">roba PC, přehrávačů apod.). Jak dále uvidíme, toto členění má mimo jiné nemalý význam z pohledu uplatňování tržních vztahů v kultuře a v této souvislosti rozdílných ekonomických výsledků kulturních oblastí.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V souvislosti s vymezením kultury z pohledu účelu či času hovoř</w:t>
      </w:r>
      <w:r w:rsidR="009826B4" w:rsidRPr="001328C6">
        <w:rPr>
          <w:rFonts w:cs="Arial"/>
        </w:rPr>
        <w:t>íme o druhém rozměru kul</w:t>
      </w:r>
      <w:r w:rsidRPr="001328C6">
        <w:rPr>
          <w:rFonts w:cs="Arial"/>
        </w:rPr>
        <w:t xml:space="preserve">tury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kulturním cyklu. Ten představuje souhrn fází či etap členících kulturu (resp. její oblasti) na tvorbu či produkci, uchovávání hodnot, šíření kulturních služeb a statků, obchod s nimi, vzdělávání a spotřebu kulturní produkce. Průřezový charakter pojetí kulturního cyklu svým způsobem sektor kultury jako takový překračuje a zasahuje také do jiných odvětví či sfér lidských aktivit (např. vzdělávání, obchod).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Co se týče faktoru času, lze mezi kulturním cyklem a kulturními sférami (skupinami oblastí) nalézt určité styčné body. Zatímco cyklus lze připodobnit k</w:t>
      </w:r>
      <w:r w:rsidR="00975D76" w:rsidRPr="001328C6">
        <w:rPr>
          <w:rFonts w:cs="Arial"/>
        </w:rPr>
        <w:t xml:space="preserve"> momentálnímu řezu právě pro</w:t>
      </w:r>
      <w:r w:rsidRPr="001328C6">
        <w:rPr>
          <w:rFonts w:cs="Arial"/>
        </w:rPr>
        <w:t>bíhajícími kulturními aktivitami, tak sféry člení kulturu z p</w:t>
      </w:r>
      <w:r w:rsidR="00975D76" w:rsidRPr="001328C6">
        <w:rPr>
          <w:rFonts w:cs="Arial"/>
        </w:rPr>
        <w:t>ohledu času. S určitou mírou zo</w:t>
      </w:r>
      <w:r w:rsidRPr="001328C6">
        <w:rPr>
          <w:rFonts w:cs="Arial"/>
        </w:rPr>
        <w:t>becnění lze říci, že kulturní dědictví vychází z</w:t>
      </w:r>
      <w:r w:rsidR="00A40930">
        <w:rPr>
          <w:rFonts w:cs="Arial"/>
        </w:rPr>
        <w:t> </w:t>
      </w:r>
      <w:r w:rsidRPr="001328C6">
        <w:rPr>
          <w:rFonts w:cs="Arial"/>
        </w:rPr>
        <w:t>minulosti, živá tvorba produkující kulturní služby a statky spotřebovávané v daném čase a na daném místě se váže na přítomnost a média rozšiřující zmíněné služby a</w:t>
      </w:r>
      <w:r w:rsidR="00975D76" w:rsidRPr="001328C6">
        <w:rPr>
          <w:rFonts w:cs="Arial"/>
        </w:rPr>
        <w:t xml:space="preserve"> statky směřují do budoucnosti.</w:t>
      </w:r>
      <w:r w:rsidRPr="001328C6">
        <w:rPr>
          <w:rFonts w:cs="Arial"/>
        </w:rPr>
        <w:t xml:space="preserve">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Lze také říci, že výše uvedené čtyři sféry zároveň představují základní etapy kulturního cyklu (uchovávání kulturních hodnot, jejich tvorbu, šíření </w:t>
      </w:r>
      <w:r w:rsidR="00975D76" w:rsidRPr="001328C6">
        <w:rPr>
          <w:rFonts w:cs="Arial"/>
        </w:rPr>
        <w:t>kulturních služeb a statků, umě</w:t>
      </w:r>
      <w:r w:rsidRPr="001328C6">
        <w:rPr>
          <w:rFonts w:cs="Arial"/>
        </w:rPr>
        <w:t xml:space="preserve">lecké vzdělávání a související správní </w:t>
      </w:r>
      <w:r w:rsidRPr="001328C6">
        <w:rPr>
          <w:rFonts w:cs="Arial"/>
        </w:rPr>
        <w:lastRenderedPageBreak/>
        <w:t xml:space="preserve">činnosti).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Jak ukázaly již výsledky prvého zpracování kulturního účtu za rok 2009, z ekonomického pohledu se vine silná dělicí čára mezi tzv. „tradičními“ a „novými“ kulturními o</w:t>
      </w:r>
      <w:r w:rsidR="00975D76" w:rsidRPr="001328C6">
        <w:rPr>
          <w:rFonts w:cs="Arial"/>
        </w:rPr>
        <w:t>bory či odvět</w:t>
      </w:r>
      <w:r w:rsidRPr="001328C6">
        <w:rPr>
          <w:rFonts w:cs="Arial"/>
        </w:rPr>
        <w:t>vími. Mezi prvými lze uvést na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čelném místě celou sféru kulturního dědictví a dále část živé originální umělecké tvory (divadlo, soubory, festivaly, výstavní sály a kulturní domy a režijní činnosti v kultuře). Tyto aktivity v zásadě nejsou finančně soběstačné a směřuje k nim 50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60 % veřejných výdajů na kulturu. Naopak tomu je v pří</w:t>
      </w:r>
      <w:r w:rsidR="00975D76" w:rsidRPr="001328C6">
        <w:rPr>
          <w:rFonts w:cs="Arial"/>
        </w:rPr>
        <w:t>padě pořizování zvukových nahrá</w:t>
      </w:r>
      <w:r w:rsidRPr="001328C6">
        <w:rPr>
          <w:rFonts w:cs="Arial"/>
        </w:rPr>
        <w:t>vek, televizního a rozhlasového vysílání, výroby a distribuce</w:t>
      </w:r>
      <w:r w:rsidR="00975D76" w:rsidRPr="001328C6">
        <w:rPr>
          <w:rFonts w:cs="Arial"/>
        </w:rPr>
        <w:t xml:space="preserve"> audiovizuálních děl, tvorby vi</w:t>
      </w:r>
      <w:r w:rsidRPr="001328C6">
        <w:rPr>
          <w:rFonts w:cs="Arial"/>
        </w:rPr>
        <w:t xml:space="preserve">deoher, architektonických, návrhářských a reklamních činností. </w:t>
      </w:r>
    </w:p>
    <w:p w:rsidR="00D7626D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K otázce členění sektoru kultury je třeba dodat, že může bý</w:t>
      </w:r>
      <w:r w:rsidR="00975D76" w:rsidRPr="001328C6">
        <w:rPr>
          <w:rFonts w:cs="Arial"/>
        </w:rPr>
        <w:t>t různorodé. Pro jeho odpovídaj</w:t>
      </w:r>
      <w:r w:rsidRPr="001328C6">
        <w:rPr>
          <w:rFonts w:cs="Arial"/>
        </w:rPr>
        <w:t>ící postižení je podstatné získat potřebná data za co nejnižší části celku, kterým je kulturní sektor jako takový, tj. za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jednotlivé oblasti či poskytovatele </w:t>
      </w:r>
      <w:r w:rsidR="00975D76" w:rsidRPr="001328C6">
        <w:rPr>
          <w:rFonts w:cs="Arial"/>
        </w:rPr>
        <w:t>kulturních služeb. S jejich vyu</w:t>
      </w:r>
      <w:r w:rsidRPr="001328C6">
        <w:rPr>
          <w:rFonts w:cs="Arial"/>
        </w:rPr>
        <w:t xml:space="preserve">žitím lze uspokojit informační potřeby spojené s různým členěním kulturního sektoru. </w:t>
      </w:r>
      <w:r w:rsidR="00F17074" w:rsidRPr="001328C6">
        <w:rPr>
          <w:rFonts w:cs="Arial"/>
        </w:rPr>
        <w:t xml:space="preserve"> </w:t>
      </w:r>
    </w:p>
    <w:p w:rsidR="00D7626D" w:rsidRPr="001328C6" w:rsidRDefault="00DB6382" w:rsidP="006E4CC9">
      <w:pPr>
        <w:pStyle w:val="Nadpis2"/>
      </w:pPr>
      <w:bookmarkStart w:id="10" w:name="_Toc451166912"/>
      <w:bookmarkStart w:id="11" w:name="_Toc451166928"/>
      <w:bookmarkStart w:id="12" w:name="_Toc451175101"/>
      <w:bookmarkStart w:id="13" w:name="_Toc451180157"/>
      <w:bookmarkStart w:id="14" w:name="_Toc514772614"/>
      <w:r w:rsidRPr="001328C6">
        <w:t xml:space="preserve">1.2. </w:t>
      </w:r>
      <w:r w:rsidR="00D7626D" w:rsidRPr="001328C6">
        <w:t>Zdroje dat a související problémy</w:t>
      </w:r>
      <w:bookmarkEnd w:id="10"/>
      <w:bookmarkEnd w:id="11"/>
      <w:bookmarkEnd w:id="12"/>
      <w:bookmarkEnd w:id="13"/>
      <w:bookmarkEnd w:id="14"/>
      <w:r w:rsidR="00D7626D" w:rsidRPr="001328C6">
        <w:t xml:space="preserve">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K sestavení účtu kultury se využívají různorodá data z administrativních zdrojů i ze statistických zjišťování. Do prvé skupiny patří v prvé řadě údaje z veřejných rozpočtů (státní rozpočet a místní rozpočty). Také sem patří dostupné údaje na internetu, obsahující data o některých poskytovatelích kulturních služeb.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Druhou skupinu tvoří zejména data získaná šetřením v domácnostech (cestou tzv. rodinných účtů) a dále statistickým zjišťováním přímo u kulturních institucí (pod označením KULT). Šetření v domácnostech provádí ČSÚ, který šetří také držitele licencí rozhlasového a televizního vysílání. Data od naprosté většiny dalších kulturních institucí (poskytovatelů) sbírá pomocí výše zmíněného šetření KULT (MK) NIPOS. Některá data (zejména o zpravodajských agenturách, činnosti architektů, fotografické činnosti a činnosti reklamních agentur, maloobchodu atd. jsou získávána v rámci šetření tzv. podnikové statistiky ČSÚ (SBS). Ze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statistického zjišťování tohoto úřadu (NI 1-01) jsou získávána také data o neziskových institucích (včetně organizací ochrany autorských práv).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V referenčním roce 2014 byla v návaznosti na záměry Eurostatu a dle specifikace výrobků uměleckých řemesel provedené Národním ústavem lidové kultury zkvalitněna metodika kvantifikace obratu zahraničního obchodu s kulturními služ</w:t>
      </w:r>
      <w:r w:rsidR="001328C6" w:rsidRPr="001328C6">
        <w:rPr>
          <w:rFonts w:cs="Arial"/>
        </w:rPr>
        <w:t>bami a statky. O rok později do</w:t>
      </w:r>
      <w:r w:rsidRPr="001328C6">
        <w:rPr>
          <w:rFonts w:cs="Arial"/>
        </w:rPr>
        <w:t>šlo k významnému posunu v souvislosti s využitím nového zdroje dat charakterizujícího celkový rozsah živé práce vynaložené v kulturních aktivitách a to jak v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institucích s převažující kulturní činností, tak i mimo ně (Výběrové šetření pracovních sil).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Pro potřeby sestavení účtu se dále využívají různé doplňkové zdroje informací. Některé údaje o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zaměstnanosti lze čerpat ze statistiky práce a mezd a také z Registru ekonomických subjektů (počty pojištěnců). Uvedená zjišťování provádí ČSÚ, který také dodává makroekonomická data z národního účetnictví (zejména ve formě matice dodávek a užití).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Údaje o archivech má k dispozici MV ČR, některé informace o kinech Unie filmových distributorů atd.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Konečně informace o některých kulturních institucích a aktivitách nezahrnutých do pravidelných statistických šetření jsou zjišťována NIPOS u vybraných respondentů jednorázově formou tzv. doplňkových šetření (archivy, umělecká řemesla, amatérská divadla atd.).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Nutno dodat, že se na mapě statistického sledování sektoru kultury najdou ještě “bílá místa”. Některé činnosti prozatím nejsou statistickým zjiš</w:t>
      </w:r>
      <w:r w:rsidR="00A04B0F" w:rsidRPr="001328C6">
        <w:rPr>
          <w:rFonts w:cs="Arial"/>
        </w:rPr>
        <w:t>ťováním pokryty (např. archeolo</w:t>
      </w:r>
      <w:r w:rsidRPr="001328C6">
        <w:rPr>
          <w:rFonts w:cs="Arial"/>
        </w:rPr>
        <w:t>gická naleziště), zatímco jiné jsou pokryty jen částečně (např. umělecká řemesla). Ani v případě zahrnutí daných kulturních aktivit do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statistického zjišťování však není získání potřebných údajů snadné. Základní překážkou je vysoká míra </w:t>
      </w:r>
      <w:r w:rsidRPr="001328C6">
        <w:rPr>
          <w:rFonts w:cs="Arial"/>
        </w:rPr>
        <w:lastRenderedPageBreak/>
        <w:t>neodpovědí (nonresponse) a to zejména v případě ekonomických údajů, které jsou pro sestavení kulturního účtu ne</w:t>
      </w:r>
      <w:r w:rsidR="001328C6" w:rsidRPr="001328C6">
        <w:rPr>
          <w:rFonts w:cs="Arial"/>
        </w:rPr>
        <w:t>zbytnou podmínkou.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Získáním dat však nesnáze nekončí. Je třeba se vypořádat s problémy souvisejícími s klasifikacemi (NACE, COICOP, ISCO ). Údaje o kulturních činnostech jsou velmi často zahrnuty v agregovaných položkách s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jinými aktivitami. V případech, kdy nejsou, bývá z úsporných důvodů výběrový soubor šetření nedostatečně velký na to, aby bylo možno získat a dopočítávat výsledky v potřebném jemném členění (např. na čtyři místa NACE).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Jednou věcí je získat data (velmi často ne zcela úplná a „čistá“, popř. v jiném než</w:t>
      </w:r>
      <w:r w:rsidR="00A04B0F" w:rsidRPr="001328C6">
        <w:rPr>
          <w:rFonts w:cs="Arial"/>
        </w:rPr>
        <w:t xml:space="preserve"> potřeb</w:t>
      </w:r>
      <w:r w:rsidRPr="001328C6">
        <w:rPr>
          <w:rFonts w:cs="Arial"/>
        </w:rPr>
        <w:t>ném členění) a</w:t>
      </w:r>
      <w:r w:rsidR="00A40930">
        <w:rPr>
          <w:rFonts w:cs="Arial"/>
        </w:rPr>
        <w:t> </w:t>
      </w:r>
      <w:r w:rsidRPr="001328C6">
        <w:rPr>
          <w:rFonts w:cs="Arial"/>
        </w:rPr>
        <w:t>druhou získat je v potřebném či přijatelné</w:t>
      </w:r>
      <w:r w:rsidR="00A04B0F" w:rsidRPr="001328C6">
        <w:rPr>
          <w:rFonts w:cs="Arial"/>
        </w:rPr>
        <w:t>m časovém termínu. Data o veřej</w:t>
      </w:r>
      <w:r w:rsidRPr="001328C6">
        <w:rPr>
          <w:rFonts w:cs="Arial"/>
        </w:rPr>
        <w:t>ných výdajích jsou k dispozici zhruba pět měsíců, údaje o výdajích domácností osm a o podnicích či neziskových institucích až třináct měsíců po referenčním období. Podobné to je s dopočtenými údaji sbíranými od kulturních institucí (poskytovatelů). Nejpozději jsou dosažitelná data ze systému národního účetnictví (více než rok po</w:t>
      </w:r>
      <w:r w:rsidR="00A40930">
        <w:rPr>
          <w:rFonts w:cs="Arial"/>
        </w:rPr>
        <w:t> </w:t>
      </w:r>
      <w:r w:rsidRPr="001328C6">
        <w:rPr>
          <w:rFonts w:cs="Arial"/>
        </w:rPr>
        <w:t>referenčním období), která jsou navíc postupně zpřesňována. V porovnání s koncem referenčního období (roku) jsou proto výsledky účtu ku</w:t>
      </w:r>
      <w:r w:rsidR="001328C6" w:rsidRPr="001328C6">
        <w:rPr>
          <w:rFonts w:cs="Arial"/>
        </w:rPr>
        <w:t>ltury o cca 16 měsíců opožděny.</w:t>
      </w:r>
    </w:p>
    <w:p w:rsidR="0036184D" w:rsidRPr="00113B2D" w:rsidRDefault="00975D76" w:rsidP="00113B2D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Samozřejmě nemalé rozdíly jsou i v kvalitě informací. Vysokou věrohodnost lze předpokládat u dat týkajících se veřejných výdajů na kulturu, která vycházejí z čerpání státního rozpočtu. Problematičtější v tomto směru jsou všechny údaje zjištěné statistickým šetřením, ať už v domácnostech (rodinné účty, výběrové šetření pracovních sil), tak zejména specializovanými zjišťováními v kulturních institucích (výběrová statistická šetření KULT prováděná NIPOS a ČSÚ), dalšími šetřeními ČSÚ v podnicích a šetřeními doplňkovými. Kvalita těchto dat je ovlivněna všemi problematickými okolnostmi, počínaje úplností základního souboru respondentů, metodami sestavení výběrového souboru, mírou neodpovědí, úrovní dopočtů apod.</w:t>
      </w:r>
    </w:p>
    <w:sectPr w:rsidR="0036184D" w:rsidRPr="00113B2D" w:rsidSect="00113B2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7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2AD" w:rsidRDefault="00EA32AD" w:rsidP="00E71A58">
      <w:r>
        <w:separator/>
      </w:r>
    </w:p>
  </w:endnote>
  <w:endnote w:type="continuationSeparator" w:id="0">
    <w:p w:rsidR="00EA32AD" w:rsidRDefault="00EA32A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F85E8C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1.2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13B2D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F85E8C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Pr="00932443">
      <w:rPr>
        <w:szCs w:val="16"/>
      </w:rPr>
      <w:tab/>
    </w:r>
    <w:r>
      <w:rPr>
        <w:szCs w:val="16"/>
      </w:rPr>
      <w:tab/>
    </w:r>
    <w:r>
      <w:rPr>
        <w:rStyle w:val="ZpatChar"/>
        <w:szCs w:val="16"/>
      </w:rPr>
      <w:t>2016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13B2D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2AD" w:rsidRPr="00311229" w:rsidRDefault="00EA32AD" w:rsidP="00311229">
      <w:pPr>
        <w:pStyle w:val="Zpat"/>
      </w:pPr>
    </w:p>
  </w:footnote>
  <w:footnote w:type="continuationSeparator" w:id="0">
    <w:p w:rsidR="00EA32AD" w:rsidRPr="00311229" w:rsidRDefault="00EA32AD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1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12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13B2D"/>
    <w:rsid w:val="001205D8"/>
    <w:rsid w:val="0012192F"/>
    <w:rsid w:val="00125D69"/>
    <w:rsid w:val="001328C6"/>
    <w:rsid w:val="001405FA"/>
    <w:rsid w:val="001425C3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0986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47ADA"/>
    <w:rsid w:val="00954DD8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04B0F"/>
    <w:rsid w:val="00A10D66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06E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129F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AD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D8E4B-68B1-4742-8830-2C73257D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3</TotalTime>
  <Pages>5</Pages>
  <Words>2323</Words>
  <Characters>13711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2018-05-29T09:38:00Z</cp:lastPrinted>
  <dcterms:created xsi:type="dcterms:W3CDTF">2018-05-29T12:22:00Z</dcterms:created>
  <dcterms:modified xsi:type="dcterms:W3CDTF">2018-05-29T12:30:00Z</dcterms:modified>
</cp:coreProperties>
</file>