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365CF1" w:rsidRDefault="00451DCC" w:rsidP="00A76FEF">
      <w:pPr>
        <w:pStyle w:val="Nadpis1"/>
        <w:numPr>
          <w:ilvl w:val="0"/>
          <w:numId w:val="6"/>
        </w:numPr>
        <w:jc w:val="both"/>
        <w:rPr>
          <w:lang w:val="en-GB"/>
        </w:rPr>
      </w:pPr>
      <w:bookmarkStart w:id="0" w:name="_Toc446341882"/>
      <w:r w:rsidRPr="00365CF1">
        <w:rPr>
          <w:lang w:val="en-GB"/>
        </w:rPr>
        <w:t>Branches Performance</w:t>
      </w:r>
      <w:bookmarkEnd w:id="0"/>
    </w:p>
    <w:tbl>
      <w:tblPr>
        <w:tblW w:w="4999" w:type="pct"/>
        <w:tblCellMar>
          <w:left w:w="28" w:type="dxa"/>
          <w:right w:w="28" w:type="dxa"/>
        </w:tblCellMar>
        <w:tblLook w:val="04A0"/>
      </w:tblPr>
      <w:tblGrid>
        <w:gridCol w:w="2113"/>
        <w:gridCol w:w="281"/>
        <w:gridCol w:w="7298"/>
      </w:tblGrid>
      <w:tr w:rsidR="00905A11" w:rsidRPr="007E61CB" w:rsidTr="00611531">
        <w:tc>
          <w:tcPr>
            <w:tcW w:w="1090" w:type="pct"/>
          </w:tcPr>
          <w:p w:rsidR="00905A11" w:rsidRPr="00365CF1" w:rsidRDefault="00F266BD" w:rsidP="00611531">
            <w:pPr>
              <w:spacing w:line="240" w:lineRule="auto"/>
              <w:rPr>
                <w:color w:val="0D0D0D" w:themeColor="text1" w:themeTint="F2"/>
                <w:sz w:val="16"/>
                <w:szCs w:val="16"/>
                <w:lang w:val="en-GB"/>
              </w:rPr>
            </w:pPr>
            <w:r>
              <w:rPr>
                <w:color w:val="0D0D0D" w:themeColor="text1" w:themeTint="F2"/>
                <w:sz w:val="16"/>
                <w:szCs w:val="16"/>
                <w:lang w:val="en-GB"/>
              </w:rPr>
              <w:t>Y</w:t>
            </w:r>
            <w:r w:rsidR="00F441A1" w:rsidRPr="00365CF1">
              <w:rPr>
                <w:color w:val="0D0D0D" w:themeColor="text1" w:themeTint="F2"/>
                <w:sz w:val="16"/>
                <w:szCs w:val="16"/>
                <w:lang w:val="en-GB"/>
              </w:rPr>
              <w:t>ear-</w:t>
            </w:r>
            <w:r w:rsidR="000F2E58" w:rsidRPr="00365CF1">
              <w:rPr>
                <w:color w:val="0D0D0D" w:themeColor="text1" w:themeTint="F2"/>
                <w:sz w:val="16"/>
                <w:szCs w:val="16"/>
                <w:lang w:val="en-GB"/>
              </w:rPr>
              <w:t xml:space="preserve">on-year dynamics of GVA was </w:t>
            </w:r>
            <w:r>
              <w:rPr>
                <w:color w:val="0D0D0D" w:themeColor="text1" w:themeTint="F2"/>
                <w:sz w:val="16"/>
                <w:szCs w:val="16"/>
                <w:lang w:val="en-GB"/>
              </w:rPr>
              <w:t xml:space="preserve">the </w:t>
            </w:r>
            <w:r w:rsidR="000F2E58" w:rsidRPr="00365CF1">
              <w:rPr>
                <w:color w:val="0D0D0D" w:themeColor="text1" w:themeTint="F2"/>
                <w:sz w:val="16"/>
                <w:szCs w:val="16"/>
                <w:lang w:val="en-GB"/>
              </w:rPr>
              <w:t xml:space="preserve">highest in the last </w:t>
            </w:r>
            <w:r w:rsidR="009511A7">
              <w:rPr>
                <w:color w:val="0D0D0D" w:themeColor="text1" w:themeTint="F2"/>
                <w:sz w:val="16"/>
                <w:szCs w:val="16"/>
                <w:lang w:val="en-GB"/>
              </w:rPr>
              <w:t xml:space="preserve">eight </w:t>
            </w:r>
            <w:r w:rsidR="000F2E58" w:rsidRPr="00365CF1">
              <w:rPr>
                <w:color w:val="0D0D0D" w:themeColor="text1" w:themeTint="F2"/>
                <w:sz w:val="16"/>
                <w:szCs w:val="16"/>
                <w:lang w:val="en-GB"/>
              </w:rPr>
              <w:t xml:space="preserve">year in </w:t>
            </w:r>
            <w:r w:rsidR="00905A11" w:rsidRPr="00365CF1">
              <w:rPr>
                <w:color w:val="0D0D0D" w:themeColor="text1" w:themeTint="F2"/>
                <w:sz w:val="16"/>
                <w:szCs w:val="16"/>
                <w:lang w:val="en-GB"/>
              </w:rPr>
              <w:t xml:space="preserve">2015 </w:t>
            </w:r>
          </w:p>
          <w:p w:rsidR="00905A11" w:rsidRPr="00F266BD" w:rsidRDefault="00905A11" w:rsidP="00611531">
            <w:pPr>
              <w:spacing w:line="240" w:lineRule="auto"/>
              <w:rPr>
                <w:color w:val="0D0D0D" w:themeColor="text1" w:themeTint="F2"/>
                <w:sz w:val="14"/>
                <w:szCs w:val="14"/>
                <w:lang w:val="en-GB"/>
              </w:rPr>
            </w:pPr>
          </w:p>
          <w:p w:rsidR="00365CF1" w:rsidRPr="009511A7" w:rsidRDefault="000F2E58" w:rsidP="00365CF1">
            <w:pPr>
              <w:spacing w:line="240" w:lineRule="auto"/>
              <w:rPr>
                <w:color w:val="0D0D0D" w:themeColor="text1" w:themeTint="F2"/>
                <w:spacing w:val="-4"/>
                <w:sz w:val="16"/>
                <w:szCs w:val="16"/>
                <w:lang w:val="en-GB"/>
              </w:rPr>
            </w:pPr>
            <w:r w:rsidRPr="009511A7">
              <w:rPr>
                <w:color w:val="0D0D0D" w:themeColor="text1" w:themeTint="F2"/>
                <w:spacing w:val="-4"/>
                <w:sz w:val="16"/>
                <w:szCs w:val="16"/>
                <w:lang w:val="en-GB"/>
              </w:rPr>
              <w:t xml:space="preserve">Manufacturing pulled </w:t>
            </w:r>
            <w:r w:rsidR="00365CF1" w:rsidRPr="009511A7">
              <w:rPr>
                <w:color w:val="0D0D0D" w:themeColor="text1" w:themeTint="F2"/>
                <w:spacing w:val="-4"/>
                <w:sz w:val="16"/>
                <w:szCs w:val="16"/>
                <w:lang w:val="en-GB"/>
              </w:rPr>
              <w:t>the GVA growth</w:t>
            </w:r>
            <w:r w:rsidR="009511A7" w:rsidRPr="009511A7">
              <w:rPr>
                <w:color w:val="0D0D0D" w:themeColor="text1" w:themeTint="F2"/>
                <w:spacing w:val="-4"/>
                <w:sz w:val="16"/>
                <w:szCs w:val="16"/>
                <w:lang w:val="en-GB"/>
              </w:rPr>
              <w:t xml:space="preserve"> in the CR, however the cluster of branches</w:t>
            </w:r>
            <w:r w:rsidR="00365CF1" w:rsidRPr="009511A7">
              <w:rPr>
                <w:color w:val="0D0D0D" w:themeColor="text1" w:themeTint="F2"/>
                <w:spacing w:val="-4"/>
                <w:sz w:val="16"/>
                <w:szCs w:val="16"/>
                <w:lang w:val="en-GB"/>
              </w:rPr>
              <w:t xml:space="preserve"> </w:t>
            </w:r>
            <w:r w:rsidR="009511A7" w:rsidRPr="009511A7">
              <w:rPr>
                <w:color w:val="0D0D0D" w:themeColor="text1" w:themeTint="F2"/>
                <w:spacing w:val="-4"/>
                <w:sz w:val="16"/>
                <w:szCs w:val="16"/>
                <w:lang w:val="en-GB"/>
              </w:rPr>
              <w:t>“</w:t>
            </w:r>
            <w:r w:rsidR="00365CF1" w:rsidRPr="009511A7">
              <w:rPr>
                <w:color w:val="0D0D0D" w:themeColor="text1" w:themeTint="F2"/>
                <w:spacing w:val="-4"/>
                <w:sz w:val="16"/>
                <w:szCs w:val="16"/>
                <w:lang w:val="en-GB"/>
              </w:rPr>
              <w:t xml:space="preserve">trade, transportation, </w:t>
            </w:r>
            <w:proofErr w:type="spellStart"/>
            <w:r w:rsidR="00365CF1" w:rsidRPr="009511A7">
              <w:rPr>
                <w:color w:val="0D0D0D" w:themeColor="text1" w:themeTint="F2"/>
                <w:spacing w:val="-4"/>
                <w:sz w:val="16"/>
                <w:szCs w:val="16"/>
                <w:lang w:val="en-GB"/>
              </w:rPr>
              <w:t>accommoda</w:t>
            </w:r>
            <w:r w:rsidR="009511A7">
              <w:rPr>
                <w:color w:val="0D0D0D" w:themeColor="text1" w:themeTint="F2"/>
                <w:spacing w:val="-4"/>
                <w:sz w:val="16"/>
                <w:szCs w:val="16"/>
                <w:lang w:val="en-GB"/>
              </w:rPr>
              <w:t>-</w:t>
            </w:r>
            <w:r w:rsidR="00365CF1" w:rsidRPr="009511A7">
              <w:rPr>
                <w:color w:val="0D0D0D" w:themeColor="text1" w:themeTint="F2"/>
                <w:spacing w:val="-4"/>
                <w:sz w:val="16"/>
                <w:szCs w:val="16"/>
                <w:lang w:val="en-GB"/>
              </w:rPr>
              <w:t>tion</w:t>
            </w:r>
            <w:proofErr w:type="spellEnd"/>
            <w:r w:rsidR="00365CF1" w:rsidRPr="009511A7">
              <w:rPr>
                <w:color w:val="0D0D0D" w:themeColor="text1" w:themeTint="F2"/>
                <w:spacing w:val="-4"/>
                <w:sz w:val="16"/>
                <w:szCs w:val="16"/>
                <w:lang w:val="en-GB"/>
              </w:rPr>
              <w:t xml:space="preserve"> and food service activities</w:t>
            </w:r>
            <w:r w:rsidR="009511A7" w:rsidRPr="009511A7">
              <w:rPr>
                <w:color w:val="0D0D0D" w:themeColor="text1" w:themeTint="F2"/>
                <w:spacing w:val="-4"/>
                <w:sz w:val="16"/>
                <w:szCs w:val="16"/>
                <w:lang w:val="en-GB"/>
              </w:rPr>
              <w:t>” fulfils this role in the</w:t>
            </w:r>
            <w:r w:rsidR="00365CF1" w:rsidRPr="009511A7">
              <w:rPr>
                <w:color w:val="0D0D0D" w:themeColor="text1" w:themeTint="F2"/>
                <w:spacing w:val="-4"/>
                <w:sz w:val="16"/>
                <w:szCs w:val="16"/>
                <w:lang w:val="en-GB"/>
              </w:rPr>
              <w:t xml:space="preserve"> EU </w:t>
            </w:r>
          </w:p>
          <w:p w:rsidR="00905A11" w:rsidRPr="000B1183" w:rsidRDefault="00905A11" w:rsidP="00611531">
            <w:pPr>
              <w:spacing w:line="240" w:lineRule="auto"/>
              <w:rPr>
                <w:color w:val="0D0D0D" w:themeColor="text1" w:themeTint="F2"/>
                <w:sz w:val="12"/>
                <w:szCs w:val="12"/>
              </w:rPr>
            </w:pPr>
          </w:p>
        </w:tc>
        <w:tc>
          <w:tcPr>
            <w:tcW w:w="145" w:type="pct"/>
          </w:tcPr>
          <w:p w:rsidR="00905A11" w:rsidRDefault="00905A11" w:rsidP="00611531">
            <w:pPr>
              <w:pStyle w:val="Textpoznpodarou"/>
              <w:jc w:val="both"/>
            </w:pPr>
          </w:p>
        </w:tc>
        <w:tc>
          <w:tcPr>
            <w:tcW w:w="3765" w:type="pct"/>
          </w:tcPr>
          <w:p w:rsidR="00905A11" w:rsidRDefault="002363AE" w:rsidP="009511A7">
            <w:pPr>
              <w:pStyle w:val="Textpoznpodarou"/>
              <w:jc w:val="both"/>
              <w:rPr>
                <w:color w:val="0D0D0D" w:themeColor="text1" w:themeTint="F2"/>
                <w:lang w:val="en-GB"/>
              </w:rPr>
            </w:pPr>
            <w:r w:rsidRPr="000935D1">
              <w:rPr>
                <w:color w:val="0D0D0D" w:themeColor="text1" w:themeTint="F2"/>
                <w:lang w:val="en-GB"/>
              </w:rPr>
              <w:t>Very good condition of the CR was permeating</w:t>
            </w:r>
            <w:r w:rsidR="00EE539C" w:rsidRPr="000935D1">
              <w:rPr>
                <w:color w:val="0D0D0D" w:themeColor="text1" w:themeTint="F2"/>
                <w:lang w:val="en-GB"/>
              </w:rPr>
              <w:t xml:space="preserve"> into all key branches in </w:t>
            </w:r>
            <w:r w:rsidR="00905A11" w:rsidRPr="000935D1">
              <w:rPr>
                <w:color w:val="0D0D0D" w:themeColor="text1" w:themeTint="F2"/>
                <w:lang w:val="en-GB"/>
              </w:rPr>
              <w:t>2015</w:t>
            </w:r>
            <w:r w:rsidR="00905A11" w:rsidRPr="000935D1">
              <w:rPr>
                <w:lang w:val="en-GB"/>
              </w:rPr>
              <w:t>.</w:t>
            </w:r>
            <w:r w:rsidR="00EE539C" w:rsidRPr="000935D1">
              <w:rPr>
                <w:lang w:val="en-GB"/>
              </w:rPr>
              <w:t xml:space="preserve"> Gross value added </w:t>
            </w:r>
            <w:r w:rsidR="00905A11" w:rsidRPr="000935D1">
              <w:rPr>
                <w:color w:val="0D0D0D" w:themeColor="text1" w:themeTint="F2"/>
                <w:lang w:val="en-GB"/>
              </w:rPr>
              <w:t>(</w:t>
            </w:r>
            <w:r w:rsidR="00EE539C" w:rsidRPr="000935D1">
              <w:rPr>
                <w:color w:val="0D0D0D" w:themeColor="text1" w:themeTint="F2"/>
                <w:lang w:val="en-GB"/>
              </w:rPr>
              <w:t>GVA</w:t>
            </w:r>
            <w:r w:rsidR="00905A11" w:rsidRPr="000935D1">
              <w:rPr>
                <w:color w:val="0D0D0D" w:themeColor="text1" w:themeTint="F2"/>
                <w:lang w:val="en-GB"/>
              </w:rPr>
              <w:t>)</w:t>
            </w:r>
            <w:r w:rsidR="00905A11" w:rsidRPr="000935D1">
              <w:rPr>
                <w:rStyle w:val="Znakapoznpodarou"/>
                <w:color w:val="0D0D0D" w:themeColor="text1" w:themeTint="F2"/>
                <w:lang w:val="en-GB"/>
              </w:rPr>
              <w:footnoteReference w:id="1"/>
            </w:r>
            <w:r w:rsidR="00905A11" w:rsidRPr="000935D1">
              <w:rPr>
                <w:color w:val="0D0D0D" w:themeColor="text1" w:themeTint="F2"/>
                <w:lang w:val="en-GB"/>
              </w:rPr>
              <w:t xml:space="preserve"> </w:t>
            </w:r>
            <w:r w:rsidR="00EE539C" w:rsidRPr="000935D1">
              <w:rPr>
                <w:color w:val="0D0D0D" w:themeColor="text1" w:themeTint="F2"/>
                <w:lang w:val="en-GB"/>
              </w:rPr>
              <w:t>continued in its quarter-on-quarter</w:t>
            </w:r>
            <w:r w:rsidR="000935D1" w:rsidRPr="000935D1">
              <w:rPr>
                <w:color w:val="0D0D0D" w:themeColor="text1" w:themeTint="F2"/>
                <w:lang w:val="en-GB"/>
              </w:rPr>
              <w:t xml:space="preserve"> growth already eleven quarters in a row (longer than in the period of short-term revival following the deep recession in 2009</w:t>
            </w:r>
            <w:r w:rsidR="009511A7">
              <w:rPr>
                <w:color w:val="0D0D0D" w:themeColor="text1" w:themeTint="F2"/>
                <w:lang w:val="en-GB"/>
              </w:rPr>
              <w:t>)</w:t>
            </w:r>
            <w:r w:rsidR="000935D1" w:rsidRPr="000935D1">
              <w:rPr>
                <w:color w:val="0D0D0D" w:themeColor="text1" w:themeTint="F2"/>
                <w:lang w:val="en-GB"/>
              </w:rPr>
              <w:t xml:space="preserve">. Year-on-year GVA dynamics </w:t>
            </w:r>
            <w:r w:rsidR="00905A11" w:rsidRPr="000935D1">
              <w:rPr>
                <w:color w:val="0D0D0D" w:themeColor="text1" w:themeTint="F2"/>
                <w:lang w:val="en-GB"/>
              </w:rPr>
              <w:t>(+3</w:t>
            </w:r>
            <w:r w:rsidR="000935D1" w:rsidRPr="000935D1">
              <w:rPr>
                <w:color w:val="0D0D0D" w:themeColor="text1" w:themeTint="F2"/>
                <w:lang w:val="en-GB"/>
              </w:rPr>
              <w:t>.</w:t>
            </w:r>
            <w:r w:rsidR="005E1859">
              <w:rPr>
                <w:color w:val="0D0D0D" w:themeColor="text1" w:themeTint="F2"/>
                <w:lang w:val="en-GB"/>
              </w:rPr>
              <w:t>8</w:t>
            </w:r>
            <w:r w:rsidR="00905A11" w:rsidRPr="000935D1">
              <w:rPr>
                <w:color w:val="0D0D0D" w:themeColor="text1" w:themeTint="F2"/>
                <w:lang w:val="en-GB"/>
              </w:rPr>
              <w:t xml:space="preserve">%) </w:t>
            </w:r>
            <w:r w:rsidR="000935D1" w:rsidRPr="000935D1">
              <w:rPr>
                <w:color w:val="0D0D0D" w:themeColor="text1" w:themeTint="F2"/>
                <w:lang w:val="en-GB"/>
              </w:rPr>
              <w:t xml:space="preserve">was the highest since </w:t>
            </w:r>
            <w:r w:rsidR="00905A11" w:rsidRPr="000935D1">
              <w:rPr>
                <w:color w:val="0D0D0D" w:themeColor="text1" w:themeTint="F2"/>
                <w:lang w:val="en-GB"/>
              </w:rPr>
              <w:t xml:space="preserve">2007. </w:t>
            </w:r>
            <w:r w:rsidR="000935D1" w:rsidRPr="000935D1">
              <w:rPr>
                <w:color w:val="0D0D0D" w:themeColor="text1" w:themeTint="F2"/>
                <w:lang w:val="en-GB"/>
              </w:rPr>
              <w:t>Manufacturing kept the key role similarly to th</w:t>
            </w:r>
            <w:r w:rsidR="00DE3A72">
              <w:rPr>
                <w:color w:val="0D0D0D" w:themeColor="text1" w:themeTint="F2"/>
                <w:lang w:val="en-GB"/>
              </w:rPr>
              <w:t>e preceding year, contributing</w:t>
            </w:r>
            <w:r w:rsidR="000935D1" w:rsidRPr="000935D1">
              <w:rPr>
                <w:color w:val="0D0D0D" w:themeColor="text1" w:themeTint="F2"/>
                <w:lang w:val="en-GB"/>
              </w:rPr>
              <w:t xml:space="preserve"> one half to the </w:t>
            </w:r>
            <w:r w:rsidR="009511A7">
              <w:rPr>
                <w:color w:val="0D0D0D" w:themeColor="text1" w:themeTint="F2"/>
                <w:lang w:val="en-GB"/>
              </w:rPr>
              <w:t>total GVA growth</w:t>
            </w:r>
            <w:r w:rsidR="000935D1" w:rsidRPr="000935D1">
              <w:rPr>
                <w:color w:val="0D0D0D" w:themeColor="text1" w:themeTint="F2"/>
                <w:lang w:val="en-GB"/>
              </w:rPr>
              <w:t xml:space="preserve">, all main groups of services then contributed quite equally (with a mild dominance of the branch trade, </w:t>
            </w:r>
            <w:r w:rsidR="000935D1">
              <w:rPr>
                <w:color w:val="0D0D0D" w:themeColor="text1" w:themeTint="F2"/>
                <w:lang w:val="en-GB"/>
              </w:rPr>
              <w:t>t</w:t>
            </w:r>
            <w:r w:rsidR="000935D1" w:rsidRPr="000935D1">
              <w:rPr>
                <w:color w:val="0D0D0D" w:themeColor="text1" w:themeTint="F2"/>
                <w:lang w:val="en-GB"/>
              </w:rPr>
              <w:t>ransportation, accommodation and food service activities</w:t>
            </w:r>
            <w:r w:rsidR="00905A11" w:rsidRPr="000935D1">
              <w:rPr>
                <w:color w:val="0D0D0D" w:themeColor="text1" w:themeTint="F2"/>
                <w:lang w:val="en-GB"/>
              </w:rPr>
              <w:t xml:space="preserve">). </w:t>
            </w:r>
          </w:p>
          <w:p w:rsidR="00532E6C" w:rsidRPr="00532E6C" w:rsidRDefault="00532E6C" w:rsidP="009511A7">
            <w:pPr>
              <w:pStyle w:val="Textpoznpodarou"/>
              <w:jc w:val="both"/>
              <w:rPr>
                <w:spacing w:val="-4"/>
                <w:sz w:val="14"/>
                <w:szCs w:val="14"/>
              </w:rPr>
            </w:pPr>
          </w:p>
        </w:tc>
      </w:tr>
      <w:tr w:rsidR="00905A11" w:rsidRPr="00A51B62" w:rsidTr="00611531">
        <w:tc>
          <w:tcPr>
            <w:tcW w:w="1090" w:type="pct"/>
          </w:tcPr>
          <w:p w:rsidR="00905A11" w:rsidRPr="00197D35" w:rsidRDefault="00197D35" w:rsidP="00611531">
            <w:pPr>
              <w:spacing w:line="240" w:lineRule="auto"/>
              <w:rPr>
                <w:color w:val="0D0D0D" w:themeColor="text1" w:themeTint="F2"/>
                <w:sz w:val="16"/>
                <w:szCs w:val="16"/>
                <w:lang w:val="en-GB"/>
              </w:rPr>
            </w:pPr>
            <w:r w:rsidRPr="00197D35">
              <w:rPr>
                <w:color w:val="0D0D0D" w:themeColor="text1" w:themeTint="F2"/>
                <w:sz w:val="16"/>
                <w:szCs w:val="16"/>
                <w:lang w:val="en-GB"/>
              </w:rPr>
              <w:t>Value added grew compared to the whole economy by a nearly d</w:t>
            </w:r>
            <w:r w:rsidR="00784442">
              <w:rPr>
                <w:color w:val="0D0D0D" w:themeColor="text1" w:themeTint="F2"/>
                <w:sz w:val="16"/>
                <w:szCs w:val="16"/>
                <w:lang w:val="en-GB"/>
              </w:rPr>
              <w:t>ouble pace in the mostly export-</w:t>
            </w:r>
            <w:r w:rsidRPr="00197D35">
              <w:rPr>
                <w:color w:val="0D0D0D" w:themeColor="text1" w:themeTint="F2"/>
                <w:sz w:val="16"/>
                <w:szCs w:val="16"/>
                <w:lang w:val="en-GB"/>
              </w:rPr>
              <w:t xml:space="preserve">oriented manufacturing (similarly to last year </w:t>
            </w:r>
            <w:r w:rsidR="00E74100">
              <w:rPr>
                <w:color w:val="0D0D0D" w:themeColor="text1" w:themeTint="F2"/>
                <w:sz w:val="16"/>
                <w:szCs w:val="16"/>
                <w:lang w:val="en-GB"/>
              </w:rPr>
              <w:t>)</w:t>
            </w:r>
          </w:p>
          <w:p w:rsidR="00905A11" w:rsidRPr="000A4ACC" w:rsidRDefault="00905A11" w:rsidP="00611531">
            <w:pPr>
              <w:spacing w:line="240" w:lineRule="auto"/>
              <w:rPr>
                <w:spacing w:val="-2"/>
                <w:sz w:val="16"/>
                <w:szCs w:val="16"/>
              </w:rPr>
            </w:pPr>
          </w:p>
        </w:tc>
        <w:tc>
          <w:tcPr>
            <w:tcW w:w="145" w:type="pct"/>
          </w:tcPr>
          <w:p w:rsidR="00905A11" w:rsidRDefault="00905A11" w:rsidP="00611531">
            <w:pPr>
              <w:pStyle w:val="Textpoznpodarou"/>
              <w:jc w:val="both"/>
            </w:pPr>
          </w:p>
        </w:tc>
        <w:tc>
          <w:tcPr>
            <w:tcW w:w="3765" w:type="pct"/>
          </w:tcPr>
          <w:p w:rsidR="00905A11" w:rsidRPr="0079008B" w:rsidRDefault="00486D82" w:rsidP="00611531">
            <w:pPr>
              <w:pStyle w:val="Textpoznpodarou"/>
              <w:jc w:val="both"/>
              <w:rPr>
                <w:spacing w:val="-2"/>
                <w:lang w:val="en-GB"/>
              </w:rPr>
            </w:pPr>
            <w:r w:rsidRPr="0079008B">
              <w:rPr>
                <w:spacing w:val="-2"/>
                <w:lang w:val="en-GB"/>
              </w:rPr>
              <w:t>The value adde</w:t>
            </w:r>
            <w:r w:rsidR="005E1859" w:rsidRPr="0079008B">
              <w:rPr>
                <w:spacing w:val="-2"/>
                <w:lang w:val="en-GB"/>
              </w:rPr>
              <w:t>d further accelerated up to 8.9</w:t>
            </w:r>
            <w:r w:rsidRPr="0079008B">
              <w:rPr>
                <w:spacing w:val="-2"/>
                <w:lang w:val="en-GB"/>
              </w:rPr>
              <w:t>% in the manufacturing in the first three quart</w:t>
            </w:r>
            <w:r w:rsidR="005E1859" w:rsidRPr="0079008B">
              <w:rPr>
                <w:spacing w:val="-2"/>
                <w:lang w:val="en-GB"/>
              </w:rPr>
              <w:t>ers of the year, it grew by 6.6</w:t>
            </w:r>
            <w:r w:rsidRPr="0079008B">
              <w:rPr>
                <w:spacing w:val="-2"/>
                <w:lang w:val="en-GB"/>
              </w:rPr>
              <w:t xml:space="preserve">% at the end of the year </w:t>
            </w:r>
            <w:r w:rsidR="00905A11" w:rsidRPr="0079008B">
              <w:rPr>
                <w:spacing w:val="-2"/>
                <w:lang w:val="en-GB"/>
              </w:rPr>
              <w:t>(</w:t>
            </w:r>
            <w:r w:rsidRPr="0079008B">
              <w:rPr>
                <w:spacing w:val="-2"/>
                <w:lang w:val="en-GB"/>
              </w:rPr>
              <w:t>against a high last year’s basis</w:t>
            </w:r>
            <w:r w:rsidR="00905A11" w:rsidRPr="0079008B">
              <w:rPr>
                <w:spacing w:val="-2"/>
                <w:lang w:val="en-GB"/>
              </w:rPr>
              <w:t xml:space="preserve">). </w:t>
            </w:r>
            <w:r w:rsidRPr="0079008B">
              <w:rPr>
                <w:spacing w:val="-2"/>
                <w:lang w:val="en-GB"/>
              </w:rPr>
              <w:t>T</w:t>
            </w:r>
            <w:r w:rsidR="005E1859" w:rsidRPr="0079008B">
              <w:rPr>
                <w:spacing w:val="-2"/>
                <w:lang w:val="en-GB"/>
              </w:rPr>
              <w:t>otal employment was by nearly 2</w:t>
            </w:r>
            <w:r w:rsidR="00621B50" w:rsidRPr="0079008B">
              <w:rPr>
                <w:spacing w:val="-2"/>
                <w:lang w:val="en-GB"/>
              </w:rPr>
              <w:t>% higher in 2015, similar dynamics occurred</w:t>
            </w:r>
            <w:r w:rsidRPr="0079008B">
              <w:rPr>
                <w:spacing w:val="-2"/>
                <w:lang w:val="en-GB"/>
              </w:rPr>
              <w:t xml:space="preserve"> </w:t>
            </w:r>
            <w:r w:rsidR="00621B50" w:rsidRPr="0079008B">
              <w:rPr>
                <w:spacing w:val="-2"/>
                <w:lang w:val="en-GB"/>
              </w:rPr>
              <w:t xml:space="preserve">in </w:t>
            </w:r>
            <w:r w:rsidRPr="0079008B">
              <w:rPr>
                <w:spacing w:val="-2"/>
                <w:lang w:val="en-GB"/>
              </w:rPr>
              <w:t xml:space="preserve">the previous year. However, the rate of growth of the hours worked doubled – to </w:t>
            </w:r>
            <w:r w:rsidR="005E1859" w:rsidRPr="0079008B">
              <w:rPr>
                <w:spacing w:val="-2"/>
                <w:lang w:val="en-GB"/>
              </w:rPr>
              <w:t>4</w:t>
            </w:r>
            <w:r w:rsidR="00377200" w:rsidRPr="0079008B">
              <w:rPr>
                <w:spacing w:val="-2"/>
                <w:lang w:val="en-GB"/>
              </w:rPr>
              <w:t>% (</w:t>
            </w:r>
            <w:r w:rsidR="00A01528" w:rsidRPr="0079008B">
              <w:rPr>
                <w:spacing w:val="-2"/>
                <w:lang w:val="en-GB"/>
              </w:rPr>
              <w:t xml:space="preserve">in addition </w:t>
            </w:r>
            <w:r w:rsidR="005E1859" w:rsidRPr="0079008B">
              <w:rPr>
                <w:spacing w:val="-2"/>
                <w:lang w:val="en-GB"/>
              </w:rPr>
              <w:t>there was worked even by 8.2</w:t>
            </w:r>
            <w:r w:rsidR="00AE0C0C" w:rsidRPr="0079008B">
              <w:rPr>
                <w:spacing w:val="-2"/>
                <w:lang w:val="en-GB"/>
              </w:rPr>
              <w:t>% hours more year-on-year in Q4 itself)</w:t>
            </w:r>
            <w:r w:rsidR="00905A11" w:rsidRPr="0079008B">
              <w:rPr>
                <w:spacing w:val="-2"/>
                <w:lang w:val="en-GB"/>
              </w:rPr>
              <w:t>.</w:t>
            </w:r>
            <w:r w:rsidR="00AE0C0C" w:rsidRPr="0079008B">
              <w:rPr>
                <w:spacing w:val="-2"/>
                <w:lang w:val="en-GB"/>
              </w:rPr>
              <w:t xml:space="preserve"> Construction also continued in the success from the previous year, its GVA accelerated during 2015 </w:t>
            </w:r>
            <w:r w:rsidR="009867BC" w:rsidRPr="0079008B">
              <w:rPr>
                <w:spacing w:val="-2"/>
              </w:rPr>
              <w:t>(</w:t>
            </w:r>
            <w:r w:rsidR="00AE0C0C" w:rsidRPr="0079008B">
              <w:rPr>
                <w:spacing w:val="-2"/>
              </w:rPr>
              <w:t xml:space="preserve">up to </w:t>
            </w:r>
            <w:r w:rsidR="009867BC" w:rsidRPr="0079008B">
              <w:rPr>
                <w:spacing w:val="-2"/>
              </w:rPr>
              <w:t>4</w:t>
            </w:r>
            <w:r w:rsidR="00AE0C0C" w:rsidRPr="0079008B">
              <w:rPr>
                <w:spacing w:val="-2"/>
              </w:rPr>
              <w:t>.</w:t>
            </w:r>
            <w:r w:rsidR="005E1859" w:rsidRPr="0079008B">
              <w:rPr>
                <w:spacing w:val="-2"/>
              </w:rPr>
              <w:t>7</w:t>
            </w:r>
            <w:r w:rsidR="009867BC" w:rsidRPr="0079008B">
              <w:rPr>
                <w:spacing w:val="-2"/>
              </w:rPr>
              <w:t xml:space="preserve">% </w:t>
            </w:r>
            <w:r w:rsidR="00AE0C0C" w:rsidRPr="0079008B">
              <w:rPr>
                <w:spacing w:val="-2"/>
              </w:rPr>
              <w:t>in Q</w:t>
            </w:r>
            <w:r w:rsidR="009867BC" w:rsidRPr="0079008B">
              <w:rPr>
                <w:spacing w:val="-2"/>
              </w:rPr>
              <w:t>4</w:t>
            </w:r>
            <w:r w:rsidR="00905A11" w:rsidRPr="0079008B">
              <w:rPr>
                <w:spacing w:val="-2"/>
              </w:rPr>
              <w:t xml:space="preserve">), </w:t>
            </w:r>
            <w:r w:rsidR="00AE0C0C" w:rsidRPr="0079008B">
              <w:rPr>
                <w:spacing w:val="-2"/>
                <w:lang w:val="en-GB"/>
              </w:rPr>
              <w:t>similarly to the hours worked of its employees</w:t>
            </w:r>
            <w:r w:rsidR="00702682" w:rsidRPr="0079008B">
              <w:rPr>
                <w:spacing w:val="-2"/>
                <w:lang w:val="en-GB"/>
              </w:rPr>
              <w:t xml:space="preserve">. The GVA in fact stagnated after the high last year’s growth </w:t>
            </w:r>
            <w:r w:rsidR="00905A11" w:rsidRPr="0079008B">
              <w:rPr>
                <w:spacing w:val="-2"/>
                <w:lang w:val="en-GB"/>
              </w:rPr>
              <w:t>(+5</w:t>
            </w:r>
            <w:r w:rsidR="00702682" w:rsidRPr="0079008B">
              <w:rPr>
                <w:spacing w:val="-2"/>
                <w:lang w:val="en-GB"/>
              </w:rPr>
              <w:t>.</w:t>
            </w:r>
            <w:r w:rsidR="005E1859" w:rsidRPr="0079008B">
              <w:rPr>
                <w:spacing w:val="-2"/>
                <w:lang w:val="en-GB"/>
              </w:rPr>
              <w:t>9</w:t>
            </w:r>
            <w:r w:rsidR="00905A11" w:rsidRPr="0079008B">
              <w:rPr>
                <w:spacing w:val="-2"/>
                <w:lang w:val="en-GB"/>
              </w:rPr>
              <w:t>%)</w:t>
            </w:r>
            <w:r w:rsidR="00702682" w:rsidRPr="0079008B">
              <w:rPr>
                <w:spacing w:val="-2"/>
                <w:lang w:val="en-GB"/>
              </w:rPr>
              <w:t xml:space="preserve"> in the grouping of </w:t>
            </w:r>
            <w:r w:rsidR="008B1C17" w:rsidRPr="0079008B">
              <w:rPr>
                <w:spacing w:val="-2"/>
                <w:lang w:val="en-GB"/>
              </w:rPr>
              <w:t>agriculture</w:t>
            </w:r>
            <w:r w:rsidR="00702682" w:rsidRPr="0079008B">
              <w:rPr>
                <w:spacing w:val="-2"/>
                <w:lang w:val="en-GB"/>
              </w:rPr>
              <w:t xml:space="preserve">, forestry and fishing. The long lasting droughts lowered especially the harvest of </w:t>
            </w:r>
            <w:r w:rsidR="008B1C17" w:rsidRPr="0079008B">
              <w:rPr>
                <w:spacing w:val="-2"/>
                <w:lang w:val="en-GB"/>
              </w:rPr>
              <w:t>fodder crops, potatoes or vegetables</w:t>
            </w:r>
            <w:r w:rsidR="00905A11" w:rsidRPr="0079008B">
              <w:rPr>
                <w:spacing w:val="-2"/>
                <w:lang w:val="en-GB"/>
              </w:rPr>
              <w:t xml:space="preserve">. </w:t>
            </w:r>
          </w:p>
          <w:p w:rsidR="00905A11" w:rsidRPr="00532E6C" w:rsidRDefault="00905A11" w:rsidP="00611531">
            <w:pPr>
              <w:pStyle w:val="Textpoznpodarou"/>
              <w:jc w:val="both"/>
              <w:rPr>
                <w:spacing w:val="-4"/>
                <w:sz w:val="14"/>
                <w:szCs w:val="14"/>
              </w:rPr>
            </w:pPr>
          </w:p>
        </w:tc>
      </w:tr>
      <w:tr w:rsidR="00905A11" w:rsidTr="00611531">
        <w:tc>
          <w:tcPr>
            <w:tcW w:w="1090" w:type="pct"/>
          </w:tcPr>
          <w:p w:rsidR="00905A11" w:rsidRPr="0021030B" w:rsidRDefault="0021030B" w:rsidP="00611531">
            <w:pPr>
              <w:spacing w:line="240" w:lineRule="auto"/>
              <w:rPr>
                <w:sz w:val="16"/>
                <w:szCs w:val="16"/>
                <w:lang w:val="en-GB"/>
              </w:rPr>
            </w:pPr>
            <w:r w:rsidRPr="0021030B">
              <w:rPr>
                <w:sz w:val="16"/>
                <w:szCs w:val="16"/>
                <w:lang w:val="en-GB"/>
              </w:rPr>
              <w:t xml:space="preserve">Among services, </w:t>
            </w:r>
            <w:r w:rsidR="00E16594">
              <w:rPr>
                <w:sz w:val="16"/>
                <w:szCs w:val="16"/>
                <w:lang w:val="en-GB"/>
              </w:rPr>
              <w:t xml:space="preserve">GVA grew </w:t>
            </w:r>
            <w:r w:rsidRPr="0021030B">
              <w:rPr>
                <w:sz w:val="16"/>
                <w:szCs w:val="16"/>
                <w:lang w:val="en-GB"/>
              </w:rPr>
              <w:t xml:space="preserve">the most in information and communication activities </w:t>
            </w:r>
          </w:p>
          <w:p w:rsidR="00905A11" w:rsidRPr="0021030B" w:rsidRDefault="00905A11" w:rsidP="00611531">
            <w:pPr>
              <w:spacing w:line="240" w:lineRule="auto"/>
              <w:rPr>
                <w:sz w:val="16"/>
                <w:szCs w:val="16"/>
                <w:lang w:val="en-GB"/>
              </w:rPr>
            </w:pPr>
          </w:p>
          <w:p w:rsidR="00905A11" w:rsidRPr="0021030B" w:rsidRDefault="00905A11" w:rsidP="00611531">
            <w:pPr>
              <w:spacing w:line="240" w:lineRule="auto"/>
              <w:rPr>
                <w:sz w:val="16"/>
                <w:szCs w:val="16"/>
                <w:lang w:val="en-GB"/>
              </w:rPr>
            </w:pPr>
          </w:p>
          <w:p w:rsidR="00905A11" w:rsidRPr="0021030B" w:rsidRDefault="00905A11" w:rsidP="00611531">
            <w:pPr>
              <w:spacing w:line="240" w:lineRule="auto"/>
              <w:rPr>
                <w:sz w:val="16"/>
                <w:szCs w:val="16"/>
                <w:lang w:val="en-GB"/>
              </w:rPr>
            </w:pPr>
          </w:p>
          <w:p w:rsidR="00905A11" w:rsidRPr="0021030B" w:rsidRDefault="0021030B" w:rsidP="00611531">
            <w:pPr>
              <w:spacing w:line="240" w:lineRule="auto"/>
              <w:rPr>
                <w:color w:val="000000" w:themeColor="text1"/>
                <w:sz w:val="16"/>
                <w:szCs w:val="16"/>
                <w:lang w:val="en-GB"/>
              </w:rPr>
            </w:pPr>
            <w:r w:rsidRPr="0021030B">
              <w:rPr>
                <w:color w:val="000000" w:themeColor="text1"/>
                <w:sz w:val="16"/>
                <w:szCs w:val="16"/>
                <w:lang w:val="en-GB"/>
              </w:rPr>
              <w:t xml:space="preserve">Cost pressures due to strong competition most likely prevent </w:t>
            </w:r>
            <w:r w:rsidR="00E16594" w:rsidRPr="00E16594">
              <w:rPr>
                <w:color w:val="000000" w:themeColor="text1"/>
                <w:sz w:val="16"/>
                <w:szCs w:val="16"/>
                <w:lang w:val="en-GB"/>
              </w:rPr>
              <w:t xml:space="preserve">creation </w:t>
            </w:r>
            <w:r w:rsidRPr="0021030B">
              <w:rPr>
                <w:color w:val="000000" w:themeColor="text1"/>
                <w:sz w:val="16"/>
                <w:szCs w:val="16"/>
                <w:lang w:val="en-GB"/>
              </w:rPr>
              <w:t xml:space="preserve">of new job vacancies in the </w:t>
            </w:r>
            <w:r w:rsidR="00E74100">
              <w:rPr>
                <w:color w:val="000000" w:themeColor="text1"/>
                <w:sz w:val="16"/>
                <w:szCs w:val="16"/>
                <w:lang w:val="en-GB"/>
              </w:rPr>
              <w:t>f</w:t>
            </w:r>
            <w:r w:rsidRPr="0021030B">
              <w:rPr>
                <w:color w:val="000000" w:themeColor="text1"/>
                <w:sz w:val="16"/>
                <w:szCs w:val="16"/>
                <w:lang w:val="en-GB"/>
              </w:rPr>
              <w:t xml:space="preserve">inancial sector </w:t>
            </w:r>
            <w:r w:rsidR="00905A11" w:rsidRPr="0021030B">
              <w:rPr>
                <w:color w:val="000000" w:themeColor="text1"/>
                <w:sz w:val="16"/>
                <w:szCs w:val="16"/>
                <w:lang w:val="en-GB"/>
              </w:rPr>
              <w:t xml:space="preserve"> </w:t>
            </w:r>
          </w:p>
          <w:p w:rsidR="00905A11" w:rsidRPr="00DA1318" w:rsidRDefault="00905A11" w:rsidP="00611531">
            <w:pPr>
              <w:spacing w:line="240" w:lineRule="auto"/>
              <w:rPr>
                <w:sz w:val="16"/>
                <w:szCs w:val="16"/>
              </w:rPr>
            </w:pPr>
            <w:r>
              <w:rPr>
                <w:sz w:val="16"/>
                <w:szCs w:val="16"/>
              </w:rPr>
              <w:t xml:space="preserve"> </w:t>
            </w:r>
          </w:p>
        </w:tc>
        <w:tc>
          <w:tcPr>
            <w:tcW w:w="145" w:type="pct"/>
          </w:tcPr>
          <w:p w:rsidR="00905A11" w:rsidRDefault="00905A11" w:rsidP="00611531">
            <w:pPr>
              <w:pStyle w:val="Textpoznpodarou"/>
              <w:jc w:val="both"/>
              <w:rPr>
                <w:spacing w:val="-2"/>
              </w:rPr>
            </w:pPr>
          </w:p>
        </w:tc>
        <w:tc>
          <w:tcPr>
            <w:tcW w:w="3765" w:type="pct"/>
          </w:tcPr>
          <w:p w:rsidR="00905A11" w:rsidRPr="001B639E" w:rsidRDefault="0021030B" w:rsidP="00611531">
            <w:pPr>
              <w:pStyle w:val="Textpoznpodarou"/>
              <w:jc w:val="both"/>
              <w:rPr>
                <w:color w:val="0D0D0D" w:themeColor="text1" w:themeTint="F2"/>
                <w:spacing w:val="-2"/>
                <w:lang w:val="en-GB"/>
              </w:rPr>
            </w:pPr>
            <w:r w:rsidRPr="001B639E">
              <w:rPr>
                <w:color w:val="0D0D0D" w:themeColor="text1" w:themeTint="F2"/>
                <w:spacing w:val="-2"/>
                <w:lang w:val="en-GB"/>
              </w:rPr>
              <w:t>The GVA</w:t>
            </w:r>
            <w:r w:rsidR="005E1859">
              <w:rPr>
                <w:color w:val="0D0D0D" w:themeColor="text1" w:themeTint="F2"/>
                <w:spacing w:val="-2"/>
                <w:lang w:val="en-GB"/>
              </w:rPr>
              <w:t xml:space="preserve"> increased by a more modest 2.5</w:t>
            </w:r>
            <w:r w:rsidRPr="001B639E">
              <w:rPr>
                <w:color w:val="0D0D0D" w:themeColor="text1" w:themeTint="F2"/>
                <w:spacing w:val="-2"/>
                <w:lang w:val="en-GB"/>
              </w:rPr>
              <w:t xml:space="preserve">% in the branch trade, </w:t>
            </w:r>
            <w:r w:rsidR="00E74100">
              <w:rPr>
                <w:color w:val="0D0D0D" w:themeColor="text1" w:themeTint="F2"/>
                <w:spacing w:val="-2"/>
                <w:lang w:val="en-GB"/>
              </w:rPr>
              <w:t>t</w:t>
            </w:r>
            <w:r w:rsidRPr="001B639E">
              <w:rPr>
                <w:color w:val="0D0D0D" w:themeColor="text1" w:themeTint="F2"/>
                <w:spacing w:val="-2"/>
                <w:lang w:val="en-GB"/>
              </w:rPr>
              <w:t xml:space="preserve">ransportation, accommodation and food service activities in 2015, still it represented the best result in the last five years. The branch profited from the positive sentiments of the consumers supported by the growth of employment as well as real wages, more frequent arrivals of both domestic and foreign guests as well as higher demand for </w:t>
            </w:r>
            <w:r w:rsidR="00E74100">
              <w:rPr>
                <w:color w:val="0D0D0D" w:themeColor="text1" w:themeTint="F2"/>
                <w:spacing w:val="-2"/>
                <w:lang w:val="en-GB"/>
              </w:rPr>
              <w:t>freight</w:t>
            </w:r>
            <w:r w:rsidRPr="001B639E">
              <w:rPr>
                <w:color w:val="0D0D0D" w:themeColor="text1" w:themeTint="F2"/>
                <w:spacing w:val="-2"/>
                <w:lang w:val="en-GB"/>
              </w:rPr>
              <w:t xml:space="preserve"> transportation. </w:t>
            </w:r>
            <w:r w:rsidR="001C58FF" w:rsidRPr="001B639E">
              <w:rPr>
                <w:color w:val="0D0D0D" w:themeColor="text1" w:themeTint="F2"/>
                <w:spacing w:val="-2"/>
                <w:lang w:val="en-GB"/>
              </w:rPr>
              <w:t>On the contrary, the growth of the professional, scientific, technical and administrative activit</w:t>
            </w:r>
            <w:r w:rsidR="001B639E">
              <w:rPr>
                <w:color w:val="0D0D0D" w:themeColor="text1" w:themeTint="F2"/>
                <w:spacing w:val="-2"/>
                <w:lang w:val="en-GB"/>
              </w:rPr>
              <w:t>i</w:t>
            </w:r>
            <w:r w:rsidR="005E1859">
              <w:rPr>
                <w:color w:val="0D0D0D" w:themeColor="text1" w:themeTint="F2"/>
                <w:spacing w:val="-2"/>
                <w:lang w:val="en-GB"/>
              </w:rPr>
              <w:t>es (lastly by 4.3</w:t>
            </w:r>
            <w:r w:rsidR="001C58FF" w:rsidRPr="001B639E">
              <w:rPr>
                <w:color w:val="0D0D0D" w:themeColor="text1" w:themeTint="F2"/>
                <w:spacing w:val="-2"/>
                <w:lang w:val="en-GB"/>
              </w:rPr>
              <w:t xml:space="preserve">%) already lasted for five years, supported by higher performance of job agencies as well as rising demand for </w:t>
            </w:r>
            <w:r w:rsidR="00592377" w:rsidRPr="001B639E">
              <w:rPr>
                <w:color w:val="0D0D0D" w:themeColor="text1" w:themeTint="F2"/>
                <w:spacing w:val="-2"/>
                <w:lang w:val="en-GB"/>
              </w:rPr>
              <w:t>the project activities</w:t>
            </w:r>
            <w:r w:rsidR="00587216">
              <w:rPr>
                <w:color w:val="0D0D0D" w:themeColor="text1" w:themeTint="F2"/>
                <w:spacing w:val="-2"/>
                <w:lang w:val="en-GB"/>
              </w:rPr>
              <w:t xml:space="preserve"> (</w:t>
            </w:r>
            <w:r w:rsidR="00587216">
              <w:rPr>
                <w:rStyle w:val="shorttext"/>
                <w:rFonts w:cs="Arial"/>
                <w:color w:val="222222"/>
              </w:rPr>
              <w:t>in relation to construction)</w:t>
            </w:r>
            <w:r w:rsidR="00592377" w:rsidRPr="001B639E">
              <w:rPr>
                <w:color w:val="0D0D0D" w:themeColor="text1" w:themeTint="F2"/>
                <w:spacing w:val="-2"/>
                <w:lang w:val="en-GB"/>
              </w:rPr>
              <w:t xml:space="preserve">. Information and communication </w:t>
            </w:r>
            <w:r w:rsidR="00613F86">
              <w:rPr>
                <w:color w:val="0D0D0D" w:themeColor="text1" w:themeTint="F2"/>
                <w:spacing w:val="-2"/>
                <w:lang w:val="en-GB"/>
              </w:rPr>
              <w:t xml:space="preserve">activities </w:t>
            </w:r>
            <w:r w:rsidR="00592377" w:rsidRPr="001B639E">
              <w:rPr>
                <w:color w:val="0D0D0D" w:themeColor="text1" w:themeTint="F2"/>
                <w:spacing w:val="-2"/>
                <w:lang w:val="en-GB"/>
              </w:rPr>
              <w:t>also prosper in the long-term, the GVA jumped to the highest rate of growth since 2</w:t>
            </w:r>
            <w:r w:rsidR="005E1859">
              <w:rPr>
                <w:color w:val="0D0D0D" w:themeColor="text1" w:themeTint="F2"/>
                <w:spacing w:val="-2"/>
                <w:lang w:val="en-GB"/>
              </w:rPr>
              <w:t>007 here. The GVA increased by 4</w:t>
            </w:r>
            <w:r w:rsidR="00905A11" w:rsidRPr="001B639E">
              <w:rPr>
                <w:color w:val="0D0D0D" w:themeColor="text1" w:themeTint="F2"/>
                <w:spacing w:val="-2"/>
                <w:lang w:val="en-GB"/>
              </w:rPr>
              <w:t xml:space="preserve">% </w:t>
            </w:r>
            <w:r w:rsidR="00592377" w:rsidRPr="001B639E">
              <w:rPr>
                <w:color w:val="0D0D0D" w:themeColor="text1" w:themeTint="F2"/>
                <w:spacing w:val="-2"/>
                <w:lang w:val="en-GB"/>
              </w:rPr>
              <w:t>in the financial sector, the total employment however fell already second year in a row. The GVA increased</w:t>
            </w:r>
            <w:r w:rsidR="001B639E" w:rsidRPr="001B639E">
              <w:rPr>
                <w:color w:val="0D0D0D" w:themeColor="text1" w:themeTint="F2"/>
                <w:spacing w:val="-2"/>
                <w:lang w:val="en-GB"/>
              </w:rPr>
              <w:t xml:space="preserve"> </w:t>
            </w:r>
            <w:r w:rsidR="00613F86">
              <w:rPr>
                <w:color w:val="0D0D0D" w:themeColor="text1" w:themeTint="F2"/>
                <w:spacing w:val="-2"/>
                <w:lang w:val="en-GB"/>
              </w:rPr>
              <w:t xml:space="preserve">its pace after three years of </w:t>
            </w:r>
            <w:r w:rsidR="001B639E" w:rsidRPr="001B639E">
              <w:rPr>
                <w:color w:val="0D0D0D" w:themeColor="text1" w:themeTint="F2"/>
                <w:spacing w:val="-2"/>
                <w:lang w:val="en-GB"/>
              </w:rPr>
              <w:t>stagnation in the public services</w:t>
            </w:r>
            <w:r w:rsidR="00905A11" w:rsidRPr="001B639E">
              <w:rPr>
                <w:rStyle w:val="Znakapoznpodarou"/>
                <w:color w:val="0D0D0D" w:themeColor="text1" w:themeTint="F2"/>
                <w:spacing w:val="-2"/>
                <w:lang w:val="en-GB"/>
              </w:rPr>
              <w:footnoteReference w:id="2"/>
            </w:r>
            <w:r w:rsidR="00905A11" w:rsidRPr="001B639E">
              <w:rPr>
                <w:color w:val="0D0D0D" w:themeColor="text1" w:themeTint="F2"/>
                <w:spacing w:val="-2"/>
                <w:lang w:val="en-GB"/>
              </w:rPr>
              <w:t xml:space="preserve"> </w:t>
            </w:r>
            <w:r w:rsidR="001B639E" w:rsidRPr="001B639E">
              <w:rPr>
                <w:color w:val="0D0D0D" w:themeColor="text1" w:themeTint="F2"/>
                <w:spacing w:val="-2"/>
                <w:lang w:val="en-GB"/>
              </w:rPr>
              <w:t xml:space="preserve">to </w:t>
            </w:r>
            <w:r w:rsidR="00905A11" w:rsidRPr="001B639E">
              <w:rPr>
                <w:color w:val="0D0D0D" w:themeColor="text1" w:themeTint="F2"/>
                <w:spacing w:val="-2"/>
                <w:lang w:val="en-GB"/>
              </w:rPr>
              <w:t>2</w:t>
            </w:r>
            <w:r w:rsidR="001B639E" w:rsidRPr="001B639E">
              <w:rPr>
                <w:color w:val="0D0D0D" w:themeColor="text1" w:themeTint="F2"/>
                <w:spacing w:val="-2"/>
                <w:lang w:val="en-GB"/>
              </w:rPr>
              <w:t>.</w:t>
            </w:r>
            <w:r w:rsidR="0023629A">
              <w:rPr>
                <w:color w:val="0D0D0D" w:themeColor="text1" w:themeTint="F2"/>
                <w:spacing w:val="-2"/>
                <w:lang w:val="en-GB"/>
              </w:rPr>
              <w:t>6</w:t>
            </w:r>
            <w:r w:rsidR="00613F86">
              <w:rPr>
                <w:color w:val="0D0D0D" w:themeColor="text1" w:themeTint="F2"/>
                <w:spacing w:val="-2"/>
                <w:lang w:val="en-GB"/>
              </w:rPr>
              <w:t xml:space="preserve">%, </w:t>
            </w:r>
            <w:r w:rsidR="001B639E" w:rsidRPr="001B639E">
              <w:rPr>
                <w:color w:val="0D0D0D" w:themeColor="text1" w:themeTint="F2"/>
                <w:spacing w:val="-2"/>
                <w:lang w:val="en-GB"/>
              </w:rPr>
              <w:t xml:space="preserve">the most since </w:t>
            </w:r>
            <w:r w:rsidR="00613F86">
              <w:rPr>
                <w:color w:val="0D0D0D" w:themeColor="text1" w:themeTint="F2"/>
                <w:spacing w:val="-2"/>
                <w:lang w:val="en-GB"/>
              </w:rPr>
              <w:t>2002</w:t>
            </w:r>
            <w:r w:rsidR="00905A11" w:rsidRPr="001B639E">
              <w:rPr>
                <w:color w:val="0D0D0D" w:themeColor="text1" w:themeTint="F2"/>
                <w:spacing w:val="-2"/>
                <w:lang w:val="en-GB"/>
              </w:rPr>
              <w:t xml:space="preserve"> </w:t>
            </w:r>
            <w:r w:rsidR="00613F86">
              <w:rPr>
                <w:color w:val="0D0D0D" w:themeColor="text1" w:themeTint="F2"/>
                <w:spacing w:val="-2"/>
                <w:lang w:val="en-GB"/>
              </w:rPr>
              <w:t>(t</w:t>
            </w:r>
            <w:r w:rsidR="001B639E" w:rsidRPr="001B639E">
              <w:rPr>
                <w:color w:val="0D0D0D" w:themeColor="text1" w:themeTint="F2"/>
                <w:spacing w:val="-2"/>
                <w:lang w:val="en-GB"/>
              </w:rPr>
              <w:t>he gradually growing employment across all branches together with the increase of the wage tariffs at the end of 2014 contributed to this development</w:t>
            </w:r>
            <w:r w:rsidR="00613F86">
              <w:rPr>
                <w:color w:val="0D0D0D" w:themeColor="text1" w:themeTint="F2"/>
                <w:spacing w:val="-2"/>
                <w:lang w:val="en-GB"/>
              </w:rPr>
              <w:t>)</w:t>
            </w:r>
            <w:r w:rsidR="001B639E" w:rsidRPr="001B639E">
              <w:rPr>
                <w:color w:val="0D0D0D" w:themeColor="text1" w:themeTint="F2"/>
                <w:spacing w:val="-2"/>
                <w:lang w:val="en-GB"/>
              </w:rPr>
              <w:t xml:space="preserve">. </w:t>
            </w:r>
          </w:p>
          <w:p w:rsidR="00905A11" w:rsidRPr="00532E6C" w:rsidRDefault="00905A11" w:rsidP="00611531">
            <w:pPr>
              <w:pStyle w:val="Textpoznpodarou"/>
              <w:jc w:val="both"/>
              <w:rPr>
                <w:spacing w:val="-4"/>
                <w:sz w:val="14"/>
                <w:szCs w:val="14"/>
              </w:rPr>
            </w:pPr>
          </w:p>
        </w:tc>
      </w:tr>
      <w:tr w:rsidR="00905A11" w:rsidTr="00611531">
        <w:tc>
          <w:tcPr>
            <w:tcW w:w="1090" w:type="pct"/>
          </w:tcPr>
          <w:p w:rsidR="00905A11" w:rsidRPr="0059153E" w:rsidRDefault="0059153E" w:rsidP="00E63F4B">
            <w:pPr>
              <w:spacing w:line="240" w:lineRule="auto"/>
              <w:rPr>
                <w:sz w:val="16"/>
                <w:szCs w:val="16"/>
                <w:lang w:val="en-GB"/>
              </w:rPr>
            </w:pPr>
            <w:r w:rsidRPr="0059153E">
              <w:rPr>
                <w:color w:val="000000" w:themeColor="text1"/>
                <w:sz w:val="16"/>
                <w:szCs w:val="16"/>
                <w:lang w:val="en-GB"/>
              </w:rPr>
              <w:t>Industrial production maintained the high growth rates thanks to the dominant manufacturing benefiting especially from the so far str</w:t>
            </w:r>
            <w:r>
              <w:rPr>
                <w:color w:val="000000" w:themeColor="text1"/>
                <w:sz w:val="16"/>
                <w:szCs w:val="16"/>
                <w:lang w:val="en-GB"/>
              </w:rPr>
              <w:t>o</w:t>
            </w:r>
            <w:r w:rsidRPr="0059153E">
              <w:rPr>
                <w:color w:val="000000" w:themeColor="text1"/>
                <w:sz w:val="16"/>
                <w:szCs w:val="16"/>
                <w:lang w:val="en-GB"/>
              </w:rPr>
              <w:t>ng domestic</w:t>
            </w:r>
            <w:r>
              <w:rPr>
                <w:color w:val="000000" w:themeColor="text1"/>
                <w:sz w:val="16"/>
                <w:szCs w:val="16"/>
                <w:lang w:val="en-GB"/>
              </w:rPr>
              <w:t xml:space="preserve"> </w:t>
            </w:r>
            <w:r w:rsidRPr="0059153E">
              <w:rPr>
                <w:color w:val="000000" w:themeColor="text1"/>
                <w:sz w:val="16"/>
                <w:szCs w:val="16"/>
                <w:lang w:val="en-GB"/>
              </w:rPr>
              <w:t xml:space="preserve">as well as foreign demand for the </w:t>
            </w:r>
            <w:r w:rsidR="00E63F4B">
              <w:rPr>
                <w:color w:val="000000" w:themeColor="text1"/>
                <w:sz w:val="16"/>
                <w:szCs w:val="16"/>
                <w:lang w:val="en-GB"/>
              </w:rPr>
              <w:t>t</w:t>
            </w:r>
            <w:r w:rsidRPr="0059153E">
              <w:rPr>
                <w:color w:val="000000" w:themeColor="text1"/>
                <w:sz w:val="16"/>
                <w:szCs w:val="16"/>
                <w:lang w:val="en-GB"/>
              </w:rPr>
              <w:t xml:space="preserve">ransportation vehicles and their components </w:t>
            </w:r>
          </w:p>
        </w:tc>
        <w:tc>
          <w:tcPr>
            <w:tcW w:w="145" w:type="pct"/>
          </w:tcPr>
          <w:p w:rsidR="00905A11" w:rsidRPr="005A16AE" w:rsidRDefault="00905A11" w:rsidP="00611531">
            <w:pPr>
              <w:rPr>
                <w:color w:val="000000" w:themeColor="text1"/>
                <w:szCs w:val="16"/>
              </w:rPr>
            </w:pPr>
          </w:p>
        </w:tc>
        <w:tc>
          <w:tcPr>
            <w:tcW w:w="3765" w:type="pct"/>
          </w:tcPr>
          <w:p w:rsidR="00905A11" w:rsidRPr="00532E6C" w:rsidRDefault="00EC2187" w:rsidP="00611531">
            <w:pPr>
              <w:pStyle w:val="Textpoznpodarou"/>
              <w:jc w:val="both"/>
              <w:rPr>
                <w:color w:val="000000" w:themeColor="text1"/>
                <w:spacing w:val="-4"/>
                <w:lang w:val="en-GB"/>
              </w:rPr>
            </w:pPr>
            <w:r w:rsidRPr="00532E6C">
              <w:rPr>
                <w:color w:val="000000" w:themeColor="text1"/>
                <w:spacing w:val="-4"/>
                <w:lang w:val="en-GB"/>
              </w:rPr>
              <w:t xml:space="preserve">Industry performance </w:t>
            </w:r>
            <w:r w:rsidR="00905A11" w:rsidRPr="00532E6C">
              <w:rPr>
                <w:color w:val="000000" w:themeColor="text1"/>
                <w:spacing w:val="-4"/>
                <w:lang w:val="en-GB"/>
              </w:rPr>
              <w:t>(</w:t>
            </w:r>
            <w:r w:rsidRPr="00532E6C">
              <w:rPr>
                <w:color w:val="000000" w:themeColor="text1"/>
                <w:spacing w:val="-4"/>
                <w:lang w:val="en-GB"/>
              </w:rPr>
              <w:t>measured by the industrial producer index</w:t>
            </w:r>
            <w:r w:rsidR="00905A11" w:rsidRPr="00532E6C">
              <w:rPr>
                <w:color w:val="000000" w:themeColor="text1"/>
                <w:spacing w:val="-4"/>
                <w:lang w:val="en-GB"/>
              </w:rPr>
              <w:t>)</w:t>
            </w:r>
            <w:r w:rsidR="00905A11" w:rsidRPr="00532E6C">
              <w:rPr>
                <w:color w:val="000000" w:themeColor="text1"/>
                <w:spacing w:val="-4"/>
                <w:vertAlign w:val="superscript"/>
                <w:lang w:val="en-GB"/>
              </w:rPr>
              <w:footnoteReference w:id="3"/>
            </w:r>
            <w:r w:rsidR="00FB4E8E" w:rsidRPr="00532E6C">
              <w:rPr>
                <w:color w:val="000000" w:themeColor="text1"/>
                <w:spacing w:val="-4"/>
                <w:lang w:val="en-GB"/>
              </w:rPr>
              <w:t xml:space="preserve"> continued in the successful </w:t>
            </w:r>
            <w:r w:rsidR="00FD4ED6" w:rsidRPr="00532E6C">
              <w:rPr>
                <w:color w:val="000000" w:themeColor="text1"/>
                <w:spacing w:val="-4"/>
                <w:lang w:val="en-GB"/>
              </w:rPr>
              <w:t>preceding</w:t>
            </w:r>
            <w:r w:rsidR="00FB4E8E" w:rsidRPr="00532E6C">
              <w:rPr>
                <w:color w:val="000000" w:themeColor="text1"/>
                <w:spacing w:val="-4"/>
                <w:lang w:val="en-GB"/>
              </w:rPr>
              <w:t xml:space="preserve"> year in 2015, when it strengthened by </w:t>
            </w:r>
            <w:r w:rsidR="00905A11" w:rsidRPr="00532E6C">
              <w:rPr>
                <w:color w:val="000000" w:themeColor="text1"/>
                <w:spacing w:val="-4"/>
                <w:lang w:val="en-GB"/>
              </w:rPr>
              <w:t>4</w:t>
            </w:r>
            <w:r w:rsidR="00FB4E8E" w:rsidRPr="00532E6C">
              <w:rPr>
                <w:color w:val="000000" w:themeColor="text1"/>
                <w:spacing w:val="-4"/>
                <w:lang w:val="en-GB"/>
              </w:rPr>
              <w:t>.</w:t>
            </w:r>
            <w:r w:rsidR="0023629A" w:rsidRPr="00532E6C">
              <w:rPr>
                <w:color w:val="000000" w:themeColor="text1"/>
                <w:spacing w:val="-4"/>
                <w:lang w:val="en-GB"/>
              </w:rPr>
              <w:t>6</w:t>
            </w:r>
            <w:r w:rsidR="00905A11" w:rsidRPr="00532E6C">
              <w:rPr>
                <w:color w:val="000000" w:themeColor="text1"/>
                <w:spacing w:val="-4"/>
                <w:lang w:val="en-GB"/>
              </w:rPr>
              <w:t>%.</w:t>
            </w:r>
            <w:r w:rsidR="00FB4E8E" w:rsidRPr="00532E6C">
              <w:rPr>
                <w:color w:val="000000" w:themeColor="text1"/>
                <w:spacing w:val="-4"/>
                <w:lang w:val="en-GB"/>
              </w:rPr>
              <w:t xml:space="preserve"> Nevertheless, its year-on-year growth already slumped </w:t>
            </w:r>
            <w:r w:rsidR="00905A11" w:rsidRPr="00532E6C">
              <w:rPr>
                <w:color w:val="000000" w:themeColor="text1"/>
                <w:spacing w:val="-4"/>
                <w:lang w:val="en-GB"/>
              </w:rPr>
              <w:t>2</w:t>
            </w:r>
            <w:r w:rsidR="00FB4E8E" w:rsidRPr="00532E6C">
              <w:rPr>
                <w:color w:val="000000" w:themeColor="text1"/>
                <w:spacing w:val="-4"/>
                <w:lang w:val="en-GB"/>
              </w:rPr>
              <w:t>.</w:t>
            </w:r>
            <w:r w:rsidR="0023629A" w:rsidRPr="00532E6C">
              <w:rPr>
                <w:color w:val="000000" w:themeColor="text1"/>
                <w:spacing w:val="-4"/>
                <w:lang w:val="en-GB"/>
              </w:rPr>
              <w:t>7%</w:t>
            </w:r>
            <w:r w:rsidR="00FB4E8E" w:rsidRPr="00532E6C">
              <w:rPr>
                <w:color w:val="000000" w:themeColor="text1"/>
                <w:spacing w:val="-4"/>
                <w:lang w:val="en-GB"/>
              </w:rPr>
              <w:t xml:space="preserve"> </w:t>
            </w:r>
            <w:r w:rsidR="00905A11" w:rsidRPr="00532E6C">
              <w:rPr>
                <w:color w:val="000000" w:themeColor="text1"/>
                <w:spacing w:val="-4"/>
                <w:lang w:val="en-GB"/>
              </w:rPr>
              <w:t>(</w:t>
            </w:r>
            <w:r w:rsidR="00FB4E8E" w:rsidRPr="00532E6C">
              <w:rPr>
                <w:color w:val="000000" w:themeColor="text1"/>
                <w:spacing w:val="-4"/>
                <w:lang w:val="en-GB"/>
              </w:rPr>
              <w:t>after calendar adjustment</w:t>
            </w:r>
            <w:r w:rsidR="00905A11" w:rsidRPr="00532E6C">
              <w:rPr>
                <w:color w:val="000000" w:themeColor="text1"/>
                <w:spacing w:val="-4"/>
                <w:lang w:val="en-GB"/>
              </w:rPr>
              <w:t>)</w:t>
            </w:r>
            <w:r w:rsidR="00FB4E8E" w:rsidRPr="00532E6C">
              <w:rPr>
                <w:color w:val="000000" w:themeColor="text1"/>
                <w:spacing w:val="-4"/>
                <w:lang w:val="en-GB"/>
              </w:rPr>
              <w:t xml:space="preserve"> in Q4 itself and it stagnated in the quarter-on-quarter measurement already second time in a row. Manufacturing exclusively pushed the whole </w:t>
            </w:r>
            <w:r w:rsidR="009E40AE" w:rsidRPr="00532E6C">
              <w:rPr>
                <w:color w:val="000000" w:themeColor="text1"/>
                <w:spacing w:val="-4"/>
                <w:lang w:val="en-GB"/>
              </w:rPr>
              <w:t>industry</w:t>
            </w:r>
            <w:r w:rsidR="00FB4E8E" w:rsidRPr="00532E6C">
              <w:rPr>
                <w:color w:val="000000" w:themeColor="text1"/>
                <w:spacing w:val="-4"/>
                <w:lang w:val="en-GB"/>
              </w:rPr>
              <w:t xml:space="preserve"> similarly to the two preceding years. The production kept further falling in mining and quarrying marked by the long-term decline of especially the black coal mining, even though by a slower pace (by </w:t>
            </w:r>
            <w:r w:rsidR="00905A11" w:rsidRPr="00532E6C">
              <w:rPr>
                <w:color w:val="000000" w:themeColor="text1"/>
                <w:spacing w:val="-4"/>
                <w:lang w:val="en-GB"/>
              </w:rPr>
              <w:t>1</w:t>
            </w:r>
            <w:r w:rsidR="00FB4E8E" w:rsidRPr="00532E6C">
              <w:rPr>
                <w:color w:val="000000" w:themeColor="text1"/>
                <w:spacing w:val="-4"/>
                <w:lang w:val="en-GB"/>
              </w:rPr>
              <w:t>.</w:t>
            </w:r>
            <w:r w:rsidR="0023629A" w:rsidRPr="00532E6C">
              <w:rPr>
                <w:color w:val="000000" w:themeColor="text1"/>
                <w:spacing w:val="-4"/>
                <w:lang w:val="en-GB"/>
              </w:rPr>
              <w:t>7</w:t>
            </w:r>
            <w:r w:rsidR="00905A11" w:rsidRPr="00532E6C">
              <w:rPr>
                <w:color w:val="000000" w:themeColor="text1"/>
                <w:spacing w:val="-4"/>
                <w:lang w:val="en-GB"/>
              </w:rPr>
              <w:t xml:space="preserve">%, </w:t>
            </w:r>
            <w:r w:rsidR="00FB4E8E" w:rsidRPr="00532E6C">
              <w:rPr>
                <w:color w:val="000000" w:themeColor="text1"/>
                <w:spacing w:val="-4"/>
                <w:lang w:val="en-GB"/>
              </w:rPr>
              <w:t xml:space="preserve">compared by an average of more than </w:t>
            </w:r>
            <w:r w:rsidR="0023629A" w:rsidRPr="00532E6C">
              <w:rPr>
                <w:color w:val="000000" w:themeColor="text1"/>
                <w:spacing w:val="-4"/>
                <w:lang w:val="en-GB"/>
              </w:rPr>
              <w:t>6%</w:t>
            </w:r>
            <w:r w:rsidR="00690A25" w:rsidRPr="00532E6C">
              <w:rPr>
                <w:color w:val="000000" w:themeColor="text1"/>
                <w:spacing w:val="-4"/>
                <w:lang w:val="en-GB"/>
              </w:rPr>
              <w:t xml:space="preserve"> </w:t>
            </w:r>
            <w:r w:rsidR="00FB4E8E" w:rsidRPr="00532E6C">
              <w:rPr>
                <w:color w:val="000000" w:themeColor="text1"/>
                <w:spacing w:val="-4"/>
                <w:lang w:val="en-GB"/>
              </w:rPr>
              <w:t xml:space="preserve">for the </w:t>
            </w:r>
            <w:r w:rsidR="00690A25" w:rsidRPr="00532E6C">
              <w:rPr>
                <w:color w:val="000000" w:themeColor="text1"/>
                <w:spacing w:val="-4"/>
                <w:lang w:val="en-GB"/>
              </w:rPr>
              <w:t>2012</w:t>
            </w:r>
            <w:r w:rsidR="00690A25" w:rsidRPr="00532E6C">
              <w:rPr>
                <w:spacing w:val="-4"/>
                <w:lang w:val="en-GB"/>
              </w:rPr>
              <w:t>–</w:t>
            </w:r>
            <w:r w:rsidR="00905A11" w:rsidRPr="00532E6C">
              <w:rPr>
                <w:color w:val="000000" w:themeColor="text1"/>
                <w:spacing w:val="-4"/>
                <w:lang w:val="en-GB"/>
              </w:rPr>
              <w:t>14</w:t>
            </w:r>
            <w:r w:rsidR="00FB4E8E" w:rsidRPr="00532E6C">
              <w:rPr>
                <w:color w:val="000000" w:themeColor="text1"/>
                <w:spacing w:val="-4"/>
                <w:lang w:val="en-GB"/>
              </w:rPr>
              <w:t xml:space="preserve"> period</w:t>
            </w:r>
            <w:r w:rsidR="00905A11" w:rsidRPr="00532E6C">
              <w:rPr>
                <w:color w:val="000000" w:themeColor="text1"/>
                <w:spacing w:val="-4"/>
                <w:lang w:val="en-GB"/>
              </w:rPr>
              <w:t xml:space="preserve">). </w:t>
            </w:r>
            <w:r w:rsidR="00FB4E8E" w:rsidRPr="00532E6C">
              <w:rPr>
                <w:color w:val="000000" w:themeColor="text1"/>
                <w:spacing w:val="-4"/>
                <w:lang w:val="en-GB"/>
              </w:rPr>
              <w:t xml:space="preserve">The unexpected lowering of production capacities in the nuclear plants was considerably reflected in the lower production in </w:t>
            </w:r>
            <w:r w:rsidR="00905A11" w:rsidRPr="00532E6C">
              <w:rPr>
                <w:color w:val="000000" w:themeColor="text1"/>
                <w:spacing w:val="-4"/>
                <w:lang w:val="en-GB"/>
              </w:rPr>
              <w:t>energetic</w:t>
            </w:r>
            <w:r w:rsidR="00444A7F" w:rsidRPr="00532E6C">
              <w:rPr>
                <w:color w:val="000000" w:themeColor="text1"/>
                <w:spacing w:val="-4"/>
                <w:lang w:val="en-GB"/>
              </w:rPr>
              <w:t xml:space="preserve">s </w:t>
            </w:r>
            <w:r w:rsidR="00905A11" w:rsidRPr="00532E6C">
              <w:rPr>
                <w:color w:val="000000" w:themeColor="text1"/>
                <w:spacing w:val="-4"/>
                <w:lang w:val="en-GB"/>
              </w:rPr>
              <w:t>(</w:t>
            </w:r>
            <w:r w:rsidR="0023629A" w:rsidRPr="00532E6C">
              <w:rPr>
                <w:color w:val="000000" w:themeColor="text1"/>
                <w:spacing w:val="-4"/>
                <w:lang w:val="en-GB"/>
              </w:rPr>
              <w:t>weaker by nearly 6</w:t>
            </w:r>
            <w:r w:rsidR="00444A7F" w:rsidRPr="00532E6C">
              <w:rPr>
                <w:color w:val="000000" w:themeColor="text1"/>
                <w:spacing w:val="-4"/>
                <w:lang w:val="en-GB"/>
              </w:rPr>
              <w:t>% year-on-year), however this branch deals with mild falls of production in the long run.</w:t>
            </w:r>
          </w:p>
          <w:p w:rsidR="00905A11" w:rsidRPr="00532E6C" w:rsidRDefault="00905A11" w:rsidP="00611531">
            <w:pPr>
              <w:pStyle w:val="Textpoznpodarou"/>
              <w:jc w:val="both"/>
              <w:rPr>
                <w:color w:val="000000" w:themeColor="text1"/>
                <w:spacing w:val="-4"/>
                <w:sz w:val="14"/>
                <w:szCs w:val="14"/>
              </w:rPr>
            </w:pPr>
          </w:p>
        </w:tc>
      </w:tr>
      <w:tr w:rsidR="00905A11" w:rsidTr="00611531">
        <w:tc>
          <w:tcPr>
            <w:tcW w:w="1090" w:type="pct"/>
          </w:tcPr>
          <w:p w:rsidR="00905A11" w:rsidRPr="00862DA0" w:rsidRDefault="00862DA0" w:rsidP="00611531">
            <w:pPr>
              <w:spacing w:line="240" w:lineRule="auto"/>
              <w:rPr>
                <w:spacing w:val="-2"/>
                <w:sz w:val="16"/>
                <w:szCs w:val="16"/>
                <w:lang w:val="en-GB"/>
              </w:rPr>
            </w:pPr>
            <w:r w:rsidRPr="00862DA0">
              <w:rPr>
                <w:spacing w:val="-2"/>
                <w:sz w:val="16"/>
                <w:szCs w:val="16"/>
                <w:lang w:val="en-GB"/>
              </w:rPr>
              <w:t>Manufacturing of motor vehicles returned into the position of the strongest growing manufacturing activity.</w:t>
            </w:r>
            <w:r w:rsidR="00905A11" w:rsidRPr="00862DA0">
              <w:rPr>
                <w:spacing w:val="-2"/>
                <w:sz w:val="16"/>
                <w:szCs w:val="16"/>
                <w:lang w:val="en-GB"/>
              </w:rPr>
              <w:t xml:space="preserve"> </w:t>
            </w:r>
            <w:r w:rsidRPr="00862DA0">
              <w:rPr>
                <w:spacing w:val="-2"/>
                <w:sz w:val="16"/>
                <w:szCs w:val="16"/>
                <w:lang w:val="en-GB"/>
              </w:rPr>
              <w:t>Manufacture of plastic and rubber products</w:t>
            </w:r>
            <w:r>
              <w:rPr>
                <w:spacing w:val="-2"/>
                <w:sz w:val="16"/>
                <w:szCs w:val="16"/>
                <w:lang w:val="en-GB"/>
              </w:rPr>
              <w:t xml:space="preserve"> </w:t>
            </w:r>
            <w:r w:rsidRPr="00862DA0">
              <w:rPr>
                <w:spacing w:val="-2"/>
                <w:sz w:val="16"/>
                <w:szCs w:val="16"/>
                <w:lang w:val="en-GB"/>
              </w:rPr>
              <w:t>also drove on the wave of strong foreign as well as domestic demand, its p</w:t>
            </w:r>
            <w:r w:rsidR="00532E6C">
              <w:rPr>
                <w:spacing w:val="-2"/>
                <w:sz w:val="16"/>
                <w:szCs w:val="16"/>
                <w:lang w:val="en-GB"/>
              </w:rPr>
              <w:t>roduction increased</w:t>
            </w:r>
            <w:r w:rsidRPr="00862DA0">
              <w:rPr>
                <w:spacing w:val="-2"/>
                <w:sz w:val="16"/>
                <w:szCs w:val="16"/>
                <w:lang w:val="en-GB"/>
              </w:rPr>
              <w:t xml:space="preserve"> year-on-year the most since </w:t>
            </w:r>
            <w:r w:rsidR="00905A11" w:rsidRPr="00862DA0">
              <w:rPr>
                <w:spacing w:val="-2"/>
                <w:sz w:val="16"/>
                <w:szCs w:val="16"/>
                <w:lang w:val="en-GB"/>
              </w:rPr>
              <w:t>2007</w:t>
            </w:r>
          </w:p>
          <w:p w:rsidR="00905A11" w:rsidRPr="00532E6C" w:rsidRDefault="00905A11" w:rsidP="00611531">
            <w:pPr>
              <w:spacing w:line="240" w:lineRule="auto"/>
              <w:rPr>
                <w:spacing w:val="-2"/>
                <w:sz w:val="16"/>
                <w:szCs w:val="16"/>
              </w:rPr>
            </w:pPr>
          </w:p>
          <w:p w:rsidR="00905A11" w:rsidRPr="007F2953" w:rsidRDefault="00862DA0" w:rsidP="00611531">
            <w:pPr>
              <w:spacing w:line="240" w:lineRule="auto"/>
              <w:rPr>
                <w:spacing w:val="-4"/>
                <w:sz w:val="16"/>
                <w:szCs w:val="16"/>
                <w:lang w:val="en-GB"/>
              </w:rPr>
            </w:pPr>
            <w:r w:rsidRPr="007F2953">
              <w:rPr>
                <w:spacing w:val="-4"/>
                <w:sz w:val="16"/>
                <w:szCs w:val="16"/>
                <w:lang w:val="en-GB"/>
              </w:rPr>
              <w:t xml:space="preserve">The yearly production was falling only in </w:t>
            </w:r>
            <w:r w:rsidR="007F2953" w:rsidRPr="007F2953">
              <w:rPr>
                <w:spacing w:val="-4"/>
                <w:sz w:val="16"/>
                <w:szCs w:val="16"/>
                <w:lang w:val="en-GB"/>
              </w:rPr>
              <w:t>metallurgy</w:t>
            </w:r>
            <w:r w:rsidRPr="007F2953">
              <w:rPr>
                <w:spacing w:val="-4"/>
                <w:sz w:val="16"/>
                <w:szCs w:val="16"/>
                <w:lang w:val="en-GB"/>
              </w:rPr>
              <w:t xml:space="preserve"> </w:t>
            </w:r>
            <w:r w:rsidR="00905A11" w:rsidRPr="007F2953">
              <w:rPr>
                <w:spacing w:val="-4"/>
                <w:sz w:val="16"/>
                <w:szCs w:val="16"/>
                <w:lang w:val="en-GB"/>
              </w:rPr>
              <w:t>(</w:t>
            </w:r>
            <w:r w:rsidRPr="007D71F5">
              <w:rPr>
                <w:spacing w:val="-4"/>
                <w:sz w:val="16"/>
                <w:szCs w:val="16"/>
                <w:lang w:val="en-GB"/>
              </w:rPr>
              <w:t>due to the surplus of steel on the European markets) and the chemical industry (because of the accidents in the production facilities</w:t>
            </w:r>
            <w:r w:rsidR="00905A11" w:rsidRPr="007D71F5">
              <w:rPr>
                <w:spacing w:val="-4"/>
                <w:sz w:val="16"/>
                <w:szCs w:val="16"/>
                <w:lang w:val="en-GB"/>
              </w:rPr>
              <w:t>)</w:t>
            </w:r>
            <w:r w:rsidR="00905A11" w:rsidRPr="007F2953">
              <w:rPr>
                <w:spacing w:val="-4"/>
                <w:sz w:val="16"/>
                <w:szCs w:val="16"/>
                <w:lang w:val="en-GB"/>
              </w:rPr>
              <w:t xml:space="preserve"> </w:t>
            </w:r>
          </w:p>
          <w:p w:rsidR="00905A11" w:rsidRPr="00F3262E" w:rsidRDefault="00905A11" w:rsidP="00611531">
            <w:pPr>
              <w:spacing w:line="240" w:lineRule="auto"/>
              <w:rPr>
                <w:color w:val="000000" w:themeColor="text1"/>
                <w:sz w:val="16"/>
                <w:szCs w:val="16"/>
              </w:rPr>
            </w:pPr>
          </w:p>
        </w:tc>
        <w:tc>
          <w:tcPr>
            <w:tcW w:w="145" w:type="pct"/>
          </w:tcPr>
          <w:p w:rsidR="00905A11" w:rsidRPr="00F3262E" w:rsidRDefault="00905A11" w:rsidP="00611531">
            <w:pPr>
              <w:pStyle w:val="Textpoznpodarou"/>
              <w:jc w:val="both"/>
              <w:rPr>
                <w:color w:val="000000" w:themeColor="text1"/>
                <w:spacing w:val="-2"/>
              </w:rPr>
            </w:pPr>
          </w:p>
        </w:tc>
        <w:tc>
          <w:tcPr>
            <w:tcW w:w="3765" w:type="pct"/>
          </w:tcPr>
          <w:p w:rsidR="00905A11" w:rsidRPr="00532E6C" w:rsidRDefault="00862DA0" w:rsidP="00611531">
            <w:pPr>
              <w:pStyle w:val="Textpoznpodarou"/>
              <w:jc w:val="both"/>
              <w:rPr>
                <w:color w:val="000000"/>
                <w:spacing w:val="-4"/>
                <w:lang w:val="en-GB"/>
              </w:rPr>
            </w:pPr>
            <w:r w:rsidRPr="00532E6C">
              <w:rPr>
                <w:color w:val="000000"/>
                <w:spacing w:val="-4"/>
                <w:lang w:val="en-GB"/>
              </w:rPr>
              <w:t>Manufacturing of motor vehicles played a dominant role (similarly to years of the strongest business cycle peak</w:t>
            </w:r>
            <w:r w:rsidR="00656312" w:rsidRPr="00532E6C">
              <w:rPr>
                <w:color w:val="000000"/>
                <w:spacing w:val="-4"/>
                <w:lang w:val="en-GB"/>
              </w:rPr>
              <w:t>)</w:t>
            </w:r>
            <w:r w:rsidR="00905A11" w:rsidRPr="00532E6C">
              <w:rPr>
                <w:color w:val="000000"/>
                <w:spacing w:val="-4"/>
                <w:lang w:val="en-GB"/>
              </w:rPr>
              <w:t xml:space="preserve"> </w:t>
            </w:r>
            <w:r w:rsidRPr="00532E6C">
              <w:rPr>
                <w:color w:val="000000"/>
                <w:spacing w:val="-4"/>
                <w:lang w:val="en-GB"/>
              </w:rPr>
              <w:t>when it contributed by nearly one half to the</w:t>
            </w:r>
            <w:r w:rsidR="00E63F4B" w:rsidRPr="00532E6C">
              <w:rPr>
                <w:color w:val="000000"/>
                <w:spacing w:val="-4"/>
                <w:lang w:val="en-GB"/>
              </w:rPr>
              <w:t xml:space="preserve"> </w:t>
            </w:r>
            <w:r w:rsidRPr="00532E6C">
              <w:rPr>
                <w:color w:val="000000"/>
                <w:spacing w:val="-4"/>
                <w:lang w:val="en-GB"/>
              </w:rPr>
              <w:t xml:space="preserve">year-on-year growth in the whole industry in </w:t>
            </w:r>
            <w:r w:rsidR="00905A11" w:rsidRPr="00532E6C">
              <w:rPr>
                <w:color w:val="000000"/>
                <w:spacing w:val="-4"/>
                <w:lang w:val="en-GB"/>
              </w:rPr>
              <w:t>2015 (</w:t>
            </w:r>
            <w:r w:rsidR="006D5C8C" w:rsidRPr="00532E6C">
              <w:rPr>
                <w:color w:val="000000"/>
                <w:spacing w:val="-4"/>
                <w:lang w:val="en-GB"/>
              </w:rPr>
              <w:t xml:space="preserve">main sub-supplier activities then added a quarter in the sum – manufacturing of electrical </w:t>
            </w:r>
            <w:r w:rsidR="007F2953" w:rsidRPr="00532E6C">
              <w:rPr>
                <w:color w:val="000000"/>
                <w:spacing w:val="-4"/>
                <w:lang w:val="en-GB"/>
              </w:rPr>
              <w:t>appliances</w:t>
            </w:r>
            <w:r w:rsidR="006D5C8C" w:rsidRPr="00532E6C">
              <w:rPr>
                <w:color w:val="000000"/>
                <w:spacing w:val="-4"/>
                <w:lang w:val="en-GB"/>
              </w:rPr>
              <w:t xml:space="preserve"> and manufacturing of rubber and plastic products</w:t>
            </w:r>
            <w:r w:rsidR="00905A11" w:rsidRPr="00532E6C">
              <w:rPr>
                <w:color w:val="000000"/>
                <w:spacing w:val="-4"/>
                <w:lang w:val="en-GB"/>
              </w:rPr>
              <w:t xml:space="preserve">). </w:t>
            </w:r>
            <w:r w:rsidR="0000191C" w:rsidRPr="00532E6C">
              <w:rPr>
                <w:color w:val="000000"/>
                <w:spacing w:val="-4"/>
                <w:lang w:val="en-GB"/>
              </w:rPr>
              <w:t xml:space="preserve">The production of motor vehicle manufacturers grew the most dynamically </w:t>
            </w:r>
            <w:r w:rsidR="00905A11" w:rsidRPr="00532E6C">
              <w:rPr>
                <w:color w:val="000000"/>
                <w:spacing w:val="-4"/>
                <w:lang w:val="en-GB"/>
              </w:rPr>
              <w:t>(+11</w:t>
            </w:r>
            <w:r w:rsidR="0000191C" w:rsidRPr="00532E6C">
              <w:rPr>
                <w:color w:val="000000"/>
                <w:spacing w:val="-4"/>
                <w:lang w:val="en-GB"/>
              </w:rPr>
              <w:t>.</w:t>
            </w:r>
            <w:r w:rsidR="0023629A" w:rsidRPr="00532E6C">
              <w:rPr>
                <w:color w:val="000000"/>
                <w:spacing w:val="-4"/>
                <w:lang w:val="en-GB"/>
              </w:rPr>
              <w:t>5</w:t>
            </w:r>
            <w:r w:rsidR="00905A11" w:rsidRPr="00532E6C">
              <w:rPr>
                <w:color w:val="000000"/>
                <w:spacing w:val="-4"/>
                <w:lang w:val="en-GB"/>
              </w:rPr>
              <w:t>%)</w:t>
            </w:r>
            <w:r w:rsidR="00DE3A72" w:rsidRPr="00532E6C">
              <w:rPr>
                <w:color w:val="000000"/>
                <w:spacing w:val="-4"/>
                <w:lang w:val="en-GB"/>
              </w:rPr>
              <w:t xml:space="preserve"> among specialized manufacturing branches</w:t>
            </w:r>
            <w:r w:rsidR="00905A11" w:rsidRPr="00532E6C">
              <w:rPr>
                <w:color w:val="000000"/>
                <w:spacing w:val="-4"/>
                <w:lang w:val="en-GB"/>
              </w:rPr>
              <w:t xml:space="preserve">. </w:t>
            </w:r>
            <w:r w:rsidR="0000191C" w:rsidRPr="00532E6C">
              <w:rPr>
                <w:color w:val="000000"/>
                <w:spacing w:val="-4"/>
                <w:lang w:val="en-GB"/>
              </w:rPr>
              <w:t>The record of the number of manufacture</w:t>
            </w:r>
            <w:r w:rsidR="002A5C4A" w:rsidRPr="00532E6C">
              <w:rPr>
                <w:color w:val="000000"/>
                <w:spacing w:val="-4"/>
                <w:lang w:val="en-GB"/>
              </w:rPr>
              <w:t>d</w:t>
            </w:r>
            <w:r w:rsidR="0079008B" w:rsidRPr="00532E6C">
              <w:rPr>
                <w:color w:val="000000"/>
                <w:spacing w:val="-4"/>
                <w:lang w:val="en-GB"/>
              </w:rPr>
              <w:t xml:space="preserve"> passenger</w:t>
            </w:r>
            <w:r w:rsidR="0000191C" w:rsidRPr="00532E6C">
              <w:rPr>
                <w:color w:val="000000"/>
                <w:spacing w:val="-4"/>
                <w:lang w:val="en-GB"/>
              </w:rPr>
              <w:t xml:space="preserve"> vehicles was exceeded, but manufacturers of buses and trucks also fared well. On the contrary, the production of computers, </w:t>
            </w:r>
            <w:r w:rsidR="0000191C" w:rsidRPr="00532E6C">
              <w:rPr>
                <w:color w:val="000000"/>
                <w:spacing w:val="-4"/>
                <w:lang w:val="en-GB"/>
              </w:rPr>
              <w:lastRenderedPageBreak/>
              <w:t>electronic and optical appliances,</w:t>
            </w:r>
            <w:r w:rsidR="002A5C4A" w:rsidRPr="00532E6C">
              <w:rPr>
                <w:color w:val="000000"/>
                <w:spacing w:val="-4"/>
                <w:lang w:val="en-GB"/>
              </w:rPr>
              <w:t xml:space="preserve"> </w:t>
            </w:r>
            <w:r w:rsidR="0000191C" w:rsidRPr="00532E6C">
              <w:rPr>
                <w:color w:val="000000"/>
                <w:spacing w:val="-4"/>
                <w:lang w:val="en-GB"/>
              </w:rPr>
              <w:t xml:space="preserve">which represented the most dynamic </w:t>
            </w:r>
            <w:r w:rsidR="0079008B" w:rsidRPr="00532E6C">
              <w:rPr>
                <w:color w:val="000000"/>
                <w:spacing w:val="-4"/>
                <w:lang w:val="en-GB"/>
              </w:rPr>
              <w:t xml:space="preserve">industrial </w:t>
            </w:r>
            <w:r w:rsidR="0000191C" w:rsidRPr="00532E6C">
              <w:rPr>
                <w:color w:val="000000"/>
                <w:spacing w:val="-4"/>
                <w:lang w:val="en-GB"/>
              </w:rPr>
              <w:t xml:space="preserve">activity in the two preceding years, slowed down during the year </w:t>
            </w:r>
            <w:r w:rsidR="00905A11" w:rsidRPr="00532E6C">
              <w:rPr>
                <w:color w:val="000000"/>
                <w:spacing w:val="-4"/>
                <w:lang w:val="en-GB"/>
              </w:rPr>
              <w:t>(</w:t>
            </w:r>
            <w:r w:rsidR="0000191C" w:rsidRPr="00532E6C">
              <w:rPr>
                <w:color w:val="000000"/>
                <w:spacing w:val="-4"/>
                <w:lang w:val="en-GB"/>
              </w:rPr>
              <w:t xml:space="preserve">from </w:t>
            </w:r>
            <w:r w:rsidR="00905A11" w:rsidRPr="00532E6C">
              <w:rPr>
                <w:color w:val="000000"/>
                <w:spacing w:val="-4"/>
                <w:lang w:val="en-GB"/>
              </w:rPr>
              <w:t>8</w:t>
            </w:r>
            <w:r w:rsidR="0000191C" w:rsidRPr="00532E6C">
              <w:rPr>
                <w:color w:val="000000"/>
                <w:spacing w:val="-4"/>
                <w:lang w:val="en-GB"/>
              </w:rPr>
              <w:t>.</w:t>
            </w:r>
            <w:r w:rsidR="0023629A" w:rsidRPr="00532E6C">
              <w:rPr>
                <w:color w:val="000000"/>
                <w:spacing w:val="-4"/>
                <w:lang w:val="en-GB"/>
              </w:rPr>
              <w:t>4</w:t>
            </w:r>
            <w:r w:rsidR="00905A11" w:rsidRPr="00532E6C">
              <w:rPr>
                <w:color w:val="000000"/>
                <w:spacing w:val="-4"/>
                <w:lang w:val="en-GB"/>
              </w:rPr>
              <w:t xml:space="preserve">% </w:t>
            </w:r>
            <w:r w:rsidR="0000191C" w:rsidRPr="00532E6C">
              <w:rPr>
                <w:color w:val="000000"/>
                <w:spacing w:val="-4"/>
                <w:lang w:val="en-GB"/>
              </w:rPr>
              <w:t>in Q</w:t>
            </w:r>
            <w:r w:rsidR="00905A11" w:rsidRPr="00532E6C">
              <w:rPr>
                <w:color w:val="000000"/>
                <w:spacing w:val="-4"/>
                <w:lang w:val="en-GB"/>
              </w:rPr>
              <w:t>1</w:t>
            </w:r>
            <w:r w:rsidR="0079008B" w:rsidRPr="00532E6C">
              <w:rPr>
                <w:color w:val="000000"/>
                <w:spacing w:val="-4"/>
                <w:lang w:val="en-GB"/>
              </w:rPr>
              <w:t xml:space="preserve"> to</w:t>
            </w:r>
            <w:r w:rsidR="0000191C" w:rsidRPr="00532E6C">
              <w:rPr>
                <w:color w:val="000000"/>
                <w:spacing w:val="-4"/>
                <w:lang w:val="en-GB"/>
              </w:rPr>
              <w:t xml:space="preserve"> stagnation at the end of the year</w:t>
            </w:r>
            <w:r w:rsidR="00905A11" w:rsidRPr="00532E6C">
              <w:rPr>
                <w:color w:val="000000"/>
                <w:spacing w:val="-4"/>
                <w:lang w:val="en-GB"/>
              </w:rPr>
              <w:t xml:space="preserve">). </w:t>
            </w:r>
            <w:r w:rsidR="003523CC" w:rsidRPr="00532E6C">
              <w:rPr>
                <w:color w:val="000000"/>
                <w:spacing w:val="-4"/>
                <w:lang w:val="en-GB"/>
              </w:rPr>
              <w:t xml:space="preserve">Metallurgy and especially the chemical industry also faced adverse tendencies during 2015, when their production weakened by more </w:t>
            </w:r>
            <w:r w:rsidR="002A5C4A" w:rsidRPr="00532E6C">
              <w:rPr>
                <w:color w:val="000000"/>
                <w:spacing w:val="-4"/>
                <w:lang w:val="en-GB"/>
              </w:rPr>
              <w:t xml:space="preserve">than </w:t>
            </w:r>
            <w:r w:rsidR="0023629A" w:rsidRPr="00532E6C">
              <w:rPr>
                <w:color w:val="000000"/>
                <w:spacing w:val="-4"/>
                <w:lang w:val="en-GB"/>
              </w:rPr>
              <w:t>4</w:t>
            </w:r>
            <w:r w:rsidR="006B23A9" w:rsidRPr="00532E6C">
              <w:rPr>
                <w:color w:val="000000"/>
                <w:spacing w:val="-4"/>
                <w:lang w:val="en-GB"/>
              </w:rPr>
              <w:t>%</w:t>
            </w:r>
            <w:r w:rsidR="003523CC" w:rsidRPr="00532E6C">
              <w:rPr>
                <w:color w:val="000000"/>
                <w:spacing w:val="-4"/>
                <w:lang w:val="en-GB"/>
              </w:rPr>
              <w:t xml:space="preserve"> and </w:t>
            </w:r>
            <w:r w:rsidR="00905A11" w:rsidRPr="00532E6C">
              <w:rPr>
                <w:color w:val="000000"/>
                <w:spacing w:val="-4"/>
                <w:lang w:val="en-GB"/>
              </w:rPr>
              <w:t>13%</w:t>
            </w:r>
            <w:r w:rsidR="003523CC" w:rsidRPr="00532E6C">
              <w:rPr>
                <w:color w:val="000000"/>
                <w:spacing w:val="-4"/>
                <w:lang w:val="en-GB"/>
              </w:rPr>
              <w:t xml:space="preserve"> resp. </w:t>
            </w:r>
            <w:r w:rsidR="00751D40" w:rsidRPr="00532E6C">
              <w:rPr>
                <w:color w:val="000000"/>
                <w:spacing w:val="-4"/>
                <w:lang w:val="en-GB"/>
              </w:rPr>
              <w:t>year-o</w:t>
            </w:r>
            <w:r w:rsidR="007F2953" w:rsidRPr="00532E6C">
              <w:rPr>
                <w:color w:val="000000"/>
                <w:spacing w:val="-4"/>
                <w:lang w:val="en-GB"/>
              </w:rPr>
              <w:t>n-year in H2</w:t>
            </w:r>
            <w:r w:rsidR="00905A11" w:rsidRPr="00532E6C">
              <w:rPr>
                <w:color w:val="000000"/>
                <w:spacing w:val="-4"/>
                <w:lang w:val="en-GB"/>
              </w:rPr>
              <w:t xml:space="preserve">. </w:t>
            </w:r>
            <w:r w:rsidR="002A5C4A" w:rsidRPr="00532E6C">
              <w:rPr>
                <w:color w:val="000000"/>
                <w:spacing w:val="-4"/>
                <w:lang w:val="en-GB"/>
              </w:rPr>
              <w:t>T</w:t>
            </w:r>
            <w:r w:rsidR="007F2953" w:rsidRPr="00532E6C">
              <w:rPr>
                <w:color w:val="000000"/>
                <w:spacing w:val="-4"/>
                <w:lang w:val="en-GB"/>
              </w:rPr>
              <w:t xml:space="preserve">he production grew by mild but stable pace in the branches significant by weight and internally diversified – machinery and also the food industry </w:t>
            </w:r>
            <w:r w:rsidR="00905A11" w:rsidRPr="00532E6C">
              <w:rPr>
                <w:color w:val="000000"/>
                <w:spacing w:val="-4"/>
                <w:lang w:val="en-GB"/>
              </w:rPr>
              <w:t>(</w:t>
            </w:r>
            <w:r w:rsidR="007F2953" w:rsidRPr="00532E6C">
              <w:rPr>
                <w:color w:val="000000"/>
                <w:spacing w:val="-4"/>
                <w:lang w:val="en-GB"/>
              </w:rPr>
              <w:t xml:space="preserve">where the growth of </w:t>
            </w:r>
            <w:r w:rsidR="00905A11" w:rsidRPr="00532E6C">
              <w:rPr>
                <w:color w:val="000000"/>
                <w:spacing w:val="-4"/>
                <w:lang w:val="en-GB"/>
              </w:rPr>
              <w:t>4</w:t>
            </w:r>
            <w:r w:rsidR="007F2953" w:rsidRPr="00532E6C">
              <w:rPr>
                <w:color w:val="000000"/>
                <w:spacing w:val="-4"/>
                <w:lang w:val="en-GB"/>
              </w:rPr>
              <w:t>.</w:t>
            </w:r>
            <w:r w:rsidR="0023629A" w:rsidRPr="00532E6C">
              <w:rPr>
                <w:color w:val="000000"/>
                <w:spacing w:val="-4"/>
                <w:lang w:val="en-GB"/>
              </w:rPr>
              <w:t>6</w:t>
            </w:r>
            <w:r w:rsidR="00905A11" w:rsidRPr="00532E6C">
              <w:rPr>
                <w:color w:val="000000"/>
                <w:spacing w:val="-4"/>
                <w:lang w:val="en-GB"/>
              </w:rPr>
              <w:t>%</w:t>
            </w:r>
            <w:r w:rsidR="007F2953" w:rsidRPr="00532E6C">
              <w:rPr>
                <w:color w:val="000000"/>
                <w:spacing w:val="-4"/>
                <w:lang w:val="en-GB"/>
              </w:rPr>
              <w:t xml:space="preserve"> presented the highest dynamics after year </w:t>
            </w:r>
            <w:r w:rsidR="00905A11" w:rsidRPr="00532E6C">
              <w:rPr>
                <w:color w:val="000000"/>
                <w:spacing w:val="-4"/>
                <w:lang w:val="en-GB"/>
              </w:rPr>
              <w:t>2001).</w:t>
            </w:r>
          </w:p>
          <w:p w:rsidR="00905A11" w:rsidRPr="00532E6C" w:rsidRDefault="00905A11" w:rsidP="00611531">
            <w:pPr>
              <w:pStyle w:val="Textpoznpodarou"/>
              <w:jc w:val="both"/>
              <w:rPr>
                <w:color w:val="000000" w:themeColor="text1"/>
                <w:spacing w:val="-4"/>
                <w:sz w:val="14"/>
                <w:szCs w:val="14"/>
              </w:rPr>
            </w:pPr>
          </w:p>
        </w:tc>
      </w:tr>
      <w:tr w:rsidR="00905A11" w:rsidTr="00611531">
        <w:tc>
          <w:tcPr>
            <w:tcW w:w="1090" w:type="pct"/>
          </w:tcPr>
          <w:p w:rsidR="00905A11" w:rsidRPr="00921370" w:rsidRDefault="00921370" w:rsidP="00611531">
            <w:pPr>
              <w:spacing w:line="240" w:lineRule="auto"/>
              <w:rPr>
                <w:sz w:val="16"/>
                <w:szCs w:val="16"/>
                <w:lang w:val="en-GB"/>
              </w:rPr>
            </w:pPr>
            <w:r w:rsidRPr="00921370">
              <w:rPr>
                <w:sz w:val="16"/>
                <w:szCs w:val="16"/>
                <w:lang w:val="en-GB"/>
              </w:rPr>
              <w:lastRenderedPageBreak/>
              <w:t xml:space="preserve">Higher demand from abroad assisted the first </w:t>
            </w:r>
            <w:r w:rsidR="002A5C4A">
              <w:rPr>
                <w:sz w:val="16"/>
                <w:szCs w:val="16"/>
                <w:lang w:val="en-GB"/>
              </w:rPr>
              <w:t>r</w:t>
            </w:r>
            <w:r w:rsidRPr="00921370">
              <w:rPr>
                <w:sz w:val="16"/>
                <w:szCs w:val="16"/>
                <w:lang w:val="en-GB"/>
              </w:rPr>
              <w:t xml:space="preserve">ecovery of the clothing industry after ten years </w:t>
            </w:r>
          </w:p>
          <w:p w:rsidR="00905A11" w:rsidRPr="00921370" w:rsidRDefault="00905A11" w:rsidP="00611531">
            <w:pPr>
              <w:spacing w:line="240" w:lineRule="auto"/>
              <w:rPr>
                <w:sz w:val="16"/>
                <w:szCs w:val="16"/>
                <w:lang w:val="en-GB"/>
              </w:rPr>
            </w:pPr>
          </w:p>
          <w:p w:rsidR="00905A11" w:rsidRPr="00921370" w:rsidRDefault="00905A11" w:rsidP="00611531">
            <w:pPr>
              <w:spacing w:line="240" w:lineRule="auto"/>
              <w:rPr>
                <w:sz w:val="16"/>
                <w:szCs w:val="16"/>
                <w:lang w:val="en-GB"/>
              </w:rPr>
            </w:pPr>
          </w:p>
          <w:p w:rsidR="00921370" w:rsidRPr="00921370" w:rsidRDefault="00921370" w:rsidP="00921370">
            <w:pPr>
              <w:spacing w:line="240" w:lineRule="auto"/>
              <w:rPr>
                <w:sz w:val="16"/>
                <w:szCs w:val="16"/>
                <w:lang w:val="en-GB"/>
              </w:rPr>
            </w:pPr>
            <w:r w:rsidRPr="00921370">
              <w:rPr>
                <w:sz w:val="16"/>
                <w:szCs w:val="16"/>
                <w:lang w:val="en-GB"/>
              </w:rPr>
              <w:t xml:space="preserve">Nearly half of manufacturing activities still did not reach the level of real production from the peak of the business cycle, however it was already by nearly two thirds higher for motor vehicle producers </w:t>
            </w:r>
          </w:p>
          <w:p w:rsidR="00905A11" w:rsidRPr="00DA1318" w:rsidRDefault="00905A11" w:rsidP="00611531">
            <w:pPr>
              <w:spacing w:line="240" w:lineRule="auto"/>
              <w:rPr>
                <w:sz w:val="16"/>
                <w:szCs w:val="16"/>
              </w:rPr>
            </w:pPr>
          </w:p>
        </w:tc>
        <w:tc>
          <w:tcPr>
            <w:tcW w:w="145" w:type="pct"/>
          </w:tcPr>
          <w:p w:rsidR="00905A11" w:rsidRDefault="00905A11" w:rsidP="00611531">
            <w:pPr>
              <w:pStyle w:val="Textpoznpodarou"/>
              <w:jc w:val="both"/>
              <w:rPr>
                <w:spacing w:val="-2"/>
              </w:rPr>
            </w:pPr>
          </w:p>
        </w:tc>
        <w:tc>
          <w:tcPr>
            <w:tcW w:w="3765" w:type="pct"/>
          </w:tcPr>
          <w:p w:rsidR="00905A11" w:rsidRPr="00EF68CC" w:rsidRDefault="006E0F26" w:rsidP="00611531">
            <w:pPr>
              <w:pStyle w:val="Textpoznpodarou"/>
              <w:jc w:val="both"/>
              <w:rPr>
                <w:color w:val="000000" w:themeColor="text1"/>
                <w:spacing w:val="-4"/>
                <w:lang w:val="en-GB"/>
              </w:rPr>
            </w:pPr>
            <w:r w:rsidRPr="00EF68CC">
              <w:rPr>
                <w:color w:val="000000"/>
                <w:spacing w:val="-4"/>
                <w:lang w:val="en-GB"/>
              </w:rPr>
              <w:t xml:space="preserve">The majority of smaller, mostly branches in decline in the long-run also achieved a higher </w:t>
            </w:r>
            <w:r w:rsidR="00171ABF" w:rsidRPr="00EF68CC">
              <w:rPr>
                <w:color w:val="000000"/>
                <w:spacing w:val="-4"/>
                <w:lang w:val="en-GB"/>
              </w:rPr>
              <w:t>production</w:t>
            </w:r>
            <w:r w:rsidR="0062076A">
              <w:rPr>
                <w:color w:val="000000"/>
                <w:spacing w:val="-4"/>
                <w:lang w:val="en-GB"/>
              </w:rPr>
              <w:t xml:space="preserve"> in 2015</w:t>
            </w:r>
            <w:r w:rsidR="00171ABF" w:rsidRPr="00EF68CC">
              <w:rPr>
                <w:color w:val="000000"/>
                <w:spacing w:val="-4"/>
                <w:lang w:val="en-GB"/>
              </w:rPr>
              <w:t xml:space="preserve">. And it was the first growth </w:t>
            </w:r>
            <w:r w:rsidR="00905A11" w:rsidRPr="00EF68CC">
              <w:rPr>
                <w:color w:val="000000"/>
                <w:spacing w:val="-4"/>
                <w:lang w:val="en-GB"/>
              </w:rPr>
              <w:t>(</w:t>
            </w:r>
            <w:r w:rsidR="00171ABF" w:rsidRPr="00EF68CC">
              <w:rPr>
                <w:color w:val="000000"/>
                <w:spacing w:val="-4"/>
                <w:lang w:val="en-GB"/>
              </w:rPr>
              <w:t xml:space="preserve">by </w:t>
            </w:r>
            <w:r w:rsidR="00905A11" w:rsidRPr="00EF68CC">
              <w:rPr>
                <w:color w:val="000000"/>
                <w:spacing w:val="-4"/>
                <w:lang w:val="en-GB"/>
              </w:rPr>
              <w:t>10</w:t>
            </w:r>
            <w:r w:rsidR="00171ABF" w:rsidRPr="00EF68CC">
              <w:rPr>
                <w:color w:val="000000"/>
                <w:spacing w:val="-4"/>
                <w:lang w:val="en-GB"/>
              </w:rPr>
              <w:t>.</w:t>
            </w:r>
            <w:r w:rsidR="00905A11" w:rsidRPr="00EF68CC">
              <w:rPr>
                <w:color w:val="000000"/>
                <w:spacing w:val="-4"/>
                <w:lang w:val="en-GB"/>
              </w:rPr>
              <w:t>7</w:t>
            </w:r>
            <w:r w:rsidR="0023629A">
              <w:rPr>
                <w:color w:val="000000"/>
                <w:spacing w:val="-4"/>
                <w:lang w:val="en-GB"/>
              </w:rPr>
              <w:t>%</w:t>
            </w:r>
            <w:r w:rsidR="00905A11" w:rsidRPr="00EF68CC">
              <w:rPr>
                <w:color w:val="000000"/>
                <w:spacing w:val="-4"/>
                <w:lang w:val="en-GB"/>
              </w:rPr>
              <w:t xml:space="preserve">) </w:t>
            </w:r>
            <w:r w:rsidR="00171ABF" w:rsidRPr="00EF68CC">
              <w:rPr>
                <w:color w:val="000000"/>
                <w:spacing w:val="-4"/>
                <w:lang w:val="en-GB"/>
              </w:rPr>
              <w:t>after ten years for the producers of clothing, who benefited from the foreign demand. The development of some specialised segments of this activity could contribute to this turn (</w:t>
            </w:r>
            <w:r w:rsidR="00EF68CC" w:rsidRPr="00EF68CC">
              <w:rPr>
                <w:color w:val="000000"/>
                <w:spacing w:val="-4"/>
                <w:lang w:val="en-GB"/>
              </w:rPr>
              <w:t>e.g.</w:t>
            </w:r>
            <w:r w:rsidR="000B76DE">
              <w:rPr>
                <w:color w:val="000000"/>
                <w:spacing w:val="-4"/>
                <w:lang w:val="en-GB"/>
              </w:rPr>
              <w:t xml:space="preserve"> the work</w:t>
            </w:r>
            <w:r w:rsidR="00171ABF" w:rsidRPr="00EF68CC">
              <w:rPr>
                <w:color w:val="000000"/>
                <w:spacing w:val="-4"/>
                <w:lang w:val="en-GB"/>
              </w:rPr>
              <w:t xml:space="preserve"> or sport clothing</w:t>
            </w:r>
            <w:r w:rsidR="00905A11" w:rsidRPr="00EF68CC">
              <w:rPr>
                <w:color w:val="000000"/>
                <w:spacing w:val="-4"/>
                <w:lang w:val="en-GB"/>
              </w:rPr>
              <w:t xml:space="preserve">). </w:t>
            </w:r>
            <w:r w:rsidR="00171ABF" w:rsidRPr="00622BFE">
              <w:rPr>
                <w:color w:val="000000" w:themeColor="text1"/>
                <w:spacing w:val="-4"/>
                <w:lang w:val="en-GB"/>
              </w:rPr>
              <w:t xml:space="preserve">The </w:t>
            </w:r>
            <w:r w:rsidR="002A5C4A" w:rsidRPr="00622BFE">
              <w:rPr>
                <w:color w:val="000000" w:themeColor="text1"/>
                <w:spacing w:val="-4"/>
                <w:lang w:val="en-GB"/>
              </w:rPr>
              <w:t>r</w:t>
            </w:r>
            <w:r w:rsidR="00171ABF" w:rsidRPr="00622BFE">
              <w:rPr>
                <w:color w:val="000000" w:themeColor="text1"/>
                <w:spacing w:val="-4"/>
                <w:lang w:val="en-GB"/>
              </w:rPr>
              <w:t>ecovery in the</w:t>
            </w:r>
            <w:r w:rsidR="00171ABF" w:rsidRPr="00EF68CC">
              <w:rPr>
                <w:color w:val="000000"/>
                <w:spacing w:val="-4"/>
                <w:lang w:val="en-GB"/>
              </w:rPr>
              <w:t xml:space="preserve"> textile, paper or furniture industry </w:t>
            </w:r>
            <w:r w:rsidR="00EF68CC" w:rsidRPr="00EF68CC">
              <w:rPr>
                <w:color w:val="000000"/>
                <w:spacing w:val="-4"/>
                <w:lang w:val="en-GB"/>
              </w:rPr>
              <w:t xml:space="preserve">lasts for nearly three years. </w:t>
            </w:r>
            <w:r w:rsidR="00171ABF" w:rsidRPr="00EF68CC">
              <w:rPr>
                <w:color w:val="000000"/>
                <w:spacing w:val="-4"/>
                <w:lang w:val="en-GB"/>
              </w:rPr>
              <w:t xml:space="preserve"> </w:t>
            </w:r>
            <w:r w:rsidR="00EF68CC" w:rsidRPr="00EF68CC">
              <w:rPr>
                <w:color w:val="000000"/>
                <w:spacing w:val="-4"/>
                <w:lang w:val="en-GB"/>
              </w:rPr>
              <w:t>On the contrary, the production did not increase in the printing and wood industry as the only manufacturing activities since the end of the last recession in the economy</w:t>
            </w:r>
            <w:r w:rsidR="00905A11" w:rsidRPr="00EF68CC">
              <w:rPr>
                <w:color w:val="000000" w:themeColor="text1"/>
                <w:spacing w:val="-4"/>
                <w:lang w:val="en-GB"/>
              </w:rPr>
              <w:t xml:space="preserve"> (</w:t>
            </w:r>
            <w:r w:rsidR="00EF68CC" w:rsidRPr="00EF68CC">
              <w:rPr>
                <w:color w:val="000000" w:themeColor="text1"/>
                <w:spacing w:val="-4"/>
                <w:lang w:val="en-GB"/>
              </w:rPr>
              <w:t xml:space="preserve">it was similarly by nearly </w:t>
            </w:r>
            <w:r w:rsidR="00380CDB">
              <w:rPr>
                <w:color w:val="000000" w:themeColor="text1"/>
                <w:spacing w:val="-4"/>
                <w:lang w:val="en-GB"/>
              </w:rPr>
              <w:t xml:space="preserve">5% </w:t>
            </w:r>
            <w:r w:rsidR="00EF68CC" w:rsidRPr="00EF68CC">
              <w:rPr>
                <w:color w:val="000000" w:themeColor="text1"/>
                <w:spacing w:val="-4"/>
                <w:lang w:val="en-GB"/>
              </w:rPr>
              <w:t>lower compared to year 2013</w:t>
            </w:r>
            <w:r w:rsidR="00905A11" w:rsidRPr="00EF68CC">
              <w:rPr>
                <w:color w:val="000000" w:themeColor="text1"/>
                <w:spacing w:val="-4"/>
                <w:lang w:val="en-GB"/>
              </w:rPr>
              <w:t xml:space="preserve">). </w:t>
            </w:r>
            <w:r w:rsidR="00340D97">
              <w:rPr>
                <w:color w:val="000000" w:themeColor="text1"/>
                <w:spacing w:val="-4"/>
                <w:lang w:val="en-GB"/>
              </w:rPr>
              <w:t xml:space="preserve">Even though the production of the whole industry exceeded the level reached seven years ago by nearly </w:t>
            </w:r>
            <w:r w:rsidR="008E2F41">
              <w:rPr>
                <w:color w:val="000000" w:themeColor="text1"/>
                <w:spacing w:val="-4"/>
                <w:lang w:val="en-GB"/>
              </w:rPr>
              <w:t>8</w:t>
            </w:r>
            <w:r w:rsidR="00905A11" w:rsidRPr="00EF68CC">
              <w:rPr>
                <w:color w:val="000000" w:themeColor="text1"/>
                <w:spacing w:val="-4"/>
                <w:lang w:val="en-GB"/>
              </w:rPr>
              <w:t>%</w:t>
            </w:r>
            <w:r w:rsidR="00340D97">
              <w:rPr>
                <w:color w:val="000000" w:themeColor="text1"/>
                <w:spacing w:val="-4"/>
                <w:lang w:val="en-GB"/>
              </w:rPr>
              <w:t xml:space="preserve"> in 2015</w:t>
            </w:r>
            <w:r w:rsidR="00905A11" w:rsidRPr="00EF68CC">
              <w:rPr>
                <w:color w:val="000000" w:themeColor="text1"/>
                <w:spacing w:val="-4"/>
                <w:lang w:val="en-GB"/>
              </w:rPr>
              <w:t xml:space="preserve">, </w:t>
            </w:r>
            <w:r w:rsidR="00340D97">
              <w:rPr>
                <w:color w:val="000000" w:themeColor="text1"/>
                <w:spacing w:val="-4"/>
                <w:lang w:val="en-GB"/>
              </w:rPr>
              <w:t>almost one half of manufacturing</w:t>
            </w:r>
            <w:r w:rsidR="0017660D">
              <w:rPr>
                <w:color w:val="000000" w:themeColor="text1"/>
                <w:spacing w:val="-4"/>
                <w:lang w:val="en-GB"/>
              </w:rPr>
              <w:t xml:space="preserve"> </w:t>
            </w:r>
            <w:r w:rsidR="00B05DCF">
              <w:rPr>
                <w:color w:val="000000" w:themeColor="text1"/>
                <w:spacing w:val="-4"/>
                <w:lang w:val="en-GB"/>
              </w:rPr>
              <w:t>activities have</w:t>
            </w:r>
            <w:r w:rsidR="00340D97">
              <w:rPr>
                <w:color w:val="000000" w:themeColor="text1"/>
                <w:spacing w:val="-4"/>
                <w:lang w:val="en-GB"/>
              </w:rPr>
              <w:t xml:space="preserve"> not reach</w:t>
            </w:r>
            <w:r w:rsidR="00B05DCF">
              <w:rPr>
                <w:color w:val="000000" w:themeColor="text1"/>
                <w:spacing w:val="-4"/>
                <w:lang w:val="en-GB"/>
              </w:rPr>
              <w:t>ed</w:t>
            </w:r>
            <w:r w:rsidR="00340D97">
              <w:rPr>
                <w:color w:val="000000" w:themeColor="text1"/>
                <w:spacing w:val="-4"/>
                <w:lang w:val="en-GB"/>
              </w:rPr>
              <w:t xml:space="preserve"> the level of the business cycle peak yet </w:t>
            </w:r>
            <w:r w:rsidR="00905A11" w:rsidRPr="00EF68CC">
              <w:rPr>
                <w:color w:val="000000" w:themeColor="text1"/>
                <w:spacing w:val="-4"/>
                <w:lang w:val="en-GB"/>
              </w:rPr>
              <w:t>(</w:t>
            </w:r>
            <w:r w:rsidR="00622BFE">
              <w:rPr>
                <w:color w:val="000000" w:themeColor="text1"/>
                <w:spacing w:val="-4"/>
                <w:lang w:val="en-GB"/>
              </w:rPr>
              <w:t>manufacturing</w:t>
            </w:r>
            <w:r w:rsidR="00340D97">
              <w:rPr>
                <w:color w:val="000000" w:themeColor="text1"/>
                <w:spacing w:val="-4"/>
                <w:lang w:val="en-GB"/>
              </w:rPr>
              <w:t xml:space="preserve"> of beverages, clothing and printing industry were one quarter below this level</w:t>
            </w:r>
            <w:r w:rsidR="0017660D">
              <w:rPr>
                <w:color w:val="000000" w:themeColor="text1"/>
                <w:spacing w:val="-4"/>
                <w:lang w:val="en-GB"/>
              </w:rPr>
              <w:t>, among the larger activities it was the chemical industry, metallurgy and manufacturing of other non-metal minerals products</w:t>
            </w:r>
            <w:r w:rsidR="00905A11" w:rsidRPr="00EF68CC">
              <w:rPr>
                <w:color w:val="000000" w:themeColor="text1"/>
                <w:spacing w:val="-4"/>
                <w:lang w:val="en-GB"/>
              </w:rPr>
              <w:t>).</w:t>
            </w:r>
          </w:p>
          <w:p w:rsidR="00905A11" w:rsidRPr="00532E6C" w:rsidRDefault="00905A11" w:rsidP="00611531">
            <w:pPr>
              <w:pStyle w:val="Textpoznpodarou"/>
              <w:jc w:val="both"/>
              <w:rPr>
                <w:spacing w:val="-4"/>
                <w:sz w:val="14"/>
                <w:szCs w:val="14"/>
              </w:rPr>
            </w:pPr>
          </w:p>
        </w:tc>
      </w:tr>
      <w:tr w:rsidR="00905A11" w:rsidTr="00611531">
        <w:trPr>
          <w:trHeight w:val="269"/>
        </w:trPr>
        <w:tc>
          <w:tcPr>
            <w:tcW w:w="1090" w:type="pct"/>
          </w:tcPr>
          <w:p w:rsidR="00905A11" w:rsidRPr="00E8532E" w:rsidRDefault="00E8532E" w:rsidP="00611531">
            <w:pPr>
              <w:spacing w:line="240" w:lineRule="auto"/>
              <w:rPr>
                <w:sz w:val="16"/>
                <w:szCs w:val="16"/>
                <w:lang w:val="en-GB"/>
              </w:rPr>
            </w:pPr>
            <w:r w:rsidRPr="00E8532E">
              <w:rPr>
                <w:sz w:val="16"/>
                <w:szCs w:val="16"/>
                <w:lang w:val="en-GB"/>
              </w:rPr>
              <w:t xml:space="preserve">High year-on-year dynamics of foreign industrial orders prevailed also towards the end of the year, especially for the manufacturers of motor vehicles </w:t>
            </w:r>
          </w:p>
          <w:p w:rsidR="00905A11" w:rsidRPr="000B1183" w:rsidRDefault="00905A11" w:rsidP="00611531">
            <w:pPr>
              <w:spacing w:line="240" w:lineRule="auto"/>
              <w:rPr>
                <w:sz w:val="16"/>
                <w:szCs w:val="16"/>
              </w:rPr>
            </w:pPr>
          </w:p>
          <w:p w:rsidR="00905A11" w:rsidRPr="000B1183" w:rsidRDefault="00905A11" w:rsidP="00611531">
            <w:pPr>
              <w:spacing w:line="240" w:lineRule="auto"/>
              <w:rPr>
                <w:sz w:val="16"/>
                <w:szCs w:val="16"/>
              </w:rPr>
            </w:pPr>
          </w:p>
          <w:p w:rsidR="00905A11" w:rsidRPr="000B1183" w:rsidRDefault="00905A11" w:rsidP="00611531">
            <w:pPr>
              <w:spacing w:line="240" w:lineRule="auto"/>
              <w:rPr>
                <w:sz w:val="16"/>
                <w:szCs w:val="16"/>
              </w:rPr>
            </w:pPr>
          </w:p>
          <w:p w:rsidR="00905A11" w:rsidRPr="00E8532E" w:rsidRDefault="00E8532E" w:rsidP="00E8532E">
            <w:pPr>
              <w:spacing w:line="240" w:lineRule="auto"/>
              <w:rPr>
                <w:sz w:val="16"/>
                <w:szCs w:val="16"/>
                <w:lang w:val="en-GB"/>
              </w:rPr>
            </w:pPr>
            <w:r w:rsidRPr="00E8532E">
              <w:rPr>
                <w:spacing w:val="-2"/>
                <w:sz w:val="16"/>
                <w:szCs w:val="16"/>
                <w:lang w:val="en-GB"/>
              </w:rPr>
              <w:t>The propo</w:t>
            </w:r>
            <w:r w:rsidR="00544422">
              <w:rPr>
                <w:spacing w:val="-2"/>
                <w:sz w:val="16"/>
                <w:szCs w:val="16"/>
                <w:lang w:val="en-GB"/>
              </w:rPr>
              <w:t>rtion of businesses, which stated</w:t>
            </w:r>
            <w:r w:rsidRPr="00E8532E">
              <w:rPr>
                <w:spacing w:val="-2"/>
                <w:sz w:val="16"/>
                <w:szCs w:val="16"/>
                <w:lang w:val="en-GB"/>
              </w:rPr>
              <w:t xml:space="preserve"> the lack of employees as the barrier to</w:t>
            </w:r>
            <w:r>
              <w:rPr>
                <w:spacing w:val="-2"/>
                <w:sz w:val="16"/>
                <w:szCs w:val="16"/>
                <w:lang w:val="en-GB"/>
              </w:rPr>
              <w:t xml:space="preserve"> </w:t>
            </w:r>
            <w:r w:rsidRPr="00E8532E">
              <w:rPr>
                <w:spacing w:val="-2"/>
                <w:sz w:val="16"/>
                <w:szCs w:val="16"/>
                <w:lang w:val="en-GB"/>
              </w:rPr>
              <w:t xml:space="preserve">growth </w:t>
            </w:r>
            <w:r w:rsidR="00544422">
              <w:rPr>
                <w:spacing w:val="-2"/>
                <w:sz w:val="16"/>
                <w:szCs w:val="16"/>
                <w:lang w:val="en-GB"/>
              </w:rPr>
              <w:t xml:space="preserve">(15,4%) </w:t>
            </w:r>
            <w:r w:rsidRPr="00E8532E">
              <w:rPr>
                <w:spacing w:val="-2"/>
                <w:sz w:val="16"/>
                <w:szCs w:val="16"/>
                <w:lang w:val="en-GB"/>
              </w:rPr>
              <w:t xml:space="preserve">was the highest in the last </w:t>
            </w:r>
            <w:r w:rsidR="00905A11" w:rsidRPr="00E8532E">
              <w:rPr>
                <w:spacing w:val="-2"/>
                <w:sz w:val="16"/>
                <w:szCs w:val="16"/>
                <w:lang w:val="en-GB"/>
              </w:rPr>
              <w:t>4</w:t>
            </w:r>
            <w:r w:rsidRPr="00E8532E">
              <w:rPr>
                <w:spacing w:val="-2"/>
                <w:sz w:val="16"/>
                <w:szCs w:val="16"/>
                <w:lang w:val="en-GB"/>
              </w:rPr>
              <w:t>.</w:t>
            </w:r>
            <w:r w:rsidR="00905A11" w:rsidRPr="00E8532E">
              <w:rPr>
                <w:spacing w:val="-2"/>
                <w:sz w:val="16"/>
                <w:szCs w:val="16"/>
                <w:lang w:val="en-GB"/>
              </w:rPr>
              <w:t xml:space="preserve">5 </w:t>
            </w:r>
            <w:r w:rsidRPr="00E8532E">
              <w:rPr>
                <w:spacing w:val="-2"/>
                <w:sz w:val="16"/>
                <w:szCs w:val="16"/>
                <w:lang w:val="en-GB"/>
              </w:rPr>
              <w:t xml:space="preserve">years towards the end of 2015 </w:t>
            </w:r>
          </w:p>
        </w:tc>
        <w:tc>
          <w:tcPr>
            <w:tcW w:w="145" w:type="pct"/>
          </w:tcPr>
          <w:p w:rsidR="00905A11" w:rsidRPr="00636F97" w:rsidRDefault="00905A11" w:rsidP="00611531">
            <w:pPr>
              <w:rPr>
                <w:spacing w:val="-4"/>
                <w:szCs w:val="20"/>
              </w:rPr>
            </w:pPr>
          </w:p>
        </w:tc>
        <w:tc>
          <w:tcPr>
            <w:tcW w:w="3765" w:type="pct"/>
          </w:tcPr>
          <w:p w:rsidR="00905A11" w:rsidRPr="00214C52" w:rsidRDefault="00103D1B" w:rsidP="00611531">
            <w:pPr>
              <w:pStyle w:val="Textpoznpodarou"/>
              <w:jc w:val="both"/>
              <w:rPr>
                <w:color w:val="000000"/>
                <w:spacing w:val="-4"/>
                <w:lang w:val="en-GB"/>
              </w:rPr>
            </w:pPr>
            <w:r w:rsidRPr="00103D1B">
              <w:rPr>
                <w:color w:val="000000"/>
                <w:spacing w:val="-4"/>
                <w:lang w:val="en-GB"/>
              </w:rPr>
              <w:t xml:space="preserve">A stable growth of the foreign orders as well as the results of the business cycle surveys suggest a continuing favourable outlook of the industry in the short-term horizon at least. The value of new orders was year-on-year higher in all months of the </w:t>
            </w:r>
            <w:r w:rsidRPr="002A5C4A">
              <w:rPr>
                <w:color w:val="000000"/>
                <w:spacing w:val="-4"/>
                <w:lang w:val="en-GB"/>
              </w:rPr>
              <w:t xml:space="preserve">year, </w:t>
            </w:r>
            <w:r w:rsidRPr="00B5023C">
              <w:rPr>
                <w:color w:val="000000"/>
                <w:spacing w:val="-4"/>
                <w:lang w:val="en-GB"/>
              </w:rPr>
              <w:t>in spite of their rates of growth not usually reaching the last year’s double digit values. The dynamics did</w:t>
            </w:r>
            <w:r w:rsidR="008E2F41">
              <w:rPr>
                <w:color w:val="000000"/>
                <w:spacing w:val="-4"/>
                <w:lang w:val="en-GB"/>
              </w:rPr>
              <w:t xml:space="preserve"> not abate </w:t>
            </w:r>
            <w:r w:rsidR="00757BF6">
              <w:rPr>
                <w:color w:val="000000"/>
                <w:spacing w:val="-4"/>
                <w:lang w:val="en-GB"/>
              </w:rPr>
              <w:t>in case of the</w:t>
            </w:r>
            <w:r w:rsidRPr="00103D1B">
              <w:rPr>
                <w:color w:val="000000"/>
                <w:spacing w:val="-4"/>
                <w:lang w:val="en-GB"/>
              </w:rPr>
              <w:t xml:space="preserve"> foreign orders even in Q</w:t>
            </w:r>
            <w:r w:rsidR="00905A11" w:rsidRPr="00103D1B">
              <w:rPr>
                <w:color w:val="000000"/>
                <w:spacing w:val="-4"/>
                <w:lang w:val="en-GB"/>
              </w:rPr>
              <w:t>4</w:t>
            </w:r>
            <w:r w:rsidRPr="00103D1B">
              <w:rPr>
                <w:color w:val="000000"/>
                <w:spacing w:val="-4"/>
                <w:lang w:val="en-GB"/>
              </w:rPr>
              <w:t xml:space="preserve"> </w:t>
            </w:r>
            <w:r w:rsidR="00905A11" w:rsidRPr="00103D1B">
              <w:rPr>
                <w:color w:val="000000"/>
                <w:spacing w:val="-4"/>
                <w:lang w:val="en-GB"/>
              </w:rPr>
              <w:t>(+9</w:t>
            </w:r>
            <w:r w:rsidRPr="00103D1B">
              <w:rPr>
                <w:color w:val="000000"/>
                <w:spacing w:val="-4"/>
                <w:lang w:val="en-GB"/>
              </w:rPr>
              <w:t>.</w:t>
            </w:r>
            <w:r w:rsidR="00905A11" w:rsidRPr="00103D1B">
              <w:rPr>
                <w:color w:val="000000"/>
                <w:spacing w:val="-4"/>
                <w:lang w:val="en-GB"/>
              </w:rPr>
              <w:t>2%</w:t>
            </w:r>
            <w:r w:rsidR="00757BF6">
              <w:rPr>
                <w:color w:val="000000"/>
                <w:spacing w:val="-4"/>
                <w:lang w:val="en-GB"/>
              </w:rPr>
              <w:t xml:space="preserve"> for whole industry,</w:t>
            </w:r>
            <w:r w:rsidR="00905A11" w:rsidRPr="00103D1B">
              <w:rPr>
                <w:color w:val="000000"/>
                <w:spacing w:val="-4"/>
                <w:lang w:val="en-GB"/>
              </w:rPr>
              <w:t xml:space="preserve"> </w:t>
            </w:r>
            <w:r w:rsidRPr="00103D1B">
              <w:rPr>
                <w:color w:val="000000"/>
                <w:spacing w:val="-4"/>
                <w:lang w:val="en-GB"/>
              </w:rPr>
              <w:t xml:space="preserve">it strengthened even to </w:t>
            </w:r>
            <w:r w:rsidR="00905A11" w:rsidRPr="00103D1B">
              <w:rPr>
                <w:color w:val="000000"/>
                <w:spacing w:val="-4"/>
                <w:lang w:val="en-GB"/>
              </w:rPr>
              <w:t>21</w:t>
            </w:r>
            <w:r w:rsidRPr="00103D1B">
              <w:rPr>
                <w:color w:val="000000"/>
                <w:spacing w:val="-4"/>
                <w:lang w:val="en-GB"/>
              </w:rPr>
              <w:t>.</w:t>
            </w:r>
            <w:r w:rsidR="008E2F41">
              <w:rPr>
                <w:color w:val="000000"/>
                <w:spacing w:val="-4"/>
                <w:lang w:val="en-GB"/>
              </w:rPr>
              <w:t>5</w:t>
            </w:r>
            <w:r w:rsidR="00905A11" w:rsidRPr="00103D1B">
              <w:rPr>
                <w:color w:val="000000"/>
                <w:spacing w:val="-4"/>
                <w:lang w:val="en-GB"/>
              </w:rPr>
              <w:t>%</w:t>
            </w:r>
            <w:r w:rsidRPr="00103D1B">
              <w:rPr>
                <w:color w:val="000000"/>
                <w:spacing w:val="-4"/>
                <w:lang w:val="en-GB"/>
              </w:rPr>
              <w:t xml:space="preserve"> for the manufacturers of motor vehicles</w:t>
            </w:r>
            <w:r w:rsidR="00905A11" w:rsidRPr="00103D1B">
              <w:rPr>
                <w:color w:val="000000"/>
                <w:spacing w:val="-4"/>
                <w:lang w:val="en-GB"/>
              </w:rPr>
              <w:t>).</w:t>
            </w:r>
            <w:r w:rsidR="00905A11">
              <w:rPr>
                <w:color w:val="000000"/>
                <w:spacing w:val="-4"/>
              </w:rPr>
              <w:t xml:space="preserve"> </w:t>
            </w:r>
            <w:r w:rsidR="00316A67">
              <w:rPr>
                <w:color w:val="000000"/>
                <w:spacing w:val="-4"/>
              </w:rPr>
              <w:t xml:space="preserve">The value of </w:t>
            </w:r>
            <w:r w:rsidR="00316A67" w:rsidRPr="00214C52">
              <w:rPr>
                <w:color w:val="000000"/>
                <w:spacing w:val="-4"/>
                <w:lang w:val="en-GB"/>
              </w:rPr>
              <w:t>domestic orders was on the con</w:t>
            </w:r>
            <w:r w:rsidR="005A3C7C">
              <w:rPr>
                <w:color w:val="000000"/>
                <w:spacing w:val="-4"/>
                <w:lang w:val="en-GB"/>
              </w:rPr>
              <w:t>trary mildly falling due to the</w:t>
            </w:r>
            <w:r w:rsidR="00316A67" w:rsidRPr="00214C52">
              <w:rPr>
                <w:color w:val="000000"/>
                <w:spacing w:val="-4"/>
                <w:lang w:val="en-GB"/>
              </w:rPr>
              <w:t xml:space="preserve"> development in </w:t>
            </w:r>
            <w:r w:rsidR="00214C52" w:rsidRPr="00214C52">
              <w:rPr>
                <w:color w:val="000000"/>
                <w:spacing w:val="-4"/>
                <w:lang w:val="en-GB"/>
              </w:rPr>
              <w:t>metallurgy</w:t>
            </w:r>
            <w:r w:rsidR="00316A67" w:rsidRPr="00214C52">
              <w:rPr>
                <w:color w:val="000000"/>
                <w:spacing w:val="-4"/>
                <w:lang w:val="en-GB"/>
              </w:rPr>
              <w:t>, machinery and especially the sharp slumps in the chemical industry in H</w:t>
            </w:r>
            <w:r w:rsidR="00905A11" w:rsidRPr="00214C52">
              <w:rPr>
                <w:color w:val="000000"/>
                <w:spacing w:val="-4"/>
                <w:lang w:val="en-GB"/>
              </w:rPr>
              <w:t>2</w:t>
            </w:r>
            <w:r w:rsidR="00316A67" w:rsidRPr="00214C52">
              <w:rPr>
                <w:color w:val="000000"/>
                <w:spacing w:val="-4"/>
                <w:lang w:val="en-GB"/>
              </w:rPr>
              <w:t>. A mildly positive entrepreneur confidence prevails in the industry, the seasonally adjusted balan</w:t>
            </w:r>
            <w:r w:rsidR="005A3C7C">
              <w:rPr>
                <w:color w:val="000000"/>
                <w:spacing w:val="-4"/>
                <w:lang w:val="en-GB"/>
              </w:rPr>
              <w:t>ces of the confidence indicator</w:t>
            </w:r>
            <w:r w:rsidR="00316A67" w:rsidRPr="00214C52">
              <w:rPr>
                <w:color w:val="000000"/>
                <w:spacing w:val="-4"/>
                <w:lang w:val="en-GB"/>
              </w:rPr>
              <w:t xml:space="preserve"> reach stable values already for two years </w:t>
            </w:r>
            <w:r w:rsidR="00214C52">
              <w:rPr>
                <w:color w:val="000000"/>
                <w:spacing w:val="-4"/>
                <w:lang w:val="en-GB"/>
              </w:rPr>
              <w:t>(</w:t>
            </w:r>
            <w:r w:rsidR="00316A67" w:rsidRPr="00214C52">
              <w:rPr>
                <w:color w:val="000000"/>
                <w:spacing w:val="-4"/>
                <w:lang w:val="en-GB"/>
              </w:rPr>
              <w:t>following a slight decrease in Q4</w:t>
            </w:r>
            <w:r w:rsidR="005A3C7C">
              <w:rPr>
                <w:color w:val="000000"/>
                <w:spacing w:val="-4"/>
                <w:lang w:val="en-GB"/>
              </w:rPr>
              <w:t xml:space="preserve"> 2015</w:t>
            </w:r>
            <w:r w:rsidR="00316A67" w:rsidRPr="00214C52">
              <w:rPr>
                <w:color w:val="000000"/>
                <w:spacing w:val="-4"/>
                <w:lang w:val="en-GB"/>
              </w:rPr>
              <w:t xml:space="preserve">,  they again returned to the level </w:t>
            </w:r>
            <w:r w:rsidR="00214C52" w:rsidRPr="00214C52">
              <w:rPr>
                <w:color w:val="000000"/>
                <w:spacing w:val="-4"/>
                <w:lang w:val="en-GB"/>
              </w:rPr>
              <w:t>typical</w:t>
            </w:r>
            <w:r w:rsidR="00316A67" w:rsidRPr="00214C52">
              <w:rPr>
                <w:color w:val="000000"/>
                <w:spacing w:val="-4"/>
                <w:lang w:val="en-GB"/>
              </w:rPr>
              <w:t xml:space="preserve"> for the previous year</w:t>
            </w:r>
            <w:r w:rsidR="00214C52">
              <w:rPr>
                <w:color w:val="000000"/>
                <w:spacing w:val="-4"/>
                <w:lang w:val="en-GB"/>
              </w:rPr>
              <w:t xml:space="preserve"> </w:t>
            </w:r>
            <w:r w:rsidR="00316A67" w:rsidRPr="00214C52">
              <w:rPr>
                <w:color w:val="000000"/>
                <w:spacing w:val="-4"/>
                <w:lang w:val="en-GB"/>
              </w:rPr>
              <w:t xml:space="preserve">at the beginning of </w:t>
            </w:r>
            <w:r w:rsidR="00905A11" w:rsidRPr="00214C52">
              <w:rPr>
                <w:color w:val="000000" w:themeColor="text1"/>
                <w:spacing w:val="-4"/>
                <w:lang w:val="en-GB"/>
              </w:rPr>
              <w:t>2016).</w:t>
            </w:r>
            <w:r w:rsidR="00316A67" w:rsidRPr="00214C52">
              <w:rPr>
                <w:color w:val="000000" w:themeColor="text1"/>
                <w:spacing w:val="-4"/>
                <w:lang w:val="en-GB"/>
              </w:rPr>
              <w:t xml:space="preserve"> </w:t>
            </w:r>
            <w:r w:rsidR="00CF263E" w:rsidRPr="00214C52">
              <w:rPr>
                <w:color w:val="000000" w:themeColor="text1"/>
                <w:spacing w:val="-4"/>
                <w:lang w:val="en-GB"/>
              </w:rPr>
              <w:t>The significant effect of the inadequate demand falls somewhat with respect to the barriers of growth, the role of lack of material or equipment and especially of employees grows (</w:t>
            </w:r>
            <w:r w:rsidR="00214C52" w:rsidRPr="00214C52">
              <w:rPr>
                <w:color w:val="000000" w:themeColor="text1"/>
                <w:spacing w:val="-4"/>
                <w:lang w:val="en-GB"/>
              </w:rPr>
              <w:t xml:space="preserve">already </w:t>
            </w:r>
            <w:r w:rsidR="00905A11" w:rsidRPr="00214C52">
              <w:rPr>
                <w:color w:val="000000" w:themeColor="text1"/>
                <w:spacing w:val="-4"/>
                <w:lang w:val="en-GB"/>
              </w:rPr>
              <w:t>15</w:t>
            </w:r>
            <w:r w:rsidR="00214C52" w:rsidRPr="00214C52">
              <w:rPr>
                <w:color w:val="000000" w:themeColor="text1"/>
                <w:spacing w:val="-4"/>
                <w:lang w:val="en-GB"/>
              </w:rPr>
              <w:t>.</w:t>
            </w:r>
            <w:r w:rsidR="00654301">
              <w:rPr>
                <w:color w:val="000000" w:themeColor="text1"/>
                <w:spacing w:val="-4"/>
                <w:lang w:val="en-GB"/>
              </w:rPr>
              <w:t>4</w:t>
            </w:r>
            <w:r w:rsidR="00905A11" w:rsidRPr="00214C52">
              <w:rPr>
                <w:color w:val="000000" w:themeColor="text1"/>
                <w:spacing w:val="-4"/>
                <w:lang w:val="en-GB"/>
              </w:rPr>
              <w:t>%</w:t>
            </w:r>
            <w:r w:rsidR="00214C52" w:rsidRPr="00214C52">
              <w:rPr>
                <w:color w:val="000000" w:themeColor="text1"/>
                <w:spacing w:val="-4"/>
                <w:lang w:val="en-GB"/>
              </w:rPr>
              <w:t xml:space="preserve"> for businesses at the beginning of 2016, only </w:t>
            </w:r>
            <w:r w:rsidR="00905A11" w:rsidRPr="00214C52">
              <w:rPr>
                <w:color w:val="000000" w:themeColor="text1"/>
                <w:spacing w:val="-4"/>
                <w:lang w:val="en-GB"/>
              </w:rPr>
              <w:t>6</w:t>
            </w:r>
            <w:r w:rsidR="00214C52" w:rsidRPr="00214C52">
              <w:rPr>
                <w:color w:val="000000" w:themeColor="text1"/>
                <w:spacing w:val="-4"/>
                <w:lang w:val="en-GB"/>
              </w:rPr>
              <w:t>.</w:t>
            </w:r>
            <w:r w:rsidR="00654301">
              <w:rPr>
                <w:color w:val="000000" w:themeColor="text1"/>
                <w:spacing w:val="-4"/>
                <w:lang w:val="en-GB"/>
              </w:rPr>
              <w:t>7</w:t>
            </w:r>
            <w:r w:rsidR="00905A11" w:rsidRPr="00214C52">
              <w:rPr>
                <w:color w:val="000000" w:themeColor="text1"/>
                <w:spacing w:val="-4"/>
                <w:lang w:val="en-GB"/>
              </w:rPr>
              <w:t>%</w:t>
            </w:r>
            <w:r w:rsidR="00214C52" w:rsidRPr="00214C52">
              <w:rPr>
                <w:color w:val="000000" w:themeColor="text1"/>
                <w:spacing w:val="-4"/>
                <w:lang w:val="en-GB"/>
              </w:rPr>
              <w:t xml:space="preserve"> a year ago</w:t>
            </w:r>
            <w:r w:rsidR="0066796E" w:rsidRPr="00214C52">
              <w:rPr>
                <w:color w:val="000000" w:themeColor="text1"/>
                <w:spacing w:val="-4"/>
                <w:lang w:val="en-GB"/>
              </w:rPr>
              <w:t xml:space="preserve">). </w:t>
            </w:r>
            <w:r w:rsidR="00214C52" w:rsidRPr="00214C52">
              <w:rPr>
                <w:color w:val="000000" w:themeColor="text1"/>
                <w:spacing w:val="-4"/>
                <w:lang w:val="en-GB"/>
              </w:rPr>
              <w:t xml:space="preserve">However, the favourable development of foreign demand in industry spills into the strengthening rates of growth of both employment and wages. The average number of registered employees in industry </w:t>
            </w:r>
            <w:r w:rsidR="00905A11" w:rsidRPr="00214C52">
              <w:rPr>
                <w:color w:val="000000" w:themeColor="text1"/>
                <w:spacing w:val="-4"/>
                <w:lang w:val="en-GB"/>
              </w:rPr>
              <w:t>(</w:t>
            </w:r>
            <w:r w:rsidR="00214C52" w:rsidRPr="00214C52">
              <w:rPr>
                <w:color w:val="000000" w:themeColor="text1"/>
                <w:spacing w:val="-4"/>
                <w:lang w:val="en-GB"/>
              </w:rPr>
              <w:t xml:space="preserve">for businesses with 50 and more employees) increased already by </w:t>
            </w:r>
            <w:r w:rsidR="00A81094" w:rsidRPr="00214C52">
              <w:rPr>
                <w:color w:val="000000" w:themeColor="text1"/>
                <w:spacing w:val="-4"/>
                <w:lang w:val="en-GB"/>
              </w:rPr>
              <w:t>3</w:t>
            </w:r>
            <w:r w:rsidR="00905A11" w:rsidRPr="00214C52">
              <w:rPr>
                <w:color w:val="000000" w:themeColor="text1"/>
                <w:spacing w:val="-4"/>
                <w:lang w:val="en-GB"/>
              </w:rPr>
              <w:t>%</w:t>
            </w:r>
            <w:r w:rsidR="00214C52" w:rsidRPr="00214C52">
              <w:rPr>
                <w:color w:val="000000" w:themeColor="text1"/>
                <w:spacing w:val="-4"/>
                <w:lang w:val="en-GB"/>
              </w:rPr>
              <w:t xml:space="preserve"> year-on-year in Q4 itself</w:t>
            </w:r>
            <w:r w:rsidR="00905A11" w:rsidRPr="00214C52">
              <w:rPr>
                <w:color w:val="000000" w:themeColor="text1"/>
                <w:spacing w:val="-4"/>
                <w:lang w:val="en-GB"/>
              </w:rPr>
              <w:t xml:space="preserve"> (</w:t>
            </w:r>
            <w:r w:rsidR="00214C52" w:rsidRPr="00214C52">
              <w:rPr>
                <w:color w:val="000000" w:themeColor="text1"/>
                <w:spacing w:val="-4"/>
                <w:lang w:val="en-GB"/>
              </w:rPr>
              <w:t>with the highest dynamics in the manufacture of rubber and plastic produc</w:t>
            </w:r>
            <w:r w:rsidR="002118FC">
              <w:rPr>
                <w:color w:val="000000" w:themeColor="text1"/>
                <w:spacing w:val="-4"/>
                <w:lang w:val="en-GB"/>
              </w:rPr>
              <w:t>ts, manufacture of computers as well as</w:t>
            </w:r>
            <w:r w:rsidR="00214C52" w:rsidRPr="00214C52">
              <w:rPr>
                <w:color w:val="000000" w:themeColor="text1"/>
                <w:spacing w:val="-4"/>
                <w:lang w:val="en-GB"/>
              </w:rPr>
              <w:t xml:space="preserve"> motor vehicle industry</w:t>
            </w:r>
            <w:r w:rsidR="0066796E" w:rsidRPr="00214C52">
              <w:rPr>
                <w:color w:val="000000" w:themeColor="text1"/>
                <w:spacing w:val="-4"/>
                <w:lang w:val="en-GB"/>
              </w:rPr>
              <w:t xml:space="preserve">). </w:t>
            </w:r>
            <w:r w:rsidR="00214C52" w:rsidRPr="00214C52">
              <w:rPr>
                <w:color w:val="000000" w:themeColor="text1"/>
                <w:spacing w:val="-4"/>
                <w:lang w:val="en-GB"/>
              </w:rPr>
              <w:t xml:space="preserve">Businesses </w:t>
            </w:r>
            <w:r w:rsidR="00660917">
              <w:rPr>
                <w:color w:val="000000" w:themeColor="text1"/>
                <w:spacing w:val="-4"/>
                <w:lang w:val="en-GB"/>
              </w:rPr>
              <w:t xml:space="preserve">were </w:t>
            </w:r>
            <w:r w:rsidR="00214C52" w:rsidRPr="00214C52">
              <w:rPr>
                <w:color w:val="000000" w:themeColor="text1"/>
                <w:spacing w:val="-4"/>
                <w:lang w:val="en-GB"/>
              </w:rPr>
              <w:t>transferr</w:t>
            </w:r>
            <w:r w:rsidR="00660917">
              <w:rPr>
                <w:color w:val="000000" w:themeColor="text1"/>
                <w:spacing w:val="-4"/>
                <w:lang w:val="en-GB"/>
              </w:rPr>
              <w:t>ing</w:t>
            </w:r>
            <w:r w:rsidR="00214C52" w:rsidRPr="00214C52">
              <w:rPr>
                <w:color w:val="000000" w:themeColor="text1"/>
                <w:spacing w:val="-4"/>
                <w:lang w:val="en-GB"/>
              </w:rPr>
              <w:t xml:space="preserve"> the </w:t>
            </w:r>
            <w:r w:rsidR="006E2B48">
              <w:rPr>
                <w:color w:val="000000" w:themeColor="text1"/>
                <w:spacing w:val="-4"/>
                <w:lang w:val="en-GB"/>
              </w:rPr>
              <w:t>“</w:t>
            </w:r>
            <w:r w:rsidR="00214C52" w:rsidRPr="00214C52">
              <w:rPr>
                <w:color w:val="000000" w:themeColor="text1"/>
                <w:spacing w:val="-4"/>
                <w:lang w:val="en-GB"/>
              </w:rPr>
              <w:t>proven</w:t>
            </w:r>
            <w:r w:rsidR="006E2B48">
              <w:rPr>
                <w:color w:val="000000" w:themeColor="text1"/>
                <w:spacing w:val="-4"/>
                <w:lang w:val="en-GB"/>
              </w:rPr>
              <w:t>”</w:t>
            </w:r>
            <w:r w:rsidR="00905A11" w:rsidRPr="00214C52">
              <w:rPr>
                <w:color w:val="000000" w:themeColor="text1"/>
                <w:spacing w:val="-4"/>
                <w:lang w:val="en-GB"/>
              </w:rPr>
              <w:t xml:space="preserve"> agen</w:t>
            </w:r>
            <w:r w:rsidR="002118FC">
              <w:rPr>
                <w:color w:val="000000" w:themeColor="text1"/>
                <w:spacing w:val="-4"/>
                <w:lang w:val="en-GB"/>
              </w:rPr>
              <w:t>cy workers into the category</w:t>
            </w:r>
            <w:r w:rsidR="00214C52" w:rsidRPr="00214C52">
              <w:rPr>
                <w:color w:val="000000" w:themeColor="text1"/>
                <w:spacing w:val="-4"/>
                <w:lang w:val="en-GB"/>
              </w:rPr>
              <w:t xml:space="preserve"> </w:t>
            </w:r>
            <w:r w:rsidR="002118FC">
              <w:rPr>
                <w:color w:val="000000" w:themeColor="text1"/>
                <w:spacing w:val="-4"/>
                <w:lang w:val="en-GB"/>
              </w:rPr>
              <w:t>of primary employees</w:t>
            </w:r>
            <w:r w:rsidR="00214C52" w:rsidRPr="00214C52">
              <w:rPr>
                <w:color w:val="000000" w:themeColor="text1"/>
                <w:spacing w:val="-4"/>
                <w:lang w:val="en-GB"/>
              </w:rPr>
              <w:t xml:space="preserve"> to a higher extent.</w:t>
            </w:r>
          </w:p>
          <w:p w:rsidR="00905A11" w:rsidRPr="00532E6C" w:rsidRDefault="00905A11" w:rsidP="00611531">
            <w:pPr>
              <w:pStyle w:val="Textpoznpodarou"/>
              <w:jc w:val="both"/>
              <w:rPr>
                <w:spacing w:val="-4"/>
                <w:sz w:val="14"/>
                <w:szCs w:val="14"/>
              </w:rPr>
            </w:pPr>
          </w:p>
        </w:tc>
      </w:tr>
      <w:tr w:rsidR="00905A11" w:rsidTr="00611531">
        <w:tc>
          <w:tcPr>
            <w:tcW w:w="1090" w:type="pct"/>
          </w:tcPr>
          <w:p w:rsidR="00905A11" w:rsidRPr="00057864" w:rsidRDefault="005B0321" w:rsidP="00057864">
            <w:pPr>
              <w:spacing w:line="240" w:lineRule="auto"/>
              <w:rPr>
                <w:spacing w:val="-4"/>
                <w:sz w:val="16"/>
                <w:szCs w:val="16"/>
                <w:lang w:val="en-GB"/>
              </w:rPr>
            </w:pPr>
            <w:r>
              <w:rPr>
                <w:spacing w:val="-4"/>
                <w:sz w:val="16"/>
                <w:szCs w:val="16"/>
                <w:lang w:val="en-GB"/>
              </w:rPr>
              <w:t>The highest</w:t>
            </w:r>
            <w:r w:rsidR="00057864" w:rsidRPr="00057864">
              <w:rPr>
                <w:spacing w:val="-4"/>
                <w:sz w:val="16"/>
                <w:szCs w:val="16"/>
                <w:lang w:val="en-GB"/>
              </w:rPr>
              <w:t xml:space="preserve"> of growth of the </w:t>
            </w:r>
            <w:r>
              <w:rPr>
                <w:spacing w:val="-4"/>
                <w:sz w:val="16"/>
                <w:szCs w:val="16"/>
                <w:lang w:val="en-GB"/>
              </w:rPr>
              <w:t>industrial production is concentrated</w:t>
            </w:r>
            <w:r w:rsidR="00057864" w:rsidRPr="00057864">
              <w:rPr>
                <w:spacing w:val="-4"/>
                <w:sz w:val="16"/>
                <w:szCs w:val="16"/>
                <w:lang w:val="en-GB"/>
              </w:rPr>
              <w:t xml:space="preserve"> in the strategically placed converging (mostly Central European) economies in the EU in the long-term, mainly thanks to the activities producing</w:t>
            </w:r>
            <w:r>
              <w:rPr>
                <w:spacing w:val="-4"/>
                <w:sz w:val="16"/>
                <w:szCs w:val="16"/>
                <w:lang w:val="en-GB"/>
              </w:rPr>
              <w:t xml:space="preserve"> c</w:t>
            </w:r>
            <w:r w:rsidRPr="005B0321">
              <w:rPr>
                <w:spacing w:val="-4"/>
                <w:sz w:val="16"/>
                <w:szCs w:val="16"/>
                <w:lang w:val="en-GB"/>
              </w:rPr>
              <w:t>apital goods</w:t>
            </w:r>
          </w:p>
        </w:tc>
        <w:tc>
          <w:tcPr>
            <w:tcW w:w="145" w:type="pct"/>
          </w:tcPr>
          <w:p w:rsidR="00905A11" w:rsidRDefault="00905A11" w:rsidP="00611531">
            <w:pPr>
              <w:pStyle w:val="Textpoznpodarou"/>
              <w:jc w:val="both"/>
            </w:pPr>
          </w:p>
        </w:tc>
        <w:tc>
          <w:tcPr>
            <w:tcW w:w="3765" w:type="pct"/>
          </w:tcPr>
          <w:p w:rsidR="00905A11" w:rsidRPr="00EB1E12" w:rsidRDefault="00057864" w:rsidP="00611531">
            <w:pPr>
              <w:pStyle w:val="Textpoznpodarou"/>
              <w:jc w:val="both"/>
              <w:rPr>
                <w:color w:val="000000" w:themeColor="text1"/>
                <w:spacing w:val="-4"/>
                <w:lang w:val="en-GB"/>
              </w:rPr>
            </w:pPr>
            <w:r w:rsidRPr="00EB1E12">
              <w:rPr>
                <w:color w:val="000000" w:themeColor="text1"/>
                <w:spacing w:val="-4"/>
                <w:lang w:val="en-GB"/>
              </w:rPr>
              <w:t xml:space="preserve">The CR belongs to countries with the above average dynamics of the </w:t>
            </w:r>
            <w:r w:rsidR="00EB1E12" w:rsidRPr="00EB1E12">
              <w:rPr>
                <w:color w:val="000000" w:themeColor="text1"/>
                <w:spacing w:val="-4"/>
                <w:lang w:val="en-GB"/>
              </w:rPr>
              <w:t>industrial</w:t>
            </w:r>
            <w:r w:rsidRPr="00EB1E12">
              <w:rPr>
                <w:color w:val="000000" w:themeColor="text1"/>
                <w:spacing w:val="-4"/>
                <w:lang w:val="en-GB"/>
              </w:rPr>
              <w:t xml:space="preserve"> production </w:t>
            </w:r>
            <w:r w:rsidR="005B0321">
              <w:rPr>
                <w:color w:val="000000" w:themeColor="text1"/>
                <w:spacing w:val="-4"/>
                <w:lang w:val="en-GB"/>
              </w:rPr>
              <w:t>with</w:t>
            </w:r>
            <w:r w:rsidRPr="00EB1E12">
              <w:rPr>
                <w:color w:val="000000" w:themeColor="text1"/>
                <w:spacing w:val="-4"/>
                <w:lang w:val="en-GB"/>
              </w:rPr>
              <w:t>in EU in</w:t>
            </w:r>
            <w:r w:rsidR="00EB1E12">
              <w:rPr>
                <w:color w:val="000000" w:themeColor="text1"/>
                <w:spacing w:val="-4"/>
                <w:lang w:val="en-GB"/>
              </w:rPr>
              <w:t xml:space="preserve"> </w:t>
            </w:r>
            <w:r w:rsidRPr="00EB1E12">
              <w:rPr>
                <w:color w:val="000000" w:themeColor="text1"/>
                <w:spacing w:val="-4"/>
                <w:lang w:val="en-GB"/>
              </w:rPr>
              <w:t>the long-t</w:t>
            </w:r>
            <w:r w:rsidR="00EB1E12">
              <w:rPr>
                <w:color w:val="000000" w:themeColor="text1"/>
                <w:spacing w:val="-4"/>
                <w:lang w:val="en-GB"/>
              </w:rPr>
              <w:t>e</w:t>
            </w:r>
            <w:r w:rsidRPr="00EB1E12">
              <w:rPr>
                <w:color w:val="000000" w:themeColor="text1"/>
                <w:spacing w:val="-4"/>
                <w:lang w:val="en-GB"/>
              </w:rPr>
              <w:t xml:space="preserve">rm. It was growing by the fifth fastest rate among all EU countries in 2015 </w:t>
            </w:r>
            <w:r w:rsidR="00905A11" w:rsidRPr="00EB1E12">
              <w:rPr>
                <w:color w:val="000000" w:themeColor="text1"/>
                <w:spacing w:val="-6"/>
                <w:lang w:val="en-GB"/>
              </w:rPr>
              <w:t>(</w:t>
            </w:r>
            <w:r w:rsidRPr="00EB1E12">
              <w:rPr>
                <w:color w:val="000000" w:themeColor="text1"/>
                <w:spacing w:val="-6"/>
                <w:lang w:val="en-GB"/>
              </w:rPr>
              <w:t>the fourth the year ago</w:t>
            </w:r>
            <w:r w:rsidR="00905A11" w:rsidRPr="00EB1E12">
              <w:rPr>
                <w:color w:val="000000" w:themeColor="text1"/>
                <w:spacing w:val="-6"/>
                <w:lang w:val="en-GB"/>
              </w:rPr>
              <w:t xml:space="preserve">). </w:t>
            </w:r>
            <w:r w:rsidR="00660917">
              <w:rPr>
                <w:color w:val="000000" w:themeColor="text1"/>
                <w:spacing w:val="-6"/>
                <w:lang w:val="en-GB"/>
              </w:rPr>
              <w:t>F</w:t>
            </w:r>
            <w:r w:rsidRPr="00EB1E12">
              <w:rPr>
                <w:color w:val="000000" w:themeColor="text1"/>
                <w:spacing w:val="-6"/>
                <w:lang w:val="en-GB"/>
              </w:rPr>
              <w:t xml:space="preserve">or example Hungary </w:t>
            </w:r>
            <w:r w:rsidR="00905A11" w:rsidRPr="00EB1E12">
              <w:rPr>
                <w:color w:val="000000" w:themeColor="text1"/>
                <w:spacing w:val="-6"/>
                <w:lang w:val="en-GB"/>
              </w:rPr>
              <w:t>(+7</w:t>
            </w:r>
            <w:r w:rsidRPr="00EB1E12">
              <w:rPr>
                <w:color w:val="000000" w:themeColor="text1"/>
                <w:spacing w:val="-6"/>
                <w:lang w:val="en-GB"/>
              </w:rPr>
              <w:t>.</w:t>
            </w:r>
            <w:r w:rsidR="00905A11" w:rsidRPr="00EB1E12">
              <w:rPr>
                <w:color w:val="000000" w:themeColor="text1"/>
                <w:spacing w:val="-6"/>
                <w:lang w:val="en-GB"/>
              </w:rPr>
              <w:t>3</w:t>
            </w:r>
            <w:r w:rsidR="00654301">
              <w:rPr>
                <w:color w:val="000000" w:themeColor="text1"/>
                <w:spacing w:val="-4"/>
                <w:lang w:val="en-GB"/>
              </w:rPr>
              <w:t>%</w:t>
            </w:r>
            <w:r w:rsidR="00905A11" w:rsidRPr="00EB1E12">
              <w:rPr>
                <w:color w:val="000000" w:themeColor="text1"/>
                <w:spacing w:val="-4"/>
                <w:lang w:val="en-GB"/>
              </w:rPr>
              <w:t>) a</w:t>
            </w:r>
            <w:r w:rsidRPr="00EB1E12">
              <w:rPr>
                <w:color w:val="000000" w:themeColor="text1"/>
                <w:spacing w:val="-4"/>
                <w:lang w:val="en-GB"/>
              </w:rPr>
              <w:t>nd</w:t>
            </w:r>
            <w:r w:rsidR="00905A11" w:rsidRPr="00EB1E12">
              <w:rPr>
                <w:color w:val="000000" w:themeColor="text1"/>
                <w:spacing w:val="-4"/>
                <w:lang w:val="en-GB"/>
              </w:rPr>
              <w:t xml:space="preserve"> Slov</w:t>
            </w:r>
            <w:r w:rsidRPr="00EB1E12">
              <w:rPr>
                <w:color w:val="000000" w:themeColor="text1"/>
                <w:spacing w:val="-4"/>
                <w:lang w:val="en-GB"/>
              </w:rPr>
              <w:t xml:space="preserve">akia </w:t>
            </w:r>
            <w:r w:rsidR="00905A11" w:rsidRPr="00EB1E12">
              <w:rPr>
                <w:color w:val="000000" w:themeColor="text1"/>
                <w:spacing w:val="-4"/>
                <w:lang w:val="en-GB"/>
              </w:rPr>
              <w:t>(+5</w:t>
            </w:r>
            <w:r w:rsidRPr="00EB1E12">
              <w:rPr>
                <w:color w:val="000000" w:themeColor="text1"/>
                <w:spacing w:val="-4"/>
                <w:lang w:val="en-GB"/>
              </w:rPr>
              <w:t>.</w:t>
            </w:r>
            <w:r w:rsidR="00654301">
              <w:rPr>
                <w:color w:val="000000" w:themeColor="text1"/>
                <w:spacing w:val="-4"/>
                <w:lang w:val="en-GB"/>
              </w:rPr>
              <w:t>9</w:t>
            </w:r>
            <w:r w:rsidR="00905A11" w:rsidRPr="00EB1E12">
              <w:rPr>
                <w:color w:val="000000" w:themeColor="text1"/>
                <w:spacing w:val="-4"/>
                <w:lang w:val="en-GB"/>
              </w:rPr>
              <w:t>%)</w:t>
            </w:r>
            <w:r w:rsidRPr="00EB1E12">
              <w:rPr>
                <w:color w:val="000000" w:themeColor="text1"/>
                <w:spacing w:val="-4"/>
                <w:lang w:val="en-GB"/>
              </w:rPr>
              <w:t xml:space="preserve"> reached </w:t>
            </w:r>
            <w:r w:rsidR="005B0321">
              <w:rPr>
                <w:color w:val="000000" w:themeColor="text1"/>
                <w:spacing w:val="-4"/>
                <w:lang w:val="en-GB"/>
              </w:rPr>
              <w:t xml:space="preserve">even </w:t>
            </w:r>
            <w:r w:rsidRPr="00EB1E12">
              <w:rPr>
                <w:color w:val="000000" w:themeColor="text1"/>
                <w:spacing w:val="-4"/>
                <w:lang w:val="en-GB"/>
              </w:rPr>
              <w:t xml:space="preserve">a higher dynamics. Ireland </w:t>
            </w:r>
            <w:r w:rsidR="00905A11" w:rsidRPr="00EB1E12">
              <w:rPr>
                <w:color w:val="000000" w:themeColor="text1"/>
                <w:spacing w:val="-4"/>
                <w:lang w:val="en-GB"/>
              </w:rPr>
              <w:t>(</w:t>
            </w:r>
            <w:r w:rsidRPr="00EB1E12">
              <w:rPr>
                <w:color w:val="000000" w:themeColor="text1"/>
                <w:spacing w:val="-4"/>
                <w:lang w:val="en-GB"/>
              </w:rPr>
              <w:t xml:space="preserve">with the less significant and </w:t>
            </w:r>
            <w:r w:rsidR="00DE4476" w:rsidRPr="00EB1E12">
              <w:rPr>
                <w:color w:val="000000" w:themeColor="text1"/>
                <w:spacing w:val="-4"/>
                <w:lang w:val="en-GB"/>
              </w:rPr>
              <w:t>much</w:t>
            </w:r>
            <w:r w:rsidRPr="00EB1E12">
              <w:rPr>
                <w:color w:val="000000" w:themeColor="text1"/>
                <w:spacing w:val="-4"/>
                <w:lang w:val="en-GB"/>
              </w:rPr>
              <w:t xml:space="preserve"> </w:t>
            </w:r>
            <w:r w:rsidR="00EB1E12" w:rsidRPr="00EB1E12">
              <w:rPr>
                <w:color w:val="000000" w:themeColor="text1"/>
                <w:spacing w:val="-4"/>
                <w:lang w:val="en-GB"/>
              </w:rPr>
              <w:t>specialised</w:t>
            </w:r>
            <w:r w:rsidRPr="00EB1E12">
              <w:rPr>
                <w:color w:val="000000" w:themeColor="text1"/>
                <w:spacing w:val="-4"/>
                <w:lang w:val="en-GB"/>
              </w:rPr>
              <w:t xml:space="preserve"> industry regarding the activities</w:t>
            </w:r>
            <w:r w:rsidR="00A504C0" w:rsidRPr="00EB1E12">
              <w:rPr>
                <w:color w:val="000000" w:themeColor="text1"/>
                <w:spacing w:val="-4"/>
                <w:lang w:val="en-GB"/>
              </w:rPr>
              <w:t>)</w:t>
            </w:r>
            <w:r w:rsidRPr="00EB1E12">
              <w:rPr>
                <w:color w:val="000000" w:themeColor="text1"/>
                <w:spacing w:val="-4"/>
                <w:lang w:val="en-GB"/>
              </w:rPr>
              <w:t xml:space="preserve"> recorded a </w:t>
            </w:r>
            <w:r w:rsidR="00EB1E12" w:rsidRPr="00EB1E12">
              <w:rPr>
                <w:color w:val="000000" w:themeColor="text1"/>
                <w:spacing w:val="-4"/>
                <w:lang w:val="en-GB"/>
              </w:rPr>
              <w:t>considerable</w:t>
            </w:r>
            <w:r w:rsidRPr="00EB1E12">
              <w:rPr>
                <w:color w:val="000000" w:themeColor="text1"/>
                <w:spacing w:val="-4"/>
                <w:lang w:val="en-GB"/>
              </w:rPr>
              <w:t xml:space="preserve"> growth (in the range of </w:t>
            </w:r>
            <w:r w:rsidR="00905A11" w:rsidRPr="00EB1E12">
              <w:rPr>
                <w:color w:val="000000" w:themeColor="text1"/>
                <w:spacing w:val="-4"/>
                <w:lang w:val="en-GB"/>
              </w:rPr>
              <w:t xml:space="preserve">18 </w:t>
            </w:r>
            <w:r w:rsidRPr="00EB1E12">
              <w:rPr>
                <w:color w:val="000000" w:themeColor="text1"/>
                <w:spacing w:val="-4"/>
                <w:lang w:val="en-GB"/>
              </w:rPr>
              <w:t>to</w:t>
            </w:r>
            <w:r w:rsidR="00654301">
              <w:rPr>
                <w:color w:val="000000" w:themeColor="text1"/>
                <w:spacing w:val="-4"/>
                <w:lang w:val="en-GB"/>
              </w:rPr>
              <w:t xml:space="preserve"> 21</w:t>
            </w:r>
            <w:r w:rsidR="00905A11" w:rsidRPr="00EB1E12">
              <w:rPr>
                <w:color w:val="000000" w:themeColor="text1"/>
                <w:spacing w:val="-4"/>
                <w:lang w:val="en-GB"/>
              </w:rPr>
              <w:t>%)</w:t>
            </w:r>
            <w:r w:rsidRPr="00EB1E12">
              <w:rPr>
                <w:color w:val="000000" w:themeColor="text1"/>
                <w:spacing w:val="-4"/>
                <w:lang w:val="en-GB"/>
              </w:rPr>
              <w:t xml:space="preserve"> already second year in a row, on the contrary it oscillated only around </w:t>
            </w:r>
            <w:r w:rsidR="00654301">
              <w:rPr>
                <w:color w:val="000000" w:themeColor="text1"/>
                <w:spacing w:val="-4"/>
                <w:lang w:val="en-GB"/>
              </w:rPr>
              <w:t>1</w:t>
            </w:r>
            <w:r w:rsidR="00905A11" w:rsidRPr="00EB1E12">
              <w:rPr>
                <w:color w:val="000000" w:themeColor="text1"/>
                <w:spacing w:val="-4"/>
                <w:lang w:val="en-GB"/>
              </w:rPr>
              <w:t>%</w:t>
            </w:r>
            <w:r w:rsidRPr="00EB1E12">
              <w:rPr>
                <w:color w:val="000000" w:themeColor="text1"/>
                <w:spacing w:val="-4"/>
                <w:lang w:val="en-GB"/>
              </w:rPr>
              <w:t xml:space="preserve"> in </w:t>
            </w:r>
            <w:r w:rsidR="00EB1E12" w:rsidRPr="00EB1E12">
              <w:rPr>
                <w:color w:val="000000" w:themeColor="text1"/>
                <w:spacing w:val="-4"/>
                <w:lang w:val="en-GB"/>
              </w:rPr>
              <w:t>Germany</w:t>
            </w:r>
            <w:r w:rsidRPr="00EB1E12">
              <w:rPr>
                <w:color w:val="000000" w:themeColor="text1"/>
                <w:spacing w:val="-4"/>
                <w:lang w:val="en-GB"/>
              </w:rPr>
              <w:t xml:space="preserve"> in the same time period</w:t>
            </w:r>
            <w:r w:rsidR="00905A11" w:rsidRPr="00EB1E12">
              <w:rPr>
                <w:color w:val="000000" w:themeColor="text1"/>
                <w:spacing w:val="-4"/>
                <w:lang w:val="en-GB"/>
              </w:rPr>
              <w:t xml:space="preserve">. </w:t>
            </w:r>
            <w:r w:rsidRPr="00EB1E12">
              <w:rPr>
                <w:color w:val="000000" w:themeColor="text1"/>
                <w:spacing w:val="-4"/>
                <w:lang w:val="en-GB"/>
              </w:rPr>
              <w:t xml:space="preserve">The activities </w:t>
            </w:r>
            <w:r w:rsidR="00974FBF">
              <w:rPr>
                <w:color w:val="000000" w:themeColor="text1"/>
                <w:spacing w:val="-4"/>
                <w:lang w:val="en-GB"/>
              </w:rPr>
              <w:t>focused</w:t>
            </w:r>
            <w:r w:rsidR="00694460" w:rsidRPr="00EB1E12">
              <w:rPr>
                <w:color w:val="000000" w:themeColor="text1"/>
                <w:spacing w:val="-4"/>
                <w:lang w:val="en-GB"/>
              </w:rPr>
              <w:t xml:space="preserve"> on the production of </w:t>
            </w:r>
            <w:r w:rsidR="00974FBF" w:rsidRPr="00974FBF">
              <w:rPr>
                <w:color w:val="000000" w:themeColor="text1"/>
                <w:spacing w:val="-4"/>
                <w:lang w:val="en-GB"/>
              </w:rPr>
              <w:t>capital goods</w:t>
            </w:r>
            <w:r w:rsidR="00974FBF" w:rsidRPr="00EB1E12">
              <w:rPr>
                <w:color w:val="000000" w:themeColor="text1"/>
                <w:spacing w:val="-4"/>
                <w:lang w:val="en-GB"/>
              </w:rPr>
              <w:t xml:space="preserve"> </w:t>
            </w:r>
            <w:r w:rsidR="00EB1E12" w:rsidRPr="00EB1E12">
              <w:rPr>
                <w:color w:val="000000" w:themeColor="text1"/>
                <w:spacing w:val="-4"/>
                <w:lang w:val="en-GB"/>
              </w:rPr>
              <w:t>strengthened</w:t>
            </w:r>
            <w:r w:rsidR="00694460" w:rsidRPr="00EB1E12">
              <w:rPr>
                <w:color w:val="000000" w:themeColor="text1"/>
                <w:spacing w:val="-4"/>
                <w:lang w:val="en-GB"/>
              </w:rPr>
              <w:t xml:space="preserve"> the most in the </w:t>
            </w:r>
            <w:r w:rsidR="00905A11" w:rsidRPr="00EB1E12">
              <w:rPr>
                <w:color w:val="000000" w:themeColor="text1"/>
                <w:spacing w:val="-4"/>
                <w:lang w:val="en-GB"/>
              </w:rPr>
              <w:t>EU (2</w:t>
            </w:r>
            <w:r w:rsidR="00694460" w:rsidRPr="00EB1E12">
              <w:rPr>
                <w:color w:val="000000" w:themeColor="text1"/>
                <w:spacing w:val="-4"/>
                <w:lang w:val="en-GB"/>
              </w:rPr>
              <w:t>.</w:t>
            </w:r>
            <w:r w:rsidR="00654301">
              <w:rPr>
                <w:color w:val="000000" w:themeColor="text1"/>
                <w:spacing w:val="-4"/>
                <w:lang w:val="en-GB"/>
              </w:rPr>
              <w:t>2</w:t>
            </w:r>
            <w:r w:rsidR="00905A11" w:rsidRPr="00EB1E12">
              <w:rPr>
                <w:color w:val="000000" w:themeColor="text1"/>
                <w:spacing w:val="-4"/>
                <w:lang w:val="en-GB"/>
              </w:rPr>
              <w:t xml:space="preserve">%) </w:t>
            </w:r>
            <w:r w:rsidR="00694460" w:rsidRPr="00EB1E12">
              <w:rPr>
                <w:color w:val="000000" w:themeColor="text1"/>
                <w:spacing w:val="-4"/>
                <w:lang w:val="en-GB"/>
              </w:rPr>
              <w:t xml:space="preserve">similarly </w:t>
            </w:r>
            <w:r w:rsidR="00EB1E12">
              <w:rPr>
                <w:color w:val="000000" w:themeColor="text1"/>
                <w:spacing w:val="-4"/>
                <w:lang w:val="en-GB"/>
              </w:rPr>
              <w:t xml:space="preserve">to </w:t>
            </w:r>
            <w:r w:rsidR="00694460" w:rsidRPr="00EB1E12">
              <w:rPr>
                <w:color w:val="000000" w:themeColor="text1"/>
                <w:spacing w:val="-4"/>
                <w:lang w:val="en-GB"/>
              </w:rPr>
              <w:t xml:space="preserve">the CR </w:t>
            </w:r>
            <w:r w:rsidR="00905A11" w:rsidRPr="00EB1E12">
              <w:rPr>
                <w:color w:val="000000" w:themeColor="text1"/>
                <w:spacing w:val="-4"/>
                <w:lang w:val="en-GB"/>
              </w:rPr>
              <w:t>(6</w:t>
            </w:r>
            <w:r w:rsidR="00694460" w:rsidRPr="00EB1E12">
              <w:rPr>
                <w:color w:val="000000" w:themeColor="text1"/>
                <w:spacing w:val="-4"/>
                <w:lang w:val="en-GB"/>
              </w:rPr>
              <w:t>.</w:t>
            </w:r>
            <w:r w:rsidR="00654301">
              <w:rPr>
                <w:color w:val="000000" w:themeColor="text1"/>
                <w:spacing w:val="-4"/>
                <w:lang w:val="en-GB"/>
              </w:rPr>
              <w:t>7</w:t>
            </w:r>
            <w:r w:rsidR="00905A11" w:rsidRPr="00EB1E12">
              <w:rPr>
                <w:color w:val="000000" w:themeColor="text1"/>
                <w:spacing w:val="-4"/>
                <w:lang w:val="en-GB"/>
              </w:rPr>
              <w:t>%)</w:t>
            </w:r>
            <w:r w:rsidR="00694460" w:rsidRPr="00EB1E12">
              <w:rPr>
                <w:color w:val="000000" w:themeColor="text1"/>
                <w:spacing w:val="-4"/>
                <w:lang w:val="en-GB"/>
              </w:rPr>
              <w:t xml:space="preserve">. </w:t>
            </w:r>
            <w:r w:rsidR="00EB1E12">
              <w:rPr>
                <w:color w:val="000000" w:themeColor="text1"/>
                <w:spacing w:val="-4"/>
                <w:lang w:val="en-GB"/>
              </w:rPr>
              <w:t>The CR belongs to th</w:t>
            </w:r>
            <w:r w:rsidR="0016373B">
              <w:rPr>
                <w:color w:val="000000" w:themeColor="text1"/>
                <w:spacing w:val="-4"/>
                <w:lang w:val="en-GB"/>
              </w:rPr>
              <w:t>e group of twelve countries, which</w:t>
            </w:r>
            <w:r w:rsidR="005B0321">
              <w:rPr>
                <w:color w:val="000000" w:themeColor="text1"/>
                <w:spacing w:val="-4"/>
                <w:lang w:val="en-GB"/>
              </w:rPr>
              <w:t xml:space="preserve"> already exceeded</w:t>
            </w:r>
            <w:r w:rsidR="00EB1E12">
              <w:rPr>
                <w:color w:val="000000" w:themeColor="text1"/>
                <w:spacing w:val="-4"/>
                <w:lang w:val="en-GB"/>
              </w:rPr>
              <w:t xml:space="preserve"> the pre-crisis level (year 2008) of the industrial production. These are mostly the converging economies (incl. the CR), Ireland </w:t>
            </w:r>
            <w:r w:rsidR="00905A11" w:rsidRPr="00EB1E12">
              <w:rPr>
                <w:color w:val="000000" w:themeColor="text1"/>
                <w:spacing w:val="-4"/>
                <w:lang w:val="en-GB"/>
              </w:rPr>
              <w:t>(</w:t>
            </w:r>
            <w:r w:rsidR="00EB1E12">
              <w:rPr>
                <w:color w:val="000000" w:themeColor="text1"/>
                <w:spacing w:val="-4"/>
                <w:lang w:val="en-GB"/>
              </w:rPr>
              <w:t xml:space="preserve">by </w:t>
            </w:r>
            <w:r w:rsidR="00654301">
              <w:rPr>
                <w:color w:val="000000" w:themeColor="text1"/>
                <w:spacing w:val="-4"/>
                <w:lang w:val="en-GB"/>
              </w:rPr>
              <w:t>40</w:t>
            </w:r>
            <w:r w:rsidR="00905A11" w:rsidRPr="00EB1E12">
              <w:rPr>
                <w:color w:val="000000" w:themeColor="text1"/>
                <w:spacing w:val="-4"/>
                <w:lang w:val="en-GB"/>
              </w:rPr>
              <w:t>%)</w:t>
            </w:r>
            <w:r w:rsidR="00EB1E12">
              <w:rPr>
                <w:color w:val="000000" w:themeColor="text1"/>
                <w:spacing w:val="-4"/>
                <w:lang w:val="en-GB"/>
              </w:rPr>
              <w:t xml:space="preserve"> also passed this mark and Austria or Germany also tightly. Italy, </w:t>
            </w:r>
            <w:r w:rsidR="00974FBF">
              <w:rPr>
                <w:color w:val="000000" w:themeColor="text1"/>
                <w:spacing w:val="-4"/>
                <w:lang w:val="en-GB"/>
              </w:rPr>
              <w:t xml:space="preserve">Contrary to it, </w:t>
            </w:r>
            <w:r w:rsidR="00EB1E12">
              <w:rPr>
                <w:color w:val="000000" w:themeColor="text1"/>
                <w:spacing w:val="-4"/>
                <w:lang w:val="en-GB"/>
              </w:rPr>
              <w:t>Spain or Finland still remai</w:t>
            </w:r>
            <w:r w:rsidR="00532E6C">
              <w:rPr>
                <w:color w:val="000000" w:themeColor="text1"/>
                <w:spacing w:val="-4"/>
                <w:lang w:val="en-GB"/>
              </w:rPr>
              <w:t>ned one quarter below this level.</w:t>
            </w:r>
          </w:p>
          <w:p w:rsidR="00905A11" w:rsidRPr="00532E6C" w:rsidRDefault="00905A11" w:rsidP="00611531">
            <w:pPr>
              <w:pStyle w:val="Textpoznpodarou"/>
              <w:jc w:val="both"/>
              <w:rPr>
                <w:color w:val="000000" w:themeColor="text1"/>
                <w:spacing w:val="-4"/>
                <w:sz w:val="14"/>
                <w:szCs w:val="14"/>
              </w:rPr>
            </w:pPr>
          </w:p>
        </w:tc>
      </w:tr>
      <w:tr w:rsidR="00905A11" w:rsidTr="00611531">
        <w:tc>
          <w:tcPr>
            <w:tcW w:w="1090" w:type="pct"/>
          </w:tcPr>
          <w:p w:rsidR="00905A11" w:rsidRPr="009D1C80" w:rsidRDefault="00D863D1" w:rsidP="001827A9">
            <w:pPr>
              <w:spacing w:line="240" w:lineRule="auto"/>
              <w:rPr>
                <w:sz w:val="16"/>
                <w:szCs w:val="16"/>
                <w:lang w:val="en-GB"/>
              </w:rPr>
            </w:pPr>
            <w:r w:rsidRPr="009D1C80">
              <w:rPr>
                <w:sz w:val="16"/>
                <w:szCs w:val="16"/>
                <w:lang w:val="en-GB"/>
              </w:rPr>
              <w:t>The construction was in the major part determined by</w:t>
            </w:r>
            <w:r w:rsidR="009D1C80">
              <w:rPr>
                <w:sz w:val="16"/>
                <w:szCs w:val="16"/>
                <w:lang w:val="en-GB"/>
              </w:rPr>
              <w:t xml:space="preserve"> </w:t>
            </w:r>
            <w:r w:rsidRPr="009D1C80">
              <w:rPr>
                <w:sz w:val="16"/>
                <w:szCs w:val="16"/>
                <w:lang w:val="en-GB"/>
              </w:rPr>
              <w:t xml:space="preserve">the </w:t>
            </w:r>
            <w:r w:rsidRPr="009D1C80">
              <w:rPr>
                <w:sz w:val="16"/>
                <w:szCs w:val="16"/>
                <w:lang w:val="en-GB"/>
              </w:rPr>
              <w:lastRenderedPageBreak/>
              <w:t>completion of drawing on the European funds</w:t>
            </w:r>
            <w:r w:rsidR="001827A9">
              <w:rPr>
                <w:sz w:val="16"/>
                <w:szCs w:val="16"/>
                <w:lang w:val="en-GB"/>
              </w:rPr>
              <w:t>,</w:t>
            </w:r>
            <w:r w:rsidRPr="009D1C80">
              <w:rPr>
                <w:sz w:val="16"/>
                <w:szCs w:val="16"/>
                <w:lang w:val="en-GB"/>
              </w:rPr>
              <w:t xml:space="preserve"> </w:t>
            </w:r>
            <w:r w:rsidR="001827A9">
              <w:rPr>
                <w:sz w:val="16"/>
                <w:szCs w:val="16"/>
                <w:lang w:val="en-GB"/>
              </w:rPr>
              <w:t xml:space="preserve">especially </w:t>
            </w:r>
            <w:r w:rsidRPr="009D1C80">
              <w:rPr>
                <w:sz w:val="16"/>
                <w:szCs w:val="16"/>
                <w:lang w:val="en-GB"/>
              </w:rPr>
              <w:t xml:space="preserve">on transport infrastructure in </w:t>
            </w:r>
            <w:r w:rsidR="00905A11" w:rsidRPr="009D1C80">
              <w:rPr>
                <w:sz w:val="16"/>
                <w:szCs w:val="16"/>
                <w:lang w:val="en-GB"/>
              </w:rPr>
              <w:t>2015</w:t>
            </w:r>
            <w:r w:rsidRPr="009D1C80">
              <w:rPr>
                <w:sz w:val="16"/>
                <w:szCs w:val="16"/>
                <w:lang w:val="en-GB"/>
              </w:rPr>
              <w:t xml:space="preserve"> </w:t>
            </w:r>
            <w:r w:rsidR="00905A11" w:rsidRPr="009D1C80">
              <w:rPr>
                <w:sz w:val="16"/>
                <w:szCs w:val="16"/>
                <w:lang w:val="en-GB"/>
              </w:rPr>
              <w:t xml:space="preserve"> </w:t>
            </w:r>
          </w:p>
        </w:tc>
        <w:tc>
          <w:tcPr>
            <w:tcW w:w="145" w:type="pct"/>
          </w:tcPr>
          <w:p w:rsidR="00905A11" w:rsidRPr="009D1C80" w:rsidRDefault="00905A11" w:rsidP="00611531">
            <w:pPr>
              <w:pStyle w:val="Textpoznpodarou"/>
              <w:jc w:val="both"/>
              <w:rPr>
                <w:spacing w:val="-2"/>
                <w:lang w:val="en-GB"/>
              </w:rPr>
            </w:pPr>
          </w:p>
        </w:tc>
        <w:tc>
          <w:tcPr>
            <w:tcW w:w="3765" w:type="pct"/>
          </w:tcPr>
          <w:p w:rsidR="00905A11" w:rsidRPr="009D1C80" w:rsidRDefault="00D863D1" w:rsidP="009D1C80">
            <w:pPr>
              <w:pStyle w:val="Textpoznpodarou"/>
              <w:jc w:val="both"/>
              <w:rPr>
                <w:lang w:val="en-GB"/>
              </w:rPr>
            </w:pPr>
            <w:r w:rsidRPr="009D1C80">
              <w:rPr>
                <w:lang w:val="en-GB"/>
              </w:rPr>
              <w:t xml:space="preserve">The acceleration of public investment into the </w:t>
            </w:r>
            <w:r w:rsidR="00157F98">
              <w:rPr>
                <w:lang w:val="en-GB"/>
              </w:rPr>
              <w:t xml:space="preserve">civil </w:t>
            </w:r>
            <w:r w:rsidR="00660917">
              <w:rPr>
                <w:lang w:val="en-GB"/>
              </w:rPr>
              <w:t>e</w:t>
            </w:r>
            <w:r w:rsidRPr="009D1C80">
              <w:rPr>
                <w:lang w:val="en-GB"/>
              </w:rPr>
              <w:t xml:space="preserve">ngineering </w:t>
            </w:r>
            <w:r w:rsidR="00157F98">
              <w:rPr>
                <w:lang w:val="en-GB"/>
              </w:rPr>
              <w:t xml:space="preserve">works </w:t>
            </w:r>
            <w:r w:rsidR="00F56793">
              <w:rPr>
                <w:lang w:val="en-GB"/>
              </w:rPr>
              <w:t xml:space="preserve">(driven by </w:t>
            </w:r>
            <w:r w:rsidRPr="009D1C80">
              <w:rPr>
                <w:lang w:val="en-GB"/>
              </w:rPr>
              <w:t>the fina</w:t>
            </w:r>
            <w:r w:rsidR="00313F7B">
              <w:rPr>
                <w:lang w:val="en-GB"/>
              </w:rPr>
              <w:t>lisation of drawing of</w:t>
            </w:r>
            <w:r w:rsidR="00F56793">
              <w:rPr>
                <w:lang w:val="en-GB"/>
              </w:rPr>
              <w:t xml:space="preserve"> resour</w:t>
            </w:r>
            <w:r w:rsidRPr="009D1C80">
              <w:rPr>
                <w:lang w:val="en-GB"/>
              </w:rPr>
              <w:t>ces from the EU budget</w:t>
            </w:r>
            <w:r w:rsidR="00F56793">
              <w:rPr>
                <w:lang w:val="en-GB"/>
              </w:rPr>
              <w:t>)</w:t>
            </w:r>
            <w:r w:rsidRPr="009D1C80">
              <w:rPr>
                <w:lang w:val="en-GB"/>
              </w:rPr>
              <w:t xml:space="preserve"> </w:t>
            </w:r>
            <w:r w:rsidR="00F56793">
              <w:rPr>
                <w:lang w:val="en-GB"/>
              </w:rPr>
              <w:t>was a key factor</w:t>
            </w:r>
            <w:r w:rsidR="00313F7B">
              <w:rPr>
                <w:lang w:val="en-GB"/>
              </w:rPr>
              <w:t xml:space="preserve"> </w:t>
            </w:r>
            <w:r w:rsidR="00313F7B">
              <w:rPr>
                <w:lang w:val="en-GB"/>
              </w:rPr>
              <w:lastRenderedPageBreak/>
              <w:t>behind</w:t>
            </w:r>
            <w:r w:rsidRPr="009D1C80">
              <w:rPr>
                <w:lang w:val="en-GB"/>
              </w:rPr>
              <w:t xml:space="preserve"> the results in construction in </w:t>
            </w:r>
            <w:r w:rsidR="00905A11" w:rsidRPr="009D1C80">
              <w:rPr>
                <w:lang w:val="en-GB"/>
              </w:rPr>
              <w:t>2015</w:t>
            </w:r>
            <w:r w:rsidRPr="009D1C80">
              <w:rPr>
                <w:lang w:val="en-GB"/>
              </w:rPr>
              <w:t xml:space="preserve">. </w:t>
            </w:r>
            <w:r w:rsidR="00660917">
              <w:rPr>
                <w:lang w:val="en-GB"/>
              </w:rPr>
              <w:t>T</w:t>
            </w:r>
            <w:r w:rsidRPr="009D1C80">
              <w:rPr>
                <w:lang w:val="en-GB"/>
              </w:rPr>
              <w:t xml:space="preserve">he impact of the notable economic revival still on the contrary manifests </w:t>
            </w:r>
            <w:r w:rsidR="006E638B" w:rsidRPr="006E638B">
              <w:rPr>
                <w:lang w:val="en-GB"/>
              </w:rPr>
              <w:t>less clear</w:t>
            </w:r>
            <w:r w:rsidR="006E638B">
              <w:rPr>
                <w:lang w:val="en-GB"/>
              </w:rPr>
              <w:t>ly (</w:t>
            </w:r>
            <w:r w:rsidR="009D1C80" w:rsidRPr="009D1C80">
              <w:rPr>
                <w:lang w:val="en-GB"/>
              </w:rPr>
              <w:t xml:space="preserve">e.g. the production of the </w:t>
            </w:r>
            <w:r w:rsidR="00660917">
              <w:rPr>
                <w:lang w:val="en-GB"/>
              </w:rPr>
              <w:t xml:space="preserve">building construction </w:t>
            </w:r>
            <w:r w:rsidR="009D1C80" w:rsidRPr="009D1C80">
              <w:rPr>
                <w:lang w:val="en-GB"/>
              </w:rPr>
              <w:t xml:space="preserve">increased only by </w:t>
            </w:r>
            <w:r w:rsidR="00250E0D" w:rsidRPr="009D1C80">
              <w:rPr>
                <w:lang w:val="en-GB"/>
              </w:rPr>
              <w:t>6</w:t>
            </w:r>
            <w:r w:rsidR="00905A11" w:rsidRPr="009D1C80">
              <w:rPr>
                <w:lang w:val="en-GB"/>
              </w:rPr>
              <w:t>%</w:t>
            </w:r>
            <w:r w:rsidR="009D1C80" w:rsidRPr="009D1C80">
              <w:rPr>
                <w:lang w:val="en-GB"/>
              </w:rPr>
              <w:t xml:space="preserve"> compared to its bottom from year 2013</w:t>
            </w:r>
            <w:r w:rsidR="006E638B">
              <w:rPr>
                <w:lang w:val="en-GB"/>
              </w:rPr>
              <w:t>)</w:t>
            </w:r>
            <w:r w:rsidR="009D1C80" w:rsidRPr="009D1C80">
              <w:rPr>
                <w:lang w:val="en-GB"/>
              </w:rPr>
              <w:t xml:space="preserve">. The construction firms also </w:t>
            </w:r>
            <w:r w:rsidR="001827A9">
              <w:rPr>
                <w:lang w:val="en-GB"/>
              </w:rPr>
              <w:t>generate</w:t>
            </w:r>
            <w:r w:rsidR="009D1C80" w:rsidRPr="009D1C80">
              <w:rPr>
                <w:lang w:val="en-GB"/>
              </w:rPr>
              <w:t xml:space="preserve"> new job positions carefully, due to the experience from the pro-longed recession of the branch and remaining uncertainty linked to the subsiding of the</w:t>
            </w:r>
            <w:r w:rsidR="006E2B48">
              <w:rPr>
                <w:lang w:val="en-GB"/>
              </w:rPr>
              <w:t xml:space="preserve"> “doping”</w:t>
            </w:r>
            <w:r w:rsidR="00905A11" w:rsidRPr="009D1C80">
              <w:rPr>
                <w:lang w:val="en-GB"/>
              </w:rPr>
              <w:t xml:space="preserve"> </w:t>
            </w:r>
            <w:r w:rsidR="009D1C80" w:rsidRPr="009D1C80">
              <w:rPr>
                <w:lang w:val="en-GB"/>
              </w:rPr>
              <w:t xml:space="preserve">effect of the strong drawing on the European subsidies. </w:t>
            </w:r>
          </w:p>
          <w:p w:rsidR="009D1C80" w:rsidRPr="00532E6C" w:rsidRDefault="009D1C80" w:rsidP="009D1C80">
            <w:pPr>
              <w:pStyle w:val="Textpoznpodarou"/>
              <w:jc w:val="both"/>
              <w:rPr>
                <w:spacing w:val="-4"/>
                <w:sz w:val="14"/>
                <w:szCs w:val="14"/>
                <w:lang w:val="en-GB"/>
              </w:rPr>
            </w:pPr>
          </w:p>
        </w:tc>
      </w:tr>
      <w:tr w:rsidR="00905A11" w:rsidTr="00611531">
        <w:tc>
          <w:tcPr>
            <w:tcW w:w="1090" w:type="pct"/>
          </w:tcPr>
          <w:p w:rsidR="00905A11" w:rsidRPr="009D1C80" w:rsidRDefault="009D1C80" w:rsidP="007D71F5">
            <w:pPr>
              <w:spacing w:line="240" w:lineRule="auto"/>
              <w:rPr>
                <w:sz w:val="16"/>
                <w:szCs w:val="16"/>
                <w:lang w:val="en-GB"/>
              </w:rPr>
            </w:pPr>
            <w:r w:rsidRPr="009D1C80">
              <w:rPr>
                <w:sz w:val="16"/>
                <w:szCs w:val="16"/>
                <w:lang w:val="en-GB"/>
              </w:rPr>
              <w:lastRenderedPageBreak/>
              <w:t>Mounting pressure on the completion of drawing on funds from the EU budget allocated to the development of the transport infrastructure led to sharp year-on-year growth of the</w:t>
            </w:r>
            <w:r w:rsidR="007D71F5">
              <w:rPr>
                <w:sz w:val="16"/>
                <w:szCs w:val="16"/>
                <w:lang w:val="en-GB"/>
              </w:rPr>
              <w:t xml:space="preserve"> civil engineering construction </w:t>
            </w:r>
            <w:r w:rsidRPr="009D1C80">
              <w:rPr>
                <w:sz w:val="16"/>
                <w:szCs w:val="16"/>
                <w:lang w:val="en-GB"/>
              </w:rPr>
              <w:t xml:space="preserve"> </w:t>
            </w:r>
            <w:r w:rsidR="007D71F5">
              <w:rPr>
                <w:sz w:val="16"/>
                <w:szCs w:val="16"/>
                <w:lang w:val="en-GB"/>
              </w:rPr>
              <w:t>p</w:t>
            </w:r>
            <w:r w:rsidRPr="009D1C80">
              <w:rPr>
                <w:sz w:val="16"/>
                <w:szCs w:val="16"/>
                <w:lang w:val="en-GB"/>
              </w:rPr>
              <w:t>roduction</w:t>
            </w:r>
            <w:r w:rsidR="00905A11" w:rsidRPr="009D1C80">
              <w:rPr>
                <w:sz w:val="16"/>
                <w:szCs w:val="16"/>
                <w:lang w:val="en-GB"/>
              </w:rPr>
              <w:t xml:space="preserve">, </w:t>
            </w:r>
            <w:r w:rsidRPr="009D1C80">
              <w:rPr>
                <w:sz w:val="16"/>
                <w:szCs w:val="16"/>
                <w:lang w:val="en-GB"/>
              </w:rPr>
              <w:t xml:space="preserve">the highest in the last twelve years </w:t>
            </w:r>
            <w:r w:rsidR="00905A11" w:rsidRPr="009D1C80">
              <w:rPr>
                <w:sz w:val="16"/>
                <w:szCs w:val="16"/>
                <w:lang w:val="en-GB"/>
              </w:rPr>
              <w:t xml:space="preserve"> </w:t>
            </w:r>
          </w:p>
        </w:tc>
        <w:tc>
          <w:tcPr>
            <w:tcW w:w="145" w:type="pct"/>
          </w:tcPr>
          <w:p w:rsidR="00905A11" w:rsidRPr="009D1C80" w:rsidRDefault="00905A11" w:rsidP="00611531">
            <w:pPr>
              <w:pStyle w:val="Textpoznpodarou"/>
              <w:jc w:val="both"/>
              <w:rPr>
                <w:spacing w:val="-2"/>
                <w:lang w:val="en-GB"/>
              </w:rPr>
            </w:pPr>
          </w:p>
        </w:tc>
        <w:tc>
          <w:tcPr>
            <w:tcW w:w="3765" w:type="pct"/>
          </w:tcPr>
          <w:p w:rsidR="00905A11" w:rsidRPr="009D1C80" w:rsidRDefault="003F4616" w:rsidP="00611531">
            <w:pPr>
              <w:pStyle w:val="Textpoznpodarou"/>
              <w:jc w:val="both"/>
              <w:rPr>
                <w:spacing w:val="-2"/>
                <w:lang w:val="en-GB"/>
              </w:rPr>
            </w:pPr>
            <w:r>
              <w:rPr>
                <w:spacing w:val="-2"/>
                <w:lang w:val="en-GB"/>
              </w:rPr>
              <w:t xml:space="preserve">Year-on-year rate of growth of the construction production mildly accelerated to </w:t>
            </w:r>
            <w:r w:rsidR="00250E0D" w:rsidRPr="009D1C80">
              <w:rPr>
                <w:spacing w:val="-2"/>
                <w:lang w:val="en-GB"/>
              </w:rPr>
              <w:t>7</w:t>
            </w:r>
            <w:r>
              <w:rPr>
                <w:spacing w:val="-2"/>
                <w:lang w:val="en-GB"/>
              </w:rPr>
              <w:t>.</w:t>
            </w:r>
            <w:r w:rsidR="00250E0D" w:rsidRPr="009D1C80">
              <w:rPr>
                <w:spacing w:val="-2"/>
                <w:lang w:val="en-GB"/>
              </w:rPr>
              <w:t>1</w:t>
            </w:r>
            <w:r w:rsidR="00905A11" w:rsidRPr="009D1C80">
              <w:rPr>
                <w:spacing w:val="-2"/>
                <w:lang w:val="en-GB"/>
              </w:rPr>
              <w:t>%</w:t>
            </w:r>
            <w:r>
              <w:rPr>
                <w:spacing w:val="-2"/>
                <w:lang w:val="en-GB"/>
              </w:rPr>
              <w:t xml:space="preserve"> </w:t>
            </w:r>
            <w:r w:rsidR="00905A11" w:rsidRPr="009D1C80">
              <w:rPr>
                <w:spacing w:val="-2"/>
                <w:lang w:val="en-GB"/>
              </w:rPr>
              <w:t>(</w:t>
            </w:r>
            <w:r>
              <w:rPr>
                <w:spacing w:val="-2"/>
                <w:lang w:val="en-GB"/>
              </w:rPr>
              <w:t xml:space="preserve">from </w:t>
            </w:r>
            <w:r w:rsidR="00905A11" w:rsidRPr="009D1C80">
              <w:rPr>
                <w:spacing w:val="-2"/>
                <w:lang w:val="en-GB"/>
              </w:rPr>
              <w:t>4</w:t>
            </w:r>
            <w:r>
              <w:rPr>
                <w:spacing w:val="-2"/>
                <w:lang w:val="en-GB"/>
              </w:rPr>
              <w:t>.</w:t>
            </w:r>
            <w:r w:rsidR="00897CC5">
              <w:rPr>
                <w:spacing w:val="-2"/>
                <w:lang w:val="en-GB"/>
              </w:rPr>
              <w:t>3</w:t>
            </w:r>
            <w:r w:rsidR="00905A11" w:rsidRPr="009D1C80">
              <w:rPr>
                <w:spacing w:val="-2"/>
                <w:lang w:val="en-GB"/>
              </w:rPr>
              <w:t xml:space="preserve">% </w:t>
            </w:r>
            <w:r>
              <w:rPr>
                <w:spacing w:val="-2"/>
                <w:lang w:val="en-GB"/>
              </w:rPr>
              <w:t xml:space="preserve">from year </w:t>
            </w:r>
            <w:r w:rsidR="00905A11" w:rsidRPr="009D1C80">
              <w:rPr>
                <w:spacing w:val="-2"/>
                <w:lang w:val="en-GB"/>
              </w:rPr>
              <w:t>2014)</w:t>
            </w:r>
            <w:r>
              <w:rPr>
                <w:spacing w:val="-2"/>
                <w:lang w:val="en-GB"/>
              </w:rPr>
              <w:t xml:space="preserve"> in 2015</w:t>
            </w:r>
            <w:r w:rsidR="00905A11" w:rsidRPr="009D1C80">
              <w:rPr>
                <w:spacing w:val="-2"/>
                <w:lang w:val="en-GB"/>
              </w:rPr>
              <w:t xml:space="preserve">. </w:t>
            </w:r>
            <w:r w:rsidR="007D71F5">
              <w:rPr>
                <w:spacing w:val="-2"/>
                <w:lang w:val="en-GB"/>
              </w:rPr>
              <w:t xml:space="preserve">Civil engineering construction </w:t>
            </w:r>
            <w:r w:rsidR="00157F98">
              <w:rPr>
                <w:spacing w:val="-2"/>
                <w:lang w:val="en-GB"/>
              </w:rPr>
              <w:t>(</w:t>
            </w:r>
            <w:r w:rsidR="007D71F5">
              <w:rPr>
                <w:spacing w:val="-2"/>
                <w:lang w:val="en-GB"/>
              </w:rPr>
              <w:t>l</w:t>
            </w:r>
            <w:r>
              <w:rPr>
                <w:spacing w:val="-2"/>
                <w:lang w:val="en-GB"/>
              </w:rPr>
              <w:t>ess significant by weight</w:t>
            </w:r>
            <w:r w:rsidR="00157F98">
              <w:rPr>
                <w:spacing w:val="-2"/>
                <w:lang w:val="en-GB"/>
              </w:rPr>
              <w:t>)</w:t>
            </w:r>
            <w:r>
              <w:rPr>
                <w:spacing w:val="-2"/>
                <w:lang w:val="en-GB"/>
              </w:rPr>
              <w:t xml:space="preserve"> contributed to the growth of the whole branch from three quarters (its performance was by one sixth higher year-on-year</w:t>
            </w:r>
            <w:r w:rsidR="00905A11" w:rsidRPr="009D1C80">
              <w:rPr>
                <w:spacing w:val="-2"/>
                <w:lang w:val="en-GB"/>
              </w:rPr>
              <w:t xml:space="preserve">). </w:t>
            </w:r>
            <w:r>
              <w:rPr>
                <w:spacing w:val="-2"/>
                <w:lang w:val="en-GB"/>
              </w:rPr>
              <w:t xml:space="preserve">The whole construction however started to lose the dynamics in the second half of the year, when it </w:t>
            </w:r>
            <w:r w:rsidR="000104F6">
              <w:rPr>
                <w:spacing w:val="-2"/>
                <w:lang w:val="en-GB"/>
              </w:rPr>
              <w:t>ro</w:t>
            </w:r>
            <w:r>
              <w:rPr>
                <w:spacing w:val="-2"/>
                <w:lang w:val="en-GB"/>
              </w:rPr>
              <w:t xml:space="preserve">se by </w:t>
            </w:r>
            <w:r w:rsidR="00250E0D" w:rsidRPr="009D1C80">
              <w:rPr>
                <w:spacing w:val="-2"/>
                <w:lang w:val="en-GB"/>
              </w:rPr>
              <w:t>1</w:t>
            </w:r>
            <w:r>
              <w:rPr>
                <w:spacing w:val="-2"/>
                <w:lang w:val="en-GB"/>
              </w:rPr>
              <w:t>.</w:t>
            </w:r>
            <w:r w:rsidR="00250E0D" w:rsidRPr="009D1C80">
              <w:rPr>
                <w:spacing w:val="-2"/>
                <w:lang w:val="en-GB"/>
              </w:rPr>
              <w:t>1</w:t>
            </w:r>
            <w:r w:rsidR="00905A11" w:rsidRPr="009D1C80">
              <w:rPr>
                <w:spacing w:val="-2"/>
                <w:lang w:val="en-GB"/>
              </w:rPr>
              <w:t xml:space="preserve">% </w:t>
            </w:r>
            <w:r>
              <w:rPr>
                <w:spacing w:val="-2"/>
                <w:lang w:val="en-GB"/>
              </w:rPr>
              <w:t>year-on-year (after</w:t>
            </w:r>
            <w:r w:rsidR="000104F6">
              <w:rPr>
                <w:spacing w:val="-2"/>
                <w:lang w:val="en-GB"/>
              </w:rPr>
              <w:t xml:space="preserve"> calendar adjustment) in Q4</w:t>
            </w:r>
            <w:r>
              <w:rPr>
                <w:spacing w:val="-2"/>
                <w:lang w:val="en-GB"/>
              </w:rPr>
              <w:t xml:space="preserve"> </w:t>
            </w:r>
            <w:r w:rsidR="00905A11" w:rsidRPr="009D1C80">
              <w:rPr>
                <w:spacing w:val="-2"/>
                <w:lang w:val="en-GB"/>
              </w:rPr>
              <w:t>(a</w:t>
            </w:r>
            <w:r w:rsidR="000104F6">
              <w:rPr>
                <w:spacing w:val="-2"/>
                <w:lang w:val="en-GB"/>
              </w:rPr>
              <w:t>nd simultaneously recorded already second quarter-on-quarter decrease in a row</w:t>
            </w:r>
            <w:r w:rsidR="00905A11" w:rsidRPr="009D1C80">
              <w:rPr>
                <w:spacing w:val="-2"/>
                <w:lang w:val="en-GB"/>
              </w:rPr>
              <w:t xml:space="preserve">). </w:t>
            </w:r>
            <w:r w:rsidR="005828FD">
              <w:rPr>
                <w:spacing w:val="-2"/>
                <w:lang w:val="en-GB"/>
              </w:rPr>
              <w:t xml:space="preserve">Even though the construction production for the whole year increased the most since year </w:t>
            </w:r>
            <w:r w:rsidR="00905A11" w:rsidRPr="009D1C80">
              <w:rPr>
                <w:spacing w:val="-2"/>
                <w:lang w:val="en-GB"/>
              </w:rPr>
              <w:t xml:space="preserve">2007, </w:t>
            </w:r>
            <w:r w:rsidR="005828FD">
              <w:rPr>
                <w:spacing w:val="-2"/>
                <w:lang w:val="en-GB"/>
              </w:rPr>
              <w:t xml:space="preserve">it was still by nearly </w:t>
            </w:r>
            <w:r w:rsidR="00897CC5">
              <w:rPr>
                <w:spacing w:val="-2"/>
                <w:lang w:val="en-GB"/>
              </w:rPr>
              <w:t>15</w:t>
            </w:r>
            <w:r w:rsidR="00250E0D" w:rsidRPr="009D1C80">
              <w:rPr>
                <w:spacing w:val="-2"/>
                <w:lang w:val="en-GB"/>
              </w:rPr>
              <w:t xml:space="preserve">% </w:t>
            </w:r>
            <w:r w:rsidR="005828FD">
              <w:rPr>
                <w:spacing w:val="-2"/>
                <w:lang w:val="en-GB"/>
              </w:rPr>
              <w:t>lower in comparison to the level of the business cycle peak in 2008</w:t>
            </w:r>
            <w:r w:rsidR="00905A11" w:rsidRPr="009D1C80">
              <w:rPr>
                <w:spacing w:val="-2"/>
                <w:lang w:val="en-GB"/>
              </w:rPr>
              <w:t>.</w:t>
            </w:r>
          </w:p>
          <w:p w:rsidR="00905A11" w:rsidRPr="00532E6C" w:rsidRDefault="00905A11" w:rsidP="00611531">
            <w:pPr>
              <w:pStyle w:val="Textpoznpodarou"/>
              <w:jc w:val="both"/>
              <w:rPr>
                <w:spacing w:val="-4"/>
                <w:sz w:val="14"/>
                <w:szCs w:val="14"/>
                <w:lang w:val="en-GB"/>
              </w:rPr>
            </w:pPr>
          </w:p>
        </w:tc>
      </w:tr>
      <w:tr w:rsidR="00905A11" w:rsidTr="00611531">
        <w:tc>
          <w:tcPr>
            <w:tcW w:w="1090" w:type="pct"/>
          </w:tcPr>
          <w:p w:rsidR="00905A11" w:rsidRPr="002C1A8A" w:rsidRDefault="002C1A8A" w:rsidP="00611531">
            <w:pPr>
              <w:spacing w:line="240" w:lineRule="auto"/>
              <w:rPr>
                <w:sz w:val="16"/>
                <w:szCs w:val="16"/>
                <w:lang w:val="en-GB"/>
              </w:rPr>
            </w:pPr>
            <w:r w:rsidRPr="002C1A8A">
              <w:rPr>
                <w:sz w:val="16"/>
                <w:szCs w:val="16"/>
                <w:lang w:val="en-GB"/>
              </w:rPr>
              <w:t xml:space="preserve">The stock of all not yet realised construction orders narrowed down by a whole one quarter during 2015 </w:t>
            </w:r>
          </w:p>
          <w:p w:rsidR="00905A11" w:rsidRPr="002C1A8A" w:rsidRDefault="00905A11" w:rsidP="00611531">
            <w:pPr>
              <w:spacing w:line="240" w:lineRule="auto"/>
              <w:rPr>
                <w:sz w:val="16"/>
                <w:szCs w:val="16"/>
                <w:lang w:val="en-GB"/>
              </w:rPr>
            </w:pPr>
          </w:p>
          <w:p w:rsidR="00905A11" w:rsidRPr="002C1A8A" w:rsidRDefault="00905A11" w:rsidP="00611531">
            <w:pPr>
              <w:spacing w:line="240" w:lineRule="auto"/>
              <w:rPr>
                <w:sz w:val="16"/>
                <w:szCs w:val="16"/>
                <w:lang w:val="en-GB"/>
              </w:rPr>
            </w:pPr>
          </w:p>
          <w:p w:rsidR="00905A11" w:rsidRPr="002C1A8A" w:rsidRDefault="00905A11" w:rsidP="00611531">
            <w:pPr>
              <w:spacing w:line="240" w:lineRule="auto"/>
              <w:rPr>
                <w:sz w:val="16"/>
                <w:szCs w:val="16"/>
                <w:lang w:val="en-GB"/>
              </w:rPr>
            </w:pPr>
          </w:p>
          <w:p w:rsidR="00905A11" w:rsidRPr="002C1A8A" w:rsidRDefault="00905A11" w:rsidP="00611531">
            <w:pPr>
              <w:spacing w:line="240" w:lineRule="auto"/>
              <w:rPr>
                <w:sz w:val="16"/>
                <w:szCs w:val="16"/>
                <w:lang w:val="en-GB"/>
              </w:rPr>
            </w:pPr>
          </w:p>
          <w:p w:rsidR="00905A11" w:rsidRPr="002C1A8A" w:rsidRDefault="00905A11" w:rsidP="00611531">
            <w:pPr>
              <w:spacing w:line="240" w:lineRule="auto"/>
              <w:rPr>
                <w:color w:val="000000" w:themeColor="text1"/>
                <w:sz w:val="16"/>
                <w:szCs w:val="16"/>
                <w:lang w:val="en-GB"/>
              </w:rPr>
            </w:pPr>
          </w:p>
          <w:p w:rsidR="00905A11" w:rsidRPr="0032604E" w:rsidRDefault="002C1A8A" w:rsidP="00503EF7">
            <w:pPr>
              <w:spacing w:line="240" w:lineRule="auto"/>
              <w:rPr>
                <w:color w:val="000000" w:themeColor="text1"/>
                <w:sz w:val="16"/>
                <w:szCs w:val="16"/>
              </w:rPr>
            </w:pPr>
            <w:r w:rsidRPr="002C1A8A">
              <w:rPr>
                <w:color w:val="000000" w:themeColor="text1"/>
                <w:sz w:val="16"/>
                <w:szCs w:val="16"/>
                <w:lang w:val="en-GB"/>
              </w:rPr>
              <w:t xml:space="preserve">Marked growth of the </w:t>
            </w:r>
            <w:r w:rsidR="00503EF7">
              <w:rPr>
                <w:color w:val="000000" w:themeColor="text1"/>
                <w:sz w:val="16"/>
                <w:szCs w:val="16"/>
                <w:lang w:val="en-GB"/>
              </w:rPr>
              <w:t>floor area within</w:t>
            </w:r>
            <w:r w:rsidRPr="002C1A8A">
              <w:rPr>
                <w:color w:val="000000" w:themeColor="text1"/>
                <w:sz w:val="16"/>
                <w:szCs w:val="16"/>
                <w:lang w:val="en-GB"/>
              </w:rPr>
              <w:t xml:space="preserve"> new permitted non-residential buildings</w:t>
            </w:r>
            <w:r>
              <w:rPr>
                <w:color w:val="000000" w:themeColor="text1"/>
                <w:sz w:val="16"/>
                <w:szCs w:val="16"/>
              </w:rPr>
              <w:t xml:space="preserve"> </w:t>
            </w:r>
          </w:p>
        </w:tc>
        <w:tc>
          <w:tcPr>
            <w:tcW w:w="145" w:type="pct"/>
          </w:tcPr>
          <w:p w:rsidR="00905A11" w:rsidRDefault="00905A11" w:rsidP="00611531">
            <w:pPr>
              <w:pStyle w:val="Textpoznpodarou"/>
              <w:jc w:val="both"/>
              <w:rPr>
                <w:spacing w:val="-2"/>
              </w:rPr>
            </w:pPr>
          </w:p>
        </w:tc>
        <w:tc>
          <w:tcPr>
            <w:tcW w:w="3765" w:type="pct"/>
          </w:tcPr>
          <w:p w:rsidR="00905A11" w:rsidRPr="00524962" w:rsidRDefault="004F37BE" w:rsidP="00611531">
            <w:pPr>
              <w:pStyle w:val="Textpoznpodarou"/>
              <w:jc w:val="both"/>
              <w:rPr>
                <w:spacing w:val="-2"/>
                <w:lang w:val="en-GB"/>
              </w:rPr>
            </w:pPr>
            <w:r w:rsidRPr="00524962">
              <w:rPr>
                <w:spacing w:val="-2"/>
                <w:lang w:val="en-GB"/>
              </w:rPr>
              <w:t xml:space="preserve">Good results in construction throughout most of year 2015 were partially the reflection of implementation of a high stock of last year’s new orders for </w:t>
            </w:r>
            <w:proofErr w:type="spellStart"/>
            <w:r w:rsidR="00157F98" w:rsidRPr="00524962">
              <w:rPr>
                <w:spacing w:val="-2"/>
                <w:lang w:val="en-GB"/>
              </w:rPr>
              <w:t>civiů</w:t>
            </w:r>
            <w:proofErr w:type="spellEnd"/>
            <w:r w:rsidR="00157F98" w:rsidRPr="00524962">
              <w:rPr>
                <w:spacing w:val="-2"/>
                <w:lang w:val="en-GB"/>
              </w:rPr>
              <w:t xml:space="preserve"> engineering works</w:t>
            </w:r>
            <w:r w:rsidR="007D71F5" w:rsidRPr="00524962">
              <w:rPr>
                <w:spacing w:val="-2"/>
                <w:lang w:val="en-GB"/>
              </w:rPr>
              <w:t xml:space="preserve"> </w:t>
            </w:r>
            <w:r w:rsidR="00905A11" w:rsidRPr="00524962">
              <w:rPr>
                <w:spacing w:val="-2"/>
                <w:lang w:val="en-GB"/>
              </w:rPr>
              <w:t>(</w:t>
            </w:r>
            <w:r w:rsidRPr="00524962">
              <w:rPr>
                <w:spacing w:val="-2"/>
                <w:lang w:val="en-GB"/>
              </w:rPr>
              <w:t xml:space="preserve">in the value of </w:t>
            </w:r>
            <w:r w:rsidR="00905A11" w:rsidRPr="00524962">
              <w:rPr>
                <w:spacing w:val="-2"/>
                <w:lang w:val="en-GB"/>
              </w:rPr>
              <w:t xml:space="preserve">117 </w:t>
            </w:r>
            <w:r w:rsidR="00546888" w:rsidRPr="00524962">
              <w:rPr>
                <w:spacing w:val="-2"/>
                <w:lang w:val="en-GB"/>
              </w:rPr>
              <w:t xml:space="preserve">CZK </w:t>
            </w:r>
            <w:r w:rsidRPr="00524962">
              <w:rPr>
                <w:spacing w:val="-2"/>
                <w:lang w:val="en-GB"/>
              </w:rPr>
              <w:t xml:space="preserve">bn, the highest since </w:t>
            </w:r>
            <w:r w:rsidR="00905A11" w:rsidRPr="00524962">
              <w:rPr>
                <w:spacing w:val="-2"/>
                <w:lang w:val="en-GB"/>
              </w:rPr>
              <w:t xml:space="preserve">2008). </w:t>
            </w:r>
            <w:r w:rsidRPr="00524962">
              <w:rPr>
                <w:spacing w:val="-2"/>
                <w:lang w:val="en-GB"/>
              </w:rPr>
              <w:t xml:space="preserve">The value of new orders (in businesses with 50 and more employees) fell by </w:t>
            </w:r>
            <w:r w:rsidR="00124DA1" w:rsidRPr="00524962">
              <w:rPr>
                <w:spacing w:val="-2"/>
                <w:lang w:val="en-GB"/>
              </w:rPr>
              <w:t>1</w:t>
            </w:r>
            <w:r w:rsidRPr="00524962">
              <w:rPr>
                <w:spacing w:val="-2"/>
                <w:lang w:val="en-GB"/>
              </w:rPr>
              <w:t>.</w:t>
            </w:r>
            <w:r w:rsidR="00897CC5" w:rsidRPr="00524962">
              <w:rPr>
                <w:spacing w:val="-2"/>
                <w:lang w:val="en-GB"/>
              </w:rPr>
              <w:t>7</w:t>
            </w:r>
            <w:r w:rsidR="00124DA1" w:rsidRPr="00524962">
              <w:rPr>
                <w:spacing w:val="-2"/>
                <w:lang w:val="en-GB"/>
              </w:rPr>
              <w:t>%</w:t>
            </w:r>
            <w:r w:rsidRPr="00524962">
              <w:rPr>
                <w:spacing w:val="-2"/>
                <w:lang w:val="en-GB"/>
              </w:rPr>
              <w:t xml:space="preserve"> year-on-year in H2</w:t>
            </w:r>
            <w:r w:rsidR="00124DA1" w:rsidRPr="00524962">
              <w:rPr>
                <w:spacing w:val="-2"/>
                <w:lang w:val="en-GB"/>
              </w:rPr>
              <w:t xml:space="preserve">. </w:t>
            </w:r>
            <w:r w:rsidRPr="00524962">
              <w:rPr>
                <w:spacing w:val="-2"/>
                <w:lang w:val="en-GB"/>
              </w:rPr>
              <w:t xml:space="preserve">The heightened pressure to complete especially the </w:t>
            </w:r>
            <w:r w:rsidR="00595590" w:rsidRPr="00524962">
              <w:rPr>
                <w:spacing w:val="-2"/>
                <w:lang w:val="en-GB"/>
              </w:rPr>
              <w:t>transport</w:t>
            </w:r>
            <w:r w:rsidRPr="00524962">
              <w:rPr>
                <w:spacing w:val="-2"/>
                <w:lang w:val="en-GB"/>
              </w:rPr>
              <w:t xml:space="preserve"> constructions transferred into a considerable drop of the stock of all not yet finished orders (by </w:t>
            </w:r>
            <w:r w:rsidR="00124DA1" w:rsidRPr="00524962">
              <w:rPr>
                <w:spacing w:val="-2"/>
                <w:lang w:val="en-GB"/>
              </w:rPr>
              <w:t>38</w:t>
            </w:r>
            <w:r w:rsidRPr="00524962">
              <w:rPr>
                <w:spacing w:val="-2"/>
                <w:lang w:val="en-GB"/>
              </w:rPr>
              <w:t>.</w:t>
            </w:r>
            <w:r w:rsidR="00124DA1" w:rsidRPr="00524962">
              <w:rPr>
                <w:spacing w:val="-2"/>
                <w:lang w:val="en-GB"/>
              </w:rPr>
              <w:t>3</w:t>
            </w:r>
            <w:r w:rsidR="00905A11" w:rsidRPr="00524962">
              <w:rPr>
                <w:spacing w:val="-2"/>
                <w:lang w:val="en-GB"/>
              </w:rPr>
              <w:t xml:space="preserve"> </w:t>
            </w:r>
            <w:r w:rsidR="00546888" w:rsidRPr="00524962">
              <w:rPr>
                <w:spacing w:val="-2"/>
                <w:lang w:val="en-GB"/>
              </w:rPr>
              <w:t xml:space="preserve">CZK </w:t>
            </w:r>
            <w:r w:rsidRPr="00524962">
              <w:rPr>
                <w:spacing w:val="-2"/>
                <w:lang w:val="en-GB"/>
              </w:rPr>
              <w:t xml:space="preserve">bn) year-on-year at the end of the year, mainly due to the effect of drawing of domestic public orders and also orders from abroad. At the same time, the </w:t>
            </w:r>
            <w:r w:rsidR="00643EF9" w:rsidRPr="00524962">
              <w:rPr>
                <w:spacing w:val="-2"/>
                <w:lang w:val="en-GB"/>
              </w:rPr>
              <w:t>estimated</w:t>
            </w:r>
            <w:r w:rsidRPr="00524962">
              <w:rPr>
                <w:spacing w:val="-2"/>
                <w:lang w:val="en-GB"/>
              </w:rPr>
              <w:t xml:space="preserve"> value of issued construction permit</w:t>
            </w:r>
            <w:r w:rsidR="00022EA9" w:rsidRPr="00524962">
              <w:rPr>
                <w:spacing w:val="-2"/>
                <w:lang w:val="en-GB"/>
              </w:rPr>
              <w:t>s</w:t>
            </w:r>
            <w:r w:rsidRPr="00524962">
              <w:rPr>
                <w:spacing w:val="-2"/>
                <w:lang w:val="en-GB"/>
              </w:rPr>
              <w:t xml:space="preserve"> was increasing </w:t>
            </w:r>
            <w:r w:rsidR="00905A11" w:rsidRPr="00524962">
              <w:rPr>
                <w:spacing w:val="-2"/>
                <w:lang w:val="en-GB"/>
              </w:rPr>
              <w:t>(</w:t>
            </w:r>
            <w:r w:rsidRPr="00524962">
              <w:rPr>
                <w:spacing w:val="-2"/>
                <w:lang w:val="en-GB"/>
              </w:rPr>
              <w:t xml:space="preserve">by </w:t>
            </w:r>
            <w:r w:rsidR="00676AFC" w:rsidRPr="00524962">
              <w:rPr>
                <w:spacing w:val="-2"/>
                <w:lang w:val="en-GB"/>
              </w:rPr>
              <w:t>14</w:t>
            </w:r>
            <w:r w:rsidRPr="00524962">
              <w:rPr>
                <w:spacing w:val="-2"/>
                <w:lang w:val="en-GB"/>
              </w:rPr>
              <w:t>.</w:t>
            </w:r>
            <w:r w:rsidR="00676AFC" w:rsidRPr="00524962">
              <w:rPr>
                <w:spacing w:val="-2"/>
                <w:lang w:val="en-GB"/>
              </w:rPr>
              <w:t>9</w:t>
            </w:r>
            <w:r w:rsidR="00905A11" w:rsidRPr="00524962">
              <w:rPr>
                <w:spacing w:val="-2"/>
                <w:lang w:val="en-GB"/>
              </w:rPr>
              <w:t>%</w:t>
            </w:r>
            <w:r w:rsidRPr="00524962">
              <w:rPr>
                <w:spacing w:val="-2"/>
                <w:lang w:val="en-GB"/>
              </w:rPr>
              <w:t xml:space="preserve"> year-on-year in Q4</w:t>
            </w:r>
            <w:r w:rsidR="00905A11" w:rsidRPr="00524962">
              <w:rPr>
                <w:spacing w:val="-2"/>
                <w:lang w:val="en-GB"/>
              </w:rPr>
              <w:t xml:space="preserve">), </w:t>
            </w:r>
            <w:r w:rsidR="00022EA9" w:rsidRPr="00524962">
              <w:rPr>
                <w:spacing w:val="-2"/>
                <w:lang w:val="en-GB"/>
              </w:rPr>
              <w:t xml:space="preserve">however not for new construction, but for renovations of existing structures. The </w:t>
            </w:r>
            <w:r w:rsidR="00643EF9" w:rsidRPr="00524962">
              <w:rPr>
                <w:spacing w:val="-2"/>
                <w:lang w:val="en-GB"/>
              </w:rPr>
              <w:t>floor area</w:t>
            </w:r>
            <w:r w:rsidR="00022EA9" w:rsidRPr="00524962">
              <w:rPr>
                <w:spacing w:val="-2"/>
                <w:lang w:val="en-GB"/>
              </w:rPr>
              <w:t xml:space="preserve"> </w:t>
            </w:r>
            <w:r w:rsidR="00643EF9" w:rsidRPr="00524962">
              <w:rPr>
                <w:spacing w:val="-2"/>
                <w:lang w:val="en-GB"/>
              </w:rPr>
              <w:t>within</w:t>
            </w:r>
            <w:r w:rsidR="00022EA9" w:rsidRPr="00524962">
              <w:rPr>
                <w:spacing w:val="-2"/>
                <w:lang w:val="en-GB"/>
              </w:rPr>
              <w:t xml:space="preserve"> new buildings (permitted in 2015) enlarged for the first time since 2008 year-on-year, especially thanks to the non-residential structures. </w:t>
            </w:r>
            <w:r w:rsidR="00AD0442" w:rsidRPr="00524962">
              <w:rPr>
                <w:spacing w:val="-2"/>
                <w:lang w:val="en-GB"/>
              </w:rPr>
              <w:t>It can present a sign</w:t>
            </w:r>
            <w:r w:rsidR="00503EF7" w:rsidRPr="00524962">
              <w:rPr>
                <w:spacing w:val="-2"/>
                <w:lang w:val="en-GB"/>
              </w:rPr>
              <w:t>al</w:t>
            </w:r>
            <w:r w:rsidR="00AD0442" w:rsidRPr="00524962">
              <w:rPr>
                <w:spacing w:val="-2"/>
                <w:lang w:val="en-GB"/>
              </w:rPr>
              <w:t xml:space="preserve"> that the fastened growth of the economy starts to lead businesses (in industry or services) to expand their capacities. </w:t>
            </w:r>
          </w:p>
          <w:p w:rsidR="00905A11" w:rsidRPr="00532E6C" w:rsidRDefault="00905A11" w:rsidP="00611531">
            <w:pPr>
              <w:pStyle w:val="Textpoznpodarou"/>
              <w:jc w:val="both"/>
              <w:rPr>
                <w:spacing w:val="-4"/>
                <w:sz w:val="14"/>
                <w:szCs w:val="14"/>
              </w:rPr>
            </w:pPr>
          </w:p>
        </w:tc>
      </w:tr>
      <w:tr w:rsidR="00905A11" w:rsidTr="00611531">
        <w:tc>
          <w:tcPr>
            <w:tcW w:w="1090" w:type="pct"/>
          </w:tcPr>
          <w:p w:rsidR="00905A11" w:rsidRPr="00493036" w:rsidRDefault="00493036" w:rsidP="00611531">
            <w:pPr>
              <w:spacing w:line="240" w:lineRule="auto"/>
              <w:rPr>
                <w:spacing w:val="-4"/>
                <w:sz w:val="16"/>
                <w:szCs w:val="16"/>
                <w:lang w:val="en-GB"/>
              </w:rPr>
            </w:pPr>
            <w:r w:rsidRPr="00493036">
              <w:rPr>
                <w:spacing w:val="-4"/>
                <w:sz w:val="16"/>
                <w:szCs w:val="16"/>
                <w:lang w:val="en-GB"/>
              </w:rPr>
              <w:t>The number of commenced fla</w:t>
            </w:r>
            <w:r w:rsidR="003B5CD8">
              <w:rPr>
                <w:spacing w:val="-4"/>
                <w:sz w:val="16"/>
                <w:szCs w:val="16"/>
                <w:lang w:val="en-GB"/>
              </w:rPr>
              <w:t>ts in the residential buildings</w:t>
            </w:r>
            <w:r w:rsidR="00905A11" w:rsidRPr="00493036">
              <w:rPr>
                <w:spacing w:val="-4"/>
                <w:sz w:val="16"/>
                <w:szCs w:val="16"/>
                <w:lang w:val="en-GB"/>
              </w:rPr>
              <w:t xml:space="preserve"> </w:t>
            </w:r>
            <w:r w:rsidRPr="00493036">
              <w:rPr>
                <w:spacing w:val="-4"/>
                <w:sz w:val="16"/>
                <w:szCs w:val="16"/>
                <w:lang w:val="en-GB"/>
              </w:rPr>
              <w:t>grew already three years</w:t>
            </w:r>
            <w:r w:rsidR="00162C34">
              <w:rPr>
                <w:spacing w:val="-4"/>
                <w:sz w:val="16"/>
                <w:szCs w:val="16"/>
                <w:lang w:val="en-GB"/>
              </w:rPr>
              <w:t xml:space="preserve"> in a row, it was however by 55</w:t>
            </w:r>
            <w:r w:rsidRPr="00493036">
              <w:rPr>
                <w:spacing w:val="-4"/>
                <w:sz w:val="16"/>
                <w:szCs w:val="16"/>
                <w:lang w:val="en-GB"/>
              </w:rPr>
              <w:t>% weaker r</w:t>
            </w:r>
            <w:r w:rsidR="003B5CD8">
              <w:rPr>
                <w:spacing w:val="-4"/>
                <w:sz w:val="16"/>
                <w:szCs w:val="16"/>
                <w:lang w:val="en-GB"/>
              </w:rPr>
              <w:t>elative to the “</w:t>
            </w:r>
            <w:r w:rsidRPr="00493036">
              <w:rPr>
                <w:spacing w:val="-4"/>
                <w:sz w:val="16"/>
                <w:szCs w:val="16"/>
                <w:lang w:val="en-GB"/>
              </w:rPr>
              <w:t>peak year</w:t>
            </w:r>
            <w:r w:rsidR="003B5CD8">
              <w:rPr>
                <w:spacing w:val="-4"/>
                <w:sz w:val="16"/>
                <w:szCs w:val="16"/>
                <w:lang w:val="en-GB"/>
              </w:rPr>
              <w:t>”</w:t>
            </w:r>
            <w:r w:rsidRPr="00493036">
              <w:rPr>
                <w:spacing w:val="-4"/>
                <w:sz w:val="16"/>
                <w:szCs w:val="16"/>
                <w:lang w:val="en-GB"/>
              </w:rPr>
              <w:t xml:space="preserve"> </w:t>
            </w:r>
            <w:r w:rsidR="008A1546">
              <w:rPr>
                <w:spacing w:val="-4"/>
                <w:sz w:val="16"/>
                <w:szCs w:val="16"/>
                <w:lang w:val="en-GB"/>
              </w:rPr>
              <w:t>2007</w:t>
            </w:r>
          </w:p>
          <w:p w:rsidR="00905A11" w:rsidRPr="00493036" w:rsidRDefault="00905A11" w:rsidP="00611531">
            <w:pPr>
              <w:spacing w:line="240" w:lineRule="auto"/>
              <w:rPr>
                <w:color w:val="000000" w:themeColor="text1"/>
                <w:spacing w:val="-4"/>
                <w:sz w:val="16"/>
                <w:szCs w:val="16"/>
                <w:lang w:val="en-GB"/>
              </w:rPr>
            </w:pPr>
          </w:p>
          <w:p w:rsidR="00905A11" w:rsidRDefault="00493036" w:rsidP="00493036">
            <w:pPr>
              <w:spacing w:line="240" w:lineRule="auto"/>
              <w:rPr>
                <w:color w:val="000000" w:themeColor="text1"/>
                <w:spacing w:val="-4"/>
                <w:sz w:val="16"/>
                <w:szCs w:val="16"/>
              </w:rPr>
            </w:pPr>
            <w:r w:rsidRPr="00493036">
              <w:rPr>
                <w:color w:val="000000" w:themeColor="text1"/>
                <w:spacing w:val="-4"/>
                <w:sz w:val="16"/>
                <w:szCs w:val="16"/>
                <w:lang w:val="en-GB"/>
              </w:rPr>
              <w:t>The territorial disproportion in the commenced residential construction deepens</w:t>
            </w:r>
            <w:r>
              <w:rPr>
                <w:color w:val="000000" w:themeColor="text1"/>
                <w:spacing w:val="-4"/>
                <w:sz w:val="16"/>
                <w:szCs w:val="16"/>
              </w:rPr>
              <w:t xml:space="preserve"> </w:t>
            </w:r>
          </w:p>
          <w:p w:rsidR="00D31FD1" w:rsidRPr="0032604E" w:rsidRDefault="00D31FD1" w:rsidP="00493036">
            <w:pPr>
              <w:spacing w:line="240" w:lineRule="auto"/>
              <w:rPr>
                <w:color w:val="000000" w:themeColor="text1"/>
                <w:sz w:val="16"/>
                <w:szCs w:val="16"/>
              </w:rPr>
            </w:pPr>
          </w:p>
        </w:tc>
        <w:tc>
          <w:tcPr>
            <w:tcW w:w="145" w:type="pct"/>
          </w:tcPr>
          <w:p w:rsidR="00905A11" w:rsidRDefault="00905A11" w:rsidP="00611531">
            <w:pPr>
              <w:pStyle w:val="Textpoznpodarou"/>
              <w:jc w:val="both"/>
              <w:rPr>
                <w:spacing w:val="-2"/>
              </w:rPr>
            </w:pPr>
          </w:p>
        </w:tc>
        <w:tc>
          <w:tcPr>
            <w:tcW w:w="3765" w:type="pct"/>
          </w:tcPr>
          <w:p w:rsidR="00905A11" w:rsidRPr="007D1E65" w:rsidRDefault="007D1E65" w:rsidP="00611531">
            <w:pPr>
              <w:pStyle w:val="Textpoznpodarou"/>
              <w:jc w:val="both"/>
              <w:rPr>
                <w:spacing w:val="-4"/>
                <w:lang w:val="en-GB"/>
              </w:rPr>
            </w:pPr>
            <w:r w:rsidRPr="007D1E65">
              <w:rPr>
                <w:spacing w:val="-4"/>
                <w:lang w:val="en-GB"/>
              </w:rPr>
              <w:t>The residential construction bounces from its bottom (year 2013) only slowly despite the growth of the disposable income of households and prevailing historically low interest rates</w:t>
            </w:r>
            <w:r w:rsidR="003B5CD8">
              <w:rPr>
                <w:spacing w:val="-4"/>
                <w:lang w:val="en-GB"/>
              </w:rPr>
              <w:t xml:space="preserve"> (</w:t>
            </w:r>
            <w:r w:rsidR="003B5CD8" w:rsidRPr="003B5CD8">
              <w:rPr>
                <w:spacing w:val="-4"/>
                <w:lang w:val="en-GB"/>
              </w:rPr>
              <w:t>mortgages)</w:t>
            </w:r>
            <w:r w:rsidR="003B5CD8">
              <w:rPr>
                <w:spacing w:val="-4"/>
                <w:lang w:val="en-GB"/>
              </w:rPr>
              <w:t>. The number of commenced dwellings</w:t>
            </w:r>
            <w:r w:rsidRPr="007D1E65">
              <w:rPr>
                <w:spacing w:val="-4"/>
                <w:lang w:val="en-GB"/>
              </w:rPr>
              <w:t xml:space="preserve"> increased by </w:t>
            </w:r>
            <w:r w:rsidR="00905A11" w:rsidRPr="007D1E65">
              <w:rPr>
                <w:spacing w:val="-4"/>
                <w:lang w:val="en-GB"/>
              </w:rPr>
              <w:t>8</w:t>
            </w:r>
            <w:r w:rsidRPr="007D1E65">
              <w:rPr>
                <w:spacing w:val="-4"/>
                <w:lang w:val="en-GB"/>
              </w:rPr>
              <w:t>.</w:t>
            </w:r>
            <w:r w:rsidR="00676AFC" w:rsidRPr="007D1E65">
              <w:rPr>
                <w:spacing w:val="-4"/>
                <w:lang w:val="en-GB"/>
              </w:rPr>
              <w:t>3</w:t>
            </w:r>
            <w:r w:rsidR="00905A11" w:rsidRPr="007D1E65">
              <w:rPr>
                <w:spacing w:val="-4"/>
                <w:lang w:val="en-GB"/>
              </w:rPr>
              <w:t>%</w:t>
            </w:r>
            <w:r w:rsidRPr="007D1E65">
              <w:rPr>
                <w:spacing w:val="-4"/>
                <w:lang w:val="en-GB"/>
              </w:rPr>
              <w:t xml:space="preserve"> in 2015</w:t>
            </w:r>
            <w:r w:rsidR="00905A11" w:rsidRPr="007D1E65">
              <w:rPr>
                <w:spacing w:val="-4"/>
                <w:lang w:val="en-GB"/>
              </w:rPr>
              <w:t xml:space="preserve"> (</w:t>
            </w:r>
            <w:r>
              <w:rPr>
                <w:spacing w:val="-4"/>
                <w:lang w:val="en-GB"/>
              </w:rPr>
              <w:t>by a similar pace as in the previous year), there were more flats in</w:t>
            </w:r>
            <w:r w:rsidR="00763FEB">
              <w:rPr>
                <w:spacing w:val="-4"/>
                <w:lang w:val="en-GB"/>
              </w:rPr>
              <w:t xml:space="preserve"> </w:t>
            </w:r>
            <w:r>
              <w:rPr>
                <w:spacing w:val="-4"/>
                <w:lang w:val="en-GB"/>
              </w:rPr>
              <w:t xml:space="preserve">all forms of construction year-on-year except for </w:t>
            </w:r>
            <w:r w:rsidR="00763FEB">
              <w:rPr>
                <w:spacing w:val="-4"/>
                <w:lang w:val="en-GB"/>
              </w:rPr>
              <w:t>the retirement homes, where the mere 476 flats represented the lowest value in the modern history.</w:t>
            </w:r>
            <w:r w:rsidR="00D31FD1">
              <w:rPr>
                <w:spacing w:val="-4"/>
                <w:lang w:val="en-GB"/>
              </w:rPr>
              <w:t xml:space="preserve"> </w:t>
            </w:r>
            <w:r w:rsidR="003B5CD8">
              <w:rPr>
                <w:spacing w:val="-4"/>
                <w:lang w:val="en-GB"/>
              </w:rPr>
              <w:t>Almost 58</w:t>
            </w:r>
            <w:r w:rsidR="00905A11" w:rsidRPr="007D1E65">
              <w:rPr>
                <w:spacing w:val="-4"/>
                <w:lang w:val="en-GB"/>
              </w:rPr>
              <w:t>%</w:t>
            </w:r>
            <w:r w:rsidR="003B5CD8">
              <w:rPr>
                <w:spacing w:val="-4"/>
                <w:lang w:val="en-GB"/>
              </w:rPr>
              <w:t xml:space="preserve"> of the number of commenced dwelling</w:t>
            </w:r>
            <w:r w:rsidR="00D31FD1">
              <w:rPr>
                <w:spacing w:val="-4"/>
                <w:lang w:val="en-GB"/>
              </w:rPr>
              <w:t>s in the residential buildings across the count</w:t>
            </w:r>
            <w:r w:rsidR="00092E37">
              <w:rPr>
                <w:spacing w:val="-4"/>
                <w:lang w:val="en-GB"/>
              </w:rPr>
              <w:t>ry belonged to Prague (under 40</w:t>
            </w:r>
            <w:r w:rsidR="00D31FD1">
              <w:rPr>
                <w:spacing w:val="-4"/>
                <w:lang w:val="en-GB"/>
              </w:rPr>
              <w:t>%</w:t>
            </w:r>
            <w:r w:rsidR="003B5CD8">
              <w:rPr>
                <w:spacing w:val="-4"/>
                <w:lang w:val="en-GB"/>
              </w:rPr>
              <w:t>,</w:t>
            </w:r>
            <w:r w:rsidR="00D31FD1">
              <w:rPr>
                <w:spacing w:val="-4"/>
                <w:lang w:val="en-GB"/>
              </w:rPr>
              <w:t xml:space="preserve"> however</w:t>
            </w:r>
            <w:r w:rsidR="003B5CD8">
              <w:rPr>
                <w:spacing w:val="-4"/>
                <w:lang w:val="en-GB"/>
              </w:rPr>
              <w:t>,</w:t>
            </w:r>
            <w:r w:rsidR="00D31FD1">
              <w:rPr>
                <w:spacing w:val="-4"/>
                <w:lang w:val="en-GB"/>
              </w:rPr>
              <w:t xml:space="preserve"> in the period of the business cycle peak).</w:t>
            </w:r>
            <w:r w:rsidR="00905A11" w:rsidRPr="007D1E65">
              <w:rPr>
                <w:spacing w:val="-4"/>
                <w:lang w:val="en-GB"/>
              </w:rPr>
              <w:t xml:space="preserve"> </w:t>
            </w:r>
          </w:p>
          <w:p w:rsidR="00905A11" w:rsidRPr="00532E6C" w:rsidRDefault="00905A11" w:rsidP="00611531">
            <w:pPr>
              <w:pStyle w:val="Textpoznpodarou"/>
              <w:jc w:val="both"/>
              <w:rPr>
                <w:spacing w:val="-4"/>
                <w:sz w:val="14"/>
                <w:szCs w:val="14"/>
              </w:rPr>
            </w:pPr>
            <w:r>
              <w:rPr>
                <w:spacing w:val="-4"/>
              </w:rPr>
              <w:t xml:space="preserve"> </w:t>
            </w:r>
          </w:p>
        </w:tc>
      </w:tr>
      <w:tr w:rsidR="00905A11" w:rsidTr="00611531">
        <w:trPr>
          <w:cantSplit/>
          <w:trHeight w:val="203"/>
        </w:trPr>
        <w:tc>
          <w:tcPr>
            <w:tcW w:w="1090" w:type="pct"/>
          </w:tcPr>
          <w:p w:rsidR="00905A11" w:rsidRPr="003C5DD4" w:rsidRDefault="003C5DD4" w:rsidP="003C5DD4">
            <w:pPr>
              <w:spacing w:line="240" w:lineRule="auto"/>
              <w:rPr>
                <w:sz w:val="16"/>
                <w:szCs w:val="16"/>
                <w:lang w:val="en-GB"/>
              </w:rPr>
            </w:pPr>
            <w:r w:rsidRPr="003C5DD4">
              <w:rPr>
                <w:sz w:val="16"/>
                <w:szCs w:val="16"/>
                <w:lang w:val="en-GB"/>
              </w:rPr>
              <w:t xml:space="preserve">Improvement of the confidence indicators in construction, short-term outlook more favourable especially for the largest firms, who carried the decisive part of the responsibility to realise the investment into the transport infrastructure </w:t>
            </w:r>
          </w:p>
        </w:tc>
        <w:tc>
          <w:tcPr>
            <w:tcW w:w="145" w:type="pct"/>
          </w:tcPr>
          <w:p w:rsidR="00905A11" w:rsidRPr="003C5DD4" w:rsidRDefault="00905A11" w:rsidP="00611531">
            <w:pPr>
              <w:pStyle w:val="Textpoznpodarou"/>
              <w:jc w:val="both"/>
              <w:rPr>
                <w:spacing w:val="-2"/>
                <w:lang w:val="en-GB"/>
              </w:rPr>
            </w:pPr>
          </w:p>
        </w:tc>
        <w:tc>
          <w:tcPr>
            <w:tcW w:w="3765" w:type="pct"/>
          </w:tcPr>
          <w:p w:rsidR="00905A11" w:rsidRPr="003C5DD4" w:rsidRDefault="003C5DD4" w:rsidP="00611531">
            <w:pPr>
              <w:pStyle w:val="Textpoznpodarou"/>
              <w:jc w:val="both"/>
              <w:rPr>
                <w:spacing w:val="-4"/>
                <w:lang w:val="en-GB"/>
              </w:rPr>
            </w:pPr>
            <w:r>
              <w:rPr>
                <w:color w:val="000000" w:themeColor="text1"/>
                <w:spacing w:val="-4"/>
                <w:lang w:val="en-GB"/>
              </w:rPr>
              <w:t xml:space="preserve">The total balance of the entrepreneur confidence in construction improves already since the beginning of year 2014 and it was the highest in November 2015 since January 2009. The proportion of businesses considering inadequate demand as the barrier to higher output lowered by more than </w:t>
            </w:r>
            <w:r w:rsidR="00905A11" w:rsidRPr="003C5DD4">
              <w:rPr>
                <w:color w:val="000000" w:themeColor="text1"/>
                <w:spacing w:val="-4"/>
                <w:lang w:val="en-GB"/>
              </w:rPr>
              <w:t>10 p</w:t>
            </w:r>
            <w:r w:rsidR="004E7007" w:rsidRPr="003C5DD4">
              <w:rPr>
                <w:color w:val="000000" w:themeColor="text1"/>
                <w:spacing w:val="-4"/>
                <w:lang w:val="en-GB"/>
              </w:rPr>
              <w:t>.</w:t>
            </w:r>
            <w:r>
              <w:rPr>
                <w:color w:val="000000" w:themeColor="text1"/>
                <w:spacing w:val="-4"/>
                <w:lang w:val="en-GB"/>
              </w:rPr>
              <w:t>p</w:t>
            </w:r>
            <w:r w:rsidR="00905A11" w:rsidRPr="003C5DD4">
              <w:rPr>
                <w:color w:val="000000" w:themeColor="text1"/>
                <w:spacing w:val="-4"/>
                <w:lang w:val="en-GB"/>
              </w:rPr>
              <w:t xml:space="preserve">. </w:t>
            </w:r>
            <w:r>
              <w:rPr>
                <w:color w:val="000000" w:themeColor="text1"/>
                <w:spacing w:val="-4"/>
                <w:lang w:val="en-GB"/>
              </w:rPr>
              <w:t xml:space="preserve">within year 2015 </w:t>
            </w:r>
            <w:r w:rsidR="00905A11" w:rsidRPr="003C5DD4">
              <w:rPr>
                <w:color w:val="000000" w:themeColor="text1"/>
                <w:spacing w:val="-4"/>
                <w:lang w:val="en-GB"/>
              </w:rPr>
              <w:t>(</w:t>
            </w:r>
            <w:r>
              <w:rPr>
                <w:color w:val="000000" w:themeColor="text1"/>
                <w:spacing w:val="-4"/>
                <w:lang w:val="en-GB"/>
              </w:rPr>
              <w:t xml:space="preserve">to </w:t>
            </w:r>
            <w:r w:rsidR="00092E37">
              <w:rPr>
                <w:color w:val="000000" w:themeColor="text1"/>
                <w:spacing w:val="-4"/>
                <w:lang w:val="en-GB"/>
              </w:rPr>
              <w:t>56</w:t>
            </w:r>
            <w:r w:rsidR="00905A11" w:rsidRPr="003C5DD4">
              <w:rPr>
                <w:color w:val="000000" w:themeColor="text1"/>
                <w:spacing w:val="-4"/>
                <w:lang w:val="en-GB"/>
              </w:rPr>
              <w:t xml:space="preserve">%), </w:t>
            </w:r>
            <w:r>
              <w:rPr>
                <w:color w:val="000000" w:themeColor="text1"/>
                <w:spacing w:val="-4"/>
                <w:lang w:val="en-GB"/>
              </w:rPr>
              <w:t xml:space="preserve">still it represented a high value within the European context </w:t>
            </w:r>
            <w:r w:rsidR="00092E37">
              <w:rPr>
                <w:color w:val="000000" w:themeColor="text1"/>
                <w:spacing w:val="-4"/>
                <w:lang w:val="en-GB"/>
              </w:rPr>
              <w:t>(EU 35</w:t>
            </w:r>
            <w:r w:rsidR="00905A11" w:rsidRPr="003C5DD4">
              <w:rPr>
                <w:color w:val="000000" w:themeColor="text1"/>
                <w:spacing w:val="-4"/>
                <w:lang w:val="en-GB"/>
              </w:rPr>
              <w:t xml:space="preserve">%, </w:t>
            </w:r>
            <w:r>
              <w:rPr>
                <w:color w:val="000000" w:themeColor="text1"/>
                <w:spacing w:val="-4"/>
                <w:lang w:val="en-GB"/>
              </w:rPr>
              <w:t>Germany</w:t>
            </w:r>
            <w:r w:rsidR="00905A11" w:rsidRPr="003C5DD4">
              <w:rPr>
                <w:color w:val="000000" w:themeColor="text1"/>
                <w:spacing w:val="-4"/>
                <w:lang w:val="en-GB"/>
              </w:rPr>
              <w:t xml:space="preserve"> 17%). </w:t>
            </w:r>
            <w:r w:rsidR="00877E51">
              <w:rPr>
                <w:color w:val="000000" w:themeColor="text1"/>
                <w:spacing w:val="-4"/>
                <w:lang w:val="en-GB"/>
              </w:rPr>
              <w:t xml:space="preserve">The share of businesses in the CR, who are prevented in further growth by the lack of labour force on the contrary increased </w:t>
            </w:r>
            <w:r w:rsidR="006B5EEB">
              <w:rPr>
                <w:color w:val="000000" w:themeColor="text1"/>
                <w:spacing w:val="-4"/>
                <w:lang w:val="en-GB"/>
              </w:rPr>
              <w:t>during</w:t>
            </w:r>
            <w:r w:rsidR="00877E51">
              <w:rPr>
                <w:color w:val="000000" w:themeColor="text1"/>
                <w:spacing w:val="-4"/>
                <w:lang w:val="en-GB"/>
              </w:rPr>
              <w:t xml:space="preserve"> the H1</w:t>
            </w:r>
            <w:r w:rsidR="00905A11" w:rsidRPr="003C5DD4">
              <w:rPr>
                <w:color w:val="000000" w:themeColor="text1"/>
                <w:spacing w:val="-4"/>
                <w:lang w:val="en-GB"/>
              </w:rPr>
              <w:t xml:space="preserve"> (</w:t>
            </w:r>
            <w:r w:rsidR="006B5EEB">
              <w:rPr>
                <w:color w:val="000000" w:themeColor="text1"/>
                <w:spacing w:val="-4"/>
                <w:lang w:val="en-GB"/>
              </w:rPr>
              <w:t xml:space="preserve">up to </w:t>
            </w:r>
            <w:r w:rsidR="00905A11" w:rsidRPr="003C5DD4">
              <w:rPr>
                <w:color w:val="000000" w:themeColor="text1"/>
                <w:spacing w:val="-4"/>
                <w:lang w:val="en-GB"/>
              </w:rPr>
              <w:t>8</w:t>
            </w:r>
            <w:r w:rsidR="006B5EEB">
              <w:rPr>
                <w:color w:val="000000" w:themeColor="text1"/>
                <w:spacing w:val="-4"/>
                <w:lang w:val="en-GB"/>
              </w:rPr>
              <w:t>.</w:t>
            </w:r>
            <w:r w:rsidR="00905A11" w:rsidRPr="003C5DD4">
              <w:rPr>
                <w:color w:val="000000" w:themeColor="text1"/>
                <w:spacing w:val="-4"/>
                <w:lang w:val="en-GB"/>
              </w:rPr>
              <w:t xml:space="preserve">5% </w:t>
            </w:r>
            <w:r w:rsidR="006B5EEB">
              <w:rPr>
                <w:color w:val="000000" w:themeColor="text1"/>
                <w:spacing w:val="-4"/>
                <w:lang w:val="en-GB"/>
              </w:rPr>
              <w:t>in June 2015, which was the most since December 2008</w:t>
            </w:r>
            <w:r w:rsidR="00905A11" w:rsidRPr="003C5DD4">
              <w:rPr>
                <w:spacing w:val="-4"/>
                <w:lang w:val="en-GB"/>
              </w:rPr>
              <w:t xml:space="preserve">). </w:t>
            </w:r>
            <w:r w:rsidR="006B5EEB">
              <w:rPr>
                <w:spacing w:val="-4"/>
                <w:lang w:val="en-GB"/>
              </w:rPr>
              <w:t xml:space="preserve">The construction businesses reacted to the higher demand by a more intensive utilisation of the current labour force this year (e.g. in the form of an overtime work). The average </w:t>
            </w:r>
            <w:r w:rsidR="00FF3C97">
              <w:rPr>
                <w:spacing w:val="-4"/>
                <w:lang w:val="en-GB"/>
              </w:rPr>
              <w:t>wage thus increased by high 5.3</w:t>
            </w:r>
            <w:r w:rsidR="006B5EEB">
              <w:rPr>
                <w:spacing w:val="-4"/>
                <w:lang w:val="en-GB"/>
              </w:rPr>
              <w:t xml:space="preserve">% </w:t>
            </w:r>
            <w:r w:rsidR="00487B4F">
              <w:rPr>
                <w:spacing w:val="-4"/>
                <w:lang w:val="en-GB"/>
              </w:rPr>
              <w:t>(</w:t>
            </w:r>
            <w:r w:rsidR="006B5EEB">
              <w:rPr>
                <w:spacing w:val="-4"/>
                <w:lang w:val="en-GB"/>
              </w:rPr>
              <w:t>given the still lower</w:t>
            </w:r>
            <w:r w:rsidR="00487B4F">
              <w:rPr>
                <w:spacing w:val="-4"/>
                <w:lang w:val="en-GB"/>
              </w:rPr>
              <w:t xml:space="preserve"> number of registered employees),</w:t>
            </w:r>
            <w:r w:rsidR="006B5EEB">
              <w:rPr>
                <w:spacing w:val="-4"/>
                <w:lang w:val="en-GB"/>
              </w:rPr>
              <w:t xml:space="preserve"> which was considerably more than in the manufacturing </w:t>
            </w:r>
            <w:r w:rsidR="00905A11" w:rsidRPr="003C5DD4">
              <w:rPr>
                <w:spacing w:val="-4"/>
                <w:lang w:val="en-GB"/>
              </w:rPr>
              <w:t>(3</w:t>
            </w:r>
            <w:r w:rsidR="006B5EEB">
              <w:rPr>
                <w:spacing w:val="-4"/>
                <w:lang w:val="en-GB"/>
              </w:rPr>
              <w:t>.</w:t>
            </w:r>
            <w:r w:rsidR="00FF3C97">
              <w:rPr>
                <w:spacing w:val="-4"/>
                <w:lang w:val="en-GB"/>
              </w:rPr>
              <w:t>7</w:t>
            </w:r>
            <w:r w:rsidR="00905A11" w:rsidRPr="003C5DD4">
              <w:rPr>
                <w:spacing w:val="-4"/>
                <w:lang w:val="en-GB"/>
              </w:rPr>
              <w:t xml:space="preserve">%) </w:t>
            </w:r>
            <w:r w:rsidR="006B5EEB">
              <w:rPr>
                <w:spacing w:val="-4"/>
                <w:lang w:val="en-GB"/>
              </w:rPr>
              <w:t xml:space="preserve">or the whole economy </w:t>
            </w:r>
            <w:r w:rsidR="00905A11" w:rsidRPr="003C5DD4">
              <w:rPr>
                <w:spacing w:val="-4"/>
                <w:lang w:val="en-GB"/>
              </w:rPr>
              <w:t>(3</w:t>
            </w:r>
            <w:r w:rsidR="006B5EEB">
              <w:rPr>
                <w:spacing w:val="-4"/>
                <w:lang w:val="en-GB"/>
              </w:rPr>
              <w:t>.</w:t>
            </w:r>
            <w:r w:rsidR="00FF3C97">
              <w:rPr>
                <w:spacing w:val="-4"/>
                <w:lang w:val="en-GB"/>
              </w:rPr>
              <w:t>8</w:t>
            </w:r>
            <w:r w:rsidR="00905A11" w:rsidRPr="003C5DD4">
              <w:rPr>
                <w:spacing w:val="-4"/>
                <w:lang w:val="en-GB"/>
              </w:rPr>
              <w:t>%)</w:t>
            </w:r>
            <w:r w:rsidR="00800073" w:rsidRPr="003C5DD4">
              <w:rPr>
                <w:spacing w:val="-4"/>
                <w:lang w:val="en-GB"/>
              </w:rPr>
              <w:t>.</w:t>
            </w:r>
          </w:p>
          <w:p w:rsidR="00905A11" w:rsidRPr="00532E6C" w:rsidRDefault="00905A11" w:rsidP="00611531">
            <w:pPr>
              <w:pStyle w:val="Textpoznpodarou"/>
              <w:jc w:val="both"/>
              <w:rPr>
                <w:spacing w:val="-4"/>
                <w:sz w:val="14"/>
                <w:szCs w:val="14"/>
                <w:lang w:val="en-GB"/>
              </w:rPr>
            </w:pPr>
          </w:p>
        </w:tc>
      </w:tr>
      <w:tr w:rsidR="00905A11" w:rsidRPr="00A51B62" w:rsidTr="00532E6C">
        <w:trPr>
          <w:trHeight w:val="250"/>
        </w:trPr>
        <w:tc>
          <w:tcPr>
            <w:tcW w:w="1090" w:type="pct"/>
          </w:tcPr>
          <w:p w:rsidR="00905A11" w:rsidRPr="00556828" w:rsidRDefault="00556828" w:rsidP="00611531">
            <w:pPr>
              <w:spacing w:line="240" w:lineRule="auto"/>
              <w:rPr>
                <w:color w:val="000000" w:themeColor="text1"/>
                <w:sz w:val="16"/>
                <w:szCs w:val="16"/>
                <w:lang w:val="en-GB"/>
              </w:rPr>
            </w:pPr>
            <w:r w:rsidRPr="00556828">
              <w:rPr>
                <w:color w:val="000000" w:themeColor="text1"/>
                <w:sz w:val="16"/>
                <w:szCs w:val="16"/>
                <w:lang w:val="en-GB"/>
              </w:rPr>
              <w:t>Sales in services accelerated the dynamics (given the current decrease of prices</w:t>
            </w:r>
            <w:r w:rsidR="00905A11" w:rsidRPr="00556828">
              <w:rPr>
                <w:color w:val="000000" w:themeColor="text1"/>
                <w:sz w:val="16"/>
                <w:szCs w:val="16"/>
                <w:lang w:val="en-GB"/>
              </w:rPr>
              <w:t xml:space="preserve">), </w:t>
            </w:r>
            <w:r w:rsidRPr="00556828">
              <w:rPr>
                <w:color w:val="000000" w:themeColor="text1"/>
                <w:sz w:val="16"/>
                <w:szCs w:val="16"/>
                <w:lang w:val="en-GB"/>
              </w:rPr>
              <w:t>they grew the most year-on-year since 2</w:t>
            </w:r>
            <w:r w:rsidR="00905A11" w:rsidRPr="00556828">
              <w:rPr>
                <w:color w:val="000000" w:themeColor="text1"/>
                <w:sz w:val="16"/>
                <w:szCs w:val="16"/>
                <w:lang w:val="en-GB"/>
              </w:rPr>
              <w:t>007</w:t>
            </w:r>
          </w:p>
          <w:p w:rsidR="00905A11" w:rsidRPr="00556828" w:rsidRDefault="00905A11" w:rsidP="00611531">
            <w:pPr>
              <w:spacing w:line="240" w:lineRule="auto"/>
              <w:rPr>
                <w:color w:val="000000" w:themeColor="text1"/>
                <w:sz w:val="14"/>
                <w:szCs w:val="14"/>
                <w:lang w:val="en-GB"/>
              </w:rPr>
            </w:pPr>
          </w:p>
          <w:p w:rsidR="00905A11" w:rsidRPr="00556828" w:rsidRDefault="00905A11" w:rsidP="00611531">
            <w:pPr>
              <w:spacing w:line="240" w:lineRule="auto"/>
              <w:rPr>
                <w:color w:val="000000" w:themeColor="text1"/>
                <w:sz w:val="14"/>
                <w:szCs w:val="14"/>
                <w:lang w:val="en-GB"/>
              </w:rPr>
            </w:pPr>
          </w:p>
          <w:p w:rsidR="00905A11" w:rsidRPr="00556828" w:rsidRDefault="00905A11" w:rsidP="00611531">
            <w:pPr>
              <w:spacing w:line="240" w:lineRule="auto"/>
              <w:rPr>
                <w:color w:val="000000" w:themeColor="text1"/>
                <w:sz w:val="14"/>
                <w:szCs w:val="14"/>
                <w:lang w:val="en-GB"/>
              </w:rPr>
            </w:pPr>
          </w:p>
          <w:p w:rsidR="00905A11" w:rsidRPr="00556828" w:rsidRDefault="00905A11" w:rsidP="00611531">
            <w:pPr>
              <w:spacing w:line="240" w:lineRule="auto"/>
              <w:rPr>
                <w:color w:val="000000" w:themeColor="text1"/>
                <w:sz w:val="16"/>
                <w:szCs w:val="16"/>
                <w:lang w:val="en-GB"/>
              </w:rPr>
            </w:pPr>
            <w:r w:rsidRPr="00556828">
              <w:rPr>
                <w:color w:val="000000" w:themeColor="text1"/>
                <w:sz w:val="16"/>
                <w:szCs w:val="16"/>
                <w:lang w:val="en-GB"/>
              </w:rPr>
              <w:t>S</w:t>
            </w:r>
            <w:r w:rsidR="00556828" w:rsidRPr="00556828">
              <w:rPr>
                <w:color w:val="000000" w:themeColor="text1"/>
                <w:sz w:val="16"/>
                <w:szCs w:val="16"/>
                <w:lang w:val="en-GB"/>
              </w:rPr>
              <w:t xml:space="preserve">trong growth of industry as well as foreign trade well reflected also in the higher sales </w:t>
            </w:r>
            <w:r w:rsidR="00556828">
              <w:rPr>
                <w:color w:val="000000" w:themeColor="text1"/>
                <w:sz w:val="16"/>
                <w:szCs w:val="16"/>
                <w:lang w:val="en-GB"/>
              </w:rPr>
              <w:t>of</w:t>
            </w:r>
            <w:r w:rsidR="00556828" w:rsidRPr="00556828">
              <w:rPr>
                <w:color w:val="000000" w:themeColor="text1"/>
                <w:sz w:val="16"/>
                <w:szCs w:val="16"/>
                <w:lang w:val="en-GB"/>
              </w:rPr>
              <w:t xml:space="preserve"> the land transport </w:t>
            </w:r>
          </w:p>
          <w:p w:rsidR="00905A11" w:rsidRPr="00556828" w:rsidRDefault="00905A11" w:rsidP="00611531">
            <w:pPr>
              <w:spacing w:line="240" w:lineRule="auto"/>
              <w:rPr>
                <w:color w:val="000000" w:themeColor="text1"/>
                <w:sz w:val="14"/>
                <w:szCs w:val="14"/>
                <w:lang w:val="en-GB"/>
              </w:rPr>
            </w:pPr>
          </w:p>
          <w:p w:rsidR="00905A11" w:rsidRDefault="00905A11" w:rsidP="00611531">
            <w:pPr>
              <w:spacing w:line="240" w:lineRule="auto"/>
              <w:rPr>
                <w:color w:val="000000" w:themeColor="text1"/>
                <w:sz w:val="14"/>
                <w:szCs w:val="14"/>
              </w:rPr>
            </w:pPr>
          </w:p>
          <w:p w:rsidR="00905A11" w:rsidRPr="009D0B10" w:rsidRDefault="00905A11" w:rsidP="00611531">
            <w:pPr>
              <w:spacing w:line="240" w:lineRule="auto"/>
              <w:rPr>
                <w:color w:val="000000" w:themeColor="text1"/>
                <w:sz w:val="14"/>
                <w:szCs w:val="14"/>
              </w:rPr>
            </w:pPr>
          </w:p>
          <w:p w:rsidR="00905A11" w:rsidRPr="005152B2" w:rsidRDefault="00556828" w:rsidP="00611531">
            <w:pPr>
              <w:spacing w:line="240" w:lineRule="auto"/>
              <w:rPr>
                <w:color w:val="000000" w:themeColor="text1"/>
                <w:sz w:val="16"/>
                <w:szCs w:val="16"/>
                <w:lang w:val="en-GB"/>
              </w:rPr>
            </w:pPr>
            <w:r w:rsidRPr="005152B2">
              <w:rPr>
                <w:color w:val="000000" w:themeColor="text1"/>
                <w:sz w:val="16"/>
                <w:szCs w:val="16"/>
                <w:lang w:val="en-GB"/>
              </w:rPr>
              <w:t xml:space="preserve">The slump of sales in the travel agencies continued already </w:t>
            </w:r>
            <w:r w:rsidR="005152B2" w:rsidRPr="005152B2">
              <w:rPr>
                <w:color w:val="000000" w:themeColor="text1"/>
                <w:sz w:val="16"/>
                <w:szCs w:val="16"/>
                <w:lang w:val="en-GB"/>
              </w:rPr>
              <w:t>thirteen</w:t>
            </w:r>
            <w:r w:rsidRPr="005152B2">
              <w:rPr>
                <w:color w:val="000000" w:themeColor="text1"/>
                <w:sz w:val="16"/>
                <w:szCs w:val="16"/>
                <w:lang w:val="en-GB"/>
              </w:rPr>
              <w:t xml:space="preserve"> quarters in a row </w:t>
            </w:r>
          </w:p>
          <w:p w:rsidR="00905A11" w:rsidRDefault="00905A11" w:rsidP="00611531">
            <w:pPr>
              <w:spacing w:line="240" w:lineRule="auto"/>
              <w:rPr>
                <w:sz w:val="14"/>
                <w:szCs w:val="14"/>
              </w:rPr>
            </w:pPr>
          </w:p>
          <w:p w:rsidR="00905A11" w:rsidRPr="009D0B10" w:rsidRDefault="00905A11" w:rsidP="00611531">
            <w:pPr>
              <w:spacing w:line="240" w:lineRule="auto"/>
              <w:rPr>
                <w:sz w:val="6"/>
                <w:szCs w:val="6"/>
              </w:rPr>
            </w:pPr>
          </w:p>
        </w:tc>
        <w:tc>
          <w:tcPr>
            <w:tcW w:w="145" w:type="pct"/>
          </w:tcPr>
          <w:p w:rsidR="00905A11" w:rsidRDefault="00905A11" w:rsidP="00611531">
            <w:pPr>
              <w:pStyle w:val="Textpoznpodarou"/>
              <w:jc w:val="both"/>
              <w:rPr>
                <w:spacing w:val="-2"/>
              </w:rPr>
            </w:pPr>
          </w:p>
        </w:tc>
        <w:tc>
          <w:tcPr>
            <w:tcW w:w="3765" w:type="pct"/>
          </w:tcPr>
          <w:p w:rsidR="00905A11" w:rsidRDefault="00556828" w:rsidP="00BC3BD6">
            <w:pPr>
              <w:pStyle w:val="Textpoznpodarou"/>
              <w:jc w:val="both"/>
              <w:rPr>
                <w:spacing w:val="-4"/>
                <w:lang w:val="en-GB"/>
              </w:rPr>
            </w:pPr>
            <w:r w:rsidRPr="005152B2">
              <w:rPr>
                <w:color w:val="000000" w:themeColor="text1"/>
                <w:spacing w:val="-4"/>
                <w:lang w:val="en-GB"/>
              </w:rPr>
              <w:t>Sales in selected services</w:t>
            </w:r>
            <w:r w:rsidR="00905A11" w:rsidRPr="005152B2">
              <w:rPr>
                <w:color w:val="000000" w:themeColor="text1"/>
                <w:spacing w:val="-4"/>
                <w:vertAlign w:val="superscript"/>
                <w:lang w:val="en-GB"/>
              </w:rPr>
              <w:footnoteReference w:id="4"/>
            </w:r>
            <w:r w:rsidR="00905A11" w:rsidRPr="005152B2">
              <w:rPr>
                <w:color w:val="000000" w:themeColor="text1"/>
                <w:spacing w:val="-4"/>
                <w:lang w:val="en-GB"/>
              </w:rPr>
              <w:t xml:space="preserve"> </w:t>
            </w:r>
            <w:r w:rsidR="005152B2" w:rsidRPr="005152B2">
              <w:rPr>
                <w:color w:val="000000" w:themeColor="text1"/>
                <w:spacing w:val="-4"/>
                <w:lang w:val="en-GB"/>
              </w:rPr>
              <w:t xml:space="preserve">increased in 2015 in the second time in a row, when </w:t>
            </w:r>
            <w:r w:rsidR="00EE4DA7">
              <w:rPr>
                <w:color w:val="000000" w:themeColor="text1"/>
                <w:spacing w:val="-4"/>
                <w:lang w:val="en-GB"/>
              </w:rPr>
              <w:t xml:space="preserve">they accelerated year-on-year </w:t>
            </w:r>
            <w:r w:rsidR="00C534F3">
              <w:rPr>
                <w:color w:val="000000" w:themeColor="text1"/>
                <w:spacing w:val="-4"/>
                <w:lang w:val="en-GB"/>
              </w:rPr>
              <w:t>up to</w:t>
            </w:r>
            <w:r w:rsidR="005152B2" w:rsidRPr="005152B2">
              <w:rPr>
                <w:color w:val="000000" w:themeColor="text1"/>
                <w:spacing w:val="-4"/>
                <w:lang w:val="en-GB"/>
              </w:rPr>
              <w:t xml:space="preserve"> </w:t>
            </w:r>
            <w:r w:rsidR="00905A11" w:rsidRPr="005152B2">
              <w:rPr>
                <w:color w:val="000000" w:themeColor="text1"/>
                <w:spacing w:val="-4"/>
                <w:lang w:val="en-GB"/>
              </w:rPr>
              <w:t>2</w:t>
            </w:r>
            <w:r w:rsidR="005152B2" w:rsidRPr="005152B2">
              <w:rPr>
                <w:color w:val="000000" w:themeColor="text1"/>
                <w:spacing w:val="-4"/>
                <w:lang w:val="en-GB"/>
              </w:rPr>
              <w:t>.</w:t>
            </w:r>
            <w:r w:rsidR="00AA756A">
              <w:rPr>
                <w:color w:val="000000" w:themeColor="text1"/>
                <w:spacing w:val="-4"/>
                <w:lang w:val="en-GB"/>
              </w:rPr>
              <w:t>6</w:t>
            </w:r>
            <w:r w:rsidR="00905A11" w:rsidRPr="005152B2">
              <w:rPr>
                <w:color w:val="000000" w:themeColor="text1"/>
                <w:spacing w:val="-4"/>
                <w:lang w:val="en-GB"/>
              </w:rPr>
              <w:t xml:space="preserve">%. </w:t>
            </w:r>
            <w:r w:rsidR="005152B2" w:rsidRPr="005152B2">
              <w:rPr>
                <w:color w:val="000000" w:themeColor="text1"/>
                <w:spacing w:val="-4"/>
                <w:lang w:val="en-GB"/>
              </w:rPr>
              <w:t xml:space="preserve">The sales in fact stagnated in </w:t>
            </w:r>
            <w:r w:rsidR="00BC3BD6">
              <w:rPr>
                <w:color w:val="000000" w:themeColor="text1"/>
                <w:spacing w:val="-4"/>
                <w:lang w:val="en-GB"/>
              </w:rPr>
              <w:t>t</w:t>
            </w:r>
            <w:r w:rsidR="005152B2" w:rsidRPr="005152B2">
              <w:rPr>
                <w:color w:val="000000" w:themeColor="text1"/>
                <w:spacing w:val="-4"/>
                <w:lang w:val="en-GB"/>
              </w:rPr>
              <w:t xml:space="preserve">ransportation and warehousing, when the land and pipe transport dominant by weight </w:t>
            </w:r>
            <w:r w:rsidR="00905A11" w:rsidRPr="005152B2">
              <w:rPr>
                <w:spacing w:val="-4"/>
                <w:lang w:val="en-GB"/>
              </w:rPr>
              <w:t>(+3</w:t>
            </w:r>
            <w:r w:rsidR="005152B2" w:rsidRPr="005152B2">
              <w:rPr>
                <w:spacing w:val="-4"/>
                <w:lang w:val="en-GB"/>
              </w:rPr>
              <w:t>.</w:t>
            </w:r>
            <w:r w:rsidR="00AA756A">
              <w:rPr>
                <w:spacing w:val="-4"/>
                <w:lang w:val="en-GB"/>
              </w:rPr>
              <w:t>9</w:t>
            </w:r>
            <w:r w:rsidR="00905A11" w:rsidRPr="005152B2">
              <w:rPr>
                <w:spacing w:val="-4"/>
                <w:lang w:val="en-GB"/>
              </w:rPr>
              <w:t>%)</w:t>
            </w:r>
            <w:r w:rsidR="005152B2" w:rsidRPr="005152B2">
              <w:rPr>
                <w:spacing w:val="-4"/>
                <w:lang w:val="en-GB"/>
              </w:rPr>
              <w:t xml:space="preserve"> only managed to compensate the notable fall of the real sales in the air transport </w:t>
            </w:r>
            <w:r w:rsidR="00905A11" w:rsidRPr="005152B2">
              <w:rPr>
                <w:spacing w:val="-4"/>
                <w:lang w:val="en-GB"/>
              </w:rPr>
              <w:t>(-3</w:t>
            </w:r>
            <w:r w:rsidR="005152B2" w:rsidRPr="005152B2">
              <w:rPr>
                <w:spacing w:val="-4"/>
                <w:lang w:val="en-GB"/>
              </w:rPr>
              <w:t>.</w:t>
            </w:r>
            <w:r w:rsidR="00AA756A">
              <w:rPr>
                <w:spacing w:val="-4"/>
                <w:lang w:val="en-GB"/>
              </w:rPr>
              <w:t>6</w:t>
            </w:r>
            <w:r w:rsidR="00905A11" w:rsidRPr="005152B2">
              <w:rPr>
                <w:spacing w:val="-4"/>
                <w:lang w:val="en-GB"/>
              </w:rPr>
              <w:t>%)</w:t>
            </w:r>
            <w:r w:rsidR="005152B2" w:rsidRPr="005152B2">
              <w:rPr>
                <w:spacing w:val="-4"/>
                <w:lang w:val="en-GB"/>
              </w:rPr>
              <w:t xml:space="preserve"> and warehousing </w:t>
            </w:r>
            <w:r w:rsidR="00905A11" w:rsidRPr="005152B2">
              <w:rPr>
                <w:spacing w:val="-4"/>
                <w:lang w:val="en-GB"/>
              </w:rPr>
              <w:t>(</w:t>
            </w:r>
            <w:r w:rsidR="005152B2" w:rsidRPr="005152B2">
              <w:rPr>
                <w:spacing w:val="-4"/>
                <w:lang w:val="en-GB"/>
              </w:rPr>
              <w:t xml:space="preserve">whose result was also influenced by high year-on-year basis). </w:t>
            </w:r>
            <w:r w:rsidR="005152B2" w:rsidRPr="005152B2">
              <w:rPr>
                <w:spacing w:val="-4"/>
                <w:lang w:val="en-GB"/>
              </w:rPr>
              <w:lastRenderedPageBreak/>
              <w:t xml:space="preserve">Professional, scientific and technical activities enjoyed a first growth </w:t>
            </w:r>
            <w:r w:rsidR="00905A11" w:rsidRPr="005152B2">
              <w:rPr>
                <w:color w:val="000000" w:themeColor="text1"/>
                <w:spacing w:val="-4"/>
                <w:lang w:val="en-GB"/>
              </w:rPr>
              <w:t>(</w:t>
            </w:r>
            <w:r w:rsidR="005152B2" w:rsidRPr="005152B2">
              <w:rPr>
                <w:color w:val="000000" w:themeColor="text1"/>
                <w:spacing w:val="-4"/>
                <w:lang w:val="en-GB"/>
              </w:rPr>
              <w:t>by</w:t>
            </w:r>
            <w:r w:rsidR="00905A11" w:rsidRPr="005152B2">
              <w:rPr>
                <w:color w:val="000000" w:themeColor="text1"/>
                <w:spacing w:val="-4"/>
                <w:lang w:val="en-GB"/>
              </w:rPr>
              <w:t xml:space="preserve"> 2</w:t>
            </w:r>
            <w:r w:rsidR="005152B2" w:rsidRPr="005152B2">
              <w:rPr>
                <w:color w:val="000000" w:themeColor="text1"/>
                <w:spacing w:val="-4"/>
                <w:lang w:val="en-GB"/>
              </w:rPr>
              <w:t>.</w:t>
            </w:r>
            <w:r w:rsidR="00AA756A">
              <w:rPr>
                <w:color w:val="000000" w:themeColor="text1"/>
                <w:spacing w:val="-4"/>
                <w:lang w:val="en-GB"/>
              </w:rPr>
              <w:t>1</w:t>
            </w:r>
            <w:r w:rsidR="00905A11" w:rsidRPr="005152B2">
              <w:rPr>
                <w:color w:val="000000" w:themeColor="text1"/>
                <w:spacing w:val="-4"/>
                <w:lang w:val="en-GB"/>
              </w:rPr>
              <w:t xml:space="preserve">%) </w:t>
            </w:r>
            <w:r w:rsidR="005152B2" w:rsidRPr="005152B2">
              <w:rPr>
                <w:color w:val="000000" w:themeColor="text1"/>
                <w:spacing w:val="-4"/>
                <w:lang w:val="en-GB"/>
              </w:rPr>
              <w:t xml:space="preserve">after six years, with the turn occurring in all constituent activities in 2015 </w:t>
            </w:r>
            <w:r w:rsidR="00905A11" w:rsidRPr="005152B2">
              <w:rPr>
                <w:color w:val="000000" w:themeColor="text1"/>
                <w:spacing w:val="-4"/>
                <w:lang w:val="en-GB"/>
              </w:rPr>
              <w:t>(</w:t>
            </w:r>
            <w:r w:rsidR="005152B2" w:rsidRPr="005152B2">
              <w:rPr>
                <w:color w:val="000000" w:themeColor="text1"/>
                <w:spacing w:val="-4"/>
                <w:lang w:val="en-GB"/>
              </w:rPr>
              <w:t>a mild growth already even two years in a row lasted only in advertising</w:t>
            </w:r>
            <w:r w:rsidR="00905A11" w:rsidRPr="005152B2">
              <w:rPr>
                <w:color w:val="000000" w:themeColor="text1"/>
                <w:spacing w:val="-4"/>
                <w:lang w:val="en-GB"/>
              </w:rPr>
              <w:t xml:space="preserve">). </w:t>
            </w:r>
            <w:r w:rsidR="00EE04C8">
              <w:rPr>
                <w:color w:val="000000" w:themeColor="text1"/>
                <w:spacing w:val="-4"/>
                <w:lang w:val="en-GB"/>
              </w:rPr>
              <w:t xml:space="preserve">The accelerated growth of the economy was reflected also in information and communication </w:t>
            </w:r>
            <w:r w:rsidR="00905A11" w:rsidRPr="005152B2">
              <w:rPr>
                <w:color w:val="000000" w:themeColor="text1"/>
                <w:spacing w:val="-4"/>
                <w:lang w:val="en-GB"/>
              </w:rPr>
              <w:t>(+5</w:t>
            </w:r>
            <w:r w:rsidR="00EE04C8">
              <w:rPr>
                <w:color w:val="000000" w:themeColor="text1"/>
                <w:spacing w:val="-4"/>
                <w:lang w:val="en-GB"/>
              </w:rPr>
              <w:t>.</w:t>
            </w:r>
            <w:r w:rsidR="00AA756A">
              <w:rPr>
                <w:color w:val="000000" w:themeColor="text1"/>
                <w:spacing w:val="-4"/>
                <w:lang w:val="en-GB"/>
              </w:rPr>
              <w:t>5</w:t>
            </w:r>
            <w:r w:rsidR="00905A11" w:rsidRPr="005152B2">
              <w:rPr>
                <w:color w:val="000000" w:themeColor="text1"/>
                <w:spacing w:val="-4"/>
                <w:lang w:val="en-GB"/>
              </w:rPr>
              <w:t>%).</w:t>
            </w:r>
            <w:r w:rsidR="00EE04C8">
              <w:rPr>
                <w:color w:val="000000" w:themeColor="text1"/>
                <w:spacing w:val="-4"/>
                <w:lang w:val="en-GB"/>
              </w:rPr>
              <w:t xml:space="preserve"> The sales were also increasing by the same rate in administrative and support service activities, whose development was to a large extent influenced by job agencies (where the growth of sales fastened by one fifth</w:t>
            </w:r>
            <w:r w:rsidR="00905A11" w:rsidRPr="005152B2">
              <w:rPr>
                <w:color w:val="000000" w:themeColor="text1"/>
                <w:spacing w:val="-4"/>
                <w:lang w:val="en-GB"/>
              </w:rPr>
              <w:t xml:space="preserve">). </w:t>
            </w:r>
            <w:r w:rsidR="00154F81">
              <w:rPr>
                <w:color w:val="000000" w:themeColor="text1"/>
                <w:spacing w:val="-4"/>
                <w:lang w:val="en-GB"/>
              </w:rPr>
              <w:t xml:space="preserve">All activities across the whole branch in fact prospered, apart from the travel agencies </w:t>
            </w:r>
            <w:r w:rsidR="00905A11" w:rsidRPr="005152B2">
              <w:rPr>
                <w:color w:val="000000" w:themeColor="text1"/>
                <w:spacing w:val="-4"/>
                <w:lang w:val="en-GB"/>
              </w:rPr>
              <w:t>(-7</w:t>
            </w:r>
            <w:r w:rsidR="0098688F">
              <w:rPr>
                <w:color w:val="000000" w:themeColor="text1"/>
                <w:spacing w:val="-4"/>
                <w:lang w:val="en-GB"/>
              </w:rPr>
              <w:t>.</w:t>
            </w:r>
            <w:r w:rsidR="00AA756A">
              <w:rPr>
                <w:color w:val="000000" w:themeColor="text1"/>
                <w:spacing w:val="-4"/>
                <w:lang w:val="en-GB"/>
              </w:rPr>
              <w:t>9</w:t>
            </w:r>
            <w:r w:rsidR="00905A11" w:rsidRPr="005152B2">
              <w:rPr>
                <w:color w:val="000000" w:themeColor="text1"/>
                <w:spacing w:val="-4"/>
                <w:lang w:val="en-GB"/>
              </w:rPr>
              <w:t xml:space="preserve">%), </w:t>
            </w:r>
            <w:r w:rsidR="0098688F">
              <w:rPr>
                <w:color w:val="000000" w:themeColor="text1"/>
                <w:spacing w:val="-4"/>
                <w:lang w:val="en-GB"/>
              </w:rPr>
              <w:t>whose sales were already declin</w:t>
            </w:r>
            <w:r w:rsidR="00AA756A">
              <w:rPr>
                <w:color w:val="000000" w:themeColor="text1"/>
                <w:spacing w:val="-4"/>
                <w:lang w:val="en-GB"/>
              </w:rPr>
              <w:t>ing the third year in a row. M</w:t>
            </w:r>
            <w:r w:rsidR="0098688F">
              <w:rPr>
                <w:color w:val="000000" w:themeColor="text1"/>
                <w:spacing w:val="-4"/>
                <w:lang w:val="en-GB"/>
              </w:rPr>
              <w:t>ore frequent arrivals of both domestic and foreign guests (</w:t>
            </w:r>
            <w:r w:rsidR="00EE4DA7">
              <w:rPr>
                <w:color w:val="000000" w:themeColor="text1"/>
                <w:spacing w:val="-4"/>
                <w:lang w:val="en-GB"/>
              </w:rPr>
              <w:t>especially in the summer period</w:t>
            </w:r>
            <w:r w:rsidR="0098688F">
              <w:rPr>
                <w:color w:val="000000" w:themeColor="text1"/>
                <w:spacing w:val="-4"/>
                <w:lang w:val="en-GB"/>
              </w:rPr>
              <w:t xml:space="preserve">) catapulted the sales in accommodation </w:t>
            </w:r>
            <w:r w:rsidR="008B16DE" w:rsidRPr="005152B2">
              <w:rPr>
                <w:spacing w:val="-4"/>
                <w:lang w:val="en-GB"/>
              </w:rPr>
              <w:t>(+7</w:t>
            </w:r>
            <w:r w:rsidR="0098688F">
              <w:rPr>
                <w:spacing w:val="-4"/>
                <w:lang w:val="en-GB"/>
              </w:rPr>
              <w:t>.</w:t>
            </w:r>
            <w:r w:rsidR="00AA756A">
              <w:rPr>
                <w:spacing w:val="-4"/>
                <w:lang w:val="en-GB"/>
              </w:rPr>
              <w:t>5</w:t>
            </w:r>
            <w:r w:rsidR="008B16DE" w:rsidRPr="005152B2">
              <w:rPr>
                <w:spacing w:val="-4"/>
                <w:lang w:val="en-GB"/>
              </w:rPr>
              <w:t xml:space="preserve">%) </w:t>
            </w:r>
            <w:r w:rsidR="0098688F">
              <w:rPr>
                <w:spacing w:val="-4"/>
                <w:lang w:val="en-GB"/>
              </w:rPr>
              <w:t xml:space="preserve">to the highest year-on-year growth after year </w:t>
            </w:r>
            <w:r w:rsidR="00905A11" w:rsidRPr="005152B2">
              <w:rPr>
                <w:spacing w:val="-4"/>
                <w:lang w:val="en-GB"/>
              </w:rPr>
              <w:t xml:space="preserve">2005. </w:t>
            </w:r>
            <w:r w:rsidR="0098688F">
              <w:rPr>
                <w:spacing w:val="-4"/>
                <w:lang w:val="en-GB"/>
              </w:rPr>
              <w:t xml:space="preserve">The sales were record also in restaurants and food service activities </w:t>
            </w:r>
            <w:r w:rsidR="00905A11" w:rsidRPr="005152B2">
              <w:rPr>
                <w:spacing w:val="-4"/>
                <w:lang w:val="en-GB"/>
              </w:rPr>
              <w:t>(+4</w:t>
            </w:r>
            <w:r w:rsidR="0098688F">
              <w:rPr>
                <w:spacing w:val="-4"/>
                <w:lang w:val="en-GB"/>
              </w:rPr>
              <w:t>.</w:t>
            </w:r>
            <w:r w:rsidR="00886005">
              <w:rPr>
                <w:spacing w:val="-4"/>
                <w:lang w:val="en-GB"/>
              </w:rPr>
              <w:t>1</w:t>
            </w:r>
            <w:r w:rsidR="00905A11" w:rsidRPr="005152B2">
              <w:rPr>
                <w:spacing w:val="-4"/>
                <w:lang w:val="en-GB"/>
              </w:rPr>
              <w:t>%)</w:t>
            </w:r>
            <w:proofErr w:type="gramStart"/>
            <w:r w:rsidR="00905A11" w:rsidRPr="005152B2">
              <w:rPr>
                <w:spacing w:val="-4"/>
                <w:lang w:val="en-GB"/>
              </w:rPr>
              <w:t>,</w:t>
            </w:r>
            <w:proofErr w:type="gramEnd"/>
            <w:r w:rsidR="00905A11" w:rsidRPr="005152B2">
              <w:rPr>
                <w:spacing w:val="-4"/>
                <w:lang w:val="en-GB"/>
              </w:rPr>
              <w:t xml:space="preserve"> </w:t>
            </w:r>
            <w:r w:rsidR="00EE4DA7">
              <w:rPr>
                <w:spacing w:val="-4"/>
                <w:lang w:val="en-GB"/>
              </w:rPr>
              <w:t>these however have not yet exceeded</w:t>
            </w:r>
            <w:r w:rsidR="0098688F">
              <w:rPr>
                <w:spacing w:val="-4"/>
                <w:lang w:val="en-GB"/>
              </w:rPr>
              <w:t xml:space="preserve"> the level from the business cycle peak of 2008 </w:t>
            </w:r>
            <w:r w:rsidR="00EE4DA7">
              <w:rPr>
                <w:spacing w:val="-4"/>
                <w:lang w:val="en-GB"/>
              </w:rPr>
              <w:t>(</w:t>
            </w:r>
            <w:r w:rsidR="0098688F">
              <w:rPr>
                <w:spacing w:val="-4"/>
                <w:lang w:val="en-GB"/>
              </w:rPr>
              <w:t>in contrast to the accommodation</w:t>
            </w:r>
            <w:r w:rsidR="00EE4DA7">
              <w:rPr>
                <w:spacing w:val="-4"/>
                <w:lang w:val="en-GB"/>
              </w:rPr>
              <w:t>)</w:t>
            </w:r>
            <w:r w:rsidR="0098688F">
              <w:rPr>
                <w:spacing w:val="-4"/>
                <w:lang w:val="en-GB"/>
              </w:rPr>
              <w:t xml:space="preserve">. </w:t>
            </w:r>
          </w:p>
          <w:p w:rsidR="00BC3BD6" w:rsidRPr="00532E6C" w:rsidRDefault="00BC3BD6" w:rsidP="00BC3BD6">
            <w:pPr>
              <w:pStyle w:val="Textpoznpodarou"/>
              <w:jc w:val="both"/>
              <w:rPr>
                <w:spacing w:val="-4"/>
                <w:sz w:val="14"/>
                <w:szCs w:val="14"/>
              </w:rPr>
            </w:pPr>
          </w:p>
        </w:tc>
      </w:tr>
      <w:tr w:rsidR="00905A11" w:rsidRPr="00BE4405" w:rsidTr="00FF45A2">
        <w:trPr>
          <w:trHeight w:val="250"/>
        </w:trPr>
        <w:tc>
          <w:tcPr>
            <w:tcW w:w="1090" w:type="pct"/>
          </w:tcPr>
          <w:p w:rsidR="00905A11" w:rsidRPr="003A1467" w:rsidRDefault="00905A11" w:rsidP="00611531">
            <w:pPr>
              <w:spacing w:line="240" w:lineRule="auto"/>
              <w:rPr>
                <w:color w:val="000000" w:themeColor="text1"/>
                <w:sz w:val="16"/>
                <w:szCs w:val="16"/>
                <w:lang w:val="en-GB"/>
              </w:rPr>
            </w:pPr>
            <w:r w:rsidRPr="003A1467">
              <w:rPr>
                <w:color w:val="000000" w:themeColor="text1"/>
                <w:sz w:val="16"/>
                <w:szCs w:val="16"/>
                <w:lang w:val="en-GB"/>
              </w:rPr>
              <w:lastRenderedPageBreak/>
              <w:t>Stab</w:t>
            </w:r>
            <w:r w:rsidR="003A1467" w:rsidRPr="003A1467">
              <w:rPr>
                <w:color w:val="000000" w:themeColor="text1"/>
                <w:sz w:val="16"/>
                <w:szCs w:val="16"/>
                <w:lang w:val="en-GB"/>
              </w:rPr>
              <w:t xml:space="preserve">le consumer confidence supported by a very favourable development on the labour market led to the highest growth of retail sales after 2007 </w:t>
            </w:r>
          </w:p>
          <w:p w:rsidR="00905A11" w:rsidRPr="003A1467" w:rsidRDefault="00905A11" w:rsidP="00611531">
            <w:pPr>
              <w:spacing w:line="240" w:lineRule="auto"/>
              <w:rPr>
                <w:color w:val="000000" w:themeColor="text1"/>
                <w:sz w:val="16"/>
                <w:szCs w:val="16"/>
                <w:lang w:val="en-GB"/>
              </w:rPr>
            </w:pPr>
          </w:p>
          <w:p w:rsidR="00905A11" w:rsidRPr="003A1467" w:rsidRDefault="00905A11" w:rsidP="00611531">
            <w:pPr>
              <w:spacing w:line="240" w:lineRule="auto"/>
              <w:rPr>
                <w:color w:val="000000" w:themeColor="text1"/>
                <w:sz w:val="16"/>
                <w:szCs w:val="16"/>
                <w:lang w:val="en-GB"/>
              </w:rPr>
            </w:pPr>
          </w:p>
          <w:p w:rsidR="00905A11" w:rsidRPr="003A1467" w:rsidRDefault="00CD089D" w:rsidP="00611531">
            <w:pPr>
              <w:spacing w:line="240" w:lineRule="auto"/>
              <w:rPr>
                <w:color w:val="000000" w:themeColor="text1"/>
                <w:spacing w:val="-4"/>
                <w:sz w:val="16"/>
                <w:szCs w:val="16"/>
                <w:lang w:val="en-GB"/>
              </w:rPr>
            </w:pPr>
            <w:r>
              <w:rPr>
                <w:color w:val="000000" w:themeColor="text1"/>
                <w:spacing w:val="-4"/>
                <w:sz w:val="16"/>
                <w:szCs w:val="16"/>
                <w:lang w:val="en-GB"/>
              </w:rPr>
              <w:t>Favourable price development stimulated the demand especially for</w:t>
            </w:r>
            <w:r w:rsidR="007D71F5">
              <w:rPr>
                <w:color w:val="000000" w:themeColor="text1"/>
                <w:spacing w:val="-4"/>
                <w:sz w:val="16"/>
                <w:szCs w:val="16"/>
                <w:lang w:val="en-GB"/>
              </w:rPr>
              <w:t xml:space="preserve"> automotive fuels </w:t>
            </w:r>
            <w:r>
              <w:rPr>
                <w:color w:val="000000" w:themeColor="text1"/>
                <w:spacing w:val="-4"/>
                <w:sz w:val="16"/>
                <w:szCs w:val="16"/>
                <w:lang w:val="en-GB"/>
              </w:rPr>
              <w:t xml:space="preserve">and also the computer as well as communication appliances, it assisted the internet sellers in keeping the high rate of sales growth </w:t>
            </w:r>
          </w:p>
          <w:p w:rsidR="00905A11" w:rsidRPr="00F3262E" w:rsidRDefault="00905A11" w:rsidP="00611531">
            <w:pPr>
              <w:spacing w:line="240" w:lineRule="auto"/>
              <w:rPr>
                <w:color w:val="000000" w:themeColor="text1"/>
                <w:sz w:val="16"/>
                <w:szCs w:val="16"/>
              </w:rPr>
            </w:pPr>
          </w:p>
        </w:tc>
        <w:tc>
          <w:tcPr>
            <w:tcW w:w="145" w:type="pct"/>
          </w:tcPr>
          <w:p w:rsidR="00905A11" w:rsidRPr="00F3262E" w:rsidRDefault="00905A11" w:rsidP="00611531">
            <w:pPr>
              <w:pStyle w:val="Textpoznpodarou"/>
              <w:jc w:val="both"/>
              <w:rPr>
                <w:color w:val="000000" w:themeColor="text1"/>
                <w:spacing w:val="-2"/>
              </w:rPr>
            </w:pPr>
          </w:p>
        </w:tc>
        <w:tc>
          <w:tcPr>
            <w:tcW w:w="3765" w:type="pct"/>
          </w:tcPr>
          <w:p w:rsidR="00905A11" w:rsidRPr="00524962" w:rsidRDefault="002A2420" w:rsidP="00611531">
            <w:pPr>
              <w:pStyle w:val="Textpoznpodarou"/>
              <w:jc w:val="both"/>
              <w:rPr>
                <w:color w:val="000000" w:themeColor="text1"/>
                <w:spacing w:val="-2"/>
                <w:lang w:val="en-GB"/>
              </w:rPr>
            </w:pPr>
            <w:r w:rsidRPr="00524962">
              <w:rPr>
                <w:color w:val="000000" w:themeColor="text1"/>
                <w:spacing w:val="-2"/>
                <w:lang w:val="en-GB"/>
              </w:rPr>
              <w:t>The year-on-year growth of sales</w:t>
            </w:r>
            <w:r w:rsidRPr="00524962">
              <w:rPr>
                <w:rStyle w:val="Znakapoznpodarou"/>
                <w:color w:val="000000" w:themeColor="text1"/>
                <w:spacing w:val="-2"/>
                <w:lang w:val="en-GB"/>
              </w:rPr>
              <w:footnoteReference w:id="5"/>
            </w:r>
            <w:r w:rsidR="00886005" w:rsidRPr="00524962">
              <w:rPr>
                <w:color w:val="000000" w:themeColor="text1"/>
                <w:spacing w:val="-2"/>
                <w:lang w:val="en-GB"/>
              </w:rPr>
              <w:t xml:space="preserve"> accelerated up to 5.9</w:t>
            </w:r>
            <w:r w:rsidRPr="00524962">
              <w:rPr>
                <w:color w:val="000000" w:themeColor="text1"/>
                <w:spacing w:val="-2"/>
                <w:lang w:val="en-GB"/>
              </w:rPr>
              <w:t xml:space="preserve">% even in the retail trade itself in line with the trends in </w:t>
            </w:r>
            <w:r w:rsidR="00C534F3" w:rsidRPr="00524962">
              <w:rPr>
                <w:color w:val="000000" w:themeColor="text1"/>
                <w:spacing w:val="-2"/>
                <w:lang w:val="en-GB"/>
              </w:rPr>
              <w:t xml:space="preserve">other </w:t>
            </w:r>
            <w:r w:rsidRPr="00524962">
              <w:rPr>
                <w:color w:val="000000" w:themeColor="text1"/>
                <w:spacing w:val="-2"/>
                <w:lang w:val="en-GB"/>
              </w:rPr>
              <w:t>services and thus moved closer to the values from the business cycle peak in year</w:t>
            </w:r>
            <w:r w:rsidR="00BC3BD6" w:rsidRPr="00524962">
              <w:rPr>
                <w:color w:val="000000" w:themeColor="text1"/>
                <w:spacing w:val="-2"/>
                <w:lang w:val="en-GB"/>
              </w:rPr>
              <w:t>s</w:t>
            </w:r>
            <w:r w:rsidRPr="00524962">
              <w:rPr>
                <w:color w:val="000000" w:themeColor="text1"/>
                <w:spacing w:val="-2"/>
                <w:lang w:val="en-GB"/>
              </w:rPr>
              <w:t xml:space="preserve"> </w:t>
            </w:r>
            <w:r w:rsidR="008B16DE" w:rsidRPr="00524962">
              <w:rPr>
                <w:color w:val="000000" w:themeColor="text1"/>
                <w:spacing w:val="-2"/>
                <w:lang w:val="en-GB"/>
              </w:rPr>
              <w:t>200</w:t>
            </w:r>
            <w:r w:rsidR="00E07D1E" w:rsidRPr="00524962">
              <w:rPr>
                <w:color w:val="000000" w:themeColor="text1"/>
                <w:spacing w:val="-2"/>
                <w:lang w:val="en-GB"/>
              </w:rPr>
              <w:t>5</w:t>
            </w:r>
            <w:r w:rsidR="00E07D1E" w:rsidRPr="00524962">
              <w:rPr>
                <w:spacing w:val="-2"/>
                <w:lang w:val="en-GB"/>
              </w:rPr>
              <w:t>–</w:t>
            </w:r>
            <w:r w:rsidRPr="00524962">
              <w:rPr>
                <w:color w:val="000000" w:themeColor="text1"/>
                <w:spacing w:val="-2"/>
                <w:lang w:val="en-GB"/>
              </w:rPr>
              <w:t>2007. The sales dynamics did not feature any significant changes during 2015, similarly to the favourable sentiment of the consumers.</w:t>
            </w:r>
            <w:r w:rsidR="00905A11" w:rsidRPr="00524962">
              <w:rPr>
                <w:color w:val="000000" w:themeColor="text1"/>
                <w:spacing w:val="-2"/>
                <w:lang w:val="en-GB"/>
              </w:rPr>
              <w:t xml:space="preserve"> </w:t>
            </w:r>
            <w:r w:rsidRPr="00524962">
              <w:rPr>
                <w:color w:val="000000" w:themeColor="text1"/>
                <w:spacing w:val="-2"/>
                <w:lang w:val="en-GB"/>
              </w:rPr>
              <w:t xml:space="preserve">The sale of non-food products traditionally drove the whole branch </w:t>
            </w:r>
            <w:r w:rsidR="00905A11" w:rsidRPr="00524962">
              <w:rPr>
                <w:color w:val="000000" w:themeColor="text1"/>
                <w:spacing w:val="-2"/>
                <w:lang w:val="en-GB"/>
              </w:rPr>
              <w:t>(+6</w:t>
            </w:r>
            <w:r w:rsidRPr="00524962">
              <w:rPr>
                <w:color w:val="000000" w:themeColor="text1"/>
                <w:spacing w:val="-2"/>
                <w:lang w:val="en-GB"/>
              </w:rPr>
              <w:t>.</w:t>
            </w:r>
            <w:r w:rsidR="00BE5487" w:rsidRPr="00524962">
              <w:rPr>
                <w:color w:val="000000" w:themeColor="text1"/>
                <w:spacing w:val="-2"/>
                <w:lang w:val="en-GB"/>
              </w:rPr>
              <w:t>8</w:t>
            </w:r>
            <w:r w:rsidR="00905A11" w:rsidRPr="00524962">
              <w:rPr>
                <w:color w:val="000000" w:themeColor="text1"/>
                <w:spacing w:val="-2"/>
                <w:lang w:val="en-GB"/>
              </w:rPr>
              <w:t xml:space="preserve">%). </w:t>
            </w:r>
            <w:r w:rsidRPr="00524962">
              <w:rPr>
                <w:color w:val="000000" w:themeColor="text1"/>
                <w:spacing w:val="-2"/>
                <w:lang w:val="en-GB"/>
              </w:rPr>
              <w:t xml:space="preserve">The sale of food however also fared well </w:t>
            </w:r>
            <w:r w:rsidR="00905A11" w:rsidRPr="00524962">
              <w:rPr>
                <w:color w:val="000000" w:themeColor="text1"/>
                <w:spacing w:val="-2"/>
                <w:lang w:val="en-GB"/>
              </w:rPr>
              <w:t>(3</w:t>
            </w:r>
            <w:r w:rsidRPr="00524962">
              <w:rPr>
                <w:color w:val="000000" w:themeColor="text1"/>
                <w:spacing w:val="-2"/>
                <w:lang w:val="en-GB"/>
              </w:rPr>
              <w:t>.</w:t>
            </w:r>
            <w:r w:rsidR="00905A11" w:rsidRPr="00524962">
              <w:rPr>
                <w:color w:val="000000" w:themeColor="text1"/>
                <w:spacing w:val="-2"/>
                <w:lang w:val="en-GB"/>
              </w:rPr>
              <w:t xml:space="preserve">9%), </w:t>
            </w:r>
            <w:r w:rsidR="00524962" w:rsidRPr="00524962">
              <w:rPr>
                <w:color w:val="000000" w:themeColor="text1"/>
                <w:spacing w:val="-2"/>
                <w:lang w:val="en-GB"/>
              </w:rPr>
              <w:t>even in specialised store</w:t>
            </w:r>
            <w:r w:rsidRPr="00524962">
              <w:rPr>
                <w:color w:val="000000" w:themeColor="text1"/>
                <w:spacing w:val="-2"/>
                <w:lang w:val="en-GB"/>
              </w:rPr>
              <w:t xml:space="preserve">s </w:t>
            </w:r>
            <w:r w:rsidR="00BE5487" w:rsidRPr="00524962">
              <w:rPr>
                <w:color w:val="000000" w:themeColor="text1"/>
                <w:spacing w:val="-2"/>
                <w:lang w:val="en-GB"/>
              </w:rPr>
              <w:t>(+3</w:t>
            </w:r>
            <w:r w:rsidR="00C534F3" w:rsidRPr="00524962">
              <w:rPr>
                <w:color w:val="000000" w:themeColor="text1"/>
                <w:spacing w:val="-2"/>
                <w:lang w:val="en-GB"/>
              </w:rPr>
              <w:t>.0</w:t>
            </w:r>
            <w:r w:rsidR="00524962" w:rsidRPr="00524962">
              <w:rPr>
                <w:color w:val="000000" w:themeColor="text1"/>
                <w:spacing w:val="-2"/>
                <w:lang w:val="en-GB"/>
              </w:rPr>
              <w:t>%</w:t>
            </w:r>
            <w:r w:rsidR="00905A11" w:rsidRPr="00524962">
              <w:rPr>
                <w:color w:val="000000" w:themeColor="text1"/>
                <w:spacing w:val="-2"/>
                <w:lang w:val="en-GB"/>
              </w:rPr>
              <w:t xml:space="preserve">, </w:t>
            </w:r>
            <w:r w:rsidRPr="00524962">
              <w:rPr>
                <w:color w:val="000000" w:themeColor="text1"/>
                <w:spacing w:val="-2"/>
                <w:lang w:val="en-GB"/>
              </w:rPr>
              <w:t>which thus halted the nine years lasting drop of real sales</w:t>
            </w:r>
            <w:r w:rsidR="00524962" w:rsidRPr="00524962">
              <w:rPr>
                <w:color w:val="000000" w:themeColor="text1"/>
                <w:spacing w:val="-2"/>
                <w:lang w:val="en-GB"/>
              </w:rPr>
              <w:t>)</w:t>
            </w:r>
            <w:r w:rsidRPr="00524962">
              <w:rPr>
                <w:color w:val="000000" w:themeColor="text1"/>
                <w:spacing w:val="-2"/>
                <w:lang w:val="en-GB"/>
              </w:rPr>
              <w:t xml:space="preserve">. </w:t>
            </w:r>
            <w:r w:rsidR="00524962" w:rsidRPr="00524962">
              <w:rPr>
                <w:color w:val="000000" w:themeColor="text1"/>
                <w:spacing w:val="-2"/>
                <w:lang w:val="en-GB"/>
              </w:rPr>
              <w:t>Within other specialised stores</w:t>
            </w:r>
            <w:r w:rsidR="000E65AE" w:rsidRPr="00524962">
              <w:rPr>
                <w:color w:val="000000" w:themeColor="text1"/>
                <w:spacing w:val="-2"/>
                <w:lang w:val="en-GB"/>
              </w:rPr>
              <w:t xml:space="preserve">, the strong development of sales of computer and communication appliances continued </w:t>
            </w:r>
            <w:r w:rsidR="00BE5487" w:rsidRPr="00524962">
              <w:rPr>
                <w:color w:val="000000" w:themeColor="text1"/>
                <w:spacing w:val="-2"/>
                <w:lang w:val="en-GB"/>
              </w:rPr>
              <w:t>(+10</w:t>
            </w:r>
            <w:r w:rsidR="00905A11" w:rsidRPr="00524962">
              <w:rPr>
                <w:color w:val="000000" w:themeColor="text1"/>
                <w:spacing w:val="-2"/>
                <w:lang w:val="en-GB"/>
              </w:rPr>
              <w:t xml:space="preserve">%), </w:t>
            </w:r>
            <w:r w:rsidR="000E65AE" w:rsidRPr="00524962">
              <w:rPr>
                <w:color w:val="000000" w:themeColor="text1"/>
                <w:spacing w:val="-2"/>
                <w:lang w:val="en-GB"/>
              </w:rPr>
              <w:t>the rate of growth of sales of products for culture and recreation nearly doubled compared to year 2014. The dynamic growth of sales at petrol stations lasted already thirteen months, they w</w:t>
            </w:r>
            <w:r w:rsidR="00CD089D" w:rsidRPr="00524962">
              <w:rPr>
                <w:color w:val="000000" w:themeColor="text1"/>
                <w:spacing w:val="-2"/>
                <w:lang w:val="en-GB"/>
              </w:rPr>
              <w:t>e</w:t>
            </w:r>
            <w:r w:rsidR="000E65AE" w:rsidRPr="00524962">
              <w:rPr>
                <w:color w:val="000000" w:themeColor="text1"/>
                <w:spacing w:val="-2"/>
                <w:lang w:val="en-GB"/>
              </w:rPr>
              <w:t xml:space="preserve">re by </w:t>
            </w:r>
            <w:r w:rsidR="00905A11" w:rsidRPr="00524962">
              <w:rPr>
                <w:color w:val="000000" w:themeColor="text1"/>
                <w:spacing w:val="-2"/>
                <w:lang w:val="en-GB"/>
              </w:rPr>
              <w:t>10</w:t>
            </w:r>
            <w:r w:rsidR="000E65AE" w:rsidRPr="00524962">
              <w:rPr>
                <w:color w:val="000000" w:themeColor="text1"/>
                <w:spacing w:val="-2"/>
                <w:lang w:val="en-GB"/>
              </w:rPr>
              <w:t>.</w:t>
            </w:r>
            <w:r w:rsidR="00BE5487" w:rsidRPr="00524962">
              <w:rPr>
                <w:color w:val="000000" w:themeColor="text1"/>
                <w:spacing w:val="-2"/>
                <w:lang w:val="en-GB"/>
              </w:rPr>
              <w:t>6</w:t>
            </w:r>
            <w:r w:rsidR="00800073" w:rsidRPr="00524962">
              <w:rPr>
                <w:color w:val="000000" w:themeColor="text1"/>
                <w:spacing w:val="-2"/>
                <w:lang w:val="en-GB"/>
              </w:rPr>
              <w:t xml:space="preserve">% </w:t>
            </w:r>
            <w:r w:rsidR="000E65AE" w:rsidRPr="00524962">
              <w:rPr>
                <w:color w:val="000000" w:themeColor="text1"/>
                <w:spacing w:val="-2"/>
                <w:lang w:val="en-GB"/>
              </w:rPr>
              <w:t xml:space="preserve">higher year-on-year in Q4 2015 </w:t>
            </w:r>
            <w:r w:rsidR="00800073" w:rsidRPr="00524962">
              <w:rPr>
                <w:color w:val="000000" w:themeColor="text1"/>
                <w:spacing w:val="-2"/>
                <w:lang w:val="en-GB"/>
              </w:rPr>
              <w:t>(</w:t>
            </w:r>
            <w:r w:rsidR="000E65AE" w:rsidRPr="00524962">
              <w:rPr>
                <w:color w:val="000000" w:themeColor="text1"/>
                <w:spacing w:val="-2"/>
                <w:lang w:val="en-GB"/>
              </w:rPr>
              <w:t xml:space="preserve">still they remained in real terms </w:t>
            </w:r>
            <w:r w:rsidR="00BE5487" w:rsidRPr="00524962">
              <w:rPr>
                <w:color w:val="000000" w:themeColor="text1"/>
                <w:spacing w:val="-2"/>
                <w:lang w:val="en-GB"/>
              </w:rPr>
              <w:t>5</w:t>
            </w:r>
            <w:r w:rsidR="001D5E1B" w:rsidRPr="00524962">
              <w:rPr>
                <w:color w:val="000000" w:themeColor="text1"/>
                <w:spacing w:val="-2"/>
                <w:lang w:val="en-GB"/>
              </w:rPr>
              <w:t>%</w:t>
            </w:r>
            <w:r w:rsidR="00905A11" w:rsidRPr="00524962">
              <w:rPr>
                <w:color w:val="000000" w:themeColor="text1"/>
                <w:spacing w:val="-2"/>
                <w:lang w:val="en-GB"/>
              </w:rPr>
              <w:t xml:space="preserve"> </w:t>
            </w:r>
            <w:r w:rsidR="000E65AE" w:rsidRPr="00524962">
              <w:rPr>
                <w:color w:val="000000" w:themeColor="text1"/>
                <w:spacing w:val="-2"/>
                <w:lang w:val="en-GB"/>
              </w:rPr>
              <w:t>below the level o</w:t>
            </w:r>
            <w:r w:rsidR="00CD089D" w:rsidRPr="00524962">
              <w:rPr>
                <w:color w:val="000000" w:themeColor="text1"/>
                <w:spacing w:val="-2"/>
                <w:lang w:val="en-GB"/>
              </w:rPr>
              <w:t>f</w:t>
            </w:r>
            <w:r w:rsidR="000E65AE" w:rsidRPr="00524962">
              <w:rPr>
                <w:color w:val="000000" w:themeColor="text1"/>
                <w:spacing w:val="-2"/>
                <w:lang w:val="en-GB"/>
              </w:rPr>
              <w:t xml:space="preserve"> the end of year </w:t>
            </w:r>
            <w:r w:rsidR="00905A11" w:rsidRPr="00524962">
              <w:rPr>
                <w:color w:val="000000" w:themeColor="text1"/>
                <w:spacing w:val="-2"/>
                <w:lang w:val="en-GB"/>
              </w:rPr>
              <w:t xml:space="preserve">2008). </w:t>
            </w:r>
            <w:r w:rsidR="00CD089D" w:rsidRPr="00524962">
              <w:rPr>
                <w:color w:val="000000" w:themeColor="text1"/>
                <w:spacing w:val="-2"/>
                <w:lang w:val="en-GB"/>
              </w:rPr>
              <w:t>The demand was stimulated by low prices of</w:t>
            </w:r>
            <w:r w:rsidR="007D71F5" w:rsidRPr="00524962">
              <w:rPr>
                <w:color w:val="000000" w:themeColor="text1"/>
                <w:spacing w:val="-2"/>
                <w:lang w:val="en-GB"/>
              </w:rPr>
              <w:t xml:space="preserve"> automotive fuel </w:t>
            </w:r>
            <w:r w:rsidR="00905A11" w:rsidRPr="00524962">
              <w:rPr>
                <w:color w:val="000000" w:themeColor="text1"/>
                <w:spacing w:val="-2"/>
                <w:lang w:val="en-GB"/>
              </w:rPr>
              <w:t>(</w:t>
            </w:r>
            <w:r w:rsidR="00CD089D" w:rsidRPr="00524962">
              <w:rPr>
                <w:color w:val="000000" w:themeColor="text1"/>
                <w:spacing w:val="-2"/>
                <w:lang w:val="en-GB"/>
              </w:rPr>
              <w:t>also when compared to the neighbouring states), partially also by the higher transport demands connected to the growth of the economy as well as the foreign trade. Sales of motor vehicles increased by one eight (similarly to the preceding year</w:t>
            </w:r>
            <w:r w:rsidR="007F0012" w:rsidRPr="00524962">
              <w:rPr>
                <w:color w:val="000000" w:themeColor="text1"/>
                <w:spacing w:val="-2"/>
                <w:lang w:val="en-GB"/>
              </w:rPr>
              <w:t>)</w:t>
            </w:r>
            <w:r w:rsidR="00CD089D" w:rsidRPr="00524962">
              <w:rPr>
                <w:color w:val="000000" w:themeColor="text1"/>
                <w:spacing w:val="-2"/>
                <w:lang w:val="en-GB"/>
              </w:rPr>
              <w:t xml:space="preserve">. </w:t>
            </w:r>
          </w:p>
          <w:p w:rsidR="00905A11" w:rsidRPr="00532E6C" w:rsidRDefault="00905A11" w:rsidP="00611531">
            <w:pPr>
              <w:pStyle w:val="Textpoznpodarou"/>
              <w:jc w:val="both"/>
              <w:rPr>
                <w:color w:val="000000" w:themeColor="text1"/>
                <w:spacing w:val="-2"/>
                <w:sz w:val="14"/>
                <w:szCs w:val="14"/>
              </w:rPr>
            </w:pPr>
          </w:p>
        </w:tc>
      </w:tr>
      <w:tr w:rsidR="00905A11" w:rsidRPr="00BE4405" w:rsidTr="00611531">
        <w:trPr>
          <w:cantSplit/>
          <w:trHeight w:val="250"/>
        </w:trPr>
        <w:tc>
          <w:tcPr>
            <w:tcW w:w="1090" w:type="pct"/>
          </w:tcPr>
          <w:p w:rsidR="00905A11" w:rsidRPr="00532E6C" w:rsidRDefault="00A15077" w:rsidP="00611531">
            <w:pPr>
              <w:spacing w:line="240" w:lineRule="auto"/>
              <w:rPr>
                <w:color w:val="000000" w:themeColor="text1"/>
                <w:spacing w:val="-4"/>
                <w:sz w:val="16"/>
                <w:szCs w:val="16"/>
                <w:lang w:val="en-GB"/>
              </w:rPr>
            </w:pPr>
            <w:r w:rsidRPr="00006026">
              <w:rPr>
                <w:color w:val="000000" w:themeColor="text1"/>
                <w:spacing w:val="-4"/>
                <w:sz w:val="16"/>
                <w:szCs w:val="16"/>
                <w:lang w:val="en-GB"/>
              </w:rPr>
              <w:t>Growth of retail sales</w:t>
            </w:r>
            <w:r w:rsidR="00006026">
              <w:rPr>
                <w:color w:val="000000" w:themeColor="text1"/>
                <w:spacing w:val="-4"/>
                <w:sz w:val="16"/>
                <w:szCs w:val="16"/>
                <w:lang w:val="en-GB"/>
              </w:rPr>
              <w:t xml:space="preserve"> </w:t>
            </w:r>
            <w:r w:rsidRPr="00006026">
              <w:rPr>
                <w:color w:val="000000" w:themeColor="text1"/>
                <w:spacing w:val="-4"/>
                <w:sz w:val="16"/>
                <w:szCs w:val="16"/>
                <w:lang w:val="en-GB"/>
              </w:rPr>
              <w:t xml:space="preserve">in the CR was the fourth highest among the EU countries in  </w:t>
            </w:r>
            <w:r w:rsidR="00905A11" w:rsidRPr="00006026">
              <w:rPr>
                <w:color w:val="000000" w:themeColor="text1"/>
                <w:spacing w:val="-4"/>
                <w:sz w:val="16"/>
                <w:szCs w:val="16"/>
                <w:lang w:val="en-GB"/>
              </w:rPr>
              <w:t>2015</w:t>
            </w:r>
            <w:r w:rsidRPr="00006026">
              <w:rPr>
                <w:color w:val="000000" w:themeColor="text1"/>
                <w:spacing w:val="-4"/>
                <w:sz w:val="16"/>
                <w:szCs w:val="16"/>
                <w:lang w:val="en-GB"/>
              </w:rPr>
              <w:t xml:space="preserve">, the CR exceeded the EU dynamics in the long term (except for </w:t>
            </w:r>
            <w:r w:rsidR="00905A11" w:rsidRPr="00006026">
              <w:rPr>
                <w:color w:val="000000" w:themeColor="text1"/>
                <w:spacing w:val="-4"/>
                <w:sz w:val="16"/>
                <w:szCs w:val="16"/>
                <w:lang w:val="en-GB"/>
              </w:rPr>
              <w:t>2010)</w:t>
            </w:r>
          </w:p>
        </w:tc>
        <w:tc>
          <w:tcPr>
            <w:tcW w:w="145" w:type="pct"/>
          </w:tcPr>
          <w:p w:rsidR="00905A11" w:rsidRPr="00006026" w:rsidRDefault="00905A11" w:rsidP="00611531">
            <w:pPr>
              <w:rPr>
                <w:color w:val="000000" w:themeColor="text1"/>
                <w:szCs w:val="16"/>
                <w:lang w:val="en-GB"/>
              </w:rPr>
            </w:pPr>
          </w:p>
        </w:tc>
        <w:tc>
          <w:tcPr>
            <w:tcW w:w="3765" w:type="pct"/>
          </w:tcPr>
          <w:p w:rsidR="00240C76" w:rsidRPr="00006026" w:rsidRDefault="00A15077" w:rsidP="00006026">
            <w:pPr>
              <w:spacing w:line="240" w:lineRule="auto"/>
              <w:jc w:val="both"/>
              <w:rPr>
                <w:color w:val="000000" w:themeColor="text1"/>
                <w:spacing w:val="-4"/>
                <w:lang w:val="en-GB"/>
              </w:rPr>
            </w:pPr>
            <w:r w:rsidRPr="00006026">
              <w:rPr>
                <w:color w:val="000000" w:themeColor="text1"/>
                <w:spacing w:val="-4"/>
                <w:szCs w:val="20"/>
                <w:lang w:val="en-GB"/>
              </w:rPr>
              <w:t>Retail sales dynamics</w:t>
            </w:r>
            <w:r w:rsidR="000E0ECB" w:rsidRPr="00006026">
              <w:rPr>
                <w:rStyle w:val="Znakapoznpodarou"/>
                <w:color w:val="000000" w:themeColor="text1"/>
                <w:spacing w:val="-4"/>
                <w:szCs w:val="20"/>
                <w:lang w:val="en-GB"/>
              </w:rPr>
              <w:footnoteReference w:id="6"/>
            </w:r>
            <w:r w:rsidR="00905A11" w:rsidRPr="00006026">
              <w:rPr>
                <w:color w:val="000000" w:themeColor="text1"/>
                <w:spacing w:val="-4"/>
                <w:szCs w:val="20"/>
                <w:lang w:val="en-GB"/>
              </w:rPr>
              <w:t xml:space="preserve"> </w:t>
            </w:r>
            <w:r w:rsidRPr="00006026">
              <w:rPr>
                <w:color w:val="000000" w:themeColor="text1"/>
                <w:spacing w:val="-4"/>
                <w:szCs w:val="20"/>
                <w:lang w:val="en-GB"/>
              </w:rPr>
              <w:t xml:space="preserve">was double in the CR compared to the EU in </w:t>
            </w:r>
            <w:r w:rsidR="00905A11" w:rsidRPr="00006026">
              <w:rPr>
                <w:color w:val="000000" w:themeColor="text1"/>
                <w:spacing w:val="-4"/>
                <w:szCs w:val="20"/>
                <w:lang w:val="en-GB"/>
              </w:rPr>
              <w:t>2015</w:t>
            </w:r>
            <w:r w:rsidRPr="00006026">
              <w:rPr>
                <w:color w:val="000000" w:themeColor="text1"/>
                <w:spacing w:val="-4"/>
                <w:szCs w:val="20"/>
                <w:lang w:val="en-GB"/>
              </w:rPr>
              <w:t xml:space="preserve">. </w:t>
            </w:r>
            <w:r w:rsidR="00006026">
              <w:rPr>
                <w:color w:val="000000" w:themeColor="text1"/>
                <w:spacing w:val="-4"/>
                <w:szCs w:val="20"/>
                <w:lang w:val="en-GB"/>
              </w:rPr>
              <w:t xml:space="preserve">Only Romania </w:t>
            </w:r>
            <w:r w:rsidR="00905A11" w:rsidRPr="00006026">
              <w:rPr>
                <w:color w:val="000000" w:themeColor="text1"/>
                <w:spacing w:val="-4"/>
                <w:lang w:val="en-GB"/>
              </w:rPr>
              <w:t>(+8</w:t>
            </w:r>
            <w:r w:rsidR="00006026">
              <w:rPr>
                <w:color w:val="000000" w:themeColor="text1"/>
                <w:spacing w:val="-4"/>
                <w:lang w:val="en-GB"/>
              </w:rPr>
              <w:t>.</w:t>
            </w:r>
            <w:r w:rsidR="00BE5487">
              <w:rPr>
                <w:color w:val="000000" w:themeColor="text1"/>
                <w:spacing w:val="-4"/>
                <w:lang w:val="en-GB"/>
              </w:rPr>
              <w:t>8</w:t>
            </w:r>
            <w:r w:rsidR="00905A11" w:rsidRPr="00006026">
              <w:rPr>
                <w:color w:val="000000" w:themeColor="text1"/>
                <w:spacing w:val="-4"/>
                <w:lang w:val="en-GB"/>
              </w:rPr>
              <w:t>%), Pol</w:t>
            </w:r>
            <w:r w:rsidR="00006026">
              <w:rPr>
                <w:color w:val="000000" w:themeColor="text1"/>
                <w:spacing w:val="-4"/>
                <w:lang w:val="en-GB"/>
              </w:rPr>
              <w:t>and</w:t>
            </w:r>
            <w:r w:rsidR="00905A11" w:rsidRPr="00006026">
              <w:rPr>
                <w:color w:val="000000" w:themeColor="text1"/>
                <w:spacing w:val="-4"/>
                <w:lang w:val="en-GB"/>
              </w:rPr>
              <w:t xml:space="preserve"> (+6</w:t>
            </w:r>
            <w:r w:rsidR="00006026">
              <w:rPr>
                <w:color w:val="000000" w:themeColor="text1"/>
                <w:spacing w:val="-4"/>
                <w:lang w:val="en-GB"/>
              </w:rPr>
              <w:t>.</w:t>
            </w:r>
            <w:r w:rsidR="00BE5487">
              <w:rPr>
                <w:color w:val="000000" w:themeColor="text1"/>
                <w:spacing w:val="-4"/>
                <w:lang w:val="en-GB"/>
              </w:rPr>
              <w:t>6</w:t>
            </w:r>
            <w:r w:rsidR="00905A11" w:rsidRPr="00006026">
              <w:rPr>
                <w:color w:val="000000" w:themeColor="text1"/>
                <w:spacing w:val="-4"/>
                <w:lang w:val="en-GB"/>
              </w:rPr>
              <w:t>%) a</w:t>
            </w:r>
            <w:r w:rsidR="00006026">
              <w:rPr>
                <w:color w:val="000000" w:themeColor="text1"/>
                <w:spacing w:val="-4"/>
                <w:lang w:val="en-GB"/>
              </w:rPr>
              <w:t>nd</w:t>
            </w:r>
            <w:r w:rsidR="00905A11" w:rsidRPr="00006026">
              <w:rPr>
                <w:color w:val="000000" w:themeColor="text1"/>
                <w:spacing w:val="-4"/>
                <w:lang w:val="en-GB"/>
              </w:rPr>
              <w:t xml:space="preserve"> </w:t>
            </w:r>
            <w:r w:rsidR="00006026" w:rsidRPr="00006026">
              <w:rPr>
                <w:color w:val="000000" w:themeColor="text1"/>
                <w:spacing w:val="-4"/>
                <w:lang w:val="en-GB"/>
              </w:rPr>
              <w:t>Ir</w:t>
            </w:r>
            <w:r w:rsidR="00006026">
              <w:rPr>
                <w:color w:val="000000" w:themeColor="text1"/>
                <w:spacing w:val="-4"/>
                <w:lang w:val="en-GB"/>
              </w:rPr>
              <w:t xml:space="preserve">eland </w:t>
            </w:r>
            <w:r w:rsidR="00905A11" w:rsidRPr="00006026">
              <w:rPr>
                <w:color w:val="000000" w:themeColor="text1"/>
                <w:spacing w:val="-4"/>
                <w:lang w:val="en-GB"/>
              </w:rPr>
              <w:t>(+6</w:t>
            </w:r>
            <w:r w:rsidR="00006026">
              <w:rPr>
                <w:color w:val="000000" w:themeColor="text1"/>
                <w:spacing w:val="-4"/>
                <w:lang w:val="en-GB"/>
              </w:rPr>
              <w:t>.</w:t>
            </w:r>
            <w:r w:rsidR="00BE5487">
              <w:rPr>
                <w:color w:val="000000" w:themeColor="text1"/>
                <w:spacing w:val="-4"/>
                <w:lang w:val="en-GB"/>
              </w:rPr>
              <w:t>3</w:t>
            </w:r>
            <w:r w:rsidR="00905A11" w:rsidRPr="00006026">
              <w:rPr>
                <w:color w:val="000000" w:themeColor="text1"/>
                <w:spacing w:val="-4"/>
                <w:lang w:val="en-GB"/>
              </w:rPr>
              <w:t>%)</w:t>
            </w:r>
            <w:r w:rsidR="00006026">
              <w:rPr>
                <w:color w:val="000000" w:themeColor="text1"/>
                <w:spacing w:val="-4"/>
                <w:lang w:val="en-GB"/>
              </w:rPr>
              <w:t xml:space="preserve"> achieved better results. </w:t>
            </w:r>
            <w:r w:rsidR="00524962" w:rsidRPr="00524962">
              <w:rPr>
                <w:color w:val="000000" w:themeColor="text1"/>
                <w:spacing w:val="-4"/>
                <w:lang w:val="en-GB"/>
              </w:rPr>
              <w:t>Sixteen</w:t>
            </w:r>
            <w:r w:rsidR="00006026">
              <w:rPr>
                <w:color w:val="000000" w:themeColor="text1"/>
                <w:spacing w:val="-4"/>
                <w:lang w:val="en-GB"/>
              </w:rPr>
              <w:t xml:space="preserve"> member states overtook the pre-crisis level of sales </w:t>
            </w:r>
            <w:r w:rsidR="000E0ECB" w:rsidRPr="00006026">
              <w:rPr>
                <w:color w:val="000000" w:themeColor="text1"/>
                <w:spacing w:val="-4"/>
                <w:lang w:val="en-GB"/>
              </w:rPr>
              <w:t>(</w:t>
            </w:r>
            <w:r w:rsidR="00006026">
              <w:rPr>
                <w:color w:val="000000" w:themeColor="text1"/>
                <w:spacing w:val="-4"/>
                <w:lang w:val="en-GB"/>
              </w:rPr>
              <w:t xml:space="preserve">year </w:t>
            </w:r>
            <w:r w:rsidR="000E0ECB" w:rsidRPr="00006026">
              <w:rPr>
                <w:color w:val="000000" w:themeColor="text1"/>
                <w:spacing w:val="-4"/>
                <w:lang w:val="en-GB"/>
              </w:rPr>
              <w:t>2008)</w:t>
            </w:r>
            <w:r w:rsidR="00006026">
              <w:rPr>
                <w:color w:val="000000" w:themeColor="text1"/>
                <w:spacing w:val="-4"/>
                <w:lang w:val="en-GB"/>
              </w:rPr>
              <w:t xml:space="preserve">, Poland (by one fifth) the most significantly among the larger economies, the Great Britain and France (similarly by one tenth), also the </w:t>
            </w:r>
            <w:r w:rsidR="007F0012">
              <w:rPr>
                <w:color w:val="000000" w:themeColor="text1"/>
                <w:spacing w:val="-4"/>
                <w:lang w:val="en-GB"/>
              </w:rPr>
              <w:t xml:space="preserve">CR </w:t>
            </w:r>
            <w:r w:rsidR="00744D00" w:rsidRPr="00006026">
              <w:rPr>
                <w:color w:val="000000" w:themeColor="text1"/>
                <w:spacing w:val="-4"/>
                <w:lang w:val="en-GB"/>
              </w:rPr>
              <w:t>(6</w:t>
            </w:r>
            <w:r w:rsidR="00006026">
              <w:rPr>
                <w:color w:val="000000" w:themeColor="text1"/>
                <w:spacing w:val="-4"/>
                <w:lang w:val="en-GB"/>
              </w:rPr>
              <w:t>.</w:t>
            </w:r>
            <w:r w:rsidR="00CE442A" w:rsidRPr="00006026">
              <w:rPr>
                <w:color w:val="000000" w:themeColor="text1"/>
                <w:spacing w:val="-4"/>
                <w:lang w:val="en-GB"/>
              </w:rPr>
              <w:t>3</w:t>
            </w:r>
            <w:r w:rsidR="00524962">
              <w:rPr>
                <w:color w:val="000000" w:themeColor="text1"/>
                <w:spacing w:val="-4"/>
                <w:lang w:val="en-GB"/>
              </w:rPr>
              <w:t>%),</w:t>
            </w:r>
            <w:r w:rsidR="00006026">
              <w:rPr>
                <w:color w:val="000000" w:themeColor="text1"/>
                <w:spacing w:val="-4"/>
                <w:lang w:val="en-GB"/>
              </w:rPr>
              <w:t xml:space="preserve"> Germany </w:t>
            </w:r>
            <w:r w:rsidR="00CE442A" w:rsidRPr="00006026">
              <w:rPr>
                <w:color w:val="000000" w:themeColor="text1"/>
                <w:spacing w:val="-4"/>
                <w:lang w:val="en-GB"/>
              </w:rPr>
              <w:t>(4</w:t>
            </w:r>
            <w:r w:rsidR="00006026">
              <w:rPr>
                <w:color w:val="000000" w:themeColor="text1"/>
                <w:spacing w:val="-4"/>
                <w:lang w:val="en-GB"/>
              </w:rPr>
              <w:t>.</w:t>
            </w:r>
            <w:r w:rsidR="00BE5487">
              <w:rPr>
                <w:color w:val="000000" w:themeColor="text1"/>
                <w:spacing w:val="-4"/>
                <w:lang w:val="en-GB"/>
              </w:rPr>
              <w:t>1</w:t>
            </w:r>
            <w:r w:rsidR="00CE442A" w:rsidRPr="00006026">
              <w:rPr>
                <w:color w:val="000000" w:themeColor="text1"/>
                <w:spacing w:val="-4"/>
                <w:lang w:val="en-GB"/>
              </w:rPr>
              <w:t>%)</w:t>
            </w:r>
            <w:r w:rsidR="00524962">
              <w:rPr>
                <w:color w:val="000000" w:themeColor="text1"/>
                <w:spacing w:val="-4"/>
                <w:lang w:val="en-GB"/>
              </w:rPr>
              <w:t>,</w:t>
            </w:r>
            <w:r w:rsidR="00006026">
              <w:rPr>
                <w:color w:val="000000" w:themeColor="text1"/>
                <w:spacing w:val="-4"/>
                <w:lang w:val="en-GB"/>
              </w:rPr>
              <w:t xml:space="preserve"> Austria </w:t>
            </w:r>
            <w:r w:rsidR="00905A11" w:rsidRPr="00006026">
              <w:rPr>
                <w:color w:val="000000" w:themeColor="text1"/>
                <w:spacing w:val="-4"/>
                <w:lang w:val="en-GB"/>
              </w:rPr>
              <w:t>(</w:t>
            </w:r>
            <w:r w:rsidR="00CE442A" w:rsidRPr="00006026">
              <w:rPr>
                <w:color w:val="000000" w:themeColor="text1"/>
                <w:spacing w:val="-4"/>
                <w:lang w:val="en-GB"/>
              </w:rPr>
              <w:t>3</w:t>
            </w:r>
            <w:r w:rsidR="00006026">
              <w:rPr>
                <w:color w:val="000000" w:themeColor="text1"/>
                <w:spacing w:val="-4"/>
                <w:lang w:val="en-GB"/>
              </w:rPr>
              <w:t>.</w:t>
            </w:r>
            <w:r w:rsidR="00CE442A" w:rsidRPr="00006026">
              <w:rPr>
                <w:color w:val="000000" w:themeColor="text1"/>
                <w:spacing w:val="-4"/>
                <w:lang w:val="en-GB"/>
              </w:rPr>
              <w:t>7</w:t>
            </w:r>
            <w:r w:rsidR="00905A11" w:rsidRPr="00006026">
              <w:rPr>
                <w:color w:val="000000" w:themeColor="text1"/>
                <w:spacing w:val="-4"/>
                <w:lang w:val="en-GB"/>
              </w:rPr>
              <w:t>%).</w:t>
            </w:r>
          </w:p>
        </w:tc>
      </w:tr>
    </w:tbl>
    <w:p w:rsidR="00CE442A" w:rsidRPr="00D8439B" w:rsidRDefault="00CE442A" w:rsidP="00FE16E6">
      <w:pPr>
        <w:pStyle w:val="Textpoznpodarou"/>
        <w:jc w:val="both"/>
      </w:pPr>
    </w:p>
    <w:tbl>
      <w:tblPr>
        <w:tblW w:w="5059" w:type="pct"/>
        <w:tblLayout w:type="fixed"/>
        <w:tblCellMar>
          <w:left w:w="28" w:type="dxa"/>
          <w:right w:w="28" w:type="dxa"/>
        </w:tblCellMar>
        <w:tblLook w:val="04A0"/>
      </w:tblPr>
      <w:tblGrid>
        <w:gridCol w:w="736"/>
        <w:gridCol w:w="4180"/>
        <w:gridCol w:w="45"/>
        <w:gridCol w:w="596"/>
        <w:gridCol w:w="141"/>
        <w:gridCol w:w="4110"/>
      </w:tblGrid>
      <w:tr w:rsidR="00905A11" w:rsidTr="00CE095E">
        <w:tc>
          <w:tcPr>
            <w:tcW w:w="375" w:type="pct"/>
          </w:tcPr>
          <w:p w:rsidR="00905A11" w:rsidRDefault="001946B9" w:rsidP="001946B9">
            <w:pPr>
              <w:spacing w:line="240" w:lineRule="auto"/>
            </w:pPr>
            <w:r>
              <w:t xml:space="preserve">Chart </w:t>
            </w:r>
            <w:r w:rsidR="00905A11">
              <w:t>5</w:t>
            </w:r>
          </w:p>
        </w:tc>
        <w:tc>
          <w:tcPr>
            <w:tcW w:w="2131" w:type="pct"/>
          </w:tcPr>
          <w:p w:rsidR="00CE095E" w:rsidRDefault="00AE1732" w:rsidP="00AE1732">
            <w:pPr>
              <w:pStyle w:val="Textpoznpodarou"/>
              <w:rPr>
                <w:b/>
                <w:lang w:val="en-GB"/>
              </w:rPr>
            </w:pPr>
            <w:r w:rsidRPr="005E0476">
              <w:rPr>
                <w:b/>
                <w:lang w:val="en-GB"/>
              </w:rPr>
              <w:t xml:space="preserve">Production in industry and selected manufacturing </w:t>
            </w:r>
            <w:r>
              <w:rPr>
                <w:b/>
                <w:lang w:val="en-GB"/>
              </w:rPr>
              <w:t>branches</w:t>
            </w:r>
            <w:r w:rsidRPr="005E0476">
              <w:rPr>
                <w:b/>
                <w:lang w:val="en-GB"/>
              </w:rPr>
              <w:t xml:space="preserve"> </w:t>
            </w:r>
          </w:p>
          <w:p w:rsidR="00905A11" w:rsidRDefault="001D40C2" w:rsidP="00AE1732">
            <w:pPr>
              <w:pStyle w:val="Textpoznpodarou"/>
              <w:rPr>
                <w:b/>
              </w:rPr>
            </w:pPr>
            <w:r>
              <w:t>(</w:t>
            </w:r>
            <w:proofErr w:type="spellStart"/>
            <w:r>
              <w:t>constant</w:t>
            </w:r>
            <w:proofErr w:type="spellEnd"/>
            <w:r>
              <w:t xml:space="preserve"> </w:t>
            </w:r>
            <w:proofErr w:type="spellStart"/>
            <w:r>
              <w:t>prices</w:t>
            </w:r>
            <w:proofErr w:type="spellEnd"/>
            <w:r w:rsidR="00905A11" w:rsidRPr="001D04BA">
              <w:t xml:space="preserve">, y/y, </w:t>
            </w:r>
            <w:r w:rsidR="001946B9">
              <w:t>in</w:t>
            </w:r>
            <w:r w:rsidR="00905A11" w:rsidRPr="001D04BA">
              <w:t xml:space="preserve"> %)</w:t>
            </w:r>
          </w:p>
        </w:tc>
        <w:tc>
          <w:tcPr>
            <w:tcW w:w="327" w:type="pct"/>
            <w:gridSpan w:val="2"/>
          </w:tcPr>
          <w:p w:rsidR="00905A11" w:rsidRDefault="001946B9" w:rsidP="001946B9">
            <w:pPr>
              <w:spacing w:line="240" w:lineRule="auto"/>
            </w:pPr>
            <w:r>
              <w:t xml:space="preserve">Chart </w:t>
            </w:r>
            <w:r w:rsidR="00905A11">
              <w:t>6</w:t>
            </w:r>
          </w:p>
        </w:tc>
        <w:tc>
          <w:tcPr>
            <w:tcW w:w="2167" w:type="pct"/>
            <w:gridSpan w:val="2"/>
          </w:tcPr>
          <w:p w:rsidR="00905A11" w:rsidRPr="00CE095E" w:rsidRDefault="00AE1732" w:rsidP="002A2420">
            <w:pPr>
              <w:spacing w:line="240" w:lineRule="auto"/>
              <w:rPr>
                <w:b/>
                <w:spacing w:val="-4"/>
              </w:rPr>
            </w:pPr>
            <w:r w:rsidRPr="00CE095E">
              <w:rPr>
                <w:b/>
                <w:spacing w:val="-4"/>
                <w:lang w:val="en-GB"/>
              </w:rPr>
              <w:t xml:space="preserve">New orders in manufacture of motor vehicles, industry in total </w:t>
            </w:r>
            <w:r w:rsidR="00905A11" w:rsidRPr="00CE095E">
              <w:rPr>
                <w:bCs/>
                <w:spacing w:val="-4"/>
              </w:rPr>
              <w:t>(</w:t>
            </w:r>
            <w:r w:rsidR="002A2420" w:rsidRPr="00CE095E">
              <w:rPr>
                <w:bCs/>
                <w:spacing w:val="-4"/>
              </w:rPr>
              <w:t>cur</w:t>
            </w:r>
            <w:r w:rsidR="00905A11" w:rsidRPr="00CE095E">
              <w:rPr>
                <w:bCs/>
                <w:spacing w:val="-4"/>
              </w:rPr>
              <w:t>.</w:t>
            </w:r>
            <w:r w:rsidR="002A2420" w:rsidRPr="00CE095E">
              <w:rPr>
                <w:bCs/>
                <w:spacing w:val="-4"/>
              </w:rPr>
              <w:t>p</w:t>
            </w:r>
            <w:r w:rsidR="00905A11" w:rsidRPr="00CE095E">
              <w:rPr>
                <w:bCs/>
                <w:spacing w:val="-4"/>
              </w:rPr>
              <w:t xml:space="preserve">., y/y, </w:t>
            </w:r>
            <w:r w:rsidR="002A2420" w:rsidRPr="00CE095E">
              <w:rPr>
                <w:bCs/>
                <w:spacing w:val="-4"/>
              </w:rPr>
              <w:t>in</w:t>
            </w:r>
            <w:r w:rsidR="00905A11" w:rsidRPr="00CE095E">
              <w:rPr>
                <w:bCs/>
                <w:spacing w:val="-4"/>
              </w:rPr>
              <w:t xml:space="preserve"> %) </w:t>
            </w:r>
            <w:r w:rsidR="00905A11" w:rsidRPr="00CE095E">
              <w:rPr>
                <w:spacing w:val="-4"/>
              </w:rPr>
              <w:t>a</w:t>
            </w:r>
            <w:r w:rsidRPr="00CE095E">
              <w:rPr>
                <w:spacing w:val="-4"/>
              </w:rPr>
              <w:t>nd</w:t>
            </w:r>
            <w:r w:rsidR="00905A11" w:rsidRPr="00CE095E">
              <w:rPr>
                <w:b/>
                <w:spacing w:val="-4"/>
              </w:rPr>
              <w:t xml:space="preserve"> </w:t>
            </w:r>
            <w:r w:rsidRPr="00CE095E">
              <w:rPr>
                <w:b/>
                <w:spacing w:val="-4"/>
                <w:lang w:val="en-GB"/>
              </w:rPr>
              <w:t>balance of confidence indicator in industry</w:t>
            </w:r>
            <w:r w:rsidRPr="00CE095E">
              <w:rPr>
                <w:spacing w:val="-4"/>
              </w:rPr>
              <w:t xml:space="preserve"> </w:t>
            </w:r>
            <w:r w:rsidR="00905A11" w:rsidRPr="00CE095E">
              <w:rPr>
                <w:spacing w:val="-4"/>
              </w:rPr>
              <w:t>(</w:t>
            </w:r>
            <w:r w:rsidR="001946B9" w:rsidRPr="00CE095E">
              <w:rPr>
                <w:spacing w:val="-4"/>
              </w:rPr>
              <w:t>right axis</w:t>
            </w:r>
            <w:r w:rsidR="00905A11" w:rsidRPr="00CE095E">
              <w:rPr>
                <w:spacing w:val="-4"/>
              </w:rPr>
              <w:t>)</w:t>
            </w:r>
          </w:p>
        </w:tc>
      </w:tr>
      <w:tr w:rsidR="00905A11" w:rsidTr="00611531">
        <w:tc>
          <w:tcPr>
            <w:tcW w:w="2506" w:type="pct"/>
            <w:gridSpan w:val="2"/>
          </w:tcPr>
          <w:p w:rsidR="00905A11" w:rsidRDefault="00F3565E" w:rsidP="00611531">
            <w:pPr>
              <w:pStyle w:val="Textpoznpodarou"/>
              <w:jc w:val="both"/>
            </w:pPr>
            <w:r>
              <w:rPr>
                <w:noProof/>
              </w:rPr>
              <w:drawing>
                <wp:inline distT="0" distB="0" distL="0" distR="0">
                  <wp:extent cx="3045729" cy="2433100"/>
                  <wp:effectExtent l="19050" t="0" r="2271" b="0"/>
                  <wp:docPr id="44"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045460" cy="2432885"/>
                          </a:xfrm>
                          <a:prstGeom prst="rect">
                            <a:avLst/>
                          </a:prstGeom>
                          <a:noFill/>
                          <a:ln w="9525">
                            <a:noFill/>
                            <a:miter lim="800000"/>
                            <a:headEnd/>
                            <a:tailEnd/>
                          </a:ln>
                        </pic:spPr>
                      </pic:pic>
                    </a:graphicData>
                  </a:graphic>
                </wp:inline>
              </w:drawing>
            </w:r>
          </w:p>
        </w:tc>
        <w:tc>
          <w:tcPr>
            <w:tcW w:w="2494" w:type="pct"/>
            <w:gridSpan w:val="4"/>
          </w:tcPr>
          <w:p w:rsidR="00905A11" w:rsidRDefault="00D60F4D" w:rsidP="00611531">
            <w:pPr>
              <w:pStyle w:val="Textpoznpodarou"/>
              <w:jc w:val="both"/>
            </w:pPr>
            <w:r>
              <w:rPr>
                <w:noProof/>
              </w:rPr>
              <w:drawing>
                <wp:inline distT="0" distB="0" distL="0" distR="0">
                  <wp:extent cx="3064786" cy="2433100"/>
                  <wp:effectExtent l="19050" t="0" r="2264" b="0"/>
                  <wp:docPr id="3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3068955" cy="2436410"/>
                          </a:xfrm>
                          <a:prstGeom prst="rect">
                            <a:avLst/>
                          </a:prstGeom>
                          <a:noFill/>
                          <a:ln w="9525">
                            <a:noFill/>
                            <a:miter lim="800000"/>
                            <a:headEnd/>
                            <a:tailEnd/>
                          </a:ln>
                        </pic:spPr>
                      </pic:pic>
                    </a:graphicData>
                  </a:graphic>
                </wp:inline>
              </w:drawing>
            </w:r>
          </w:p>
        </w:tc>
      </w:tr>
      <w:tr w:rsidR="00905A11" w:rsidTr="00611531">
        <w:trPr>
          <w:trHeight w:val="58"/>
        </w:trPr>
        <w:tc>
          <w:tcPr>
            <w:tcW w:w="2529" w:type="pct"/>
            <w:gridSpan w:val="3"/>
          </w:tcPr>
          <w:p w:rsidR="00905A11" w:rsidRDefault="00905A11" w:rsidP="00611531">
            <w:pPr>
              <w:pStyle w:val="Zhlav"/>
              <w:jc w:val="right"/>
              <w:rPr>
                <w:rFonts w:ascii="Arial" w:eastAsia="Times New Roman" w:hAnsi="Arial" w:cs="Arial"/>
                <w:sz w:val="18"/>
                <w:szCs w:val="18"/>
              </w:rPr>
            </w:pPr>
          </w:p>
        </w:tc>
        <w:tc>
          <w:tcPr>
            <w:tcW w:w="2471" w:type="pct"/>
            <w:gridSpan w:val="3"/>
          </w:tcPr>
          <w:p w:rsidR="00905A11" w:rsidRDefault="001946B9" w:rsidP="001946B9">
            <w:pPr>
              <w:pStyle w:val="Zhlav"/>
              <w:spacing w:line="240" w:lineRule="auto"/>
              <w:jc w:val="right"/>
              <w:rPr>
                <w:rFonts w:ascii="Arial" w:eastAsia="Times New Roman" w:hAnsi="Arial" w:cs="Arial"/>
                <w:sz w:val="18"/>
                <w:szCs w:val="18"/>
              </w:rPr>
            </w:pPr>
            <w:r>
              <w:rPr>
                <w:rFonts w:ascii="Arial" w:hAnsi="Arial" w:cs="Arial"/>
                <w:sz w:val="18"/>
                <w:szCs w:val="18"/>
                <w:lang w:eastAsia="cs-CZ"/>
              </w:rPr>
              <w:t>Source</w:t>
            </w:r>
            <w:r w:rsidR="00905A11" w:rsidRPr="000F401E">
              <w:rPr>
                <w:rFonts w:ascii="Arial" w:hAnsi="Arial" w:cs="Arial"/>
                <w:sz w:val="18"/>
                <w:szCs w:val="18"/>
                <w:lang w:eastAsia="cs-CZ"/>
              </w:rPr>
              <w:t xml:space="preserve">: </w:t>
            </w:r>
            <w:r>
              <w:rPr>
                <w:rFonts w:ascii="Arial" w:hAnsi="Arial" w:cs="Arial"/>
                <w:sz w:val="18"/>
                <w:szCs w:val="18"/>
                <w:lang w:eastAsia="cs-CZ"/>
              </w:rPr>
              <w:t>CZSO</w:t>
            </w:r>
          </w:p>
        </w:tc>
      </w:tr>
      <w:tr w:rsidR="00905A11" w:rsidTr="00611531">
        <w:tc>
          <w:tcPr>
            <w:tcW w:w="375" w:type="pct"/>
          </w:tcPr>
          <w:p w:rsidR="00905A11" w:rsidRDefault="001946B9" w:rsidP="001946B9">
            <w:pPr>
              <w:spacing w:line="240" w:lineRule="auto"/>
            </w:pPr>
            <w:r>
              <w:lastRenderedPageBreak/>
              <w:t xml:space="preserve">Chart </w:t>
            </w:r>
            <w:r w:rsidR="00905A11">
              <w:t>7</w:t>
            </w:r>
          </w:p>
        </w:tc>
        <w:tc>
          <w:tcPr>
            <w:tcW w:w="2131" w:type="pct"/>
          </w:tcPr>
          <w:p w:rsidR="00905A11" w:rsidRDefault="00AF28D4" w:rsidP="00AF28D4">
            <w:pPr>
              <w:spacing w:line="240" w:lineRule="auto"/>
              <w:rPr>
                <w:b/>
              </w:rPr>
            </w:pPr>
            <w:r w:rsidRPr="005E0476">
              <w:rPr>
                <w:b/>
                <w:lang w:val="en-GB"/>
              </w:rPr>
              <w:t>Construction production, value of new orders</w:t>
            </w:r>
            <w:r>
              <w:rPr>
                <w:bCs/>
              </w:rPr>
              <w:t xml:space="preserve"> </w:t>
            </w:r>
            <w:r w:rsidR="00905A11">
              <w:rPr>
                <w:bCs/>
              </w:rPr>
              <w:t xml:space="preserve">(y/y, </w:t>
            </w:r>
            <w:r>
              <w:rPr>
                <w:bCs/>
              </w:rPr>
              <w:t>in</w:t>
            </w:r>
            <w:r w:rsidR="00905A11">
              <w:rPr>
                <w:bCs/>
              </w:rPr>
              <w:t xml:space="preserve"> %) </w:t>
            </w:r>
            <w:r w:rsidR="00905A11" w:rsidRPr="004B22DA">
              <w:t>a</w:t>
            </w:r>
            <w:r>
              <w:t>nd</w:t>
            </w:r>
            <w:r w:rsidR="00905A11">
              <w:rPr>
                <w:b/>
              </w:rPr>
              <w:t xml:space="preserve"> </w:t>
            </w:r>
            <w:r w:rsidRPr="005E0476">
              <w:rPr>
                <w:b/>
                <w:lang w:val="en-GB"/>
              </w:rPr>
              <w:t>balance of confidence indicator in construction</w:t>
            </w:r>
            <w:r w:rsidR="00905A11">
              <w:rPr>
                <w:b/>
              </w:rPr>
              <w:t xml:space="preserve"> </w:t>
            </w:r>
            <w:r w:rsidR="00905A11" w:rsidRPr="00C1711F">
              <w:t>(</w:t>
            </w:r>
            <w:r w:rsidR="001946B9" w:rsidRPr="001946B9">
              <w:rPr>
                <w:lang w:val="en-GB"/>
              </w:rPr>
              <w:t>right axis</w:t>
            </w:r>
            <w:r w:rsidR="00905A11" w:rsidRPr="001946B9">
              <w:rPr>
                <w:lang w:val="en-GB"/>
              </w:rPr>
              <w:t>)</w:t>
            </w:r>
          </w:p>
        </w:tc>
        <w:tc>
          <w:tcPr>
            <w:tcW w:w="399" w:type="pct"/>
            <w:gridSpan w:val="3"/>
          </w:tcPr>
          <w:p w:rsidR="00905A11" w:rsidRDefault="001946B9" w:rsidP="001946B9">
            <w:pPr>
              <w:spacing w:line="240" w:lineRule="auto"/>
            </w:pPr>
            <w:r>
              <w:t xml:space="preserve">Chart </w:t>
            </w:r>
            <w:r w:rsidR="00905A11">
              <w:t>8</w:t>
            </w:r>
          </w:p>
        </w:tc>
        <w:tc>
          <w:tcPr>
            <w:tcW w:w="2095" w:type="pct"/>
          </w:tcPr>
          <w:p w:rsidR="00905A11" w:rsidRDefault="00285986" w:rsidP="001946B9">
            <w:pPr>
              <w:spacing w:line="240" w:lineRule="auto"/>
              <w:rPr>
                <w:b/>
              </w:rPr>
            </w:pPr>
            <w:r w:rsidRPr="005E0476">
              <w:rPr>
                <w:b/>
                <w:lang w:val="en-GB"/>
              </w:rPr>
              <w:t xml:space="preserve">Retail sales incl. motorist segment </w:t>
            </w:r>
            <w:r w:rsidR="00905A11">
              <w:rPr>
                <w:bCs/>
              </w:rPr>
              <w:t>(</w:t>
            </w:r>
            <w:proofErr w:type="spellStart"/>
            <w:r w:rsidR="001D40C2">
              <w:t>constant</w:t>
            </w:r>
            <w:proofErr w:type="spellEnd"/>
            <w:r w:rsidR="001D40C2">
              <w:t xml:space="preserve"> </w:t>
            </w:r>
            <w:proofErr w:type="spellStart"/>
            <w:r w:rsidR="001D40C2">
              <w:t>prices</w:t>
            </w:r>
            <w:proofErr w:type="spellEnd"/>
            <w:r w:rsidRPr="005E0476">
              <w:rPr>
                <w:bCs/>
                <w:lang w:val="en-GB"/>
              </w:rPr>
              <w:t>, y/y in %</w:t>
            </w:r>
            <w:r w:rsidR="00905A11">
              <w:rPr>
                <w:bCs/>
              </w:rPr>
              <w:t xml:space="preserve">) </w:t>
            </w:r>
            <w:r w:rsidRPr="005E0476">
              <w:rPr>
                <w:bCs/>
                <w:lang w:val="en-GB"/>
              </w:rPr>
              <w:t xml:space="preserve">%), </w:t>
            </w:r>
            <w:r w:rsidRPr="005E0476">
              <w:rPr>
                <w:b/>
                <w:lang w:val="en-GB"/>
              </w:rPr>
              <w:t>balance of consumer confidence indicator</w:t>
            </w:r>
            <w:r w:rsidR="00905A11">
              <w:rPr>
                <w:b/>
              </w:rPr>
              <w:t xml:space="preserve"> </w:t>
            </w:r>
            <w:r w:rsidR="00905A11" w:rsidRPr="00264AF7">
              <w:t>(</w:t>
            </w:r>
            <w:r w:rsidR="001946B9" w:rsidRPr="00264AF7">
              <w:t>right axis</w:t>
            </w:r>
            <w:r w:rsidR="00905A11" w:rsidRPr="00264AF7">
              <w:t>)</w:t>
            </w:r>
          </w:p>
        </w:tc>
      </w:tr>
      <w:tr w:rsidR="00905A11" w:rsidTr="00611531">
        <w:tc>
          <w:tcPr>
            <w:tcW w:w="2506" w:type="pct"/>
            <w:gridSpan w:val="2"/>
          </w:tcPr>
          <w:p w:rsidR="00905A11" w:rsidRDefault="00F3565E" w:rsidP="00611531">
            <w:pPr>
              <w:pStyle w:val="Textpoznpodarou"/>
              <w:jc w:val="both"/>
            </w:pPr>
            <w:r>
              <w:rPr>
                <w:noProof/>
              </w:rPr>
              <w:drawing>
                <wp:inline distT="0" distB="0" distL="0" distR="0">
                  <wp:extent cx="3048248" cy="2399275"/>
                  <wp:effectExtent l="19050" t="0" r="0" b="0"/>
                  <wp:docPr id="40"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3059261" cy="2407943"/>
                          </a:xfrm>
                          <a:prstGeom prst="rect">
                            <a:avLst/>
                          </a:prstGeom>
                          <a:noFill/>
                          <a:ln w="9525">
                            <a:noFill/>
                            <a:miter lim="800000"/>
                            <a:headEnd/>
                            <a:tailEnd/>
                          </a:ln>
                        </pic:spPr>
                      </pic:pic>
                    </a:graphicData>
                  </a:graphic>
                </wp:inline>
              </w:drawing>
            </w:r>
          </w:p>
        </w:tc>
        <w:tc>
          <w:tcPr>
            <w:tcW w:w="2494" w:type="pct"/>
            <w:gridSpan w:val="4"/>
          </w:tcPr>
          <w:p w:rsidR="00905A11" w:rsidRDefault="00F3565E" w:rsidP="00611531">
            <w:pPr>
              <w:pStyle w:val="Textpoznpodarou"/>
              <w:jc w:val="both"/>
            </w:pPr>
            <w:r>
              <w:rPr>
                <w:noProof/>
              </w:rPr>
              <w:drawing>
                <wp:inline distT="0" distB="0" distL="0" distR="0">
                  <wp:extent cx="3064151" cy="2401294"/>
                  <wp:effectExtent l="19050" t="0" r="2899" b="0"/>
                  <wp:docPr id="4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3067134" cy="2403632"/>
                          </a:xfrm>
                          <a:prstGeom prst="rect">
                            <a:avLst/>
                          </a:prstGeom>
                          <a:noFill/>
                          <a:ln w="9525">
                            <a:noFill/>
                            <a:miter lim="800000"/>
                            <a:headEnd/>
                            <a:tailEnd/>
                          </a:ln>
                        </pic:spPr>
                      </pic:pic>
                    </a:graphicData>
                  </a:graphic>
                </wp:inline>
              </w:drawing>
            </w:r>
          </w:p>
        </w:tc>
      </w:tr>
      <w:tr w:rsidR="00905A11" w:rsidTr="00611531">
        <w:trPr>
          <w:trHeight w:val="58"/>
        </w:trPr>
        <w:tc>
          <w:tcPr>
            <w:tcW w:w="2529" w:type="pct"/>
            <w:gridSpan w:val="3"/>
          </w:tcPr>
          <w:p w:rsidR="00905A11" w:rsidRDefault="00905A11" w:rsidP="00611531">
            <w:pPr>
              <w:pStyle w:val="Zhlav"/>
              <w:jc w:val="right"/>
              <w:rPr>
                <w:rFonts w:ascii="Arial" w:eastAsia="Times New Roman" w:hAnsi="Arial" w:cs="Arial"/>
                <w:sz w:val="18"/>
                <w:szCs w:val="18"/>
              </w:rPr>
            </w:pPr>
          </w:p>
        </w:tc>
        <w:tc>
          <w:tcPr>
            <w:tcW w:w="2471" w:type="pct"/>
            <w:gridSpan w:val="3"/>
          </w:tcPr>
          <w:p w:rsidR="00905A11" w:rsidRDefault="001946B9" w:rsidP="001946B9">
            <w:pPr>
              <w:pStyle w:val="Zhlav"/>
              <w:spacing w:line="240" w:lineRule="auto"/>
              <w:jc w:val="right"/>
              <w:rPr>
                <w:rFonts w:ascii="Arial" w:hAnsi="Arial" w:cs="Arial"/>
                <w:sz w:val="18"/>
                <w:szCs w:val="18"/>
                <w:lang w:eastAsia="cs-CZ"/>
              </w:rPr>
            </w:pPr>
            <w:r>
              <w:rPr>
                <w:rFonts w:ascii="Arial" w:hAnsi="Arial" w:cs="Arial"/>
                <w:sz w:val="18"/>
                <w:szCs w:val="18"/>
                <w:lang w:eastAsia="cs-CZ"/>
              </w:rPr>
              <w:t>Source</w:t>
            </w:r>
            <w:r w:rsidR="00905A11" w:rsidRPr="000F401E">
              <w:rPr>
                <w:rFonts w:ascii="Arial" w:hAnsi="Arial" w:cs="Arial"/>
                <w:sz w:val="18"/>
                <w:szCs w:val="18"/>
                <w:lang w:eastAsia="cs-CZ"/>
              </w:rPr>
              <w:t xml:space="preserve">: </w:t>
            </w:r>
            <w:r>
              <w:rPr>
                <w:rFonts w:ascii="Arial" w:hAnsi="Arial" w:cs="Arial"/>
                <w:sz w:val="18"/>
                <w:szCs w:val="18"/>
                <w:lang w:eastAsia="cs-CZ"/>
              </w:rPr>
              <w:t>CZSO</w:t>
            </w:r>
          </w:p>
          <w:p w:rsidR="00AE1732" w:rsidRDefault="00AE1732" w:rsidP="00AE1732">
            <w:pPr>
              <w:pStyle w:val="Zhlav"/>
              <w:spacing w:line="240" w:lineRule="auto"/>
              <w:rPr>
                <w:rFonts w:ascii="Arial" w:eastAsia="Times New Roman" w:hAnsi="Arial" w:cs="Arial"/>
                <w:sz w:val="18"/>
                <w:szCs w:val="18"/>
              </w:rPr>
            </w:pPr>
          </w:p>
        </w:tc>
      </w:tr>
    </w:tbl>
    <w:p w:rsidR="00A76FEF" w:rsidRDefault="00A76FEF">
      <w:pPr>
        <w:spacing w:line="240" w:lineRule="auto"/>
        <w:rPr>
          <w:sz w:val="16"/>
          <w:szCs w:val="16"/>
          <w:lang w:val="en-GB"/>
        </w:rPr>
      </w:pPr>
      <w:bookmarkStart w:id="1" w:name="_Toc446341883"/>
      <w:bookmarkEnd w:id="1"/>
    </w:p>
    <w:sectPr w:rsidR="00A76FEF" w:rsidSect="000010C0">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C5C" w:rsidRDefault="00C96C5C" w:rsidP="00E71A58">
      <w:r>
        <w:separator/>
      </w:r>
    </w:p>
  </w:endnote>
  <w:endnote w:type="continuationSeparator" w:id="0">
    <w:p w:rsidR="00C96C5C" w:rsidRDefault="00C96C5C"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5C3E12" w:rsidRPr="005A21E0">
      <w:rPr>
        <w:rFonts w:ascii="Arial" w:hAnsi="Arial" w:cs="Arial"/>
        <w:sz w:val="16"/>
        <w:szCs w:val="16"/>
      </w:rPr>
      <w:fldChar w:fldCharType="begin"/>
    </w:r>
    <w:r w:rsidRPr="005A21E0">
      <w:rPr>
        <w:rFonts w:ascii="Arial" w:hAnsi="Arial" w:cs="Arial"/>
        <w:sz w:val="16"/>
        <w:szCs w:val="16"/>
      </w:rPr>
      <w:instrText>PAGE   \* MERGEFORMAT</w:instrText>
    </w:r>
    <w:r w:rsidR="005C3E12" w:rsidRPr="005A21E0">
      <w:rPr>
        <w:rFonts w:ascii="Arial" w:hAnsi="Arial" w:cs="Arial"/>
        <w:sz w:val="16"/>
        <w:szCs w:val="16"/>
      </w:rPr>
      <w:fldChar w:fldCharType="separate"/>
    </w:r>
    <w:r w:rsidR="000010C0">
      <w:rPr>
        <w:rFonts w:ascii="Arial" w:hAnsi="Arial" w:cs="Arial"/>
        <w:noProof/>
        <w:sz w:val="16"/>
        <w:szCs w:val="16"/>
      </w:rPr>
      <w:t>8</w:t>
    </w:r>
    <w:r w:rsidR="005C3E12"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5C3E1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C3E12" w:rsidRPr="00223E00">
      <w:rPr>
        <w:rFonts w:ascii="Arial" w:hAnsi="Arial" w:cs="Arial"/>
        <w:sz w:val="16"/>
        <w:szCs w:val="16"/>
      </w:rPr>
      <w:fldChar w:fldCharType="separate"/>
    </w:r>
    <w:r w:rsidR="000010C0">
      <w:rPr>
        <w:rFonts w:ascii="Arial" w:hAnsi="Arial" w:cs="Arial"/>
        <w:noProof/>
        <w:sz w:val="16"/>
        <w:szCs w:val="16"/>
      </w:rPr>
      <w:t>9</w:t>
    </w:r>
    <w:r w:rsidR="005C3E12"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C5C" w:rsidRDefault="00C96C5C" w:rsidP="00E71A58">
      <w:r>
        <w:separator/>
      </w:r>
    </w:p>
  </w:footnote>
  <w:footnote w:type="continuationSeparator" w:id="0">
    <w:p w:rsidR="00C96C5C" w:rsidRDefault="00C96C5C" w:rsidP="00E71A58">
      <w:r>
        <w:continuationSeparator/>
      </w:r>
    </w:p>
  </w:footnote>
  <w:footnote w:id="1">
    <w:p w:rsidR="00B21913" w:rsidRPr="00E63F4B" w:rsidRDefault="00B21913" w:rsidP="00905A11">
      <w:pPr>
        <w:pStyle w:val="Textpoznpodarou"/>
        <w:rPr>
          <w:sz w:val="16"/>
          <w:szCs w:val="16"/>
          <w:lang w:val="en-GB"/>
        </w:rPr>
      </w:pPr>
      <w:r w:rsidRPr="00092C9A">
        <w:rPr>
          <w:rStyle w:val="Znakapoznpodarou"/>
          <w:sz w:val="16"/>
          <w:szCs w:val="16"/>
        </w:rPr>
        <w:footnoteRef/>
      </w:r>
      <w:r w:rsidRPr="00092C9A">
        <w:rPr>
          <w:sz w:val="16"/>
          <w:szCs w:val="16"/>
        </w:rPr>
        <w:t xml:space="preserve"> </w:t>
      </w:r>
      <w:r w:rsidRPr="00E63F4B">
        <w:rPr>
          <w:sz w:val="16"/>
          <w:szCs w:val="16"/>
          <w:lang w:val="en-GB"/>
        </w:rPr>
        <w:t xml:space="preserve">Unless stated otherwise, data are in real terms and seasonally adjusted. </w:t>
      </w:r>
    </w:p>
  </w:footnote>
  <w:footnote w:id="2">
    <w:p w:rsidR="00B21913" w:rsidRPr="00E63F4B" w:rsidRDefault="00B21913" w:rsidP="00905A11">
      <w:pPr>
        <w:pStyle w:val="Textpoznpodarou"/>
        <w:rPr>
          <w:sz w:val="16"/>
          <w:szCs w:val="16"/>
          <w:lang w:val="en-GB"/>
        </w:rPr>
      </w:pPr>
      <w:r w:rsidRPr="00E63F4B">
        <w:rPr>
          <w:rStyle w:val="Znakapoznpodarou"/>
          <w:sz w:val="16"/>
          <w:szCs w:val="16"/>
          <w:lang w:val="en-GB"/>
        </w:rPr>
        <w:footnoteRef/>
      </w:r>
      <w:r w:rsidRPr="00E63F4B">
        <w:rPr>
          <w:sz w:val="16"/>
          <w:szCs w:val="16"/>
          <w:lang w:val="en-GB"/>
        </w:rPr>
        <w:t xml:space="preserve"> Consisting of </w:t>
      </w:r>
      <w:r>
        <w:rPr>
          <w:sz w:val="16"/>
          <w:szCs w:val="16"/>
          <w:lang w:val="en-GB"/>
        </w:rPr>
        <w:t>constituent</w:t>
      </w:r>
      <w:r w:rsidRPr="00E63F4B">
        <w:rPr>
          <w:sz w:val="16"/>
          <w:szCs w:val="16"/>
          <w:lang w:val="en-GB"/>
        </w:rPr>
        <w:t xml:space="preserve"> branches: Public administration, education, health and social care.</w:t>
      </w:r>
    </w:p>
  </w:footnote>
  <w:footnote w:id="3">
    <w:p w:rsidR="00B21913" w:rsidRPr="00E63F4B" w:rsidRDefault="00B21913" w:rsidP="00905A11">
      <w:pPr>
        <w:pStyle w:val="Textpoznpodarou"/>
        <w:rPr>
          <w:sz w:val="16"/>
          <w:szCs w:val="16"/>
          <w:lang w:val="en-GB"/>
        </w:rPr>
      </w:pPr>
      <w:r w:rsidRPr="00E63F4B">
        <w:rPr>
          <w:rStyle w:val="Znakapoznpodarou"/>
          <w:sz w:val="16"/>
          <w:szCs w:val="16"/>
          <w:lang w:val="en-GB"/>
        </w:rPr>
        <w:footnoteRef/>
      </w:r>
      <w:r w:rsidRPr="00E63F4B">
        <w:rPr>
          <w:sz w:val="16"/>
          <w:szCs w:val="16"/>
          <w:lang w:val="en-GB"/>
        </w:rPr>
        <w:t xml:space="preserve"> Including branches according to CZ-NACE: B (Mining and quarrying), C (Manufacturing), D (Energetics).</w:t>
      </w:r>
    </w:p>
  </w:footnote>
  <w:footnote w:id="4">
    <w:p w:rsidR="00B21913" w:rsidRPr="007F0012" w:rsidRDefault="00B21913" w:rsidP="00905A11">
      <w:pPr>
        <w:pStyle w:val="Textpoznpodarou"/>
        <w:rPr>
          <w:sz w:val="16"/>
          <w:szCs w:val="16"/>
          <w:lang w:val="en-GB"/>
        </w:rPr>
      </w:pPr>
      <w:r w:rsidRPr="00092C9A">
        <w:rPr>
          <w:rStyle w:val="Znakapoznpodarou"/>
          <w:sz w:val="16"/>
          <w:szCs w:val="16"/>
        </w:rPr>
        <w:footnoteRef/>
      </w:r>
      <w:r w:rsidRPr="00092C9A">
        <w:rPr>
          <w:sz w:val="16"/>
          <w:szCs w:val="16"/>
        </w:rPr>
        <w:t xml:space="preserve"> </w:t>
      </w:r>
      <w:r w:rsidRPr="007F0012">
        <w:rPr>
          <w:sz w:val="16"/>
          <w:szCs w:val="16"/>
          <w:lang w:val="en-GB"/>
        </w:rPr>
        <w:t xml:space="preserve">Do not include the branches trade, financial and </w:t>
      </w:r>
      <w:r w:rsidR="00487B4F">
        <w:rPr>
          <w:sz w:val="16"/>
          <w:szCs w:val="16"/>
          <w:lang w:val="en-GB"/>
        </w:rPr>
        <w:t>insurance activities,</w:t>
      </w:r>
      <w:r w:rsidRPr="007F0012">
        <w:rPr>
          <w:sz w:val="16"/>
          <w:szCs w:val="16"/>
          <w:lang w:val="en-GB"/>
        </w:rPr>
        <w:t xml:space="preserve"> research and development and also </w:t>
      </w:r>
      <w:r w:rsidR="00487B4F">
        <w:rPr>
          <w:sz w:val="16"/>
          <w:szCs w:val="16"/>
          <w:lang w:val="en-GB"/>
        </w:rPr>
        <w:t>all</w:t>
      </w:r>
      <w:r w:rsidRPr="007F0012">
        <w:rPr>
          <w:sz w:val="16"/>
          <w:szCs w:val="16"/>
          <w:lang w:val="en-GB"/>
        </w:rPr>
        <w:t xml:space="preserve"> public services.    </w:t>
      </w:r>
    </w:p>
  </w:footnote>
  <w:footnote w:id="5">
    <w:p w:rsidR="00B21913" w:rsidRPr="007F0012" w:rsidRDefault="00B21913" w:rsidP="002A2420">
      <w:pPr>
        <w:pStyle w:val="Textpoznpodarou"/>
        <w:rPr>
          <w:sz w:val="16"/>
          <w:szCs w:val="16"/>
          <w:lang w:val="en-GB"/>
        </w:rPr>
      </w:pPr>
      <w:r w:rsidRPr="007F0012">
        <w:rPr>
          <w:rStyle w:val="Znakapoznpodarou"/>
          <w:sz w:val="16"/>
          <w:szCs w:val="16"/>
          <w:lang w:val="en-GB"/>
        </w:rPr>
        <w:footnoteRef/>
      </w:r>
      <w:r w:rsidRPr="007F0012">
        <w:rPr>
          <w:sz w:val="16"/>
          <w:szCs w:val="16"/>
          <w:lang w:val="en-GB"/>
        </w:rPr>
        <w:t xml:space="preserve"> Retail excluding </w:t>
      </w:r>
      <w:r w:rsidR="00EE4DA7" w:rsidRPr="00EE4DA7">
        <w:rPr>
          <w:sz w:val="16"/>
          <w:szCs w:val="16"/>
          <w:lang w:val="en-GB"/>
        </w:rPr>
        <w:t>Sale, maintenance &amp; repair of motor vehicles (CZ-NACE 45)</w:t>
      </w:r>
      <w:r w:rsidRPr="007F0012">
        <w:rPr>
          <w:sz w:val="16"/>
          <w:szCs w:val="16"/>
          <w:lang w:val="en-GB"/>
        </w:rPr>
        <w:t>, data adjusted for calendar effects.</w:t>
      </w:r>
    </w:p>
  </w:footnote>
  <w:footnote w:id="6">
    <w:p w:rsidR="00B21913" w:rsidRPr="007F0012" w:rsidRDefault="00B21913">
      <w:pPr>
        <w:pStyle w:val="Textpoznpodarou"/>
        <w:rPr>
          <w:sz w:val="16"/>
          <w:szCs w:val="16"/>
          <w:lang w:val="en-GB"/>
        </w:rPr>
      </w:pPr>
      <w:r w:rsidRPr="007F0012">
        <w:rPr>
          <w:rStyle w:val="Znakapoznpodarou"/>
          <w:sz w:val="16"/>
          <w:szCs w:val="16"/>
          <w:lang w:val="en-GB"/>
        </w:rPr>
        <w:footnoteRef/>
      </w:r>
      <w:r w:rsidRPr="007F0012">
        <w:rPr>
          <w:sz w:val="16"/>
          <w:szCs w:val="16"/>
          <w:lang w:val="en-GB"/>
        </w:rPr>
        <w:t xml:space="preserve"> </w:t>
      </w:r>
      <w:r w:rsidR="00EE4DA7" w:rsidRPr="007F0012">
        <w:rPr>
          <w:sz w:val="16"/>
          <w:szCs w:val="16"/>
          <w:lang w:val="en-GB"/>
        </w:rPr>
        <w:t xml:space="preserve">Retail excluding </w:t>
      </w:r>
      <w:r w:rsidR="00EE4DA7" w:rsidRPr="00EE4DA7">
        <w:rPr>
          <w:sz w:val="16"/>
          <w:szCs w:val="16"/>
          <w:lang w:val="en-GB"/>
        </w:rPr>
        <w:t>Sale, maintenance &amp; repair of motor vehicles (CZ-NACE 45)</w:t>
      </w:r>
      <w:r w:rsidR="00EE4DA7" w:rsidRPr="007F0012">
        <w:rPr>
          <w:sz w:val="16"/>
          <w:szCs w:val="16"/>
          <w:lang w:val="en-GB"/>
        </w:rPr>
        <w:t>, data adjusted for calendar effects.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19F69B5"/>
    <w:multiLevelType w:val="hybridMultilevel"/>
    <w:tmpl w:val="DAB4ED4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9B70BD"/>
    <w:rsid w:val="00000FA7"/>
    <w:rsid w:val="000010C0"/>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3F13"/>
    <w:rsid w:val="000A59BF"/>
    <w:rsid w:val="000A66C2"/>
    <w:rsid w:val="000B1CFE"/>
    <w:rsid w:val="000B210A"/>
    <w:rsid w:val="000B249B"/>
    <w:rsid w:val="000B3DB9"/>
    <w:rsid w:val="000B3F02"/>
    <w:rsid w:val="000B4192"/>
    <w:rsid w:val="000B48A2"/>
    <w:rsid w:val="000B48E7"/>
    <w:rsid w:val="000B4F41"/>
    <w:rsid w:val="000B7663"/>
    <w:rsid w:val="000B76DE"/>
    <w:rsid w:val="000C10BC"/>
    <w:rsid w:val="000C11D3"/>
    <w:rsid w:val="000C12F5"/>
    <w:rsid w:val="000C164D"/>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41BA"/>
    <w:rsid w:val="00105478"/>
    <w:rsid w:val="00105D1F"/>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37A68"/>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57F98"/>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D04"/>
    <w:rsid w:val="00180D58"/>
    <w:rsid w:val="00181DB4"/>
    <w:rsid w:val="001827A9"/>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23E4"/>
    <w:rsid w:val="001D40C2"/>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8FC"/>
    <w:rsid w:val="00211AC9"/>
    <w:rsid w:val="0021355B"/>
    <w:rsid w:val="00214C52"/>
    <w:rsid w:val="002175EB"/>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2F77D2"/>
    <w:rsid w:val="00301357"/>
    <w:rsid w:val="00301D04"/>
    <w:rsid w:val="003035D4"/>
    <w:rsid w:val="00303DCB"/>
    <w:rsid w:val="00304771"/>
    <w:rsid w:val="00305736"/>
    <w:rsid w:val="00306C5B"/>
    <w:rsid w:val="00306E3B"/>
    <w:rsid w:val="003119B6"/>
    <w:rsid w:val="00312C3D"/>
    <w:rsid w:val="00313A6E"/>
    <w:rsid w:val="00313F7B"/>
    <w:rsid w:val="00314331"/>
    <w:rsid w:val="00316A67"/>
    <w:rsid w:val="00317E31"/>
    <w:rsid w:val="00320214"/>
    <w:rsid w:val="003209D6"/>
    <w:rsid w:val="0032109A"/>
    <w:rsid w:val="0032214F"/>
    <w:rsid w:val="00322164"/>
    <w:rsid w:val="00323CF7"/>
    <w:rsid w:val="00323E61"/>
    <w:rsid w:val="0032513D"/>
    <w:rsid w:val="003258C0"/>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C9"/>
    <w:rsid w:val="003657F3"/>
    <w:rsid w:val="00365CF1"/>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5CD8"/>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496"/>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AA"/>
    <w:rsid w:val="004540FF"/>
    <w:rsid w:val="004541F1"/>
    <w:rsid w:val="004549B0"/>
    <w:rsid w:val="00455ECA"/>
    <w:rsid w:val="00457296"/>
    <w:rsid w:val="00457320"/>
    <w:rsid w:val="00460164"/>
    <w:rsid w:val="0046039A"/>
    <w:rsid w:val="00460A6B"/>
    <w:rsid w:val="00461977"/>
    <w:rsid w:val="00461C48"/>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3EE2"/>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B4F"/>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6721"/>
    <w:rsid w:val="004E7007"/>
    <w:rsid w:val="004E731D"/>
    <w:rsid w:val="004E76D6"/>
    <w:rsid w:val="004E7F57"/>
    <w:rsid w:val="004F06F5"/>
    <w:rsid w:val="004F0C7C"/>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3EF7"/>
    <w:rsid w:val="0050692E"/>
    <w:rsid w:val="00507040"/>
    <w:rsid w:val="005073C7"/>
    <w:rsid w:val="0050747C"/>
    <w:rsid w:val="005079F8"/>
    <w:rsid w:val="00507B84"/>
    <w:rsid w:val="005100D5"/>
    <w:rsid w:val="00510189"/>
    <w:rsid w:val="005108C0"/>
    <w:rsid w:val="00511873"/>
    <w:rsid w:val="00513B7E"/>
    <w:rsid w:val="005140DE"/>
    <w:rsid w:val="00514474"/>
    <w:rsid w:val="005147E9"/>
    <w:rsid w:val="00514FB1"/>
    <w:rsid w:val="005152B2"/>
    <w:rsid w:val="00515D06"/>
    <w:rsid w:val="0051778E"/>
    <w:rsid w:val="005215EF"/>
    <w:rsid w:val="00523BEC"/>
    <w:rsid w:val="00524637"/>
    <w:rsid w:val="00524962"/>
    <w:rsid w:val="00524FDD"/>
    <w:rsid w:val="00525137"/>
    <w:rsid w:val="005251DD"/>
    <w:rsid w:val="00526DB6"/>
    <w:rsid w:val="0053017A"/>
    <w:rsid w:val="00530492"/>
    <w:rsid w:val="00532854"/>
    <w:rsid w:val="00532E6C"/>
    <w:rsid w:val="005342F6"/>
    <w:rsid w:val="005350F2"/>
    <w:rsid w:val="00535152"/>
    <w:rsid w:val="00535359"/>
    <w:rsid w:val="005357A2"/>
    <w:rsid w:val="00535C70"/>
    <w:rsid w:val="00535D87"/>
    <w:rsid w:val="00535EF0"/>
    <w:rsid w:val="005363DF"/>
    <w:rsid w:val="0053734B"/>
    <w:rsid w:val="005375B1"/>
    <w:rsid w:val="00537AFD"/>
    <w:rsid w:val="00537CB4"/>
    <w:rsid w:val="00544422"/>
    <w:rsid w:val="0054516B"/>
    <w:rsid w:val="0054559E"/>
    <w:rsid w:val="00546888"/>
    <w:rsid w:val="00550297"/>
    <w:rsid w:val="005513D5"/>
    <w:rsid w:val="005523B9"/>
    <w:rsid w:val="005545E0"/>
    <w:rsid w:val="00554865"/>
    <w:rsid w:val="00554E57"/>
    <w:rsid w:val="00556828"/>
    <w:rsid w:val="005622CD"/>
    <w:rsid w:val="00562749"/>
    <w:rsid w:val="00562DE9"/>
    <w:rsid w:val="005638A5"/>
    <w:rsid w:val="00566381"/>
    <w:rsid w:val="0056640C"/>
    <w:rsid w:val="00566A03"/>
    <w:rsid w:val="00570772"/>
    <w:rsid w:val="00571932"/>
    <w:rsid w:val="00573C97"/>
    <w:rsid w:val="00574240"/>
    <w:rsid w:val="00575CDC"/>
    <w:rsid w:val="005765D5"/>
    <w:rsid w:val="00576A3E"/>
    <w:rsid w:val="0057703D"/>
    <w:rsid w:val="00577861"/>
    <w:rsid w:val="0058134C"/>
    <w:rsid w:val="005828FD"/>
    <w:rsid w:val="0058366F"/>
    <w:rsid w:val="00583D5B"/>
    <w:rsid w:val="00583FFD"/>
    <w:rsid w:val="00587216"/>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3C7C"/>
    <w:rsid w:val="005A54EE"/>
    <w:rsid w:val="005A563B"/>
    <w:rsid w:val="005A7500"/>
    <w:rsid w:val="005A77E4"/>
    <w:rsid w:val="005B0321"/>
    <w:rsid w:val="005B0418"/>
    <w:rsid w:val="005B1BDB"/>
    <w:rsid w:val="005B2BAA"/>
    <w:rsid w:val="005B2D53"/>
    <w:rsid w:val="005B3247"/>
    <w:rsid w:val="005B3409"/>
    <w:rsid w:val="005B489E"/>
    <w:rsid w:val="005B498A"/>
    <w:rsid w:val="005B7B12"/>
    <w:rsid w:val="005C16CB"/>
    <w:rsid w:val="005C21D6"/>
    <w:rsid w:val="005C3E12"/>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01DE"/>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3F86"/>
    <w:rsid w:val="006153E3"/>
    <w:rsid w:val="0061679C"/>
    <w:rsid w:val="006167AB"/>
    <w:rsid w:val="00617B14"/>
    <w:rsid w:val="00617D2D"/>
    <w:rsid w:val="00617D83"/>
    <w:rsid w:val="00620430"/>
    <w:rsid w:val="0062076A"/>
    <w:rsid w:val="00620AC5"/>
    <w:rsid w:val="00621575"/>
    <w:rsid w:val="006215FC"/>
    <w:rsid w:val="00621B50"/>
    <w:rsid w:val="00622BFE"/>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3EF9"/>
    <w:rsid w:val="00644DFC"/>
    <w:rsid w:val="006451E4"/>
    <w:rsid w:val="0064543C"/>
    <w:rsid w:val="006454B4"/>
    <w:rsid w:val="00645A9C"/>
    <w:rsid w:val="006460B8"/>
    <w:rsid w:val="00647505"/>
    <w:rsid w:val="006504A0"/>
    <w:rsid w:val="0065065D"/>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215"/>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0951"/>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38B"/>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177E9"/>
    <w:rsid w:val="0072050E"/>
    <w:rsid w:val="00720FA2"/>
    <w:rsid w:val="007211F5"/>
    <w:rsid w:val="00724666"/>
    <w:rsid w:val="00726043"/>
    <w:rsid w:val="0072704A"/>
    <w:rsid w:val="00730AE8"/>
    <w:rsid w:val="00731963"/>
    <w:rsid w:val="00731CA1"/>
    <w:rsid w:val="00733E39"/>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57BF6"/>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442"/>
    <w:rsid w:val="00784A0E"/>
    <w:rsid w:val="00784C4A"/>
    <w:rsid w:val="00787432"/>
    <w:rsid w:val="00787507"/>
    <w:rsid w:val="007879F2"/>
    <w:rsid w:val="0079008B"/>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4FE1"/>
    <w:rsid w:val="007B5031"/>
    <w:rsid w:val="007B573F"/>
    <w:rsid w:val="007B6A6B"/>
    <w:rsid w:val="007C0065"/>
    <w:rsid w:val="007C010B"/>
    <w:rsid w:val="007C3384"/>
    <w:rsid w:val="007C4C07"/>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839"/>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047F9"/>
    <w:rsid w:val="008112E9"/>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462"/>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546"/>
    <w:rsid w:val="008A1AB3"/>
    <w:rsid w:val="008A1D5C"/>
    <w:rsid w:val="008A3292"/>
    <w:rsid w:val="008A3A85"/>
    <w:rsid w:val="008A43E9"/>
    <w:rsid w:val="008A4CB1"/>
    <w:rsid w:val="008A615E"/>
    <w:rsid w:val="008A632B"/>
    <w:rsid w:val="008A6BFE"/>
    <w:rsid w:val="008B00C2"/>
    <w:rsid w:val="008B07EF"/>
    <w:rsid w:val="008B16DE"/>
    <w:rsid w:val="008B17ED"/>
    <w:rsid w:val="008B190E"/>
    <w:rsid w:val="008B1A8A"/>
    <w:rsid w:val="008B1C17"/>
    <w:rsid w:val="008B1FC9"/>
    <w:rsid w:val="008B6B67"/>
    <w:rsid w:val="008B7306"/>
    <w:rsid w:val="008B775F"/>
    <w:rsid w:val="008B7C02"/>
    <w:rsid w:val="008B7D10"/>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D4245"/>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1A1"/>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11A7"/>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9B5"/>
    <w:rsid w:val="00972D8D"/>
    <w:rsid w:val="00973AAE"/>
    <w:rsid w:val="0097476C"/>
    <w:rsid w:val="00974923"/>
    <w:rsid w:val="00974D48"/>
    <w:rsid w:val="00974D5F"/>
    <w:rsid w:val="00974FBF"/>
    <w:rsid w:val="00975017"/>
    <w:rsid w:val="009759DF"/>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5BDD"/>
    <w:rsid w:val="009961BC"/>
    <w:rsid w:val="00996355"/>
    <w:rsid w:val="00997EE9"/>
    <w:rsid w:val="009A2014"/>
    <w:rsid w:val="009A3A87"/>
    <w:rsid w:val="009A4E12"/>
    <w:rsid w:val="009A5C68"/>
    <w:rsid w:val="009A6EF7"/>
    <w:rsid w:val="009B04D0"/>
    <w:rsid w:val="009B052C"/>
    <w:rsid w:val="009B0EF2"/>
    <w:rsid w:val="009B146D"/>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D750A"/>
    <w:rsid w:val="009E048A"/>
    <w:rsid w:val="009E1FBA"/>
    <w:rsid w:val="009E2C54"/>
    <w:rsid w:val="009E3710"/>
    <w:rsid w:val="009E40AE"/>
    <w:rsid w:val="009E7B1F"/>
    <w:rsid w:val="009F012D"/>
    <w:rsid w:val="009F168D"/>
    <w:rsid w:val="009F41C4"/>
    <w:rsid w:val="009F5846"/>
    <w:rsid w:val="009F7B52"/>
    <w:rsid w:val="009F7D77"/>
    <w:rsid w:val="00A01528"/>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6FEF"/>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6E8"/>
    <w:rsid w:val="00A97E3F"/>
    <w:rsid w:val="00AA09D3"/>
    <w:rsid w:val="00AA23FB"/>
    <w:rsid w:val="00AA3948"/>
    <w:rsid w:val="00AA42AB"/>
    <w:rsid w:val="00AA559A"/>
    <w:rsid w:val="00AA756A"/>
    <w:rsid w:val="00AB050F"/>
    <w:rsid w:val="00AB104D"/>
    <w:rsid w:val="00AB2AF1"/>
    <w:rsid w:val="00AB440B"/>
    <w:rsid w:val="00AB47E3"/>
    <w:rsid w:val="00AB74C5"/>
    <w:rsid w:val="00AB7BEE"/>
    <w:rsid w:val="00AB7DF2"/>
    <w:rsid w:val="00AC0EC6"/>
    <w:rsid w:val="00AC1A08"/>
    <w:rsid w:val="00AC1E3F"/>
    <w:rsid w:val="00AC219A"/>
    <w:rsid w:val="00AC4F18"/>
    <w:rsid w:val="00AD0442"/>
    <w:rsid w:val="00AD0B46"/>
    <w:rsid w:val="00AD1094"/>
    <w:rsid w:val="00AD209E"/>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24E8"/>
    <w:rsid w:val="00B04119"/>
    <w:rsid w:val="00B048B5"/>
    <w:rsid w:val="00B05DCF"/>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07"/>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4F3"/>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BF1"/>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96C5C"/>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095E"/>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0F4D"/>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9F4"/>
    <w:rsid w:val="00D77F8D"/>
    <w:rsid w:val="00D82462"/>
    <w:rsid w:val="00D85AC2"/>
    <w:rsid w:val="00D85F94"/>
    <w:rsid w:val="00D863D1"/>
    <w:rsid w:val="00D86879"/>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3A72"/>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16594"/>
    <w:rsid w:val="00E16D44"/>
    <w:rsid w:val="00E172DA"/>
    <w:rsid w:val="00E2097E"/>
    <w:rsid w:val="00E215EA"/>
    <w:rsid w:val="00E21CAB"/>
    <w:rsid w:val="00E221FC"/>
    <w:rsid w:val="00E23660"/>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473C"/>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2011"/>
    <w:rsid w:val="00EE3B7A"/>
    <w:rsid w:val="00EE3E78"/>
    <w:rsid w:val="00EE495A"/>
    <w:rsid w:val="00EE4DA7"/>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65E"/>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6793"/>
    <w:rsid w:val="00F570E8"/>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207"/>
    <w:rsid w:val="00FB483B"/>
    <w:rsid w:val="00FB4E8E"/>
    <w:rsid w:val="00FB56F1"/>
    <w:rsid w:val="00FB5FD4"/>
    <w:rsid w:val="00FB67F3"/>
    <w:rsid w:val="00FC0D8A"/>
    <w:rsid w:val="00FC0E5F"/>
    <w:rsid w:val="00FC135D"/>
    <w:rsid w:val="00FC3C84"/>
    <w:rsid w:val="00FC4660"/>
    <w:rsid w:val="00FC56DE"/>
    <w:rsid w:val="00FC5A8C"/>
    <w:rsid w:val="00FC5E01"/>
    <w:rsid w:val="00FD08FD"/>
    <w:rsid w:val="00FD1261"/>
    <w:rsid w:val="00FD1627"/>
    <w:rsid w:val="00FD1BBD"/>
    <w:rsid w:val="00FD473D"/>
    <w:rsid w:val="00FD4ED6"/>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 w:type="character" w:customStyle="1" w:styleId="shorttext">
    <w:name w:val="short_text"/>
    <w:basedOn w:val="Standardnpsmoodstavce"/>
    <w:rsid w:val="007B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856A-24F4-463E-B5A1-72D91C49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1384</TotalTime>
  <Pages>5</Pages>
  <Words>3020</Words>
  <Characters>17822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74</cp:revision>
  <cp:lastPrinted>2016-04-25T10:02:00Z</cp:lastPrinted>
  <dcterms:created xsi:type="dcterms:W3CDTF">2016-04-25T08:19:00Z</dcterms:created>
  <dcterms:modified xsi:type="dcterms:W3CDTF">2016-04-28T09:51:00Z</dcterms:modified>
</cp:coreProperties>
</file>