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BD4" w:rsidRPr="00A17559" w:rsidRDefault="004A5D4E" w:rsidP="000D3058">
      <w:pPr>
        <w:pStyle w:val="Nadpis11"/>
        <w:rPr>
          <w:lang w:val="en-GB"/>
        </w:rPr>
      </w:pPr>
      <w:bookmarkStart w:id="0" w:name="_Toc19179086"/>
      <w:r w:rsidRPr="00A17559">
        <w:rPr>
          <w:lang w:val="en-GB"/>
        </w:rPr>
        <w:t>7. </w:t>
      </w:r>
      <w:r w:rsidR="00935BD4" w:rsidRPr="00A17559">
        <w:rPr>
          <w:lang w:val="en-GB"/>
        </w:rPr>
        <w:t>M</w:t>
      </w:r>
      <w:r w:rsidR="00115469" w:rsidRPr="00A17559">
        <w:rPr>
          <w:lang w:val="en-GB"/>
        </w:rPr>
        <w:t>onetary Conditions</w:t>
      </w:r>
      <w:bookmarkEnd w:id="0"/>
    </w:p>
    <w:tbl>
      <w:tblPr>
        <w:tblW w:w="9639" w:type="dxa"/>
        <w:tblInd w:w="-15" w:type="dxa"/>
        <w:tblCellMar>
          <w:left w:w="0" w:type="dxa"/>
          <w:right w:w="0" w:type="dxa"/>
        </w:tblCellMar>
        <w:tblLook w:val="00A0" w:firstRow="1" w:lastRow="0" w:firstColumn="1" w:lastColumn="0" w:noHBand="0" w:noVBand="0"/>
      </w:tblPr>
      <w:tblGrid>
        <w:gridCol w:w="1799"/>
        <w:gridCol w:w="230"/>
        <w:gridCol w:w="7610"/>
      </w:tblGrid>
      <w:tr w:rsidR="00A113A4" w:rsidRPr="00A17559" w:rsidTr="00F23826">
        <w:trPr>
          <w:trHeight w:val="145"/>
        </w:trPr>
        <w:tc>
          <w:tcPr>
            <w:tcW w:w="1799" w:type="dxa"/>
            <w:shd w:val="clear" w:color="auto" w:fill="auto"/>
            <w:tcMar>
              <w:left w:w="0" w:type="dxa"/>
            </w:tcMar>
          </w:tcPr>
          <w:p w:rsidR="00A113A4" w:rsidRPr="00A17559" w:rsidRDefault="00661EFC" w:rsidP="00661EFC">
            <w:pPr>
              <w:pStyle w:val="Marginlie"/>
              <w:rPr>
                <w:lang w:val="en-GB"/>
              </w:rPr>
            </w:pPr>
            <w:r w:rsidRPr="00A17559">
              <w:rPr>
                <w:lang w:val="en-GB"/>
              </w:rPr>
              <w:t>M</w:t>
            </w:r>
            <w:r w:rsidR="00115469" w:rsidRPr="00A17559">
              <w:rPr>
                <w:lang w:val="en-GB"/>
              </w:rPr>
              <w:t>onetary policy-relevant rates</w:t>
            </w:r>
            <w:r w:rsidRPr="00A17559">
              <w:rPr>
                <w:lang w:val="en-GB"/>
              </w:rPr>
              <w:t xml:space="preserve"> were again raised in Q2</w:t>
            </w:r>
            <w:r w:rsidR="00A113A4" w:rsidRPr="00A17559">
              <w:rPr>
                <w:lang w:val="en-GB"/>
              </w:rPr>
              <w:t>.</w:t>
            </w:r>
          </w:p>
        </w:tc>
        <w:tc>
          <w:tcPr>
            <w:tcW w:w="230" w:type="dxa"/>
            <w:shd w:val="clear" w:color="auto" w:fill="auto"/>
            <w:tcMar>
              <w:left w:w="0" w:type="dxa"/>
            </w:tcMar>
          </w:tcPr>
          <w:p w:rsidR="00A113A4" w:rsidRPr="00A17559" w:rsidRDefault="00A113A4" w:rsidP="00A113A4">
            <w:pPr>
              <w:pStyle w:val="Textpoznpodarou"/>
              <w:jc w:val="both"/>
              <w:rPr>
                <w:spacing w:val="-4"/>
                <w:lang w:val="en-GB"/>
              </w:rPr>
            </w:pPr>
          </w:p>
        </w:tc>
        <w:tc>
          <w:tcPr>
            <w:tcW w:w="7610" w:type="dxa"/>
            <w:shd w:val="clear" w:color="auto" w:fill="auto"/>
            <w:tcMar>
              <w:left w:w="0" w:type="dxa"/>
            </w:tcMar>
          </w:tcPr>
          <w:p w:rsidR="00A113A4" w:rsidRPr="00A17559" w:rsidRDefault="00661EFC" w:rsidP="00185E52">
            <w:pPr>
              <w:rPr>
                <w:spacing w:val="-2"/>
                <w:lang w:val="en-GB"/>
              </w:rPr>
            </w:pPr>
            <w:r w:rsidRPr="00A17559">
              <w:rPr>
                <w:spacing w:val="-2"/>
                <w:lang w:val="en-GB"/>
              </w:rPr>
              <w:t xml:space="preserve">While </w:t>
            </w:r>
            <w:r w:rsidR="00B76A3F" w:rsidRPr="00A17559">
              <w:rPr>
                <w:spacing w:val="-2"/>
                <w:lang w:val="en-GB"/>
              </w:rPr>
              <w:t xml:space="preserve">the setup of basic monetary policy-relevant rates </w:t>
            </w:r>
            <w:r w:rsidRPr="00A17559">
              <w:rPr>
                <w:spacing w:val="-2"/>
                <w:lang w:val="en-GB"/>
              </w:rPr>
              <w:t>did not change</w:t>
            </w:r>
            <w:r w:rsidR="00B76A3F" w:rsidRPr="00A17559">
              <w:rPr>
                <w:spacing w:val="-2"/>
                <w:lang w:val="en-GB"/>
              </w:rPr>
              <w:t xml:space="preserve"> in Q</w:t>
            </w:r>
            <w:r w:rsidR="00A113A4" w:rsidRPr="00A17559">
              <w:rPr>
                <w:spacing w:val="-2"/>
                <w:lang w:val="en-GB"/>
              </w:rPr>
              <w:t>1</w:t>
            </w:r>
            <w:r w:rsidR="00B76A3F" w:rsidRPr="00A17559">
              <w:rPr>
                <w:spacing w:val="-2"/>
                <w:lang w:val="en-GB"/>
              </w:rPr>
              <w:t xml:space="preserve"> </w:t>
            </w:r>
            <w:r w:rsidR="00A113A4" w:rsidRPr="00A17559">
              <w:rPr>
                <w:spacing w:val="-2"/>
                <w:lang w:val="en-GB"/>
              </w:rPr>
              <w:t>2019</w:t>
            </w:r>
            <w:r w:rsidR="00B76A3F" w:rsidRPr="00A17559">
              <w:rPr>
                <w:spacing w:val="-2"/>
                <w:lang w:val="en-GB"/>
              </w:rPr>
              <w:t xml:space="preserve">, it was decided to increase the two-week repo rate from </w:t>
            </w:r>
            <w:r w:rsidR="00A113A4" w:rsidRPr="00A17559">
              <w:rPr>
                <w:spacing w:val="-2"/>
                <w:lang w:val="en-GB"/>
              </w:rPr>
              <w:t>1</w:t>
            </w:r>
            <w:r w:rsidR="00495709" w:rsidRPr="00A17559">
              <w:rPr>
                <w:spacing w:val="-2"/>
                <w:lang w:val="en-GB"/>
              </w:rPr>
              <w:t>.</w:t>
            </w:r>
            <w:r w:rsidR="00A113A4" w:rsidRPr="00A17559">
              <w:rPr>
                <w:spacing w:val="-2"/>
                <w:lang w:val="en-GB"/>
              </w:rPr>
              <w:t>75</w:t>
            </w:r>
            <w:r w:rsidR="00403F57" w:rsidRPr="00A17559">
              <w:rPr>
                <w:spacing w:val="-2"/>
                <w:lang w:val="en-GB"/>
              </w:rPr>
              <w:t>%</w:t>
            </w:r>
            <w:r w:rsidR="00A113A4" w:rsidRPr="00A17559">
              <w:rPr>
                <w:spacing w:val="-2"/>
                <w:lang w:val="en-GB"/>
              </w:rPr>
              <w:t xml:space="preserve"> </w:t>
            </w:r>
            <w:r w:rsidR="00495709" w:rsidRPr="00A17559">
              <w:rPr>
                <w:spacing w:val="-2"/>
                <w:lang w:val="en-GB"/>
              </w:rPr>
              <w:t xml:space="preserve">to </w:t>
            </w:r>
            <w:r w:rsidR="00A113A4" w:rsidRPr="00A17559">
              <w:rPr>
                <w:spacing w:val="-2"/>
                <w:lang w:val="en-GB"/>
              </w:rPr>
              <w:t>2</w:t>
            </w:r>
            <w:r w:rsidR="00495709" w:rsidRPr="00A17559">
              <w:rPr>
                <w:spacing w:val="-2"/>
                <w:lang w:val="en-GB"/>
              </w:rPr>
              <w:t>.</w:t>
            </w:r>
            <w:r w:rsidR="00A113A4" w:rsidRPr="00A17559">
              <w:rPr>
                <w:spacing w:val="-2"/>
                <w:lang w:val="en-GB"/>
              </w:rPr>
              <w:t>00</w:t>
            </w:r>
            <w:r w:rsidR="00403F57" w:rsidRPr="00A17559">
              <w:rPr>
                <w:spacing w:val="-2"/>
                <w:lang w:val="en-GB"/>
              </w:rPr>
              <w:t>%</w:t>
            </w:r>
            <w:r w:rsidR="00B76A3F" w:rsidRPr="00A17559">
              <w:rPr>
                <w:spacing w:val="-2"/>
                <w:lang w:val="en-GB"/>
              </w:rPr>
              <w:t xml:space="preserve"> in May</w:t>
            </w:r>
            <w:r w:rsidR="00A113A4" w:rsidRPr="00A17559">
              <w:rPr>
                <w:spacing w:val="-2"/>
                <w:lang w:val="en-GB"/>
              </w:rPr>
              <w:t xml:space="preserve">. </w:t>
            </w:r>
            <w:r w:rsidR="00185E52" w:rsidRPr="00A17559">
              <w:rPr>
                <w:spacing w:val="-2"/>
                <w:lang w:val="en-GB"/>
              </w:rPr>
              <w:t xml:space="preserve">Discount rate </w:t>
            </w:r>
            <w:r w:rsidR="00A113A4" w:rsidRPr="00A17559">
              <w:rPr>
                <w:spacing w:val="-2"/>
                <w:lang w:val="en-GB"/>
              </w:rPr>
              <w:t>(</w:t>
            </w:r>
            <w:r w:rsidR="00495709" w:rsidRPr="00A17559">
              <w:rPr>
                <w:spacing w:val="-2"/>
                <w:lang w:val="en-GB"/>
              </w:rPr>
              <w:t xml:space="preserve">to </w:t>
            </w:r>
            <w:r w:rsidR="00A113A4" w:rsidRPr="00A17559">
              <w:rPr>
                <w:spacing w:val="-2"/>
                <w:lang w:val="en-GB"/>
              </w:rPr>
              <w:t>1</w:t>
            </w:r>
            <w:r w:rsidR="00495709" w:rsidRPr="00A17559">
              <w:rPr>
                <w:spacing w:val="-2"/>
                <w:lang w:val="en-GB"/>
              </w:rPr>
              <w:t>.</w:t>
            </w:r>
            <w:r w:rsidR="00A113A4" w:rsidRPr="00A17559">
              <w:rPr>
                <w:spacing w:val="-2"/>
                <w:lang w:val="en-GB"/>
              </w:rPr>
              <w:t>00</w:t>
            </w:r>
            <w:r w:rsidR="00403F57" w:rsidRPr="00A17559">
              <w:rPr>
                <w:spacing w:val="-2"/>
                <w:lang w:val="en-GB"/>
              </w:rPr>
              <w:t>%</w:t>
            </w:r>
            <w:r w:rsidR="00A113A4" w:rsidRPr="00A17559">
              <w:rPr>
                <w:spacing w:val="-2"/>
                <w:lang w:val="en-GB"/>
              </w:rPr>
              <w:t xml:space="preserve">) </w:t>
            </w:r>
            <w:r w:rsidR="002F1B09" w:rsidRPr="00A17559">
              <w:rPr>
                <w:spacing w:val="-2"/>
                <w:lang w:val="en-GB"/>
              </w:rPr>
              <w:t>a</w:t>
            </w:r>
            <w:r w:rsidR="00185E52" w:rsidRPr="00A17559">
              <w:rPr>
                <w:spacing w:val="-2"/>
                <w:lang w:val="en-GB"/>
              </w:rPr>
              <w:t xml:space="preserve">nd Lombard rate </w:t>
            </w:r>
            <w:r w:rsidR="00A113A4" w:rsidRPr="00A17559">
              <w:rPr>
                <w:spacing w:val="-2"/>
                <w:lang w:val="en-GB"/>
              </w:rPr>
              <w:t>(3</w:t>
            </w:r>
            <w:r w:rsidR="00185E52" w:rsidRPr="00A17559">
              <w:rPr>
                <w:spacing w:val="-2"/>
                <w:lang w:val="en-GB"/>
              </w:rPr>
              <w:t>.</w:t>
            </w:r>
            <w:r w:rsidR="00A113A4" w:rsidRPr="00A17559">
              <w:rPr>
                <w:spacing w:val="-2"/>
                <w:lang w:val="en-GB"/>
              </w:rPr>
              <w:t>00</w:t>
            </w:r>
            <w:r w:rsidR="00403F57" w:rsidRPr="00A17559">
              <w:rPr>
                <w:spacing w:val="-2"/>
                <w:lang w:val="en-GB"/>
              </w:rPr>
              <w:t>%</w:t>
            </w:r>
            <w:r w:rsidR="00A113A4" w:rsidRPr="00A17559">
              <w:rPr>
                <w:spacing w:val="-2"/>
                <w:lang w:val="en-GB"/>
              </w:rPr>
              <w:t>)</w:t>
            </w:r>
            <w:r w:rsidR="00185E52" w:rsidRPr="00A17559">
              <w:rPr>
                <w:spacing w:val="-2"/>
                <w:lang w:val="en-GB"/>
              </w:rPr>
              <w:t xml:space="preserve"> also increased</w:t>
            </w:r>
            <w:r w:rsidR="00A113A4" w:rsidRPr="00A17559">
              <w:rPr>
                <w:spacing w:val="-2"/>
                <w:lang w:val="en-GB"/>
              </w:rPr>
              <w:t xml:space="preserve">. </w:t>
            </w:r>
            <w:r w:rsidR="00502709" w:rsidRPr="00A17559">
              <w:rPr>
                <w:spacing w:val="-2"/>
                <w:lang w:val="en-GB"/>
              </w:rPr>
              <w:t xml:space="preserve">The difference between the rates in the CR and in the euro area thus further widened </w:t>
            </w:r>
            <w:r w:rsidR="00A113A4" w:rsidRPr="00A17559">
              <w:rPr>
                <w:spacing w:val="-2"/>
                <w:lang w:val="en-GB"/>
              </w:rPr>
              <w:t xml:space="preserve">(ECB </w:t>
            </w:r>
            <w:r w:rsidR="0093475A" w:rsidRPr="00A17559">
              <w:rPr>
                <w:spacing w:val="-2"/>
                <w:lang w:val="en-GB"/>
              </w:rPr>
              <w:t xml:space="preserve">did not change rates since March </w:t>
            </w:r>
            <w:r w:rsidR="00A113A4" w:rsidRPr="00A17559">
              <w:rPr>
                <w:spacing w:val="-2"/>
                <w:lang w:val="en-GB"/>
              </w:rPr>
              <w:t xml:space="preserve">2016 </w:t>
            </w:r>
            <w:r w:rsidR="002F1B09" w:rsidRPr="00A17559">
              <w:rPr>
                <w:spacing w:val="-2"/>
                <w:lang w:val="en-GB"/>
              </w:rPr>
              <w:t>a</w:t>
            </w:r>
            <w:r w:rsidR="0093475A" w:rsidRPr="00A17559">
              <w:rPr>
                <w:spacing w:val="-2"/>
                <w:lang w:val="en-GB"/>
              </w:rPr>
              <w:t>nd</w:t>
            </w:r>
            <w:r w:rsidR="002F1B09" w:rsidRPr="00A17559">
              <w:rPr>
                <w:spacing w:val="-2"/>
                <w:lang w:val="en-GB"/>
              </w:rPr>
              <w:t> </w:t>
            </w:r>
            <w:r w:rsidR="00A113A4" w:rsidRPr="00A17559">
              <w:rPr>
                <w:spacing w:val="-2"/>
                <w:lang w:val="en-GB"/>
              </w:rPr>
              <w:t>repo</w:t>
            </w:r>
            <w:r w:rsidR="0093475A" w:rsidRPr="00A17559">
              <w:rPr>
                <w:spacing w:val="-2"/>
                <w:lang w:val="en-GB"/>
              </w:rPr>
              <w:t xml:space="preserve"> rate is zero</w:t>
            </w:r>
            <w:r w:rsidR="00A113A4" w:rsidRPr="00A17559">
              <w:rPr>
                <w:spacing w:val="-2"/>
                <w:lang w:val="en-GB"/>
              </w:rPr>
              <w:t xml:space="preserve">). </w:t>
            </w:r>
            <w:r w:rsidR="00A80BD2" w:rsidRPr="00A17559">
              <w:rPr>
                <w:spacing w:val="-2"/>
                <w:lang w:val="en-GB"/>
              </w:rPr>
              <w:t>T</w:t>
            </w:r>
            <w:r w:rsidRPr="00A17559">
              <w:rPr>
                <w:spacing w:val="-2"/>
                <w:lang w:val="en-GB"/>
              </w:rPr>
              <w:t>he koruna foreign exchange against euro</w:t>
            </w:r>
            <w:r w:rsidR="00A80BD2" w:rsidRPr="00A17559">
              <w:rPr>
                <w:spacing w:val="-2"/>
                <w:lang w:val="en-GB"/>
              </w:rPr>
              <w:t xml:space="preserve"> was in contrast to dollar or pound relatively stable throughout the whole half-year </w:t>
            </w:r>
            <w:r w:rsidR="00A113A4" w:rsidRPr="00A17559">
              <w:rPr>
                <w:spacing w:val="-2"/>
                <w:lang w:val="en-GB"/>
              </w:rPr>
              <w:t>(</w:t>
            </w:r>
            <w:r w:rsidR="00185E52" w:rsidRPr="00A17559">
              <w:rPr>
                <w:spacing w:val="-2"/>
                <w:lang w:val="en-GB"/>
              </w:rPr>
              <w:t xml:space="preserve">it moved in the corridor between </w:t>
            </w:r>
            <w:r w:rsidR="00A113A4" w:rsidRPr="00A17559">
              <w:rPr>
                <w:spacing w:val="-2"/>
                <w:lang w:val="en-GB"/>
              </w:rPr>
              <w:t>25</w:t>
            </w:r>
            <w:r w:rsidR="00185E52" w:rsidRPr="00A17559">
              <w:rPr>
                <w:spacing w:val="-2"/>
                <w:lang w:val="en-GB"/>
              </w:rPr>
              <w:t>.</w:t>
            </w:r>
            <w:r w:rsidR="00A113A4" w:rsidRPr="00A17559">
              <w:rPr>
                <w:spacing w:val="-2"/>
                <w:lang w:val="en-GB"/>
              </w:rPr>
              <w:t xml:space="preserve">40 </w:t>
            </w:r>
            <w:r w:rsidR="002F1B09" w:rsidRPr="00A17559">
              <w:rPr>
                <w:spacing w:val="-2"/>
                <w:lang w:val="en-GB"/>
              </w:rPr>
              <w:t>a</w:t>
            </w:r>
            <w:r w:rsidR="00185E52" w:rsidRPr="00A17559">
              <w:rPr>
                <w:spacing w:val="-2"/>
                <w:lang w:val="en-GB"/>
              </w:rPr>
              <w:t>nd</w:t>
            </w:r>
            <w:r w:rsidR="002F1B09" w:rsidRPr="00A17559">
              <w:rPr>
                <w:spacing w:val="-2"/>
                <w:lang w:val="en-GB"/>
              </w:rPr>
              <w:t> </w:t>
            </w:r>
            <w:r w:rsidR="00A113A4" w:rsidRPr="00A17559">
              <w:rPr>
                <w:spacing w:val="-2"/>
                <w:lang w:val="en-GB"/>
              </w:rPr>
              <w:t>25</w:t>
            </w:r>
            <w:r w:rsidR="00185E52" w:rsidRPr="00A17559">
              <w:rPr>
                <w:spacing w:val="-2"/>
                <w:lang w:val="en-GB"/>
              </w:rPr>
              <w:t>.</w:t>
            </w:r>
            <w:r w:rsidR="00A113A4" w:rsidRPr="00A17559">
              <w:rPr>
                <w:spacing w:val="-2"/>
                <w:lang w:val="en-GB"/>
              </w:rPr>
              <w:t>9</w:t>
            </w:r>
            <w:r w:rsidR="00403F57" w:rsidRPr="00A17559">
              <w:rPr>
                <w:spacing w:val="-2"/>
                <w:lang w:val="en-GB"/>
              </w:rPr>
              <w:t>0 </w:t>
            </w:r>
            <w:r w:rsidR="00A113A4" w:rsidRPr="00A17559">
              <w:rPr>
                <w:spacing w:val="-2"/>
                <w:lang w:val="en-GB"/>
              </w:rPr>
              <w:t>koruna</w:t>
            </w:r>
            <w:r w:rsidR="00185E52" w:rsidRPr="00A17559">
              <w:rPr>
                <w:spacing w:val="-2"/>
                <w:lang w:val="en-GB"/>
              </w:rPr>
              <w:t xml:space="preserve"> per </w:t>
            </w:r>
            <w:r w:rsidR="00A113A4" w:rsidRPr="00A17559">
              <w:rPr>
                <w:spacing w:val="-2"/>
                <w:lang w:val="en-GB"/>
              </w:rPr>
              <w:t>euro</w:t>
            </w:r>
            <w:r w:rsidR="00A113A4" w:rsidRPr="00A17559">
              <w:rPr>
                <w:rStyle w:val="Znakapoznpodarou"/>
                <w:spacing w:val="-2"/>
                <w:lang w:val="en-GB"/>
              </w:rPr>
              <w:footnoteReference w:id="1"/>
            </w:r>
            <w:r w:rsidR="00A113A4" w:rsidRPr="00A17559">
              <w:rPr>
                <w:spacing w:val="-2"/>
                <w:lang w:val="en-GB"/>
              </w:rPr>
              <w:t xml:space="preserve">). </w:t>
            </w:r>
            <w:r w:rsidR="0093475A" w:rsidRPr="00A17559">
              <w:rPr>
                <w:spacing w:val="-2"/>
                <w:lang w:val="en-GB"/>
              </w:rPr>
              <w:t xml:space="preserve">The rate was then mildly weakening from April to May </w:t>
            </w:r>
            <w:r w:rsidR="00A113A4" w:rsidRPr="00A17559">
              <w:rPr>
                <w:spacing w:val="-2"/>
                <w:lang w:val="en-GB"/>
              </w:rPr>
              <w:t>2019</w:t>
            </w:r>
            <w:r w:rsidR="0093475A" w:rsidRPr="00A17559">
              <w:rPr>
                <w:spacing w:val="-2"/>
                <w:lang w:val="en-GB"/>
              </w:rPr>
              <w:t xml:space="preserve"> </w:t>
            </w:r>
            <w:r w:rsidR="00A113A4" w:rsidRPr="00A17559">
              <w:rPr>
                <w:spacing w:val="-2"/>
                <w:lang w:val="en-GB"/>
              </w:rPr>
              <w:t>(maxi</w:t>
            </w:r>
            <w:r w:rsidR="00A80BD2" w:rsidRPr="00A17559">
              <w:rPr>
                <w:spacing w:val="-2"/>
                <w:lang w:val="en-GB"/>
              </w:rPr>
              <w:t xml:space="preserve">mum value of </w:t>
            </w:r>
            <w:r w:rsidR="00A113A4" w:rsidRPr="00A17559">
              <w:rPr>
                <w:spacing w:val="-2"/>
                <w:lang w:val="en-GB"/>
              </w:rPr>
              <w:t>25</w:t>
            </w:r>
            <w:r w:rsidR="00A80BD2" w:rsidRPr="00A17559">
              <w:rPr>
                <w:spacing w:val="-2"/>
                <w:lang w:val="en-GB"/>
              </w:rPr>
              <w:t>.</w:t>
            </w:r>
            <w:r w:rsidR="00A113A4" w:rsidRPr="00A17559">
              <w:rPr>
                <w:spacing w:val="-2"/>
                <w:lang w:val="en-GB"/>
              </w:rPr>
              <w:t>8</w:t>
            </w:r>
            <w:r w:rsidR="00403F57" w:rsidRPr="00A17559">
              <w:rPr>
                <w:spacing w:val="-2"/>
                <w:lang w:val="en-GB"/>
              </w:rPr>
              <w:t>6 </w:t>
            </w:r>
            <w:r w:rsidR="00A113A4" w:rsidRPr="00A17559">
              <w:rPr>
                <w:spacing w:val="-2"/>
                <w:lang w:val="en-GB"/>
              </w:rPr>
              <w:t>CZK/EUR</w:t>
            </w:r>
            <w:r w:rsidR="00A80BD2" w:rsidRPr="00A17559">
              <w:rPr>
                <w:spacing w:val="-2"/>
                <w:lang w:val="en-GB"/>
              </w:rPr>
              <w:t xml:space="preserve"> on</w:t>
            </w:r>
            <w:r w:rsidR="00A113A4" w:rsidRPr="00A17559">
              <w:rPr>
                <w:spacing w:val="-2"/>
                <w:lang w:val="en-GB"/>
              </w:rPr>
              <w:t xml:space="preserve"> </w:t>
            </w:r>
            <w:r w:rsidR="00A80BD2" w:rsidRPr="00A17559">
              <w:rPr>
                <w:spacing w:val="-2"/>
                <w:lang w:val="en-GB"/>
              </w:rPr>
              <w:t xml:space="preserve">the </w:t>
            </w:r>
            <w:r w:rsidR="00A113A4" w:rsidRPr="00A17559">
              <w:rPr>
                <w:spacing w:val="-2"/>
                <w:lang w:val="en-GB"/>
              </w:rPr>
              <w:t>2</w:t>
            </w:r>
            <w:r w:rsidR="004A5D4E" w:rsidRPr="00A17559">
              <w:rPr>
                <w:spacing w:val="-2"/>
                <w:lang w:val="en-GB"/>
              </w:rPr>
              <w:t>9</w:t>
            </w:r>
            <w:r w:rsidR="00A80BD2" w:rsidRPr="00A17559">
              <w:rPr>
                <w:spacing w:val="-2"/>
                <w:lang w:val="en-GB"/>
              </w:rPr>
              <w:t>th May</w:t>
            </w:r>
            <w:r w:rsidR="00A113A4" w:rsidRPr="00A17559">
              <w:rPr>
                <w:spacing w:val="-2"/>
                <w:lang w:val="en-GB"/>
              </w:rPr>
              <w:t xml:space="preserve">). </w:t>
            </w:r>
            <w:r w:rsidR="00002315" w:rsidRPr="00A17559">
              <w:rPr>
                <w:spacing w:val="-2"/>
                <w:lang w:val="en-GB"/>
              </w:rPr>
              <w:t xml:space="preserve">Subsequently, the trend turned and </w:t>
            </w:r>
            <w:r w:rsidR="00A80BD2" w:rsidRPr="00A17559">
              <w:rPr>
                <w:spacing w:val="-2"/>
                <w:lang w:val="en-GB"/>
              </w:rPr>
              <w:t xml:space="preserve">the koruna foreign exchange appreciated </w:t>
            </w:r>
            <w:r w:rsidR="009E6140" w:rsidRPr="00A17559">
              <w:rPr>
                <w:spacing w:val="-2"/>
                <w:lang w:val="en-GB"/>
              </w:rPr>
              <w:t xml:space="preserve">up to the level of </w:t>
            </w:r>
            <w:r w:rsidR="00A113A4" w:rsidRPr="00A17559">
              <w:rPr>
                <w:spacing w:val="-2"/>
                <w:lang w:val="en-GB"/>
              </w:rPr>
              <w:t>25</w:t>
            </w:r>
            <w:r w:rsidR="009E6140" w:rsidRPr="00A17559">
              <w:rPr>
                <w:spacing w:val="-2"/>
                <w:lang w:val="en-GB"/>
              </w:rPr>
              <w:t>.</w:t>
            </w:r>
            <w:r w:rsidR="00A113A4" w:rsidRPr="00A17559">
              <w:rPr>
                <w:spacing w:val="-2"/>
                <w:lang w:val="en-GB"/>
              </w:rPr>
              <w:t>4</w:t>
            </w:r>
            <w:r w:rsidR="00403F57" w:rsidRPr="00A17559">
              <w:rPr>
                <w:spacing w:val="-2"/>
                <w:lang w:val="en-GB"/>
              </w:rPr>
              <w:t>4 </w:t>
            </w:r>
            <w:r w:rsidR="00A113A4" w:rsidRPr="00A17559">
              <w:rPr>
                <w:spacing w:val="-2"/>
                <w:lang w:val="en-GB"/>
              </w:rPr>
              <w:t>CZK/EUR</w:t>
            </w:r>
            <w:r w:rsidR="009E6140" w:rsidRPr="00A17559">
              <w:rPr>
                <w:spacing w:val="-2"/>
                <w:lang w:val="en-GB"/>
              </w:rPr>
              <w:t xml:space="preserve"> until 27th June. The koruna foreign exchange against </w:t>
            </w:r>
            <w:r w:rsidR="00076079" w:rsidRPr="00A17559">
              <w:rPr>
                <w:spacing w:val="-2"/>
                <w:lang w:val="en-GB"/>
              </w:rPr>
              <w:t xml:space="preserve">dollar was weakening </w:t>
            </w:r>
            <w:r w:rsidR="00495709" w:rsidRPr="00A17559">
              <w:rPr>
                <w:spacing w:val="-2"/>
                <w:lang w:val="en-GB"/>
              </w:rPr>
              <w:t xml:space="preserve">from January to May </w:t>
            </w:r>
            <w:r w:rsidR="00076079" w:rsidRPr="00A17559">
              <w:rPr>
                <w:spacing w:val="-2"/>
                <w:lang w:val="en-GB"/>
              </w:rPr>
              <w:t xml:space="preserve">down to </w:t>
            </w:r>
            <w:r w:rsidR="00A113A4" w:rsidRPr="00A17559">
              <w:rPr>
                <w:spacing w:val="-2"/>
                <w:lang w:val="en-GB"/>
              </w:rPr>
              <w:t>23</w:t>
            </w:r>
            <w:r w:rsidR="00495709" w:rsidRPr="00A17559">
              <w:rPr>
                <w:spacing w:val="-2"/>
                <w:lang w:val="en-GB"/>
              </w:rPr>
              <w:t>.</w:t>
            </w:r>
            <w:r w:rsidR="00A113A4" w:rsidRPr="00A17559">
              <w:rPr>
                <w:spacing w:val="-2"/>
                <w:lang w:val="en-GB"/>
              </w:rPr>
              <w:t>1</w:t>
            </w:r>
            <w:r w:rsidR="00403F57" w:rsidRPr="00A17559">
              <w:rPr>
                <w:spacing w:val="-2"/>
                <w:lang w:val="en-GB"/>
              </w:rPr>
              <w:t>5 </w:t>
            </w:r>
            <w:r w:rsidR="00A113A4" w:rsidRPr="00A17559">
              <w:rPr>
                <w:spacing w:val="-2"/>
                <w:lang w:val="en-GB"/>
              </w:rPr>
              <w:t xml:space="preserve">CZK/USD </w:t>
            </w:r>
            <w:r w:rsidR="00495709" w:rsidRPr="00A17559">
              <w:rPr>
                <w:spacing w:val="-2"/>
                <w:lang w:val="en-GB"/>
              </w:rPr>
              <w:t xml:space="preserve">on </w:t>
            </w:r>
            <w:r w:rsidR="00A113A4" w:rsidRPr="00A17559">
              <w:rPr>
                <w:spacing w:val="-2"/>
                <w:lang w:val="en-GB"/>
              </w:rPr>
              <w:t>3</w:t>
            </w:r>
            <w:r w:rsidR="004A5D4E" w:rsidRPr="00A17559">
              <w:rPr>
                <w:spacing w:val="-2"/>
                <w:lang w:val="en-GB"/>
              </w:rPr>
              <w:t>1</w:t>
            </w:r>
            <w:r w:rsidR="00495709" w:rsidRPr="00A17559">
              <w:rPr>
                <w:spacing w:val="-2"/>
                <w:lang w:val="en-GB"/>
              </w:rPr>
              <w:t>st May</w:t>
            </w:r>
            <w:r w:rsidR="004A5D4E" w:rsidRPr="00A17559">
              <w:rPr>
                <w:spacing w:val="-2"/>
                <w:lang w:val="en-GB"/>
              </w:rPr>
              <w:t>.</w:t>
            </w:r>
            <w:r w:rsidR="005C2B30" w:rsidRPr="00A17559">
              <w:rPr>
                <w:spacing w:val="-2"/>
                <w:lang w:val="en-GB"/>
              </w:rPr>
              <w:t xml:space="preserve"> </w:t>
            </w:r>
            <w:r w:rsidR="0093475A" w:rsidRPr="00A17559">
              <w:rPr>
                <w:spacing w:val="-2"/>
                <w:lang w:val="en-GB"/>
              </w:rPr>
              <w:t xml:space="preserve">Koruna however appreciated during June and </w:t>
            </w:r>
            <w:r w:rsidR="00185E52" w:rsidRPr="00A17559">
              <w:rPr>
                <w:spacing w:val="-2"/>
                <w:lang w:val="en-GB"/>
              </w:rPr>
              <w:t>completed</w:t>
            </w:r>
            <w:r w:rsidR="0093475A" w:rsidRPr="00A17559">
              <w:rPr>
                <w:spacing w:val="-2"/>
                <w:lang w:val="en-GB"/>
              </w:rPr>
              <w:t xml:space="preserve"> the half-year at the level of </w:t>
            </w:r>
            <w:r w:rsidR="00A113A4" w:rsidRPr="00A17559">
              <w:rPr>
                <w:spacing w:val="-2"/>
                <w:lang w:val="en-GB"/>
              </w:rPr>
              <w:t>22</w:t>
            </w:r>
            <w:r w:rsidR="0093475A" w:rsidRPr="00A17559">
              <w:rPr>
                <w:spacing w:val="-2"/>
                <w:lang w:val="en-GB"/>
              </w:rPr>
              <w:t>.</w:t>
            </w:r>
            <w:r w:rsidR="00A113A4" w:rsidRPr="00A17559">
              <w:rPr>
                <w:spacing w:val="-2"/>
                <w:lang w:val="en-GB"/>
              </w:rPr>
              <w:t>36 </w:t>
            </w:r>
            <w:r w:rsidR="0093475A" w:rsidRPr="00A17559">
              <w:rPr>
                <w:spacing w:val="-2"/>
                <w:lang w:val="en-GB"/>
              </w:rPr>
              <w:t>CZK per dollar</w:t>
            </w:r>
            <w:r w:rsidR="00A113A4" w:rsidRPr="00A17559">
              <w:rPr>
                <w:spacing w:val="-2"/>
                <w:lang w:val="en-GB"/>
              </w:rPr>
              <w:t>.</w:t>
            </w:r>
          </w:p>
        </w:tc>
      </w:tr>
      <w:tr w:rsidR="00A113A4" w:rsidRPr="00A17559" w:rsidTr="00F23826">
        <w:trPr>
          <w:trHeight w:val="145"/>
        </w:trPr>
        <w:tc>
          <w:tcPr>
            <w:tcW w:w="1799" w:type="dxa"/>
            <w:shd w:val="clear" w:color="auto" w:fill="auto"/>
            <w:tcMar>
              <w:left w:w="0" w:type="dxa"/>
            </w:tcMar>
          </w:tcPr>
          <w:p w:rsidR="00A113A4" w:rsidRPr="00A17559" w:rsidRDefault="00185E52" w:rsidP="00185E52">
            <w:pPr>
              <w:pStyle w:val="Marginlie"/>
              <w:rPr>
                <w:lang w:val="en-GB"/>
              </w:rPr>
            </w:pPr>
            <w:r w:rsidRPr="00A17559">
              <w:rPr>
                <w:lang w:val="en-GB"/>
              </w:rPr>
              <w:t xml:space="preserve">Interests on government bonds fell. </w:t>
            </w:r>
          </w:p>
        </w:tc>
        <w:tc>
          <w:tcPr>
            <w:tcW w:w="230" w:type="dxa"/>
            <w:shd w:val="clear" w:color="auto" w:fill="auto"/>
            <w:tcMar>
              <w:left w:w="0" w:type="dxa"/>
            </w:tcMar>
          </w:tcPr>
          <w:p w:rsidR="00A113A4" w:rsidRPr="00A17559" w:rsidRDefault="00A113A4" w:rsidP="00A113A4">
            <w:pPr>
              <w:pStyle w:val="Textpoznpodarou"/>
              <w:jc w:val="both"/>
              <w:rPr>
                <w:spacing w:val="-4"/>
                <w:lang w:val="en-GB"/>
              </w:rPr>
            </w:pPr>
          </w:p>
        </w:tc>
        <w:tc>
          <w:tcPr>
            <w:tcW w:w="7610" w:type="dxa"/>
            <w:shd w:val="clear" w:color="auto" w:fill="auto"/>
            <w:tcMar>
              <w:left w:w="0" w:type="dxa"/>
            </w:tcMar>
          </w:tcPr>
          <w:p w:rsidR="00A113A4" w:rsidRPr="00A17559" w:rsidRDefault="00D419C9" w:rsidP="00725611">
            <w:pPr>
              <w:rPr>
                <w:spacing w:val="-1"/>
                <w:lang w:val="en-GB"/>
              </w:rPr>
            </w:pPr>
            <w:r w:rsidRPr="00A17559">
              <w:rPr>
                <w:spacing w:val="-1"/>
                <w:lang w:val="en-GB"/>
              </w:rPr>
              <w:t xml:space="preserve">Interbank interest rates also naturally reacted </w:t>
            </w:r>
            <w:r w:rsidR="00725611" w:rsidRPr="00A17559">
              <w:rPr>
                <w:spacing w:val="-1"/>
                <w:lang w:val="en-GB"/>
              </w:rPr>
              <w:t>to</w:t>
            </w:r>
            <w:r w:rsidRPr="00A17559">
              <w:rPr>
                <w:spacing w:val="-1"/>
                <w:lang w:val="en-GB"/>
              </w:rPr>
              <w:t xml:space="preserve"> the growth of the monetary policy-relevant rates. Three-months </w:t>
            </w:r>
            <w:r w:rsidR="00A113A4" w:rsidRPr="00A17559">
              <w:rPr>
                <w:spacing w:val="-1"/>
                <w:lang w:val="en-GB"/>
              </w:rPr>
              <w:t>PRIBOR</w:t>
            </w:r>
            <w:r w:rsidRPr="00A17559">
              <w:rPr>
                <w:spacing w:val="-1"/>
                <w:lang w:val="en-GB"/>
              </w:rPr>
              <w:t xml:space="preserve"> rate </w:t>
            </w:r>
            <w:r w:rsidR="009716DE" w:rsidRPr="00A17559">
              <w:rPr>
                <w:spacing w:val="-1"/>
                <w:lang w:val="en-GB"/>
              </w:rPr>
              <w:t xml:space="preserve">increased by </w:t>
            </w:r>
            <w:r w:rsidR="00A113A4" w:rsidRPr="00A17559">
              <w:rPr>
                <w:spacing w:val="-1"/>
                <w:lang w:val="en-GB"/>
              </w:rPr>
              <w:t>0</w:t>
            </w:r>
            <w:r w:rsidR="009716DE" w:rsidRPr="00A17559">
              <w:rPr>
                <w:spacing w:val="-1"/>
                <w:lang w:val="en-GB"/>
              </w:rPr>
              <w:t>.</w:t>
            </w:r>
            <w:r w:rsidR="00A113A4" w:rsidRPr="00A17559">
              <w:rPr>
                <w:spacing w:val="-1"/>
                <w:lang w:val="en-GB"/>
              </w:rPr>
              <w:t>14</w:t>
            </w:r>
            <w:r w:rsidR="00403F57" w:rsidRPr="00A17559">
              <w:rPr>
                <w:spacing w:val="-1"/>
                <w:lang w:val="en-GB"/>
              </w:rPr>
              <w:t> p.</w:t>
            </w:r>
            <w:r w:rsidR="009716DE" w:rsidRPr="00A17559">
              <w:rPr>
                <w:spacing w:val="-1"/>
                <w:lang w:val="en-GB"/>
              </w:rPr>
              <w:t>p</w:t>
            </w:r>
            <w:r w:rsidR="00403F57" w:rsidRPr="00A17559">
              <w:rPr>
                <w:spacing w:val="-1"/>
                <w:lang w:val="en-GB"/>
              </w:rPr>
              <w:t>.</w:t>
            </w:r>
            <w:r w:rsidR="009716DE" w:rsidRPr="00A17559">
              <w:rPr>
                <w:spacing w:val="-1"/>
                <w:lang w:val="en-GB"/>
              </w:rPr>
              <w:t xml:space="preserve"> to </w:t>
            </w:r>
            <w:r w:rsidR="00A113A4" w:rsidRPr="00A17559">
              <w:rPr>
                <w:spacing w:val="-1"/>
                <w:lang w:val="en-GB"/>
              </w:rPr>
              <w:t>2</w:t>
            </w:r>
            <w:r w:rsidR="009716DE" w:rsidRPr="00A17559">
              <w:rPr>
                <w:spacing w:val="-1"/>
                <w:lang w:val="en-GB"/>
              </w:rPr>
              <w:t>.</w:t>
            </w:r>
            <w:r w:rsidR="00A113A4" w:rsidRPr="00A17559">
              <w:rPr>
                <w:spacing w:val="-1"/>
                <w:lang w:val="en-GB"/>
              </w:rPr>
              <w:t>17</w:t>
            </w:r>
            <w:r w:rsidR="00403F57" w:rsidRPr="00A17559">
              <w:rPr>
                <w:spacing w:val="-1"/>
                <w:lang w:val="en-GB"/>
              </w:rPr>
              <w:t>%</w:t>
            </w:r>
            <w:r w:rsidR="009716DE" w:rsidRPr="00A17559">
              <w:rPr>
                <w:spacing w:val="-1"/>
                <w:lang w:val="en-GB"/>
              </w:rPr>
              <w:t xml:space="preserve"> during Q2</w:t>
            </w:r>
            <w:r w:rsidR="00A113A4" w:rsidRPr="00A17559">
              <w:rPr>
                <w:spacing w:val="-1"/>
                <w:lang w:val="en-GB"/>
              </w:rPr>
              <w:t xml:space="preserve">. </w:t>
            </w:r>
            <w:r w:rsidRPr="00A17559">
              <w:rPr>
                <w:spacing w:val="-1"/>
                <w:lang w:val="en-GB"/>
              </w:rPr>
              <w:t xml:space="preserve">In the opposite direction, the yields of bonds were decreasing, specifically for all types of maturities. Short term government bonds </w:t>
            </w:r>
            <w:r w:rsidR="00A113A4" w:rsidRPr="00A17559">
              <w:rPr>
                <w:spacing w:val="-1"/>
                <w:lang w:val="en-GB"/>
              </w:rPr>
              <w:t>(</w:t>
            </w:r>
            <w:r w:rsidR="00403F57" w:rsidRPr="00A17559">
              <w:rPr>
                <w:spacing w:val="-1"/>
                <w:lang w:val="en-GB"/>
              </w:rPr>
              <w:t>2 </w:t>
            </w:r>
            <w:r w:rsidR="009716DE" w:rsidRPr="00A17559">
              <w:rPr>
                <w:spacing w:val="-1"/>
                <w:lang w:val="en-GB"/>
              </w:rPr>
              <w:t>years</w:t>
            </w:r>
            <w:r w:rsidR="00A113A4" w:rsidRPr="00A17559">
              <w:rPr>
                <w:spacing w:val="-1"/>
                <w:lang w:val="en-GB"/>
              </w:rPr>
              <w:t>)</w:t>
            </w:r>
            <w:r w:rsidR="00821DA9" w:rsidRPr="00A17559">
              <w:rPr>
                <w:spacing w:val="-1"/>
                <w:lang w:val="en-GB"/>
              </w:rPr>
              <w:t xml:space="preserve"> bore interest </w:t>
            </w:r>
            <w:r w:rsidR="00A113A4" w:rsidRPr="00A17559">
              <w:rPr>
                <w:spacing w:val="-1"/>
                <w:lang w:val="en-GB"/>
              </w:rPr>
              <w:t>1</w:t>
            </w:r>
            <w:r w:rsidR="00821DA9" w:rsidRPr="00A17559">
              <w:rPr>
                <w:spacing w:val="-1"/>
                <w:lang w:val="en-GB"/>
              </w:rPr>
              <w:t>.</w:t>
            </w:r>
            <w:r w:rsidR="00A113A4" w:rsidRPr="00A17559">
              <w:rPr>
                <w:spacing w:val="-1"/>
                <w:lang w:val="en-GB"/>
              </w:rPr>
              <w:t>52</w:t>
            </w:r>
            <w:r w:rsidR="00403F57" w:rsidRPr="00A17559">
              <w:rPr>
                <w:spacing w:val="-1"/>
                <w:lang w:val="en-GB"/>
              </w:rPr>
              <w:t>%</w:t>
            </w:r>
            <w:r w:rsidR="00821DA9" w:rsidRPr="00A17559">
              <w:rPr>
                <w:spacing w:val="-1"/>
                <w:lang w:val="en-GB"/>
              </w:rPr>
              <w:t xml:space="preserve"> as of 30.6.</w:t>
            </w:r>
            <w:r w:rsidR="00A113A4" w:rsidRPr="00A17559">
              <w:rPr>
                <w:spacing w:val="-1"/>
                <w:lang w:val="en-GB"/>
              </w:rPr>
              <w:t xml:space="preserve">, </w:t>
            </w:r>
            <w:r w:rsidR="00821DA9" w:rsidRPr="00A17559">
              <w:rPr>
                <w:spacing w:val="-1"/>
                <w:lang w:val="en-GB"/>
              </w:rPr>
              <w:t xml:space="preserve">by </w:t>
            </w:r>
            <w:r w:rsidR="00A113A4" w:rsidRPr="00A17559">
              <w:rPr>
                <w:spacing w:val="-1"/>
                <w:lang w:val="en-GB"/>
              </w:rPr>
              <w:t>0</w:t>
            </w:r>
            <w:r w:rsidR="00821DA9" w:rsidRPr="00A17559">
              <w:rPr>
                <w:spacing w:val="-1"/>
                <w:lang w:val="en-GB"/>
              </w:rPr>
              <w:t>.</w:t>
            </w:r>
            <w:r w:rsidR="00A113A4" w:rsidRPr="00A17559">
              <w:rPr>
                <w:spacing w:val="-1"/>
                <w:lang w:val="en-GB"/>
              </w:rPr>
              <w:t>19</w:t>
            </w:r>
            <w:r w:rsidR="00403F57" w:rsidRPr="00A17559">
              <w:rPr>
                <w:spacing w:val="-1"/>
                <w:lang w:val="en-GB"/>
              </w:rPr>
              <w:t> p.</w:t>
            </w:r>
            <w:r w:rsidR="00821DA9" w:rsidRPr="00A17559">
              <w:rPr>
                <w:spacing w:val="-1"/>
                <w:lang w:val="en-GB"/>
              </w:rPr>
              <w:t>p</w:t>
            </w:r>
            <w:r w:rsidR="00403F57" w:rsidRPr="00A17559">
              <w:rPr>
                <w:spacing w:val="-1"/>
                <w:lang w:val="en-GB"/>
              </w:rPr>
              <w:t>.</w:t>
            </w:r>
            <w:r w:rsidR="00821DA9" w:rsidRPr="00A17559">
              <w:rPr>
                <w:spacing w:val="-1"/>
                <w:lang w:val="en-GB"/>
              </w:rPr>
              <w:t xml:space="preserve"> less compared to the end of March. Medium term bonds </w:t>
            </w:r>
            <w:r w:rsidR="00A113A4" w:rsidRPr="00A17559">
              <w:rPr>
                <w:spacing w:val="-1"/>
                <w:lang w:val="en-GB"/>
              </w:rPr>
              <w:t>(</w:t>
            </w:r>
            <w:r w:rsidR="00403F57" w:rsidRPr="00A17559">
              <w:rPr>
                <w:spacing w:val="-1"/>
                <w:lang w:val="en-GB"/>
              </w:rPr>
              <w:t>5 </w:t>
            </w:r>
            <w:r w:rsidR="00661EFC" w:rsidRPr="00A17559">
              <w:rPr>
                <w:spacing w:val="-1"/>
                <w:lang w:val="en-GB"/>
              </w:rPr>
              <w:t>years</w:t>
            </w:r>
            <w:r w:rsidR="00A113A4" w:rsidRPr="00A17559">
              <w:rPr>
                <w:spacing w:val="-1"/>
                <w:lang w:val="en-GB"/>
              </w:rPr>
              <w:t>)</w:t>
            </w:r>
            <w:r w:rsidR="00821DA9" w:rsidRPr="00A17559">
              <w:rPr>
                <w:spacing w:val="-1"/>
                <w:lang w:val="en-GB"/>
              </w:rPr>
              <w:t xml:space="preserve"> featured more significant fall </w:t>
            </w:r>
            <w:r w:rsidR="00A113A4" w:rsidRPr="00A17559">
              <w:rPr>
                <w:spacing w:val="-1"/>
                <w:lang w:val="en-GB"/>
              </w:rPr>
              <w:t>–</w:t>
            </w:r>
            <w:r w:rsidR="005C2B30" w:rsidRPr="00A17559">
              <w:rPr>
                <w:spacing w:val="-1"/>
                <w:lang w:val="en-GB"/>
              </w:rPr>
              <w:t> </w:t>
            </w:r>
            <w:r w:rsidR="00821DA9" w:rsidRPr="00A17559">
              <w:rPr>
                <w:spacing w:val="-1"/>
                <w:lang w:val="en-GB"/>
              </w:rPr>
              <w:t>by</w:t>
            </w:r>
            <w:r w:rsidR="002F1B09" w:rsidRPr="00A17559">
              <w:rPr>
                <w:spacing w:val="-1"/>
                <w:lang w:val="en-GB"/>
              </w:rPr>
              <w:t> </w:t>
            </w:r>
            <w:r w:rsidR="00A113A4" w:rsidRPr="00A17559">
              <w:rPr>
                <w:spacing w:val="-1"/>
                <w:lang w:val="en-GB"/>
              </w:rPr>
              <w:t>0</w:t>
            </w:r>
            <w:r w:rsidR="00821DA9" w:rsidRPr="00A17559">
              <w:rPr>
                <w:spacing w:val="-1"/>
                <w:lang w:val="en-GB"/>
              </w:rPr>
              <w:t>.</w:t>
            </w:r>
            <w:r w:rsidR="00A113A4" w:rsidRPr="00A17559">
              <w:rPr>
                <w:spacing w:val="-1"/>
                <w:lang w:val="en-GB"/>
              </w:rPr>
              <w:t>27</w:t>
            </w:r>
            <w:r w:rsidR="00403F57" w:rsidRPr="00A17559">
              <w:rPr>
                <w:spacing w:val="-1"/>
                <w:lang w:val="en-GB"/>
              </w:rPr>
              <w:t> p.</w:t>
            </w:r>
            <w:r w:rsidR="00821DA9" w:rsidRPr="00A17559">
              <w:rPr>
                <w:spacing w:val="-1"/>
                <w:lang w:val="en-GB"/>
              </w:rPr>
              <w:t>p</w:t>
            </w:r>
            <w:r w:rsidR="00403F57" w:rsidRPr="00A17559">
              <w:rPr>
                <w:spacing w:val="-1"/>
                <w:lang w:val="en-GB"/>
              </w:rPr>
              <w:t>.</w:t>
            </w:r>
            <w:r w:rsidR="00821DA9" w:rsidRPr="00A17559">
              <w:rPr>
                <w:spacing w:val="-1"/>
                <w:lang w:val="en-GB"/>
              </w:rPr>
              <w:t xml:space="preserve"> to </w:t>
            </w:r>
            <w:r w:rsidR="00A113A4" w:rsidRPr="00A17559">
              <w:rPr>
                <w:spacing w:val="-1"/>
                <w:lang w:val="en-GB"/>
              </w:rPr>
              <w:t>1</w:t>
            </w:r>
            <w:r w:rsidR="00821DA9" w:rsidRPr="00A17559">
              <w:rPr>
                <w:spacing w:val="-1"/>
                <w:lang w:val="en-GB"/>
              </w:rPr>
              <w:t>.</w:t>
            </w:r>
            <w:r w:rsidR="00A113A4" w:rsidRPr="00A17559">
              <w:rPr>
                <w:spacing w:val="-1"/>
                <w:lang w:val="en-GB"/>
              </w:rPr>
              <w:t xml:space="preserve">43%. </w:t>
            </w:r>
            <w:r w:rsidR="00A0239B" w:rsidRPr="00A17559">
              <w:rPr>
                <w:spacing w:val="-1"/>
                <w:lang w:val="en-GB"/>
              </w:rPr>
              <w:t xml:space="preserve">Yield on long-term bonds decreased by </w:t>
            </w:r>
            <w:r w:rsidR="00A113A4" w:rsidRPr="00A17559">
              <w:rPr>
                <w:spacing w:val="-1"/>
                <w:lang w:val="en-GB"/>
              </w:rPr>
              <w:t>0</w:t>
            </w:r>
            <w:r w:rsidR="00A0239B" w:rsidRPr="00A17559">
              <w:rPr>
                <w:spacing w:val="-1"/>
                <w:lang w:val="en-GB"/>
              </w:rPr>
              <w:t>.</w:t>
            </w:r>
            <w:r w:rsidR="00A113A4" w:rsidRPr="00A17559">
              <w:rPr>
                <w:spacing w:val="-1"/>
                <w:lang w:val="en-GB"/>
              </w:rPr>
              <w:t>24</w:t>
            </w:r>
            <w:r w:rsidR="00403F57" w:rsidRPr="00A17559">
              <w:rPr>
                <w:spacing w:val="-1"/>
                <w:lang w:val="en-GB"/>
              </w:rPr>
              <w:t> p.</w:t>
            </w:r>
            <w:r w:rsidR="00A0239B" w:rsidRPr="00A17559">
              <w:rPr>
                <w:spacing w:val="-1"/>
                <w:lang w:val="en-GB"/>
              </w:rPr>
              <w:t>p</w:t>
            </w:r>
            <w:r w:rsidR="00403F57" w:rsidRPr="00A17559">
              <w:rPr>
                <w:spacing w:val="-1"/>
                <w:lang w:val="en-GB"/>
              </w:rPr>
              <w:t>.</w:t>
            </w:r>
            <w:r w:rsidR="00A113A4" w:rsidRPr="00A17559">
              <w:rPr>
                <w:spacing w:val="-1"/>
                <w:lang w:val="en-GB"/>
              </w:rPr>
              <w:t xml:space="preserve"> </w:t>
            </w:r>
            <w:r w:rsidR="00A0239B" w:rsidRPr="00A17559">
              <w:rPr>
                <w:spacing w:val="-1"/>
                <w:lang w:val="en-GB"/>
              </w:rPr>
              <w:t xml:space="preserve">to </w:t>
            </w:r>
            <w:r w:rsidR="00A113A4" w:rsidRPr="00A17559">
              <w:rPr>
                <w:spacing w:val="-1"/>
                <w:lang w:val="en-GB"/>
              </w:rPr>
              <w:t>1</w:t>
            </w:r>
            <w:r w:rsidR="00A0239B" w:rsidRPr="00A17559">
              <w:rPr>
                <w:spacing w:val="-1"/>
                <w:lang w:val="en-GB"/>
              </w:rPr>
              <w:t>.</w:t>
            </w:r>
            <w:r w:rsidR="00A113A4" w:rsidRPr="00A17559">
              <w:rPr>
                <w:spacing w:val="-1"/>
                <w:lang w:val="en-GB"/>
              </w:rPr>
              <w:t>58</w:t>
            </w:r>
            <w:r w:rsidR="00403F57" w:rsidRPr="00A17559">
              <w:rPr>
                <w:spacing w:val="-1"/>
                <w:lang w:val="en-GB"/>
              </w:rPr>
              <w:t>%</w:t>
            </w:r>
            <w:r w:rsidR="00A113A4" w:rsidRPr="00A17559">
              <w:rPr>
                <w:spacing w:val="-1"/>
                <w:lang w:val="en-GB"/>
              </w:rPr>
              <w:t>.</w:t>
            </w:r>
            <w:r w:rsidR="00A0239B" w:rsidRPr="00A17559">
              <w:rPr>
                <w:spacing w:val="-1"/>
                <w:lang w:val="en-GB"/>
              </w:rPr>
              <w:t xml:space="preserve"> Euro area bonds were also characterised by falling trend – the short term ones aimed deeper below the zero level </w:t>
            </w:r>
            <w:r w:rsidR="00A113A4" w:rsidRPr="00A17559">
              <w:rPr>
                <w:spacing w:val="-1"/>
                <w:lang w:val="en-GB"/>
              </w:rPr>
              <w:t>(</w:t>
            </w:r>
            <w:r w:rsidR="005C2B30" w:rsidRPr="00A17559">
              <w:rPr>
                <w:spacing w:val="-1"/>
                <w:lang w:val="en-GB"/>
              </w:rPr>
              <w:t>–</w:t>
            </w:r>
            <w:r w:rsidR="00A113A4" w:rsidRPr="00A17559">
              <w:rPr>
                <w:spacing w:val="-1"/>
                <w:lang w:val="en-GB"/>
              </w:rPr>
              <w:t>0</w:t>
            </w:r>
            <w:r w:rsidR="00A0239B" w:rsidRPr="00A17559">
              <w:rPr>
                <w:spacing w:val="-1"/>
                <w:lang w:val="en-GB"/>
              </w:rPr>
              <w:t>.</w:t>
            </w:r>
            <w:r w:rsidR="00A113A4" w:rsidRPr="00A17559">
              <w:rPr>
                <w:spacing w:val="-1"/>
                <w:lang w:val="en-GB"/>
              </w:rPr>
              <w:t>34</w:t>
            </w:r>
            <w:r w:rsidR="00403F57" w:rsidRPr="00A17559">
              <w:rPr>
                <w:spacing w:val="-1"/>
                <w:lang w:val="en-GB"/>
              </w:rPr>
              <w:t>%</w:t>
            </w:r>
            <w:r w:rsidR="00A0239B" w:rsidRPr="00A17559">
              <w:rPr>
                <w:spacing w:val="-1"/>
                <w:lang w:val="en-GB"/>
              </w:rPr>
              <w:t xml:space="preserve"> as of </w:t>
            </w:r>
            <w:r w:rsidR="00A113A4" w:rsidRPr="00A17559">
              <w:rPr>
                <w:spacing w:val="-1"/>
                <w:lang w:val="en-GB"/>
              </w:rPr>
              <w:t>3</w:t>
            </w:r>
            <w:r w:rsidR="004A5D4E" w:rsidRPr="00A17559">
              <w:rPr>
                <w:spacing w:val="-1"/>
                <w:lang w:val="en-GB"/>
              </w:rPr>
              <w:t>0.</w:t>
            </w:r>
            <w:r w:rsidR="00A113A4" w:rsidRPr="00A17559">
              <w:rPr>
                <w:spacing w:val="-1"/>
                <w:lang w:val="en-GB"/>
              </w:rPr>
              <w:t>6.).</w:t>
            </w:r>
          </w:p>
        </w:tc>
      </w:tr>
      <w:tr w:rsidR="00A113A4" w:rsidRPr="00A17559" w:rsidTr="00F23826">
        <w:trPr>
          <w:trHeight w:val="145"/>
        </w:trPr>
        <w:tc>
          <w:tcPr>
            <w:tcW w:w="1799" w:type="dxa"/>
            <w:shd w:val="clear" w:color="auto" w:fill="auto"/>
            <w:tcMar>
              <w:left w:w="0" w:type="dxa"/>
            </w:tcMar>
          </w:tcPr>
          <w:p w:rsidR="00A113A4" w:rsidRPr="00A17559" w:rsidRDefault="000A4A20" w:rsidP="000A4A20">
            <w:pPr>
              <w:pStyle w:val="Marginlie"/>
              <w:rPr>
                <w:lang w:val="en-GB"/>
              </w:rPr>
            </w:pPr>
            <w:r w:rsidRPr="00A17559">
              <w:rPr>
                <w:lang w:val="en-GB"/>
              </w:rPr>
              <w:t xml:space="preserve">Interest rates on deposits with agreed maturity continued to grow. </w:t>
            </w:r>
          </w:p>
        </w:tc>
        <w:tc>
          <w:tcPr>
            <w:tcW w:w="230" w:type="dxa"/>
            <w:shd w:val="clear" w:color="auto" w:fill="auto"/>
            <w:tcMar>
              <w:left w:w="0" w:type="dxa"/>
            </w:tcMar>
          </w:tcPr>
          <w:p w:rsidR="00A113A4" w:rsidRPr="00A17559" w:rsidRDefault="00A113A4" w:rsidP="00A113A4">
            <w:pPr>
              <w:pStyle w:val="Textpoznpodarou"/>
              <w:jc w:val="both"/>
              <w:rPr>
                <w:spacing w:val="-4"/>
                <w:lang w:val="en-GB"/>
              </w:rPr>
            </w:pPr>
          </w:p>
        </w:tc>
        <w:tc>
          <w:tcPr>
            <w:tcW w:w="7610" w:type="dxa"/>
            <w:shd w:val="clear" w:color="auto" w:fill="auto"/>
            <w:tcMar>
              <w:left w:w="0" w:type="dxa"/>
            </w:tcMar>
          </w:tcPr>
          <w:p w:rsidR="00A113A4" w:rsidRPr="00A17559" w:rsidRDefault="009716DE" w:rsidP="003D4A29">
            <w:pPr>
              <w:rPr>
                <w:spacing w:val="-4"/>
                <w:lang w:val="en-GB"/>
              </w:rPr>
            </w:pPr>
            <w:r w:rsidRPr="00A17559">
              <w:rPr>
                <w:spacing w:val="-3"/>
                <w:lang w:val="en-GB"/>
              </w:rPr>
              <w:t>Development of interest rates on client accounts did not divert from trends set in the last year. Interest rates on the current accounts of households remained practically unchange</w:t>
            </w:r>
            <w:r w:rsidR="00890C49" w:rsidRPr="00A17559">
              <w:rPr>
                <w:spacing w:val="-3"/>
                <w:lang w:val="en-GB"/>
              </w:rPr>
              <w:t>d</w:t>
            </w:r>
            <w:r w:rsidRPr="00A17559">
              <w:rPr>
                <w:spacing w:val="-3"/>
                <w:lang w:val="en-GB"/>
              </w:rPr>
              <w:t xml:space="preserve"> </w:t>
            </w:r>
            <w:r w:rsidR="00A113A4" w:rsidRPr="00A17559">
              <w:rPr>
                <w:spacing w:val="-3"/>
                <w:lang w:val="en-GB"/>
              </w:rPr>
              <w:t>(0</w:t>
            </w:r>
            <w:r w:rsidRPr="00A17559">
              <w:rPr>
                <w:spacing w:val="-3"/>
                <w:lang w:val="en-GB"/>
              </w:rPr>
              <w:t>.</w:t>
            </w:r>
            <w:r w:rsidR="00A113A4" w:rsidRPr="00A17559">
              <w:rPr>
                <w:spacing w:val="-3"/>
                <w:lang w:val="en-GB"/>
              </w:rPr>
              <w:t>05</w:t>
            </w:r>
            <w:r w:rsidR="00403F57" w:rsidRPr="00A17559">
              <w:rPr>
                <w:spacing w:val="-3"/>
                <w:lang w:val="en-GB"/>
              </w:rPr>
              <w:t>%</w:t>
            </w:r>
            <w:r w:rsidRPr="00A17559">
              <w:rPr>
                <w:spacing w:val="-3"/>
                <w:lang w:val="en-GB"/>
              </w:rPr>
              <w:t xml:space="preserve"> to </w:t>
            </w:r>
            <w:r w:rsidR="00A113A4" w:rsidRPr="00A17559">
              <w:rPr>
                <w:spacing w:val="-3"/>
                <w:lang w:val="en-GB"/>
              </w:rPr>
              <w:t>3</w:t>
            </w:r>
            <w:r w:rsidR="004A5D4E" w:rsidRPr="00A17559">
              <w:rPr>
                <w:spacing w:val="-3"/>
                <w:lang w:val="en-GB"/>
              </w:rPr>
              <w:t>0.</w:t>
            </w:r>
            <w:r w:rsidR="00A113A4" w:rsidRPr="00A17559">
              <w:rPr>
                <w:spacing w:val="-3"/>
                <w:lang w:val="en-GB"/>
              </w:rPr>
              <w:t xml:space="preserve">6.). </w:t>
            </w:r>
            <w:r w:rsidR="00FD67AF">
              <w:rPr>
                <w:spacing w:val="-3"/>
                <w:lang w:val="en-GB"/>
              </w:rPr>
              <w:t>On</w:t>
            </w:r>
            <w:r w:rsidR="00890C49" w:rsidRPr="00A17559">
              <w:rPr>
                <w:spacing w:val="-3"/>
                <w:lang w:val="en-GB"/>
              </w:rPr>
              <w:t xml:space="preserve"> the contrary, the interests on deposits with agreed maturity mildly rose</w:t>
            </w:r>
            <w:r w:rsidR="00A113A4" w:rsidRPr="00A17559">
              <w:rPr>
                <w:spacing w:val="-3"/>
                <w:lang w:val="en-GB"/>
              </w:rPr>
              <w:t xml:space="preserve"> (</w:t>
            </w:r>
            <w:r w:rsidR="00537B61" w:rsidRPr="00A17559">
              <w:rPr>
                <w:spacing w:val="-3"/>
                <w:lang w:val="en-GB"/>
              </w:rPr>
              <w:t xml:space="preserve">by </w:t>
            </w:r>
            <w:r w:rsidR="00A113A4" w:rsidRPr="00A17559">
              <w:rPr>
                <w:spacing w:val="-3"/>
                <w:lang w:val="en-GB"/>
              </w:rPr>
              <w:t>0</w:t>
            </w:r>
            <w:r w:rsidR="00537B61" w:rsidRPr="00A17559">
              <w:rPr>
                <w:spacing w:val="-3"/>
                <w:lang w:val="en-GB"/>
              </w:rPr>
              <w:t>.</w:t>
            </w:r>
            <w:r w:rsidR="00A113A4" w:rsidRPr="00A17559">
              <w:rPr>
                <w:spacing w:val="-3"/>
                <w:lang w:val="en-GB"/>
              </w:rPr>
              <w:t>08</w:t>
            </w:r>
            <w:r w:rsidR="00403F57" w:rsidRPr="00A17559">
              <w:rPr>
                <w:spacing w:val="-3"/>
                <w:lang w:val="en-GB"/>
              </w:rPr>
              <w:t> p.</w:t>
            </w:r>
            <w:r w:rsidR="00537B61" w:rsidRPr="00A17559">
              <w:rPr>
                <w:spacing w:val="-3"/>
                <w:lang w:val="en-GB"/>
              </w:rPr>
              <w:t>p</w:t>
            </w:r>
            <w:r w:rsidR="00403F57" w:rsidRPr="00A17559">
              <w:rPr>
                <w:spacing w:val="-3"/>
                <w:lang w:val="en-GB"/>
              </w:rPr>
              <w:t>.</w:t>
            </w:r>
            <w:r w:rsidR="00537B61" w:rsidRPr="00A17559">
              <w:rPr>
                <w:spacing w:val="-3"/>
                <w:lang w:val="en-GB"/>
              </w:rPr>
              <w:t xml:space="preserve"> to </w:t>
            </w:r>
            <w:r w:rsidR="00A113A4" w:rsidRPr="00A17559">
              <w:rPr>
                <w:spacing w:val="-3"/>
                <w:lang w:val="en-GB"/>
              </w:rPr>
              <w:t>1</w:t>
            </w:r>
            <w:r w:rsidR="00537B61" w:rsidRPr="00A17559">
              <w:rPr>
                <w:spacing w:val="-3"/>
                <w:lang w:val="en-GB"/>
              </w:rPr>
              <w:t>.</w:t>
            </w:r>
            <w:r w:rsidR="00A113A4" w:rsidRPr="00A17559">
              <w:rPr>
                <w:spacing w:val="-3"/>
                <w:lang w:val="en-GB"/>
              </w:rPr>
              <w:t>54</w:t>
            </w:r>
            <w:r w:rsidR="00403F57" w:rsidRPr="00A17559">
              <w:rPr>
                <w:spacing w:val="-3"/>
                <w:lang w:val="en-GB"/>
              </w:rPr>
              <w:t>%</w:t>
            </w:r>
            <w:r w:rsidR="00537B61" w:rsidRPr="00A17559">
              <w:rPr>
                <w:spacing w:val="-3"/>
                <w:lang w:val="en-GB"/>
              </w:rPr>
              <w:t xml:space="preserve"> as of </w:t>
            </w:r>
            <w:r w:rsidR="00A113A4" w:rsidRPr="00A17559">
              <w:rPr>
                <w:spacing w:val="-3"/>
                <w:lang w:val="en-GB"/>
              </w:rPr>
              <w:t>3</w:t>
            </w:r>
            <w:r w:rsidR="004A5D4E" w:rsidRPr="00A17559">
              <w:rPr>
                <w:spacing w:val="-3"/>
                <w:lang w:val="en-GB"/>
              </w:rPr>
              <w:t>0.</w:t>
            </w:r>
            <w:r w:rsidR="00A113A4" w:rsidRPr="00A17559">
              <w:rPr>
                <w:spacing w:val="-3"/>
                <w:lang w:val="en-GB"/>
              </w:rPr>
              <w:t>6.)</w:t>
            </w:r>
            <w:r w:rsidR="00890C49" w:rsidRPr="00A17559">
              <w:rPr>
                <w:spacing w:val="-3"/>
                <w:lang w:val="en-GB"/>
              </w:rPr>
              <w:t xml:space="preserve"> also in Q2</w:t>
            </w:r>
            <w:r w:rsidR="00A113A4" w:rsidRPr="00A17559">
              <w:rPr>
                <w:spacing w:val="-3"/>
                <w:lang w:val="en-GB"/>
              </w:rPr>
              <w:t>.</w:t>
            </w:r>
            <w:r w:rsidR="00537B61" w:rsidRPr="00A17559">
              <w:rPr>
                <w:spacing w:val="-3"/>
                <w:lang w:val="en-GB"/>
              </w:rPr>
              <w:t xml:space="preserve"> </w:t>
            </w:r>
            <w:r w:rsidR="00472177" w:rsidRPr="00A17559">
              <w:rPr>
                <w:spacing w:val="-3"/>
                <w:lang w:val="en-GB"/>
              </w:rPr>
              <w:t>Exclusively the rates on accounts with agreed maturity up to 1 year (inclusive)</w:t>
            </w:r>
            <w:r w:rsidR="00725611" w:rsidRPr="00A17559">
              <w:rPr>
                <w:spacing w:val="-3"/>
                <w:lang w:val="en-GB"/>
              </w:rPr>
              <w:t xml:space="preserve"> grew</w:t>
            </w:r>
            <w:r w:rsidR="00A113A4" w:rsidRPr="00A17559">
              <w:rPr>
                <w:spacing w:val="-3"/>
                <w:lang w:val="en-GB"/>
              </w:rPr>
              <w:t>, o</w:t>
            </w:r>
            <w:r w:rsidR="00537B61" w:rsidRPr="00A17559">
              <w:rPr>
                <w:spacing w:val="-3"/>
                <w:lang w:val="en-GB"/>
              </w:rPr>
              <w:t xml:space="preserve">ther maturities recorded </w:t>
            </w:r>
            <w:r w:rsidR="00890C49" w:rsidRPr="00A17559">
              <w:rPr>
                <w:spacing w:val="-3"/>
                <w:lang w:val="en-GB"/>
              </w:rPr>
              <w:t>a decrease in Q</w:t>
            </w:r>
            <w:r w:rsidR="004A5D4E" w:rsidRPr="00A17559">
              <w:rPr>
                <w:spacing w:val="-3"/>
                <w:lang w:val="en-GB"/>
              </w:rPr>
              <w:t>2.</w:t>
            </w:r>
            <w:r w:rsidR="00890C49" w:rsidRPr="00A17559">
              <w:rPr>
                <w:spacing w:val="-3"/>
                <w:lang w:val="en-GB"/>
              </w:rPr>
              <w:t xml:space="preserve"> </w:t>
            </w:r>
            <w:r w:rsidR="005F6D7C" w:rsidRPr="00A17559">
              <w:rPr>
                <w:spacing w:val="-3"/>
                <w:lang w:val="en-GB"/>
              </w:rPr>
              <w:t xml:space="preserve">Interest rates on current accounts of non-financial businesses followed a different path. </w:t>
            </w:r>
            <w:r w:rsidR="00A113A4" w:rsidRPr="00A17559">
              <w:rPr>
                <w:spacing w:val="-3"/>
                <w:lang w:val="en-GB"/>
              </w:rPr>
              <w:t>T</w:t>
            </w:r>
            <w:r w:rsidR="003D4A29" w:rsidRPr="00A17559">
              <w:rPr>
                <w:spacing w:val="-3"/>
                <w:lang w:val="en-GB"/>
              </w:rPr>
              <w:t xml:space="preserve">hey were rising five quarters in a row and attained on average 0.22% as of </w:t>
            </w:r>
            <w:r w:rsidR="00A113A4" w:rsidRPr="00A17559">
              <w:rPr>
                <w:spacing w:val="-3"/>
                <w:lang w:val="en-GB"/>
              </w:rPr>
              <w:t>3</w:t>
            </w:r>
            <w:r w:rsidR="004A5D4E" w:rsidRPr="00A17559">
              <w:rPr>
                <w:spacing w:val="-3"/>
                <w:lang w:val="en-GB"/>
              </w:rPr>
              <w:t>0.6.</w:t>
            </w:r>
            <w:r w:rsidR="003D4A29" w:rsidRPr="00A17559">
              <w:rPr>
                <w:spacing w:val="-3"/>
                <w:lang w:val="en-GB"/>
              </w:rPr>
              <w:t xml:space="preserve"> For non-financial businesses, interest rates also increased on deposits with agreed maturity </w:t>
            </w:r>
            <w:r w:rsidR="00A113A4" w:rsidRPr="00A17559">
              <w:rPr>
                <w:spacing w:val="-3"/>
                <w:lang w:val="en-GB"/>
              </w:rPr>
              <w:t>(</w:t>
            </w:r>
            <w:r w:rsidR="003D4A29" w:rsidRPr="00A17559">
              <w:rPr>
                <w:spacing w:val="-3"/>
                <w:lang w:val="en-GB"/>
              </w:rPr>
              <w:t xml:space="preserve">by </w:t>
            </w:r>
            <w:r w:rsidR="00A113A4" w:rsidRPr="00A17559">
              <w:rPr>
                <w:spacing w:val="-3"/>
                <w:lang w:val="en-GB"/>
              </w:rPr>
              <w:t>0</w:t>
            </w:r>
            <w:r w:rsidR="003D4A29" w:rsidRPr="00A17559">
              <w:rPr>
                <w:spacing w:val="-3"/>
                <w:lang w:val="en-GB"/>
              </w:rPr>
              <w:t>.</w:t>
            </w:r>
            <w:r w:rsidR="00A113A4" w:rsidRPr="00A17559">
              <w:rPr>
                <w:spacing w:val="-3"/>
                <w:lang w:val="en-GB"/>
              </w:rPr>
              <w:t>28</w:t>
            </w:r>
            <w:r w:rsidR="00403F57" w:rsidRPr="00A17559">
              <w:rPr>
                <w:spacing w:val="-3"/>
                <w:lang w:val="en-GB"/>
              </w:rPr>
              <w:t> p.</w:t>
            </w:r>
            <w:r w:rsidR="003D4A29" w:rsidRPr="00A17559">
              <w:rPr>
                <w:spacing w:val="-3"/>
                <w:lang w:val="en-GB"/>
              </w:rPr>
              <w:t>p</w:t>
            </w:r>
            <w:r w:rsidR="00403F57" w:rsidRPr="00A17559">
              <w:rPr>
                <w:spacing w:val="-3"/>
                <w:lang w:val="en-GB"/>
              </w:rPr>
              <w:t>.</w:t>
            </w:r>
            <w:r w:rsidR="003D4A29" w:rsidRPr="00A17559">
              <w:rPr>
                <w:spacing w:val="-3"/>
                <w:lang w:val="en-GB"/>
              </w:rPr>
              <w:t xml:space="preserve"> to </w:t>
            </w:r>
            <w:r w:rsidR="00A113A4" w:rsidRPr="00A17559">
              <w:rPr>
                <w:spacing w:val="-3"/>
                <w:lang w:val="en-GB"/>
              </w:rPr>
              <w:t>1</w:t>
            </w:r>
            <w:r w:rsidR="003D4A29" w:rsidRPr="00A17559">
              <w:rPr>
                <w:spacing w:val="-3"/>
                <w:lang w:val="en-GB"/>
              </w:rPr>
              <w:t>.</w:t>
            </w:r>
            <w:r w:rsidR="00A113A4" w:rsidRPr="00A17559">
              <w:rPr>
                <w:spacing w:val="-3"/>
                <w:lang w:val="en-GB"/>
              </w:rPr>
              <w:t>63</w:t>
            </w:r>
            <w:r w:rsidR="00403F57" w:rsidRPr="00A17559">
              <w:rPr>
                <w:spacing w:val="-3"/>
                <w:lang w:val="en-GB"/>
              </w:rPr>
              <w:t>%</w:t>
            </w:r>
            <w:r w:rsidR="003D4A29" w:rsidRPr="00A17559">
              <w:rPr>
                <w:spacing w:val="-3"/>
                <w:lang w:val="en-GB"/>
              </w:rPr>
              <w:t xml:space="preserve"> during Q2</w:t>
            </w:r>
            <w:r w:rsidR="00A113A4" w:rsidRPr="00A17559">
              <w:rPr>
                <w:spacing w:val="-3"/>
                <w:lang w:val="en-GB"/>
              </w:rPr>
              <w:t xml:space="preserve">) </w:t>
            </w:r>
            <w:r w:rsidR="003D4A29" w:rsidRPr="00A17559">
              <w:rPr>
                <w:spacing w:val="-3"/>
                <w:lang w:val="en-GB"/>
              </w:rPr>
              <w:t xml:space="preserve">as well as deposits redeemable at notice </w:t>
            </w:r>
            <w:r w:rsidR="00A113A4" w:rsidRPr="00A17559">
              <w:rPr>
                <w:spacing w:val="-3"/>
                <w:lang w:val="en-GB"/>
              </w:rPr>
              <w:t>(</w:t>
            </w:r>
            <w:r w:rsidR="003D4A29" w:rsidRPr="00A17559">
              <w:rPr>
                <w:spacing w:val="-3"/>
                <w:lang w:val="en-GB"/>
              </w:rPr>
              <w:t xml:space="preserve">by </w:t>
            </w:r>
            <w:r w:rsidR="00A113A4" w:rsidRPr="00A17559">
              <w:rPr>
                <w:spacing w:val="-3"/>
                <w:lang w:val="en-GB"/>
              </w:rPr>
              <w:t>0</w:t>
            </w:r>
            <w:r w:rsidR="003D4A29" w:rsidRPr="00A17559">
              <w:rPr>
                <w:spacing w:val="-3"/>
                <w:lang w:val="en-GB"/>
              </w:rPr>
              <w:t>.</w:t>
            </w:r>
            <w:r w:rsidR="00A113A4" w:rsidRPr="00A17559">
              <w:rPr>
                <w:spacing w:val="-3"/>
                <w:lang w:val="en-GB"/>
              </w:rPr>
              <w:t>1</w:t>
            </w:r>
            <w:r w:rsidR="00403F57" w:rsidRPr="00A17559">
              <w:rPr>
                <w:spacing w:val="-3"/>
                <w:lang w:val="en-GB"/>
              </w:rPr>
              <w:t> p.</w:t>
            </w:r>
            <w:r w:rsidR="003D4A29" w:rsidRPr="00A17559">
              <w:rPr>
                <w:spacing w:val="-3"/>
                <w:lang w:val="en-GB"/>
              </w:rPr>
              <w:t>p</w:t>
            </w:r>
            <w:r w:rsidR="00403F57" w:rsidRPr="00A17559">
              <w:rPr>
                <w:spacing w:val="-3"/>
                <w:lang w:val="en-GB"/>
              </w:rPr>
              <w:t>.</w:t>
            </w:r>
            <w:r w:rsidR="003D4A29" w:rsidRPr="00A17559">
              <w:rPr>
                <w:spacing w:val="-3"/>
                <w:lang w:val="en-GB"/>
              </w:rPr>
              <w:t xml:space="preserve"> to </w:t>
            </w:r>
            <w:r w:rsidR="00A113A4" w:rsidRPr="00A17559">
              <w:rPr>
                <w:spacing w:val="-3"/>
                <w:lang w:val="en-GB"/>
              </w:rPr>
              <w:t>1</w:t>
            </w:r>
            <w:r w:rsidR="003D4A29" w:rsidRPr="00A17559">
              <w:rPr>
                <w:spacing w:val="-3"/>
                <w:lang w:val="en-GB"/>
              </w:rPr>
              <w:t>.</w:t>
            </w:r>
            <w:r w:rsidR="00A113A4" w:rsidRPr="00A17559">
              <w:rPr>
                <w:spacing w:val="-3"/>
                <w:lang w:val="en-GB"/>
              </w:rPr>
              <w:t>35</w:t>
            </w:r>
            <w:r w:rsidR="00403F57" w:rsidRPr="00A17559">
              <w:rPr>
                <w:spacing w:val="-3"/>
                <w:lang w:val="en-GB"/>
              </w:rPr>
              <w:t>%</w:t>
            </w:r>
            <w:r w:rsidR="00A113A4" w:rsidRPr="00A17559">
              <w:rPr>
                <w:spacing w:val="-3"/>
                <w:lang w:val="en-GB"/>
              </w:rPr>
              <w:t>).</w:t>
            </w:r>
          </w:p>
        </w:tc>
      </w:tr>
      <w:tr w:rsidR="00A113A4" w:rsidRPr="00A17559" w:rsidTr="00F23826">
        <w:trPr>
          <w:trHeight w:val="145"/>
        </w:trPr>
        <w:tc>
          <w:tcPr>
            <w:tcW w:w="1799" w:type="dxa"/>
            <w:shd w:val="clear" w:color="auto" w:fill="auto"/>
            <w:tcMar>
              <w:left w:w="0" w:type="dxa"/>
            </w:tcMar>
          </w:tcPr>
          <w:p w:rsidR="00A113A4" w:rsidRPr="00A17559" w:rsidRDefault="000A4A20" w:rsidP="000A4A20">
            <w:pPr>
              <w:pStyle w:val="Marginlie"/>
              <w:rPr>
                <w:lang w:val="en-GB"/>
              </w:rPr>
            </w:pPr>
            <w:r w:rsidRPr="00A17559">
              <w:rPr>
                <w:lang w:val="en-GB"/>
              </w:rPr>
              <w:t xml:space="preserve">Volume of deposits expanded markedly in Q2 year-on-year, especially due to the deposits of government institutions. </w:t>
            </w:r>
          </w:p>
        </w:tc>
        <w:tc>
          <w:tcPr>
            <w:tcW w:w="230" w:type="dxa"/>
            <w:shd w:val="clear" w:color="auto" w:fill="auto"/>
            <w:tcMar>
              <w:left w:w="0" w:type="dxa"/>
            </w:tcMar>
          </w:tcPr>
          <w:p w:rsidR="00A113A4" w:rsidRPr="00A17559" w:rsidRDefault="00A113A4" w:rsidP="00A113A4">
            <w:pPr>
              <w:pStyle w:val="Textpoznpodarou"/>
              <w:jc w:val="both"/>
              <w:rPr>
                <w:spacing w:val="-4"/>
                <w:lang w:val="en-GB"/>
              </w:rPr>
            </w:pPr>
          </w:p>
        </w:tc>
        <w:tc>
          <w:tcPr>
            <w:tcW w:w="7610" w:type="dxa"/>
            <w:shd w:val="clear" w:color="auto" w:fill="auto"/>
            <w:tcMar>
              <w:left w:w="0" w:type="dxa"/>
            </w:tcMar>
          </w:tcPr>
          <w:p w:rsidR="00A113A4" w:rsidRPr="00A17559" w:rsidRDefault="00955C0E" w:rsidP="007424BA">
            <w:pPr>
              <w:rPr>
                <w:spacing w:val="-4"/>
                <w:lang w:val="en-GB"/>
              </w:rPr>
            </w:pPr>
            <w:r w:rsidRPr="00A17559">
              <w:rPr>
                <w:lang w:val="en-GB"/>
              </w:rPr>
              <w:t>Total volume of deposits expanded by 514.4 CZK bn year</w:t>
            </w:r>
            <w:r w:rsidR="000A4A20" w:rsidRPr="00A17559">
              <w:rPr>
                <w:lang w:val="en-GB"/>
              </w:rPr>
              <w:t>-</w:t>
            </w:r>
            <w:r w:rsidRPr="00A17559">
              <w:rPr>
                <w:lang w:val="en-GB"/>
              </w:rPr>
              <w:t>on-year in Q2</w:t>
            </w:r>
            <w:r w:rsidR="00A113A4" w:rsidRPr="00A17559">
              <w:rPr>
                <w:lang w:val="en-GB"/>
              </w:rPr>
              <w:t xml:space="preserve">. </w:t>
            </w:r>
            <w:r w:rsidR="003D4A29" w:rsidRPr="00A17559">
              <w:rPr>
                <w:lang w:val="en-GB"/>
              </w:rPr>
              <w:t>It</w:t>
            </w:r>
            <w:r w:rsidR="00725611" w:rsidRPr="00A17559">
              <w:rPr>
                <w:lang w:val="en-GB"/>
              </w:rPr>
              <w:t xml:space="preserve"> </w:t>
            </w:r>
            <w:r w:rsidR="003D4A29" w:rsidRPr="00A17559">
              <w:rPr>
                <w:lang w:val="en-GB"/>
              </w:rPr>
              <w:t>is the most since Q</w:t>
            </w:r>
            <w:r w:rsidR="004A5D4E" w:rsidRPr="00A17559">
              <w:rPr>
                <w:lang w:val="en-GB"/>
              </w:rPr>
              <w:t>3</w:t>
            </w:r>
            <w:r w:rsidR="003D4A29" w:rsidRPr="00A17559">
              <w:rPr>
                <w:lang w:val="en-GB"/>
              </w:rPr>
              <w:t xml:space="preserve"> </w:t>
            </w:r>
            <w:r w:rsidR="00A113A4" w:rsidRPr="00A17559">
              <w:rPr>
                <w:lang w:val="en-GB"/>
              </w:rPr>
              <w:t>201</w:t>
            </w:r>
            <w:r w:rsidR="004A5D4E" w:rsidRPr="00A17559">
              <w:rPr>
                <w:lang w:val="en-GB"/>
              </w:rPr>
              <w:t>7.</w:t>
            </w:r>
            <w:r w:rsidR="003D4A29" w:rsidRPr="00A17559">
              <w:rPr>
                <w:lang w:val="en-GB"/>
              </w:rPr>
              <w:t xml:space="preserve"> Deposits from residents expanded, on the contrary non-residents were withdrawing</w:t>
            </w:r>
            <w:r w:rsidR="00725611" w:rsidRPr="00A17559">
              <w:rPr>
                <w:lang w:val="en-GB"/>
              </w:rPr>
              <w:t xml:space="preserve"> their deposits</w:t>
            </w:r>
            <w:r w:rsidR="003D4A29" w:rsidRPr="00A17559">
              <w:rPr>
                <w:lang w:val="en-GB"/>
              </w:rPr>
              <w:t xml:space="preserve"> </w:t>
            </w:r>
            <w:r w:rsidR="00A113A4" w:rsidRPr="00A17559">
              <w:rPr>
                <w:lang w:val="en-GB"/>
              </w:rPr>
              <w:t>–</w:t>
            </w:r>
            <w:r w:rsidR="009F55BA" w:rsidRPr="00A17559">
              <w:rPr>
                <w:lang w:val="en-GB"/>
              </w:rPr>
              <w:t> </w:t>
            </w:r>
            <w:r w:rsidR="004113B9" w:rsidRPr="00A17559">
              <w:rPr>
                <w:lang w:val="en-GB"/>
              </w:rPr>
              <w:t xml:space="preserve">their volume shrank by 8.2 CZK bn year-on-year in Q2 </w:t>
            </w:r>
            <w:r w:rsidR="00A113A4" w:rsidRPr="00A17559">
              <w:rPr>
                <w:lang w:val="en-GB"/>
              </w:rPr>
              <w:t>(</w:t>
            </w:r>
            <w:r w:rsidR="004113B9" w:rsidRPr="00A17559">
              <w:rPr>
                <w:lang w:val="en-GB"/>
              </w:rPr>
              <w:t>total deposits of non-residents fell by 40.6 bn year-on-year during H</w:t>
            </w:r>
            <w:r w:rsidR="004A5D4E" w:rsidRPr="00A17559">
              <w:rPr>
                <w:lang w:val="en-GB"/>
              </w:rPr>
              <w:t>1</w:t>
            </w:r>
            <w:r w:rsidR="00A113A4" w:rsidRPr="00A17559">
              <w:rPr>
                <w:lang w:val="en-GB"/>
              </w:rPr>
              <w:t xml:space="preserve">). </w:t>
            </w:r>
            <w:r w:rsidR="004113B9" w:rsidRPr="00A17559">
              <w:rPr>
                <w:lang w:val="en-GB"/>
              </w:rPr>
              <w:t xml:space="preserve">Deposits of all sectors enlarged, government institutions however contributed the most to the year-on-year acceleration of dynamics. </w:t>
            </w:r>
            <w:r w:rsidR="00A113A4" w:rsidRPr="00A17559">
              <w:rPr>
                <w:lang w:val="en-GB"/>
              </w:rPr>
              <w:t>T</w:t>
            </w:r>
            <w:r w:rsidR="004113B9" w:rsidRPr="00A17559">
              <w:rPr>
                <w:lang w:val="en-GB"/>
              </w:rPr>
              <w:t xml:space="preserve">hese doubled their deposits to </w:t>
            </w:r>
            <w:r w:rsidR="00A113A4" w:rsidRPr="00A17559">
              <w:rPr>
                <w:lang w:val="en-GB"/>
              </w:rPr>
              <w:t>630</w:t>
            </w:r>
            <w:r w:rsidR="004113B9" w:rsidRPr="00A17559">
              <w:rPr>
                <w:lang w:val="en-GB"/>
              </w:rPr>
              <w:t>.</w:t>
            </w:r>
            <w:r w:rsidR="00A113A4" w:rsidRPr="00A17559">
              <w:rPr>
                <w:lang w:val="en-GB"/>
              </w:rPr>
              <w:t>8</w:t>
            </w:r>
            <w:r w:rsidR="004113B9" w:rsidRPr="00A17559">
              <w:rPr>
                <w:lang w:val="en-GB"/>
              </w:rPr>
              <w:t xml:space="preserve"> CZK bn between the end of year 2018 and 30</w:t>
            </w:r>
            <w:r w:rsidR="004113B9" w:rsidRPr="00A17559">
              <w:rPr>
                <w:vertAlign w:val="superscript"/>
                <w:lang w:val="en-GB"/>
              </w:rPr>
              <w:t>th</w:t>
            </w:r>
            <w:r w:rsidR="004113B9" w:rsidRPr="00A17559">
              <w:rPr>
                <w:lang w:val="en-GB"/>
              </w:rPr>
              <w:t xml:space="preserve"> June 2019. According to the time perspective, </w:t>
            </w:r>
            <w:r w:rsidR="008F48A3" w:rsidRPr="00A17559">
              <w:rPr>
                <w:lang w:val="en-GB"/>
              </w:rPr>
              <w:t>the year-on-year growth of the volume of term deposits accelerated in Q</w:t>
            </w:r>
            <w:r w:rsidR="00A113A4" w:rsidRPr="00A17559">
              <w:rPr>
                <w:lang w:val="en-GB"/>
              </w:rPr>
              <w:t>2,</w:t>
            </w:r>
            <w:r w:rsidR="008F48A3" w:rsidRPr="00A17559">
              <w:rPr>
                <w:lang w:val="en-GB"/>
              </w:rPr>
              <w:t xml:space="preserve"> even though part from the </w:t>
            </w:r>
            <w:r w:rsidR="00A113A4" w:rsidRPr="00A17559">
              <w:rPr>
                <w:lang w:val="en-GB"/>
              </w:rPr>
              <w:t>35</w:t>
            </w:r>
            <w:r w:rsidR="008F48A3" w:rsidRPr="00A17559">
              <w:rPr>
                <w:lang w:val="en-GB"/>
              </w:rPr>
              <w:t>.</w:t>
            </w:r>
            <w:r w:rsidR="00A113A4" w:rsidRPr="00A17559">
              <w:rPr>
                <w:lang w:val="en-GB"/>
              </w:rPr>
              <w:t>4%</w:t>
            </w:r>
            <w:r w:rsidR="008F48A3" w:rsidRPr="00A17559">
              <w:rPr>
                <w:lang w:val="en-GB"/>
              </w:rPr>
              <w:t xml:space="preserve"> increase can also be ascribed to the methodological changes</w:t>
            </w:r>
            <w:r w:rsidR="00A113A4" w:rsidRPr="00A17559">
              <w:rPr>
                <w:rStyle w:val="Znakapoznpodarou"/>
                <w:spacing w:val="-3"/>
                <w:lang w:val="en-GB"/>
              </w:rPr>
              <w:footnoteReference w:id="2"/>
            </w:r>
            <w:r w:rsidR="00A113A4" w:rsidRPr="00A17559">
              <w:rPr>
                <w:lang w:val="en-GB"/>
              </w:rPr>
              <w:t xml:space="preserve">. </w:t>
            </w:r>
            <w:r w:rsidR="004113B9" w:rsidRPr="00A17559">
              <w:rPr>
                <w:lang w:val="en-GB"/>
              </w:rPr>
              <w:t>The growth focal point la</w:t>
            </w:r>
            <w:r w:rsidR="00513857" w:rsidRPr="00A17559">
              <w:rPr>
                <w:lang w:val="en-GB"/>
              </w:rPr>
              <w:t>y</w:t>
            </w:r>
            <w:r w:rsidR="004113B9" w:rsidRPr="00A17559">
              <w:rPr>
                <w:lang w:val="en-GB"/>
              </w:rPr>
              <w:t xml:space="preserve"> mainly in the short-term deposits, which </w:t>
            </w:r>
            <w:r w:rsidR="00513857" w:rsidRPr="00A17559">
              <w:rPr>
                <w:lang w:val="en-GB"/>
              </w:rPr>
              <w:t xml:space="preserve">also </w:t>
            </w:r>
            <w:r w:rsidR="004113B9" w:rsidRPr="00A17559">
              <w:rPr>
                <w:lang w:val="en-GB"/>
              </w:rPr>
              <w:t>corresponds</w:t>
            </w:r>
            <w:r w:rsidR="00513857" w:rsidRPr="00A17559">
              <w:rPr>
                <w:lang w:val="en-GB"/>
              </w:rPr>
              <w:t xml:space="preserve"> </w:t>
            </w:r>
            <w:r w:rsidR="004113B9" w:rsidRPr="00A17559">
              <w:rPr>
                <w:lang w:val="en-GB"/>
              </w:rPr>
              <w:t xml:space="preserve">to the development of the interest rates. </w:t>
            </w:r>
          </w:p>
        </w:tc>
      </w:tr>
      <w:tr w:rsidR="00A113A4" w:rsidRPr="00A17559" w:rsidTr="00F23826">
        <w:trPr>
          <w:trHeight w:val="145"/>
        </w:trPr>
        <w:tc>
          <w:tcPr>
            <w:tcW w:w="1799" w:type="dxa"/>
            <w:shd w:val="clear" w:color="auto" w:fill="auto"/>
            <w:tcMar>
              <w:left w:w="0" w:type="dxa"/>
            </w:tcMar>
          </w:tcPr>
          <w:p w:rsidR="00A113A4" w:rsidRPr="00A17559" w:rsidRDefault="008F48A3" w:rsidP="008F48A3">
            <w:pPr>
              <w:pStyle w:val="Marginlie"/>
              <w:rPr>
                <w:lang w:val="en-GB"/>
              </w:rPr>
            </w:pPr>
            <w:r w:rsidRPr="00A17559">
              <w:rPr>
                <w:lang w:val="en-GB"/>
              </w:rPr>
              <w:t xml:space="preserve">Interests on credit to households again fell. </w:t>
            </w:r>
          </w:p>
        </w:tc>
        <w:tc>
          <w:tcPr>
            <w:tcW w:w="230" w:type="dxa"/>
            <w:shd w:val="clear" w:color="auto" w:fill="auto"/>
            <w:tcMar>
              <w:left w:w="0" w:type="dxa"/>
            </w:tcMar>
          </w:tcPr>
          <w:p w:rsidR="00A113A4" w:rsidRPr="00A17559" w:rsidRDefault="00A113A4" w:rsidP="00A113A4">
            <w:pPr>
              <w:pStyle w:val="Textpoznpodarou"/>
              <w:jc w:val="both"/>
              <w:rPr>
                <w:spacing w:val="-4"/>
                <w:lang w:val="en-GB"/>
              </w:rPr>
            </w:pPr>
          </w:p>
        </w:tc>
        <w:tc>
          <w:tcPr>
            <w:tcW w:w="7610" w:type="dxa"/>
            <w:shd w:val="clear" w:color="auto" w:fill="auto"/>
            <w:tcMar>
              <w:left w:w="0" w:type="dxa"/>
            </w:tcMar>
          </w:tcPr>
          <w:p w:rsidR="00A113A4" w:rsidRPr="00A17559" w:rsidRDefault="00951A15" w:rsidP="00D20FFB">
            <w:pPr>
              <w:spacing w:after="220"/>
              <w:rPr>
                <w:lang w:val="en-GB"/>
              </w:rPr>
            </w:pPr>
            <w:r w:rsidRPr="00A17559">
              <w:rPr>
                <w:lang w:val="en-GB"/>
              </w:rPr>
              <w:t>Following a short period of growth in Q</w:t>
            </w:r>
            <w:r w:rsidR="004A5D4E" w:rsidRPr="00A17559">
              <w:rPr>
                <w:lang w:val="en-GB"/>
              </w:rPr>
              <w:t>2</w:t>
            </w:r>
            <w:r w:rsidRPr="00A17559">
              <w:rPr>
                <w:lang w:val="en-GB"/>
              </w:rPr>
              <w:t xml:space="preserve"> to Q</w:t>
            </w:r>
            <w:r w:rsidR="00A113A4" w:rsidRPr="00A17559">
              <w:rPr>
                <w:lang w:val="en-GB"/>
              </w:rPr>
              <w:t>4</w:t>
            </w:r>
            <w:r w:rsidRPr="00A17559">
              <w:rPr>
                <w:lang w:val="en-GB"/>
              </w:rPr>
              <w:t xml:space="preserve"> la</w:t>
            </w:r>
            <w:r w:rsidR="008F48A3" w:rsidRPr="00A17559">
              <w:rPr>
                <w:lang w:val="en-GB"/>
              </w:rPr>
              <w:t>s</w:t>
            </w:r>
            <w:r w:rsidRPr="00A17559">
              <w:rPr>
                <w:lang w:val="en-GB"/>
              </w:rPr>
              <w:t>t year, the average interest on</w:t>
            </w:r>
            <w:r w:rsidR="008F48A3" w:rsidRPr="00A17559">
              <w:rPr>
                <w:lang w:val="en-GB"/>
              </w:rPr>
              <w:t xml:space="preserve"> credit to households was cut in </w:t>
            </w:r>
            <w:r w:rsidRPr="00A17559">
              <w:rPr>
                <w:lang w:val="en-GB"/>
              </w:rPr>
              <w:t>H</w:t>
            </w:r>
            <w:r w:rsidR="004A5D4E" w:rsidRPr="00A17559">
              <w:rPr>
                <w:lang w:val="en-GB"/>
              </w:rPr>
              <w:t>1.</w:t>
            </w:r>
            <w:r w:rsidR="008F48A3" w:rsidRPr="00A17559">
              <w:rPr>
                <w:lang w:val="en-GB"/>
              </w:rPr>
              <w:t xml:space="preserve"> Interests fell by </w:t>
            </w:r>
            <w:r w:rsidR="00A113A4" w:rsidRPr="00A17559">
              <w:rPr>
                <w:lang w:val="en-GB"/>
              </w:rPr>
              <w:t>0</w:t>
            </w:r>
            <w:r w:rsidR="008F48A3" w:rsidRPr="00A17559">
              <w:rPr>
                <w:lang w:val="en-GB"/>
              </w:rPr>
              <w:t>.</w:t>
            </w:r>
            <w:r w:rsidR="00A113A4" w:rsidRPr="00A17559">
              <w:rPr>
                <w:lang w:val="en-GB"/>
              </w:rPr>
              <w:t>23</w:t>
            </w:r>
            <w:r w:rsidR="00403F57" w:rsidRPr="00A17559">
              <w:rPr>
                <w:lang w:val="en-GB"/>
              </w:rPr>
              <w:t> p.</w:t>
            </w:r>
            <w:r w:rsidR="008F48A3" w:rsidRPr="00A17559">
              <w:rPr>
                <w:lang w:val="en-GB"/>
              </w:rPr>
              <w:t xml:space="preserve">p. to </w:t>
            </w:r>
            <w:r w:rsidR="00A113A4" w:rsidRPr="00A17559">
              <w:rPr>
                <w:lang w:val="en-GB"/>
              </w:rPr>
              <w:t>8</w:t>
            </w:r>
            <w:r w:rsidR="008F48A3" w:rsidRPr="00A17559">
              <w:rPr>
                <w:lang w:val="en-GB"/>
              </w:rPr>
              <w:t>.</w:t>
            </w:r>
            <w:r w:rsidR="00A113A4" w:rsidRPr="00A17559">
              <w:rPr>
                <w:lang w:val="en-GB"/>
              </w:rPr>
              <w:t>4</w:t>
            </w:r>
            <w:r w:rsidR="00403F57" w:rsidRPr="00A17559">
              <w:rPr>
                <w:lang w:val="en-GB"/>
              </w:rPr>
              <w:t>%</w:t>
            </w:r>
            <w:r w:rsidR="00A113A4" w:rsidRPr="00A17559">
              <w:rPr>
                <w:lang w:val="en-GB"/>
              </w:rPr>
              <w:t xml:space="preserve"> </w:t>
            </w:r>
            <w:r w:rsidR="008F48A3" w:rsidRPr="00A17559">
              <w:rPr>
                <w:lang w:val="en-GB"/>
              </w:rPr>
              <w:t xml:space="preserve">quarter-on-quarter in </w:t>
            </w:r>
            <w:r w:rsidR="008F48A3" w:rsidRPr="00A17559">
              <w:rPr>
                <w:lang w:val="en-GB"/>
              </w:rPr>
              <w:lastRenderedPageBreak/>
              <w:t xml:space="preserve">Q1 </w:t>
            </w:r>
            <w:r w:rsidR="002F1B09" w:rsidRPr="00A17559">
              <w:rPr>
                <w:lang w:val="en-GB"/>
              </w:rPr>
              <w:t>a</w:t>
            </w:r>
            <w:r w:rsidR="008F48A3" w:rsidRPr="00A17559">
              <w:rPr>
                <w:lang w:val="en-GB"/>
              </w:rPr>
              <w:t>nd</w:t>
            </w:r>
            <w:r w:rsidR="002F1B09" w:rsidRPr="00A17559">
              <w:rPr>
                <w:lang w:val="en-GB"/>
              </w:rPr>
              <w:t> </w:t>
            </w:r>
            <w:r w:rsidR="008F48A3" w:rsidRPr="00A17559">
              <w:rPr>
                <w:lang w:val="en-GB"/>
              </w:rPr>
              <w:t xml:space="preserve">further down to </w:t>
            </w:r>
            <w:r w:rsidR="00A113A4" w:rsidRPr="00A17559">
              <w:rPr>
                <w:lang w:val="en-GB"/>
              </w:rPr>
              <w:t>8</w:t>
            </w:r>
            <w:r w:rsidR="008F48A3" w:rsidRPr="00A17559">
              <w:rPr>
                <w:lang w:val="en-GB"/>
              </w:rPr>
              <w:t>.</w:t>
            </w:r>
            <w:r w:rsidR="00A113A4" w:rsidRPr="00A17559">
              <w:rPr>
                <w:lang w:val="en-GB"/>
              </w:rPr>
              <w:t>37</w:t>
            </w:r>
            <w:r w:rsidR="00403F57" w:rsidRPr="00A17559">
              <w:rPr>
                <w:lang w:val="en-GB"/>
              </w:rPr>
              <w:t>%</w:t>
            </w:r>
            <w:r w:rsidR="008F48A3" w:rsidRPr="00A17559">
              <w:rPr>
                <w:lang w:val="en-GB"/>
              </w:rPr>
              <w:t xml:space="preserve"> until 30.6</w:t>
            </w:r>
            <w:r w:rsidR="00A113A4" w:rsidRPr="00A17559">
              <w:rPr>
                <w:lang w:val="en-GB"/>
              </w:rPr>
              <w:t>.</w:t>
            </w:r>
            <w:r w:rsidR="008F48A3" w:rsidRPr="00A17559">
              <w:rPr>
                <w:lang w:val="en-GB"/>
              </w:rPr>
              <w:t xml:space="preserve"> Conditions of mortgages for households </w:t>
            </w:r>
            <w:r w:rsidR="00F97A39" w:rsidRPr="00A17559">
              <w:rPr>
                <w:lang w:val="en-GB"/>
              </w:rPr>
              <w:t xml:space="preserve">also </w:t>
            </w:r>
            <w:r w:rsidR="008F48A3" w:rsidRPr="00A17559">
              <w:rPr>
                <w:lang w:val="en-GB"/>
              </w:rPr>
              <w:t>became</w:t>
            </w:r>
            <w:r w:rsidR="00F97A39" w:rsidRPr="00A17559">
              <w:rPr>
                <w:lang w:val="en-GB"/>
              </w:rPr>
              <w:t xml:space="preserve"> </w:t>
            </w:r>
            <w:r w:rsidR="00CC519B" w:rsidRPr="00A17559">
              <w:rPr>
                <w:lang w:val="en-GB"/>
              </w:rPr>
              <w:t>slightly</w:t>
            </w:r>
            <w:r w:rsidR="00F97A39" w:rsidRPr="00A17559">
              <w:rPr>
                <w:lang w:val="en-GB"/>
              </w:rPr>
              <w:t xml:space="preserve"> more advantageous in Q2, the average interest fell by </w:t>
            </w:r>
            <w:r w:rsidR="00A113A4" w:rsidRPr="00A17559">
              <w:rPr>
                <w:lang w:val="en-GB"/>
              </w:rPr>
              <w:t>0</w:t>
            </w:r>
            <w:r w:rsidR="00F97A39" w:rsidRPr="00A17559">
              <w:rPr>
                <w:lang w:val="en-GB"/>
              </w:rPr>
              <w:t>.</w:t>
            </w:r>
            <w:r w:rsidR="00A113A4" w:rsidRPr="00A17559">
              <w:rPr>
                <w:lang w:val="en-GB"/>
              </w:rPr>
              <w:t>1</w:t>
            </w:r>
            <w:r w:rsidR="00403F57" w:rsidRPr="00A17559">
              <w:rPr>
                <w:lang w:val="en-GB"/>
              </w:rPr>
              <w:t> p.</w:t>
            </w:r>
            <w:r w:rsidR="00F97A39" w:rsidRPr="00A17559">
              <w:rPr>
                <w:lang w:val="en-GB"/>
              </w:rPr>
              <w:t>p</w:t>
            </w:r>
            <w:r w:rsidR="00403F57" w:rsidRPr="00A17559">
              <w:rPr>
                <w:lang w:val="en-GB"/>
              </w:rPr>
              <w:t>.</w:t>
            </w:r>
            <w:r w:rsidR="00F97A39" w:rsidRPr="00A17559">
              <w:rPr>
                <w:lang w:val="en-GB"/>
              </w:rPr>
              <w:t xml:space="preserve"> to </w:t>
            </w:r>
            <w:r w:rsidR="00A113A4" w:rsidRPr="00A17559">
              <w:rPr>
                <w:lang w:val="en-GB"/>
              </w:rPr>
              <w:t>2</w:t>
            </w:r>
            <w:r w:rsidR="00F97A39" w:rsidRPr="00A17559">
              <w:rPr>
                <w:lang w:val="en-GB"/>
              </w:rPr>
              <w:t>.</w:t>
            </w:r>
            <w:r w:rsidR="00A113A4" w:rsidRPr="00A17559">
              <w:rPr>
                <w:lang w:val="en-GB"/>
              </w:rPr>
              <w:t>87</w:t>
            </w:r>
            <w:r w:rsidR="00403F57" w:rsidRPr="00A17559">
              <w:rPr>
                <w:lang w:val="en-GB"/>
              </w:rPr>
              <w:t>%</w:t>
            </w:r>
            <w:r w:rsidR="00A113A4" w:rsidRPr="00A17559">
              <w:rPr>
                <w:lang w:val="en-GB"/>
              </w:rPr>
              <w:t>.</w:t>
            </w:r>
            <w:r w:rsidR="00F97A39" w:rsidRPr="00A17559">
              <w:rPr>
                <w:lang w:val="en-GB"/>
              </w:rPr>
              <w:t xml:space="preserve"> </w:t>
            </w:r>
            <w:r w:rsidR="00CC519B" w:rsidRPr="00A17559">
              <w:rPr>
                <w:lang w:val="en-GB"/>
              </w:rPr>
              <w:t xml:space="preserve">Especially prices of loans fixed for a medium term were cut </w:t>
            </w:r>
            <w:r w:rsidR="00A113A4" w:rsidRPr="00A17559">
              <w:rPr>
                <w:lang w:val="en-GB"/>
              </w:rPr>
              <w:t>–</w:t>
            </w:r>
            <w:r w:rsidR="007424BA">
              <w:rPr>
                <w:lang w:val="en-GB"/>
              </w:rPr>
              <w:t xml:space="preserve"> </w:t>
            </w:r>
            <w:r w:rsidR="00CC519B" w:rsidRPr="00A17559">
              <w:rPr>
                <w:lang w:val="en-GB"/>
              </w:rPr>
              <w:t xml:space="preserve">above </w:t>
            </w:r>
            <w:r w:rsidR="00403F57" w:rsidRPr="00A17559">
              <w:rPr>
                <w:lang w:val="en-GB"/>
              </w:rPr>
              <w:t>1 </w:t>
            </w:r>
            <w:r w:rsidR="00CC519B" w:rsidRPr="00A17559">
              <w:rPr>
                <w:lang w:val="en-GB"/>
              </w:rPr>
              <w:t xml:space="preserve">year up to and including </w:t>
            </w:r>
            <w:r w:rsidR="00403F57" w:rsidRPr="00A17559">
              <w:rPr>
                <w:lang w:val="en-GB"/>
              </w:rPr>
              <w:t>5</w:t>
            </w:r>
            <w:r w:rsidR="00CC519B" w:rsidRPr="00A17559">
              <w:rPr>
                <w:lang w:val="en-GB"/>
              </w:rPr>
              <w:t xml:space="preserve"> years by </w:t>
            </w:r>
            <w:r w:rsidR="00A113A4" w:rsidRPr="00A17559">
              <w:rPr>
                <w:lang w:val="en-GB"/>
              </w:rPr>
              <w:t>0</w:t>
            </w:r>
            <w:r w:rsidR="00CC519B" w:rsidRPr="00A17559">
              <w:rPr>
                <w:lang w:val="en-GB"/>
              </w:rPr>
              <w:t>.</w:t>
            </w:r>
            <w:r w:rsidR="00A113A4" w:rsidRPr="00A17559">
              <w:rPr>
                <w:lang w:val="en-GB"/>
              </w:rPr>
              <w:t>08</w:t>
            </w:r>
            <w:r w:rsidR="00403F57" w:rsidRPr="00A17559">
              <w:rPr>
                <w:lang w:val="en-GB"/>
              </w:rPr>
              <w:t> p.</w:t>
            </w:r>
            <w:r w:rsidR="00CC519B" w:rsidRPr="00A17559">
              <w:rPr>
                <w:lang w:val="en-GB"/>
              </w:rPr>
              <w:t>p</w:t>
            </w:r>
            <w:r w:rsidR="00403F57" w:rsidRPr="00A17559">
              <w:rPr>
                <w:lang w:val="en-GB"/>
              </w:rPr>
              <w:t>.</w:t>
            </w:r>
            <w:r w:rsidR="00CC519B" w:rsidRPr="00A17559">
              <w:rPr>
                <w:lang w:val="en-GB"/>
              </w:rPr>
              <w:t xml:space="preserve"> and above </w:t>
            </w:r>
            <w:r w:rsidR="00403F57" w:rsidRPr="00A17559">
              <w:rPr>
                <w:lang w:val="en-GB"/>
              </w:rPr>
              <w:t>5</w:t>
            </w:r>
            <w:r w:rsidR="00CC519B" w:rsidRPr="00A17559">
              <w:rPr>
                <w:lang w:val="en-GB"/>
              </w:rPr>
              <w:t xml:space="preserve"> years up to and including </w:t>
            </w:r>
            <w:r w:rsidR="00A113A4" w:rsidRPr="00A17559">
              <w:rPr>
                <w:lang w:val="en-GB"/>
              </w:rPr>
              <w:t>1</w:t>
            </w:r>
            <w:r w:rsidR="00403F57" w:rsidRPr="00A17559">
              <w:rPr>
                <w:lang w:val="en-GB"/>
              </w:rPr>
              <w:t>0 </w:t>
            </w:r>
            <w:r w:rsidR="00CC519B" w:rsidRPr="00A17559">
              <w:rPr>
                <w:lang w:val="en-GB"/>
              </w:rPr>
              <w:t xml:space="preserve">years by </w:t>
            </w:r>
            <w:r w:rsidR="00A113A4" w:rsidRPr="00A17559">
              <w:rPr>
                <w:lang w:val="en-GB"/>
              </w:rPr>
              <w:t>0</w:t>
            </w:r>
            <w:r w:rsidR="00CC519B" w:rsidRPr="00A17559">
              <w:rPr>
                <w:lang w:val="en-GB"/>
              </w:rPr>
              <w:t>.</w:t>
            </w:r>
            <w:r w:rsidR="00A113A4" w:rsidRPr="00A17559">
              <w:rPr>
                <w:lang w:val="en-GB"/>
              </w:rPr>
              <w:t>13</w:t>
            </w:r>
            <w:r w:rsidR="00403F57" w:rsidRPr="00A17559">
              <w:rPr>
                <w:lang w:val="en-GB"/>
              </w:rPr>
              <w:t> p.</w:t>
            </w:r>
            <w:r w:rsidR="00CC519B" w:rsidRPr="00A17559">
              <w:rPr>
                <w:lang w:val="en-GB"/>
              </w:rPr>
              <w:t>p</w:t>
            </w:r>
            <w:r w:rsidR="00403F57" w:rsidRPr="00A17559">
              <w:rPr>
                <w:lang w:val="en-GB"/>
              </w:rPr>
              <w:t>.</w:t>
            </w:r>
            <w:r w:rsidR="00CC519B" w:rsidRPr="00A17559">
              <w:rPr>
                <w:lang w:val="en-GB"/>
              </w:rPr>
              <w:t xml:space="preserve"> It was possible to observe similar development for interests rates on credit to non-financial businesses. They grew in the last year and attained their maximum on </w:t>
            </w:r>
            <w:r w:rsidR="00A113A4" w:rsidRPr="00A17559">
              <w:rPr>
                <w:lang w:val="en-GB"/>
              </w:rPr>
              <w:t>3</w:t>
            </w:r>
            <w:r w:rsidR="004A5D4E" w:rsidRPr="00A17559">
              <w:rPr>
                <w:lang w:val="en-GB"/>
              </w:rPr>
              <w:t>1</w:t>
            </w:r>
            <w:r w:rsidR="0048327B">
              <w:rPr>
                <w:lang w:val="en-GB"/>
              </w:rPr>
              <w:t>st March</w:t>
            </w:r>
            <w:r w:rsidR="004A5D4E" w:rsidRPr="00A17559">
              <w:rPr>
                <w:lang w:val="en-GB"/>
              </w:rPr>
              <w:t> </w:t>
            </w:r>
            <w:r w:rsidR="00A113A4" w:rsidRPr="00A17559">
              <w:rPr>
                <w:lang w:val="en-GB"/>
              </w:rPr>
              <w:t>201</w:t>
            </w:r>
            <w:r w:rsidR="004A5D4E" w:rsidRPr="00A17559">
              <w:rPr>
                <w:lang w:val="en-GB"/>
              </w:rPr>
              <w:t>9.</w:t>
            </w:r>
            <w:r w:rsidR="00CC519B" w:rsidRPr="00A17559">
              <w:rPr>
                <w:lang w:val="en-GB"/>
              </w:rPr>
              <w:t xml:space="preserve"> The average interest on credit to non-financial businesses however again fell in Q2, mainly under the influence of large loans </w:t>
            </w:r>
            <w:r w:rsidR="00A113A4" w:rsidRPr="00A17559">
              <w:rPr>
                <w:lang w:val="en-GB"/>
              </w:rPr>
              <w:t>(</w:t>
            </w:r>
            <w:r w:rsidR="00CC519B" w:rsidRPr="00A17559">
              <w:rPr>
                <w:lang w:val="en-GB"/>
              </w:rPr>
              <w:t>above 3</w:t>
            </w:r>
            <w:r w:rsidR="00403F57" w:rsidRPr="00A17559">
              <w:rPr>
                <w:lang w:val="en-GB"/>
              </w:rPr>
              <w:t>0 </w:t>
            </w:r>
            <w:r w:rsidR="00CC519B" w:rsidRPr="00A17559">
              <w:rPr>
                <w:lang w:val="en-GB"/>
              </w:rPr>
              <w:t>CZK mil</w:t>
            </w:r>
            <w:r w:rsidR="00A113A4" w:rsidRPr="00A17559">
              <w:rPr>
                <w:lang w:val="en-GB"/>
              </w:rPr>
              <w:t>).</w:t>
            </w:r>
            <w:r w:rsidR="00FD67AF">
              <w:rPr>
                <w:lang w:val="en-GB"/>
              </w:rPr>
              <w:t xml:space="preserve"> </w:t>
            </w:r>
            <w:r w:rsidR="00CC519B" w:rsidRPr="00A17559">
              <w:rPr>
                <w:lang w:val="en-GB"/>
              </w:rPr>
              <w:t>Their average interest rat</w:t>
            </w:r>
            <w:r w:rsidR="00D20FFB" w:rsidRPr="00A17559">
              <w:rPr>
                <w:lang w:val="en-GB"/>
              </w:rPr>
              <w:t>e</w:t>
            </w:r>
            <w:r w:rsidR="00CC519B" w:rsidRPr="00A17559">
              <w:rPr>
                <w:lang w:val="en-GB"/>
              </w:rPr>
              <w:t xml:space="preserve"> fell by </w:t>
            </w:r>
            <w:r w:rsidR="00A113A4" w:rsidRPr="00A17559">
              <w:rPr>
                <w:lang w:val="en-GB"/>
              </w:rPr>
              <w:t>0</w:t>
            </w:r>
            <w:r w:rsidR="00CC519B" w:rsidRPr="00A17559">
              <w:rPr>
                <w:lang w:val="en-GB"/>
              </w:rPr>
              <w:t>.</w:t>
            </w:r>
            <w:r w:rsidR="00A113A4" w:rsidRPr="00A17559">
              <w:rPr>
                <w:lang w:val="en-GB"/>
              </w:rPr>
              <w:t>12</w:t>
            </w:r>
            <w:r w:rsidR="00403F57" w:rsidRPr="00A17559">
              <w:rPr>
                <w:lang w:val="en-GB"/>
              </w:rPr>
              <w:t> p.</w:t>
            </w:r>
            <w:r w:rsidR="00CC519B" w:rsidRPr="00A17559">
              <w:rPr>
                <w:lang w:val="en-GB"/>
              </w:rPr>
              <w:t>p</w:t>
            </w:r>
            <w:r w:rsidR="00403F57" w:rsidRPr="00A17559">
              <w:rPr>
                <w:lang w:val="en-GB"/>
              </w:rPr>
              <w:t>.</w:t>
            </w:r>
            <w:r w:rsidR="00A113A4" w:rsidRPr="00A17559">
              <w:rPr>
                <w:lang w:val="en-GB"/>
              </w:rPr>
              <w:t xml:space="preserve"> </w:t>
            </w:r>
            <w:r w:rsidR="00D20FFB" w:rsidRPr="00A17559">
              <w:rPr>
                <w:lang w:val="en-GB"/>
              </w:rPr>
              <w:t xml:space="preserve">to </w:t>
            </w:r>
            <w:r w:rsidR="00A113A4" w:rsidRPr="00A17559">
              <w:rPr>
                <w:lang w:val="en-GB"/>
              </w:rPr>
              <w:t>3</w:t>
            </w:r>
            <w:r w:rsidR="00D20FFB" w:rsidRPr="00A17559">
              <w:rPr>
                <w:lang w:val="en-GB"/>
              </w:rPr>
              <w:t>.</w:t>
            </w:r>
            <w:r w:rsidR="00A113A4" w:rsidRPr="00A17559">
              <w:rPr>
                <w:lang w:val="en-GB"/>
              </w:rPr>
              <w:t>11</w:t>
            </w:r>
            <w:r w:rsidR="00403F57" w:rsidRPr="00A17559">
              <w:rPr>
                <w:lang w:val="en-GB"/>
              </w:rPr>
              <w:t>%</w:t>
            </w:r>
            <w:r w:rsidR="00D20FFB" w:rsidRPr="00A17559">
              <w:rPr>
                <w:lang w:val="en-GB"/>
              </w:rPr>
              <w:t xml:space="preserve"> during Q2</w:t>
            </w:r>
            <w:r w:rsidR="00A113A4" w:rsidRPr="00A17559">
              <w:rPr>
                <w:lang w:val="en-GB"/>
              </w:rPr>
              <w:t xml:space="preserve">. </w:t>
            </w:r>
            <w:r w:rsidR="00D20FFB" w:rsidRPr="00A17559">
              <w:rPr>
                <w:lang w:val="en-GB"/>
              </w:rPr>
              <w:t xml:space="preserve">Subtle decrease was also recorded in case of credit up to </w:t>
            </w:r>
            <w:r w:rsidR="00A113A4" w:rsidRPr="00A17559">
              <w:rPr>
                <w:lang w:val="en-GB"/>
              </w:rPr>
              <w:t>7</w:t>
            </w:r>
            <w:r w:rsidR="00D20FFB" w:rsidRPr="00A17559">
              <w:rPr>
                <w:lang w:val="en-GB"/>
              </w:rPr>
              <w:t>.</w:t>
            </w:r>
            <w:r w:rsidR="00403F57" w:rsidRPr="00A17559">
              <w:rPr>
                <w:lang w:val="en-GB"/>
              </w:rPr>
              <w:t>5 </w:t>
            </w:r>
            <w:r w:rsidR="00D20FFB" w:rsidRPr="00A17559">
              <w:rPr>
                <w:lang w:val="en-GB"/>
              </w:rPr>
              <w:t xml:space="preserve">CZK mil. The interest in contrast grew for other categories. </w:t>
            </w:r>
          </w:p>
        </w:tc>
      </w:tr>
      <w:tr w:rsidR="00F23826" w:rsidRPr="00A17559" w:rsidTr="00F23826">
        <w:trPr>
          <w:trHeight w:val="123"/>
        </w:trPr>
        <w:tc>
          <w:tcPr>
            <w:tcW w:w="1799" w:type="dxa"/>
            <w:vMerge w:val="restart"/>
            <w:shd w:val="clear" w:color="auto" w:fill="auto"/>
            <w:tcMar>
              <w:left w:w="0" w:type="dxa"/>
            </w:tcMar>
          </w:tcPr>
          <w:p w:rsidR="00F23826" w:rsidRPr="00A17559" w:rsidRDefault="00F23826" w:rsidP="001B086A">
            <w:pPr>
              <w:pStyle w:val="Marginlie"/>
              <w:rPr>
                <w:lang w:val="en-GB"/>
              </w:rPr>
            </w:pPr>
          </w:p>
        </w:tc>
        <w:tc>
          <w:tcPr>
            <w:tcW w:w="230" w:type="dxa"/>
            <w:vMerge w:val="restart"/>
            <w:shd w:val="clear" w:color="auto" w:fill="auto"/>
            <w:tcMar>
              <w:left w:w="0" w:type="dxa"/>
            </w:tcMar>
          </w:tcPr>
          <w:p w:rsidR="00F23826" w:rsidRPr="00A17559" w:rsidRDefault="00F23826" w:rsidP="00A113A4">
            <w:pPr>
              <w:pStyle w:val="Textpoznpodarou"/>
              <w:jc w:val="both"/>
              <w:rPr>
                <w:spacing w:val="-4"/>
                <w:lang w:val="en-GB"/>
              </w:rPr>
            </w:pPr>
          </w:p>
        </w:tc>
        <w:tc>
          <w:tcPr>
            <w:tcW w:w="7610" w:type="dxa"/>
            <w:shd w:val="clear" w:color="auto" w:fill="auto"/>
            <w:tcMar>
              <w:left w:w="0" w:type="dxa"/>
            </w:tcMar>
          </w:tcPr>
          <w:p w:rsidR="00F23826" w:rsidRPr="00A17559" w:rsidRDefault="00F23826" w:rsidP="00F23826">
            <w:pPr>
              <w:spacing w:after="0"/>
              <w:rPr>
                <w:lang w:val="en-GB"/>
              </w:rPr>
            </w:pPr>
            <w:r w:rsidRPr="00A6092A">
              <w:rPr>
                <w:rFonts w:cs="Arial"/>
                <w:b/>
                <w:bCs/>
                <w:color w:val="000000"/>
                <w:szCs w:val="20"/>
                <w:lang w:val="en-GB"/>
              </w:rPr>
              <w:t xml:space="preserve">Chart 16 </w:t>
            </w:r>
            <w:r w:rsidRPr="00A6092A">
              <w:rPr>
                <w:b/>
                <w:spacing w:val="-4"/>
                <w:szCs w:val="20"/>
                <w:lang w:val="en-GB"/>
              </w:rPr>
              <w:t xml:space="preserve">Market interest rates </w:t>
            </w:r>
            <w:r w:rsidRPr="00A6092A">
              <w:rPr>
                <w:spacing w:val="-4"/>
                <w:szCs w:val="20"/>
                <w:lang w:val="en-GB"/>
              </w:rPr>
              <w:t>(in %)</w:t>
            </w:r>
          </w:p>
        </w:tc>
      </w:tr>
      <w:tr w:rsidR="00F23826" w:rsidRPr="00A17559" w:rsidTr="00F23826">
        <w:trPr>
          <w:trHeight w:val="121"/>
        </w:trPr>
        <w:tc>
          <w:tcPr>
            <w:tcW w:w="1799" w:type="dxa"/>
            <w:vMerge/>
            <w:shd w:val="clear" w:color="auto" w:fill="auto"/>
            <w:tcMar>
              <w:left w:w="0" w:type="dxa"/>
            </w:tcMar>
          </w:tcPr>
          <w:p w:rsidR="00F23826" w:rsidRPr="00A17559" w:rsidRDefault="00F23826" w:rsidP="001B086A">
            <w:pPr>
              <w:pStyle w:val="Marginlie"/>
              <w:rPr>
                <w:lang w:val="en-GB"/>
              </w:rPr>
            </w:pPr>
          </w:p>
        </w:tc>
        <w:tc>
          <w:tcPr>
            <w:tcW w:w="230" w:type="dxa"/>
            <w:vMerge/>
            <w:shd w:val="clear" w:color="auto" w:fill="auto"/>
            <w:tcMar>
              <w:left w:w="0" w:type="dxa"/>
            </w:tcMar>
          </w:tcPr>
          <w:p w:rsidR="00F23826" w:rsidRPr="00A17559" w:rsidRDefault="00F23826" w:rsidP="00A113A4">
            <w:pPr>
              <w:pStyle w:val="Textpoznpodarou"/>
              <w:jc w:val="both"/>
              <w:rPr>
                <w:spacing w:val="-4"/>
                <w:lang w:val="en-GB"/>
              </w:rPr>
            </w:pPr>
          </w:p>
        </w:tc>
        <w:tc>
          <w:tcPr>
            <w:tcW w:w="7610" w:type="dxa"/>
            <w:shd w:val="clear" w:color="auto" w:fill="auto"/>
            <w:tcMar>
              <w:left w:w="0" w:type="dxa"/>
            </w:tcMar>
          </w:tcPr>
          <w:p w:rsidR="00F23826" w:rsidRPr="00A17559" w:rsidRDefault="00F23826" w:rsidP="00F23826">
            <w:pPr>
              <w:spacing w:after="0"/>
              <w:rPr>
                <w:lang w:val="en-GB"/>
              </w:rPr>
            </w:pPr>
            <w:r>
              <w:rPr>
                <w:noProof/>
              </w:rPr>
              <w:drawing>
                <wp:inline distT="0" distB="0" distL="0" distR="0" wp14:anchorId="157EB99A" wp14:editId="39A313E0">
                  <wp:extent cx="4737600" cy="3553200"/>
                  <wp:effectExtent l="0" t="0" r="6350" b="0"/>
                  <wp:docPr id="23" name="Graf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F23826" w:rsidRPr="00A17559" w:rsidTr="00F23826">
        <w:trPr>
          <w:trHeight w:val="121"/>
        </w:trPr>
        <w:tc>
          <w:tcPr>
            <w:tcW w:w="1799" w:type="dxa"/>
            <w:vMerge/>
            <w:shd w:val="clear" w:color="auto" w:fill="auto"/>
            <w:tcMar>
              <w:left w:w="0" w:type="dxa"/>
            </w:tcMar>
          </w:tcPr>
          <w:p w:rsidR="00F23826" w:rsidRPr="00A17559" w:rsidRDefault="00F23826" w:rsidP="001B086A">
            <w:pPr>
              <w:pStyle w:val="Marginlie"/>
              <w:rPr>
                <w:lang w:val="en-GB"/>
              </w:rPr>
            </w:pPr>
          </w:p>
        </w:tc>
        <w:tc>
          <w:tcPr>
            <w:tcW w:w="230" w:type="dxa"/>
            <w:vMerge/>
            <w:shd w:val="clear" w:color="auto" w:fill="auto"/>
            <w:tcMar>
              <w:left w:w="0" w:type="dxa"/>
            </w:tcMar>
          </w:tcPr>
          <w:p w:rsidR="00F23826" w:rsidRPr="00A17559" w:rsidRDefault="00F23826" w:rsidP="00A113A4">
            <w:pPr>
              <w:pStyle w:val="Textpoznpodarou"/>
              <w:jc w:val="both"/>
              <w:rPr>
                <w:spacing w:val="-4"/>
                <w:lang w:val="en-GB"/>
              </w:rPr>
            </w:pPr>
          </w:p>
        </w:tc>
        <w:tc>
          <w:tcPr>
            <w:tcW w:w="7610" w:type="dxa"/>
            <w:shd w:val="clear" w:color="auto" w:fill="auto"/>
            <w:tcMar>
              <w:left w:w="0" w:type="dxa"/>
            </w:tcMar>
          </w:tcPr>
          <w:p w:rsidR="00F23826" w:rsidRPr="00A17559" w:rsidRDefault="00F23826" w:rsidP="00113B2C">
            <w:pPr>
              <w:rPr>
                <w:lang w:val="en-GB"/>
              </w:rPr>
            </w:pPr>
            <w:r w:rsidRPr="00A17559">
              <w:rPr>
                <w:sz w:val="14"/>
                <w:szCs w:val="14"/>
                <w:lang w:val="en-GB"/>
              </w:rPr>
              <w:t>Source: CNB</w:t>
            </w:r>
          </w:p>
        </w:tc>
      </w:tr>
      <w:tr w:rsidR="00F23826" w:rsidRPr="00A17559" w:rsidTr="00F23826">
        <w:trPr>
          <w:trHeight w:val="145"/>
        </w:trPr>
        <w:tc>
          <w:tcPr>
            <w:tcW w:w="1799" w:type="dxa"/>
            <w:shd w:val="clear" w:color="auto" w:fill="auto"/>
            <w:tcMar>
              <w:left w:w="0" w:type="dxa"/>
            </w:tcMar>
          </w:tcPr>
          <w:p w:rsidR="00F23826" w:rsidRPr="00A17559" w:rsidRDefault="00F23826" w:rsidP="00F23826">
            <w:pPr>
              <w:pStyle w:val="Marginlie"/>
              <w:rPr>
                <w:lang w:val="en-GB"/>
              </w:rPr>
            </w:pPr>
            <w:r w:rsidRPr="00A17559">
              <w:rPr>
                <w:lang w:val="en-GB"/>
              </w:rPr>
              <w:t xml:space="preserve">Growth of volume of provided consumer credit slackened. </w:t>
            </w:r>
          </w:p>
        </w:tc>
        <w:tc>
          <w:tcPr>
            <w:tcW w:w="230" w:type="dxa"/>
            <w:shd w:val="clear" w:color="auto" w:fill="auto"/>
            <w:tcMar>
              <w:left w:w="0" w:type="dxa"/>
            </w:tcMar>
          </w:tcPr>
          <w:p w:rsidR="00F23826" w:rsidRPr="00A17559" w:rsidRDefault="00F23826" w:rsidP="00F23826">
            <w:pPr>
              <w:pStyle w:val="Textpoznpodarou"/>
              <w:jc w:val="both"/>
              <w:rPr>
                <w:spacing w:val="-4"/>
                <w:lang w:val="en-GB"/>
              </w:rPr>
            </w:pPr>
          </w:p>
        </w:tc>
        <w:tc>
          <w:tcPr>
            <w:tcW w:w="7610" w:type="dxa"/>
            <w:shd w:val="clear" w:color="auto" w:fill="auto"/>
            <w:tcMar>
              <w:left w:w="0" w:type="dxa"/>
            </w:tcMar>
          </w:tcPr>
          <w:p w:rsidR="00F23826" w:rsidRPr="00A17559" w:rsidRDefault="00F23826" w:rsidP="00F23826">
            <w:pPr>
              <w:rPr>
                <w:lang w:val="en-GB"/>
              </w:rPr>
            </w:pPr>
            <w:r w:rsidRPr="00A17559">
              <w:rPr>
                <w:lang w:val="en-GB"/>
              </w:rPr>
              <w:t>Year-on-year growth of the total volume of credit provided to households remained at bay with 6.7% in Q2 (the pace fell below 7% for the first time since Q3 2016).  Growth of volume of provided consumer credit (to 7.7%) as well as credit for housing (7.5%, below 8% for the first time since Q1 2016) slowed. Development of mortgages is distorted due to the re-classification of part of the consumer credit for housing to mortgages</w:t>
            </w:r>
            <w:r w:rsidRPr="00A17559">
              <w:rPr>
                <w:rStyle w:val="Znakapoznpodarou"/>
                <w:lang w:val="en-GB"/>
              </w:rPr>
              <w:footnoteReference w:id="3"/>
            </w:r>
            <w:r w:rsidRPr="00A17559">
              <w:rPr>
                <w:lang w:val="en-GB"/>
              </w:rPr>
              <w:t>. Year-on-year growth of the volume of mortgages thus based on the CNB statistics reached 10.3% in Q2, if we however deduct approximately 20 bn, which were transferred between individual types of credit on 1</w:t>
            </w:r>
            <w:r w:rsidRPr="00A17559">
              <w:rPr>
                <w:vertAlign w:val="superscript"/>
                <w:lang w:val="en-GB"/>
              </w:rPr>
              <w:t>st</w:t>
            </w:r>
            <w:r w:rsidRPr="00A17559">
              <w:rPr>
                <w:lang w:val="en-GB"/>
              </w:rPr>
              <w:t xml:space="preserve"> January, we get an approximate value of 8.5%, less than in the past year. 40.7 thousand mortgage contracts were closed in Q2, by 10.7 thousand less year-on-year. </w:t>
            </w:r>
          </w:p>
        </w:tc>
      </w:tr>
      <w:tr w:rsidR="00F23826" w:rsidRPr="00A17559" w:rsidTr="00F23826">
        <w:trPr>
          <w:trHeight w:val="145"/>
        </w:trPr>
        <w:tc>
          <w:tcPr>
            <w:tcW w:w="1799" w:type="dxa"/>
            <w:shd w:val="clear" w:color="auto" w:fill="auto"/>
            <w:tcMar>
              <w:left w:w="0" w:type="dxa"/>
            </w:tcMar>
          </w:tcPr>
          <w:p w:rsidR="00F23826" w:rsidRPr="00A17559" w:rsidRDefault="00F23826" w:rsidP="00F23826">
            <w:pPr>
              <w:pStyle w:val="Marginlie"/>
              <w:rPr>
                <w:lang w:val="en-GB"/>
              </w:rPr>
            </w:pPr>
            <w:r w:rsidRPr="00A17559">
              <w:rPr>
                <w:lang w:val="en-GB"/>
              </w:rPr>
              <w:t xml:space="preserve">Rate of growth of volume of credit to non-financial businesses markedly fell. </w:t>
            </w:r>
          </w:p>
        </w:tc>
        <w:tc>
          <w:tcPr>
            <w:tcW w:w="230" w:type="dxa"/>
            <w:shd w:val="clear" w:color="auto" w:fill="auto"/>
            <w:tcMar>
              <w:left w:w="0" w:type="dxa"/>
            </w:tcMar>
          </w:tcPr>
          <w:p w:rsidR="00F23826" w:rsidRPr="00A17559" w:rsidRDefault="00F23826" w:rsidP="00F23826">
            <w:pPr>
              <w:pStyle w:val="Textpoznpodarou"/>
              <w:jc w:val="both"/>
              <w:rPr>
                <w:spacing w:val="-4"/>
                <w:lang w:val="en-GB"/>
              </w:rPr>
            </w:pPr>
          </w:p>
        </w:tc>
        <w:tc>
          <w:tcPr>
            <w:tcW w:w="7610" w:type="dxa"/>
            <w:shd w:val="clear" w:color="auto" w:fill="auto"/>
            <w:tcMar>
              <w:left w:w="0" w:type="dxa"/>
            </w:tcMar>
          </w:tcPr>
          <w:p w:rsidR="00F23826" w:rsidRPr="00A17559" w:rsidRDefault="00F23826" w:rsidP="00F23826">
            <w:pPr>
              <w:rPr>
                <w:lang w:val="en-GB"/>
              </w:rPr>
            </w:pPr>
            <w:r w:rsidRPr="00A17559">
              <w:rPr>
                <w:lang w:val="en-GB"/>
              </w:rPr>
              <w:t xml:space="preserve">Volume of credit provided to non-financial businesses (both in CZK and foreign currency) increased in total by 3.5% year-on-year in Q2. Volume of credit in foreign currency again followed a more dynamic development, growing by 6.6%. However, </w:t>
            </w:r>
            <w:r w:rsidRPr="00A17559">
              <w:rPr>
                <w:lang w:val="en-GB"/>
              </w:rPr>
              <w:lastRenderedPageBreak/>
              <w:t>the observed growth markedly narrowed compared to the preceding quarter (all credit grew by 6.2% in Q1, by 14.5% in foreign currency). Volume of credit denominated in CZK rose by 2.2%. Slower growth of the provided credit did not avoid manufacturing (from 6.4% in Q1 to 1.7% in Q2), construction (from 13.7% to 7.6%) or wholesale and retail, motor vehicle repairs and maintenance (from 4.6% to 1.4%). Information and communication kept a strong pace (13.7%).</w:t>
            </w:r>
          </w:p>
        </w:tc>
      </w:tr>
    </w:tbl>
    <w:p w:rsidR="00A50D73" w:rsidRPr="00A17559" w:rsidRDefault="00A50D73" w:rsidP="00F3615A">
      <w:pPr>
        <w:pStyle w:val="Nadpis11"/>
        <w:rPr>
          <w:sz w:val="2"/>
          <w:szCs w:val="2"/>
          <w:lang w:val="en-GB"/>
        </w:rPr>
      </w:pPr>
      <w:bookmarkStart w:id="1" w:name="_GoBack"/>
      <w:bookmarkEnd w:id="1"/>
    </w:p>
    <w:sectPr w:rsidR="00A50D73" w:rsidRPr="00A17559" w:rsidSect="00F3615A">
      <w:headerReference w:type="even" r:id="rId10"/>
      <w:headerReference w:type="default" r:id="rId11"/>
      <w:footerReference w:type="even" r:id="rId12"/>
      <w:footerReference w:type="default" r:id="rId13"/>
      <w:pgSz w:w="11906" w:h="16838" w:code="9"/>
      <w:pgMar w:top="1134" w:right="1134" w:bottom="1418" w:left="1134" w:header="680" w:footer="737" w:gutter="0"/>
      <w:pgNumType w:start="26"/>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A60E42" w16cid:durableId="211A8B45"/>
  <w16cid:commentId w16cid:paraId="0353E24E" w16cid:durableId="211BEE38"/>
  <w16cid:commentId w16cid:paraId="1C386A8F" w16cid:durableId="211A9076"/>
  <w16cid:commentId w16cid:paraId="2A0C002C" w16cid:durableId="211A973A"/>
  <w16cid:commentId w16cid:paraId="706065F0" w16cid:durableId="211A91DA"/>
  <w16cid:commentId w16cid:paraId="22EE5AE9" w16cid:durableId="211B6626"/>
  <w16cid:commentId w16cid:paraId="6884C1E2" w16cid:durableId="211B675E"/>
  <w16cid:commentId w16cid:paraId="6C0EBCAF" w16cid:durableId="211B7A37"/>
  <w16cid:commentId w16cid:paraId="2CEF0B27" w16cid:durableId="211B750B"/>
  <w16cid:commentId w16cid:paraId="3634956F" w16cid:durableId="211BCF1B"/>
  <w16cid:commentId w16cid:paraId="07C1F79B" w16cid:durableId="211BEA3A"/>
  <w16cid:commentId w16cid:paraId="0D4FABC8" w16cid:durableId="211CBB71"/>
  <w16cid:commentId w16cid:paraId="76EE34F0" w16cid:durableId="211CB0AE"/>
  <w16cid:commentId w16cid:paraId="3E708163" w16cid:durableId="211CB1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91B" w:rsidRDefault="0046191B" w:rsidP="00E71A58">
      <w:r>
        <w:separator/>
      </w:r>
    </w:p>
  </w:endnote>
  <w:endnote w:type="continuationSeparator" w:id="0">
    <w:p w:rsidR="0046191B" w:rsidRDefault="0046191B"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charset w:val="00"/>
    <w:family w:val="auto"/>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624" w:rsidRPr="00932443" w:rsidRDefault="00665624" w:rsidP="00A418BC">
    <w:pPr>
      <w:pStyle w:val="Zpat"/>
      <w:rPr>
        <w:szCs w:val="16"/>
      </w:rPr>
    </w:pPr>
    <w:r>
      <w:rPr>
        <w:szCs w:val="16"/>
        <w:lang w:eastAsia="cs-CZ"/>
      </w:rPr>
      <w:drawing>
        <wp:anchor distT="0" distB="0" distL="114300" distR="114300" simplePos="0" relativeHeight="251667968" behindDoc="0" locked="0" layoutInCell="1" allowOverlap="1" wp14:anchorId="2E2F047C" wp14:editId="5CCBCB0F">
          <wp:simplePos x="0" y="0"/>
          <wp:positionH relativeFrom="column">
            <wp:align>right</wp:align>
          </wp:positionH>
          <wp:positionV relativeFrom="paragraph">
            <wp:posOffset>-64770</wp:posOffset>
          </wp:positionV>
          <wp:extent cx="428625" cy="201295"/>
          <wp:effectExtent l="0" t="0" r="3175" b="1905"/>
          <wp:wrapNone/>
          <wp:docPr id="42"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F3615A">
      <w:rPr>
        <w:szCs w:val="16"/>
      </w:rPr>
      <w:t>26</w:t>
    </w:r>
    <w:r w:rsidRPr="00932443">
      <w:rPr>
        <w:szCs w:val="16"/>
      </w:rPr>
      <w:fldChar w:fldCharType="end"/>
    </w:r>
    <w:r w:rsidRPr="00932443">
      <w:rPr>
        <w:szCs w:val="16"/>
      </w:rPr>
      <w:tab/>
    </w:r>
    <w:r>
      <w:rPr>
        <w:szCs w:val="16"/>
      </w:rPr>
      <w:t>First half of 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624" w:rsidRPr="00932443" w:rsidRDefault="00665624" w:rsidP="00FA6CB6">
    <w:pPr>
      <w:pStyle w:val="Zpat"/>
      <w:rPr>
        <w:szCs w:val="16"/>
      </w:rPr>
    </w:pPr>
    <w:r w:rsidRPr="00FA6CB6">
      <w:rPr>
        <w:szCs w:val="16"/>
      </w:rPr>
      <w:tab/>
    </w:r>
    <w:r>
      <w:rPr>
        <w:szCs w:val="16"/>
      </w:rPr>
      <w:t xml:space="preserve">First half of </w:t>
    </w:r>
    <w:r>
      <w:rPr>
        <w:szCs w:val="16"/>
        <w:lang w:eastAsia="cs-CZ"/>
      </w:rPr>
      <w:drawing>
        <wp:anchor distT="0" distB="0" distL="114300" distR="114300" simplePos="0" relativeHeight="251658752" behindDoc="0" locked="0" layoutInCell="1" allowOverlap="1" wp14:anchorId="78509EBE" wp14:editId="47E6E033">
          <wp:simplePos x="0" y="0"/>
          <wp:positionH relativeFrom="column">
            <wp:align>left</wp:align>
          </wp:positionH>
          <wp:positionV relativeFrom="paragraph">
            <wp:posOffset>-122555</wp:posOffset>
          </wp:positionV>
          <wp:extent cx="510540" cy="272415"/>
          <wp:effectExtent l="0" t="0" r="0" b="6985"/>
          <wp:wrapNone/>
          <wp:docPr id="45" name="Picture 16"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anchor>
      </w:drawing>
    </w:r>
    <w:r>
      <w:rPr>
        <w:szCs w:val="16"/>
      </w:rPr>
      <w:t>2</w:t>
    </w:r>
    <w:r>
      <w:t>019</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F3615A">
      <w:rPr>
        <w:rStyle w:val="ZpatChar"/>
        <w:szCs w:val="16"/>
      </w:rPr>
      <w:t>27</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91B" w:rsidRDefault="0046191B" w:rsidP="00A21B4D">
      <w:pPr>
        <w:spacing w:after="0"/>
      </w:pPr>
      <w:r>
        <w:separator/>
      </w:r>
    </w:p>
  </w:footnote>
  <w:footnote w:type="continuationSeparator" w:id="0">
    <w:p w:rsidR="0046191B" w:rsidRDefault="0046191B" w:rsidP="00E71A58">
      <w:r>
        <w:continuationSeparator/>
      </w:r>
    </w:p>
  </w:footnote>
  <w:footnote w:id="1">
    <w:p w:rsidR="00665624" w:rsidRPr="000A4A20" w:rsidRDefault="00665624" w:rsidP="000A4A20">
      <w:pPr>
        <w:pStyle w:val="Textpoznpodarou"/>
        <w:jc w:val="both"/>
        <w:rPr>
          <w:sz w:val="16"/>
          <w:szCs w:val="16"/>
          <w:lang w:val="en-GB"/>
        </w:rPr>
      </w:pPr>
      <w:r w:rsidRPr="004470E6">
        <w:rPr>
          <w:rStyle w:val="Znakapoznpodarou"/>
          <w:sz w:val="16"/>
          <w:szCs w:val="16"/>
        </w:rPr>
        <w:footnoteRef/>
      </w:r>
      <w:r w:rsidRPr="004470E6">
        <w:rPr>
          <w:sz w:val="16"/>
          <w:szCs w:val="16"/>
        </w:rPr>
        <w:t xml:space="preserve"> </w:t>
      </w:r>
      <w:r w:rsidRPr="000A4A20">
        <w:rPr>
          <w:sz w:val="16"/>
          <w:szCs w:val="16"/>
          <w:lang w:val="en-GB"/>
        </w:rPr>
        <w:t xml:space="preserve">Unless stated otherwise, public database ARAD of the Czech National Bank is the source of data in this chapter. </w:t>
      </w:r>
    </w:p>
  </w:footnote>
  <w:footnote w:id="2">
    <w:p w:rsidR="00665624" w:rsidRPr="004F103E" w:rsidRDefault="00665624" w:rsidP="004F103E">
      <w:pPr>
        <w:pStyle w:val="Textpoznpodarou"/>
        <w:jc w:val="both"/>
        <w:rPr>
          <w:sz w:val="16"/>
          <w:szCs w:val="16"/>
          <w:lang w:val="en-GB"/>
        </w:rPr>
      </w:pPr>
      <w:r w:rsidRPr="00113954">
        <w:rPr>
          <w:rStyle w:val="Znakapoznpodarou"/>
          <w:sz w:val="16"/>
          <w:szCs w:val="16"/>
        </w:rPr>
        <w:footnoteRef/>
      </w:r>
      <w:r w:rsidRPr="00113954">
        <w:rPr>
          <w:sz w:val="16"/>
          <w:szCs w:val="16"/>
        </w:rPr>
        <w:t xml:space="preserve"> </w:t>
      </w:r>
      <w:r w:rsidRPr="004F103E">
        <w:rPr>
          <w:sz w:val="16"/>
          <w:szCs w:val="16"/>
          <w:lang w:val="en-GB"/>
        </w:rPr>
        <w:t xml:space="preserve">According to the CNB commentary, a decrease of credit balances on the current accounts occurred in the bank statistics in January 2019 compared to December 2018, mainly in the household sector. This fluctuation was caused by the one-off re-classification on the part of the reporting </w:t>
      </w:r>
      <w:r>
        <w:rPr>
          <w:sz w:val="16"/>
          <w:szCs w:val="16"/>
          <w:lang w:val="en-GB"/>
        </w:rPr>
        <w:t>e</w:t>
      </w:r>
      <w:r w:rsidRPr="004F103E">
        <w:rPr>
          <w:sz w:val="16"/>
          <w:szCs w:val="16"/>
          <w:lang w:val="en-GB"/>
        </w:rPr>
        <w:t xml:space="preserve">ntities into savings deposits redeemable on notice. </w:t>
      </w:r>
    </w:p>
  </w:footnote>
  <w:footnote w:id="3">
    <w:p w:rsidR="00665624" w:rsidRPr="004F103E" w:rsidRDefault="00665624" w:rsidP="004F103E">
      <w:pPr>
        <w:rPr>
          <w:sz w:val="16"/>
          <w:szCs w:val="16"/>
          <w:lang w:val="en-GB"/>
        </w:rPr>
      </w:pPr>
      <w:r w:rsidRPr="004F103E">
        <w:rPr>
          <w:rStyle w:val="Znakapoznpodarou"/>
          <w:sz w:val="16"/>
          <w:szCs w:val="16"/>
          <w:lang w:val="en-GB"/>
        </w:rPr>
        <w:footnoteRef/>
      </w:r>
      <w:r w:rsidRPr="004F103E">
        <w:rPr>
          <w:sz w:val="16"/>
          <w:szCs w:val="16"/>
          <w:lang w:val="en-GB"/>
        </w:rPr>
        <w:t xml:space="preserve"> </w:t>
      </w:r>
      <w:r>
        <w:rPr>
          <w:sz w:val="16"/>
          <w:szCs w:val="16"/>
          <w:lang w:val="en-GB"/>
        </w:rPr>
        <w:t xml:space="preserve">As a result of modification of the mortgage definition in the amendment to the Act No. </w:t>
      </w:r>
      <w:r w:rsidRPr="004F103E">
        <w:rPr>
          <w:sz w:val="16"/>
          <w:szCs w:val="16"/>
          <w:lang w:val="en-GB"/>
        </w:rPr>
        <w:t>190/2004 </w:t>
      </w:r>
      <w:r>
        <w:rPr>
          <w:sz w:val="16"/>
          <w:szCs w:val="16"/>
          <w:lang w:val="en-GB"/>
        </w:rPr>
        <w:t>Col</w:t>
      </w:r>
      <w:r w:rsidRPr="004F103E">
        <w:rPr>
          <w:sz w:val="16"/>
          <w:szCs w:val="16"/>
          <w:lang w:val="en-GB"/>
        </w:rPr>
        <w:t>.,</w:t>
      </w:r>
      <w:r>
        <w:rPr>
          <w:sz w:val="16"/>
          <w:szCs w:val="16"/>
          <w:lang w:val="en-GB"/>
        </w:rPr>
        <w:t xml:space="preserve"> on </w:t>
      </w:r>
      <w:r w:rsidRPr="004F103E">
        <w:rPr>
          <w:sz w:val="16"/>
          <w:szCs w:val="16"/>
          <w:lang w:val="en-GB"/>
        </w:rPr>
        <w:t xml:space="preserve">Bonds, </w:t>
      </w:r>
      <w:r>
        <w:rPr>
          <w:sz w:val="16"/>
          <w:szCs w:val="16"/>
          <w:lang w:val="en-GB"/>
        </w:rPr>
        <w:t>effective as of 4th</w:t>
      </w:r>
      <w:r w:rsidRPr="004F103E">
        <w:rPr>
          <w:sz w:val="16"/>
          <w:szCs w:val="16"/>
          <w:lang w:val="en-GB"/>
        </w:rPr>
        <w:t> </w:t>
      </w:r>
      <w:r>
        <w:rPr>
          <w:sz w:val="16"/>
          <w:szCs w:val="16"/>
          <w:lang w:val="en-GB"/>
        </w:rPr>
        <w:t>January</w:t>
      </w:r>
      <w:r w:rsidRPr="004F103E">
        <w:rPr>
          <w:sz w:val="16"/>
          <w:szCs w:val="16"/>
          <w:lang w:val="en-GB"/>
        </w:rPr>
        <w:t>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624" w:rsidRDefault="00665624" w:rsidP="00937AE2">
    <w:pPr>
      <w:pStyle w:val="Zhlav"/>
    </w:pPr>
    <w:r>
      <w:t>The Czech Economy Development</w:t>
    </w:r>
  </w:p>
  <w:p w:rsidR="00665624" w:rsidRPr="006F5416" w:rsidRDefault="00665624" w:rsidP="00937A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624" w:rsidRDefault="00665624" w:rsidP="00937AE2">
    <w:pPr>
      <w:pStyle w:val="Zhlav"/>
    </w:pPr>
    <w:r>
      <w:t>The Czech Economy Development</w:t>
    </w:r>
  </w:p>
  <w:p w:rsidR="00665624" w:rsidRPr="006F5416" w:rsidRDefault="00665624"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946"/>
    <w:multiLevelType w:val="hybridMultilevel"/>
    <w:tmpl w:val="4C1C2D78"/>
    <w:lvl w:ilvl="0" w:tplc="B01A5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3"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7C1667"/>
    <w:multiLevelType w:val="hybridMultilevel"/>
    <w:tmpl w:val="735E7570"/>
    <w:lvl w:ilvl="0" w:tplc="5588AF8E">
      <w:start w:val="1"/>
      <w:numFmt w:val="decimal"/>
      <w:lvlText w:val="%1."/>
      <w:lvlJc w:val="left"/>
      <w:pPr>
        <w:ind w:left="4800" w:hanging="360"/>
      </w:pPr>
      <w:rPr>
        <w:rFonts w:hint="default"/>
      </w:rPr>
    </w:lvl>
    <w:lvl w:ilvl="1" w:tplc="04050019" w:tentative="1">
      <w:start w:val="1"/>
      <w:numFmt w:val="lowerLetter"/>
      <w:lvlText w:val="%2."/>
      <w:lvlJc w:val="left"/>
      <w:pPr>
        <w:ind w:left="5520" w:hanging="360"/>
      </w:pPr>
    </w:lvl>
    <w:lvl w:ilvl="2" w:tplc="0405001B" w:tentative="1">
      <w:start w:val="1"/>
      <w:numFmt w:val="lowerRoman"/>
      <w:lvlText w:val="%3."/>
      <w:lvlJc w:val="right"/>
      <w:pPr>
        <w:ind w:left="6240" w:hanging="180"/>
      </w:pPr>
    </w:lvl>
    <w:lvl w:ilvl="3" w:tplc="0405000F" w:tentative="1">
      <w:start w:val="1"/>
      <w:numFmt w:val="decimal"/>
      <w:lvlText w:val="%4."/>
      <w:lvlJc w:val="left"/>
      <w:pPr>
        <w:ind w:left="6960" w:hanging="360"/>
      </w:pPr>
    </w:lvl>
    <w:lvl w:ilvl="4" w:tplc="04050019" w:tentative="1">
      <w:start w:val="1"/>
      <w:numFmt w:val="lowerLetter"/>
      <w:lvlText w:val="%5."/>
      <w:lvlJc w:val="left"/>
      <w:pPr>
        <w:ind w:left="7680" w:hanging="360"/>
      </w:pPr>
    </w:lvl>
    <w:lvl w:ilvl="5" w:tplc="0405001B" w:tentative="1">
      <w:start w:val="1"/>
      <w:numFmt w:val="lowerRoman"/>
      <w:lvlText w:val="%6."/>
      <w:lvlJc w:val="right"/>
      <w:pPr>
        <w:ind w:left="8400" w:hanging="180"/>
      </w:pPr>
    </w:lvl>
    <w:lvl w:ilvl="6" w:tplc="0405000F" w:tentative="1">
      <w:start w:val="1"/>
      <w:numFmt w:val="decimal"/>
      <w:lvlText w:val="%7."/>
      <w:lvlJc w:val="left"/>
      <w:pPr>
        <w:ind w:left="9120" w:hanging="360"/>
      </w:pPr>
    </w:lvl>
    <w:lvl w:ilvl="7" w:tplc="04050019" w:tentative="1">
      <w:start w:val="1"/>
      <w:numFmt w:val="lowerLetter"/>
      <w:lvlText w:val="%8."/>
      <w:lvlJc w:val="left"/>
      <w:pPr>
        <w:ind w:left="9840" w:hanging="360"/>
      </w:pPr>
    </w:lvl>
    <w:lvl w:ilvl="8" w:tplc="0405001B" w:tentative="1">
      <w:start w:val="1"/>
      <w:numFmt w:val="lowerRoman"/>
      <w:lvlText w:val="%9."/>
      <w:lvlJc w:val="right"/>
      <w:pPr>
        <w:ind w:left="10560" w:hanging="180"/>
      </w:pPr>
    </w:lvl>
  </w:abstractNum>
  <w:abstractNum w:abstractNumId="21" w15:restartNumberingAfterBreak="0">
    <w:nsid w:val="3D4D0562"/>
    <w:multiLevelType w:val="hybridMultilevel"/>
    <w:tmpl w:val="E8A8F2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24"/>
  </w:num>
  <w:num w:numId="14">
    <w:abstractNumId w:val="12"/>
  </w:num>
  <w:num w:numId="15">
    <w:abstractNumId w:val="18"/>
  </w:num>
  <w:num w:numId="16">
    <w:abstractNumId w:val="14"/>
  </w:num>
  <w:num w:numId="17">
    <w:abstractNumId w:val="25"/>
  </w:num>
  <w:num w:numId="18">
    <w:abstractNumId w:val="19"/>
  </w:num>
  <w:num w:numId="19">
    <w:abstractNumId w:val="26"/>
  </w:num>
  <w:num w:numId="20">
    <w:abstractNumId w:val="27"/>
  </w:num>
  <w:num w:numId="21">
    <w:abstractNumId w:val="23"/>
  </w:num>
  <w:num w:numId="22">
    <w:abstractNumId w:val="17"/>
  </w:num>
  <w:num w:numId="23">
    <w:abstractNumId w:val="15"/>
  </w:num>
  <w:num w:numId="24">
    <w:abstractNumId w:val="16"/>
  </w:num>
  <w:num w:numId="25">
    <w:abstractNumId w:val="11"/>
  </w:num>
  <w:num w:numId="26">
    <w:abstractNumId w:val="21"/>
  </w:num>
  <w:num w:numId="27">
    <w:abstractNumId w:val="20"/>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828"/>
    <w:rsid w:val="000005AF"/>
    <w:rsid w:val="00000B55"/>
    <w:rsid w:val="00000DA2"/>
    <w:rsid w:val="00000E05"/>
    <w:rsid w:val="0000209D"/>
    <w:rsid w:val="00002315"/>
    <w:rsid w:val="00003849"/>
    <w:rsid w:val="00003F5C"/>
    <w:rsid w:val="00003FD3"/>
    <w:rsid w:val="00004D5A"/>
    <w:rsid w:val="000056D5"/>
    <w:rsid w:val="00005D9E"/>
    <w:rsid w:val="000063D5"/>
    <w:rsid w:val="00006625"/>
    <w:rsid w:val="000066B6"/>
    <w:rsid w:val="00006ABD"/>
    <w:rsid w:val="00006B67"/>
    <w:rsid w:val="00006C0B"/>
    <w:rsid w:val="000073A0"/>
    <w:rsid w:val="0000767A"/>
    <w:rsid w:val="00007ABE"/>
    <w:rsid w:val="00010256"/>
    <w:rsid w:val="000103C8"/>
    <w:rsid w:val="00010702"/>
    <w:rsid w:val="0001128E"/>
    <w:rsid w:val="00011912"/>
    <w:rsid w:val="0001387D"/>
    <w:rsid w:val="0001448F"/>
    <w:rsid w:val="000162C4"/>
    <w:rsid w:val="00016420"/>
    <w:rsid w:val="0001719F"/>
    <w:rsid w:val="00017B01"/>
    <w:rsid w:val="00017F00"/>
    <w:rsid w:val="00020F22"/>
    <w:rsid w:val="0002195D"/>
    <w:rsid w:val="000221E5"/>
    <w:rsid w:val="000228AE"/>
    <w:rsid w:val="000233D1"/>
    <w:rsid w:val="0002345D"/>
    <w:rsid w:val="000234D6"/>
    <w:rsid w:val="00023D29"/>
    <w:rsid w:val="00024348"/>
    <w:rsid w:val="00025D65"/>
    <w:rsid w:val="00026389"/>
    <w:rsid w:val="000274E3"/>
    <w:rsid w:val="00031AE0"/>
    <w:rsid w:val="00031BB2"/>
    <w:rsid w:val="000322EF"/>
    <w:rsid w:val="00033FCD"/>
    <w:rsid w:val="00034DF7"/>
    <w:rsid w:val="00034E68"/>
    <w:rsid w:val="00034F5B"/>
    <w:rsid w:val="000350C8"/>
    <w:rsid w:val="00036195"/>
    <w:rsid w:val="00037270"/>
    <w:rsid w:val="000374B2"/>
    <w:rsid w:val="000376C0"/>
    <w:rsid w:val="000403A7"/>
    <w:rsid w:val="00040632"/>
    <w:rsid w:val="00041028"/>
    <w:rsid w:val="00041CEC"/>
    <w:rsid w:val="00044183"/>
    <w:rsid w:val="0004694F"/>
    <w:rsid w:val="0004752C"/>
    <w:rsid w:val="00047D54"/>
    <w:rsid w:val="000522E4"/>
    <w:rsid w:val="00053713"/>
    <w:rsid w:val="000537E1"/>
    <w:rsid w:val="00054136"/>
    <w:rsid w:val="0005434E"/>
    <w:rsid w:val="00054796"/>
    <w:rsid w:val="00055CB6"/>
    <w:rsid w:val="000572DD"/>
    <w:rsid w:val="00057B1E"/>
    <w:rsid w:val="00057F99"/>
    <w:rsid w:val="000610E1"/>
    <w:rsid w:val="000616AD"/>
    <w:rsid w:val="000622A6"/>
    <w:rsid w:val="00062EC5"/>
    <w:rsid w:val="00062F22"/>
    <w:rsid w:val="00063975"/>
    <w:rsid w:val="00063CEA"/>
    <w:rsid w:val="000645FC"/>
    <w:rsid w:val="0006533F"/>
    <w:rsid w:val="00065348"/>
    <w:rsid w:val="00065892"/>
    <w:rsid w:val="00065A75"/>
    <w:rsid w:val="00066558"/>
    <w:rsid w:val="00070A87"/>
    <w:rsid w:val="000712B3"/>
    <w:rsid w:val="00072191"/>
    <w:rsid w:val="00072577"/>
    <w:rsid w:val="00072A4A"/>
    <w:rsid w:val="00072FF5"/>
    <w:rsid w:val="0007474E"/>
    <w:rsid w:val="0007512B"/>
    <w:rsid w:val="00075551"/>
    <w:rsid w:val="00076079"/>
    <w:rsid w:val="00076D90"/>
    <w:rsid w:val="00077FF0"/>
    <w:rsid w:val="000804D8"/>
    <w:rsid w:val="00081A55"/>
    <w:rsid w:val="0008263E"/>
    <w:rsid w:val="00082C19"/>
    <w:rsid w:val="000837CD"/>
    <w:rsid w:val="00083F87"/>
    <w:rsid w:val="00084492"/>
    <w:rsid w:val="00084BFF"/>
    <w:rsid w:val="00084C4C"/>
    <w:rsid w:val="00085395"/>
    <w:rsid w:val="0008688B"/>
    <w:rsid w:val="00086896"/>
    <w:rsid w:val="00086AC1"/>
    <w:rsid w:val="00086D19"/>
    <w:rsid w:val="00087634"/>
    <w:rsid w:val="00087F2B"/>
    <w:rsid w:val="00090694"/>
    <w:rsid w:val="000906C3"/>
    <w:rsid w:val="000912BE"/>
    <w:rsid w:val="000913B1"/>
    <w:rsid w:val="00091483"/>
    <w:rsid w:val="00093241"/>
    <w:rsid w:val="00094A84"/>
    <w:rsid w:val="00095025"/>
    <w:rsid w:val="00095135"/>
    <w:rsid w:val="00095A4B"/>
    <w:rsid w:val="00095AFE"/>
    <w:rsid w:val="0009626E"/>
    <w:rsid w:val="00097191"/>
    <w:rsid w:val="000974D1"/>
    <w:rsid w:val="0009799E"/>
    <w:rsid w:val="000A0BC0"/>
    <w:rsid w:val="000A1183"/>
    <w:rsid w:val="000A212B"/>
    <w:rsid w:val="000A256D"/>
    <w:rsid w:val="000A3A2C"/>
    <w:rsid w:val="000A3D9E"/>
    <w:rsid w:val="000A4A20"/>
    <w:rsid w:val="000A4A54"/>
    <w:rsid w:val="000A4ED9"/>
    <w:rsid w:val="000A6F9F"/>
    <w:rsid w:val="000A7377"/>
    <w:rsid w:val="000B03CC"/>
    <w:rsid w:val="000B4212"/>
    <w:rsid w:val="000B7A9D"/>
    <w:rsid w:val="000C0EA8"/>
    <w:rsid w:val="000C13A2"/>
    <w:rsid w:val="000C23EC"/>
    <w:rsid w:val="000C30C3"/>
    <w:rsid w:val="000C3408"/>
    <w:rsid w:val="000C35AB"/>
    <w:rsid w:val="000C3F7B"/>
    <w:rsid w:val="000C4769"/>
    <w:rsid w:val="000C4D56"/>
    <w:rsid w:val="000C5DFA"/>
    <w:rsid w:val="000C6AFD"/>
    <w:rsid w:val="000C6C90"/>
    <w:rsid w:val="000D0A26"/>
    <w:rsid w:val="000D3058"/>
    <w:rsid w:val="000D310A"/>
    <w:rsid w:val="000D3EF4"/>
    <w:rsid w:val="000D5637"/>
    <w:rsid w:val="000D6F4E"/>
    <w:rsid w:val="000E0E96"/>
    <w:rsid w:val="000E298B"/>
    <w:rsid w:val="000E2C7D"/>
    <w:rsid w:val="000E440D"/>
    <w:rsid w:val="000E44FB"/>
    <w:rsid w:val="000E4AC5"/>
    <w:rsid w:val="000E4DDC"/>
    <w:rsid w:val="000E6253"/>
    <w:rsid w:val="000E6E4D"/>
    <w:rsid w:val="000E6FBD"/>
    <w:rsid w:val="000E6FCB"/>
    <w:rsid w:val="000E7DEA"/>
    <w:rsid w:val="000F090B"/>
    <w:rsid w:val="000F253E"/>
    <w:rsid w:val="000F3F3B"/>
    <w:rsid w:val="000F47E8"/>
    <w:rsid w:val="000F70E4"/>
    <w:rsid w:val="00100F5C"/>
    <w:rsid w:val="00101CDA"/>
    <w:rsid w:val="00102037"/>
    <w:rsid w:val="00103DCB"/>
    <w:rsid w:val="00104C4C"/>
    <w:rsid w:val="00105015"/>
    <w:rsid w:val="00105238"/>
    <w:rsid w:val="001057C2"/>
    <w:rsid w:val="00105F9B"/>
    <w:rsid w:val="00105FF8"/>
    <w:rsid w:val="0011038E"/>
    <w:rsid w:val="001116E7"/>
    <w:rsid w:val="001125EF"/>
    <w:rsid w:val="00112CAB"/>
    <w:rsid w:val="00113B2C"/>
    <w:rsid w:val="001143E0"/>
    <w:rsid w:val="00114F02"/>
    <w:rsid w:val="00115469"/>
    <w:rsid w:val="00116D3F"/>
    <w:rsid w:val="00117474"/>
    <w:rsid w:val="00117623"/>
    <w:rsid w:val="00117FEA"/>
    <w:rsid w:val="001200CF"/>
    <w:rsid w:val="001208E3"/>
    <w:rsid w:val="0012192F"/>
    <w:rsid w:val="00121AAB"/>
    <w:rsid w:val="00122994"/>
    <w:rsid w:val="00124B46"/>
    <w:rsid w:val="001257E0"/>
    <w:rsid w:val="00125D69"/>
    <w:rsid w:val="0012799C"/>
    <w:rsid w:val="00127E15"/>
    <w:rsid w:val="00130ADC"/>
    <w:rsid w:val="00130D9F"/>
    <w:rsid w:val="00132C4D"/>
    <w:rsid w:val="00133FC1"/>
    <w:rsid w:val="00134659"/>
    <w:rsid w:val="001370B7"/>
    <w:rsid w:val="001405FA"/>
    <w:rsid w:val="00140D1A"/>
    <w:rsid w:val="00141315"/>
    <w:rsid w:val="00141AA0"/>
    <w:rsid w:val="001425C3"/>
    <w:rsid w:val="0014262D"/>
    <w:rsid w:val="00144588"/>
    <w:rsid w:val="001447DD"/>
    <w:rsid w:val="001459BC"/>
    <w:rsid w:val="0014675A"/>
    <w:rsid w:val="0015136D"/>
    <w:rsid w:val="001524CE"/>
    <w:rsid w:val="00152F4F"/>
    <w:rsid w:val="001539F9"/>
    <w:rsid w:val="00153C26"/>
    <w:rsid w:val="00153EC7"/>
    <w:rsid w:val="001544A1"/>
    <w:rsid w:val="001548E1"/>
    <w:rsid w:val="001553B8"/>
    <w:rsid w:val="001554C2"/>
    <w:rsid w:val="00155B6D"/>
    <w:rsid w:val="001571C0"/>
    <w:rsid w:val="0015753D"/>
    <w:rsid w:val="00157CC9"/>
    <w:rsid w:val="00157E3F"/>
    <w:rsid w:val="00160C21"/>
    <w:rsid w:val="00161223"/>
    <w:rsid w:val="001612F4"/>
    <w:rsid w:val="00161553"/>
    <w:rsid w:val="00161684"/>
    <w:rsid w:val="0016256B"/>
    <w:rsid w:val="00162F81"/>
    <w:rsid w:val="00163793"/>
    <w:rsid w:val="0016467D"/>
    <w:rsid w:val="00164788"/>
    <w:rsid w:val="001650C3"/>
    <w:rsid w:val="00166875"/>
    <w:rsid w:val="00167485"/>
    <w:rsid w:val="00167CB9"/>
    <w:rsid w:val="00167DD8"/>
    <w:rsid w:val="001705AD"/>
    <w:rsid w:val="001706D6"/>
    <w:rsid w:val="001714F2"/>
    <w:rsid w:val="00171FEA"/>
    <w:rsid w:val="00172622"/>
    <w:rsid w:val="001750A3"/>
    <w:rsid w:val="00175B9F"/>
    <w:rsid w:val="001762F4"/>
    <w:rsid w:val="001807EF"/>
    <w:rsid w:val="00181BBC"/>
    <w:rsid w:val="0018385F"/>
    <w:rsid w:val="00183928"/>
    <w:rsid w:val="00184017"/>
    <w:rsid w:val="00184B08"/>
    <w:rsid w:val="00185010"/>
    <w:rsid w:val="00185C22"/>
    <w:rsid w:val="00185E52"/>
    <w:rsid w:val="00186BA9"/>
    <w:rsid w:val="0019196C"/>
    <w:rsid w:val="00192F05"/>
    <w:rsid w:val="0019447D"/>
    <w:rsid w:val="00194729"/>
    <w:rsid w:val="00194850"/>
    <w:rsid w:val="00195234"/>
    <w:rsid w:val="00195C85"/>
    <w:rsid w:val="00196016"/>
    <w:rsid w:val="00197A70"/>
    <w:rsid w:val="00197C0F"/>
    <w:rsid w:val="001A0487"/>
    <w:rsid w:val="001A15AF"/>
    <w:rsid w:val="001A1716"/>
    <w:rsid w:val="001A1F68"/>
    <w:rsid w:val="001A21FA"/>
    <w:rsid w:val="001A2AD0"/>
    <w:rsid w:val="001A4EF0"/>
    <w:rsid w:val="001A552F"/>
    <w:rsid w:val="001B086A"/>
    <w:rsid w:val="001B2CA9"/>
    <w:rsid w:val="001B3110"/>
    <w:rsid w:val="001B352E"/>
    <w:rsid w:val="001B3E38"/>
    <w:rsid w:val="001B40F5"/>
    <w:rsid w:val="001B4729"/>
    <w:rsid w:val="001B4F0E"/>
    <w:rsid w:val="001B6310"/>
    <w:rsid w:val="001B6C09"/>
    <w:rsid w:val="001C05CD"/>
    <w:rsid w:val="001C0F17"/>
    <w:rsid w:val="001C1B66"/>
    <w:rsid w:val="001C1B6C"/>
    <w:rsid w:val="001C2B88"/>
    <w:rsid w:val="001C31A2"/>
    <w:rsid w:val="001C369F"/>
    <w:rsid w:val="001C4BB8"/>
    <w:rsid w:val="001C5E46"/>
    <w:rsid w:val="001C60B7"/>
    <w:rsid w:val="001C6B3B"/>
    <w:rsid w:val="001C6C7D"/>
    <w:rsid w:val="001C7E3F"/>
    <w:rsid w:val="001D0EF1"/>
    <w:rsid w:val="001D22C2"/>
    <w:rsid w:val="001D2C99"/>
    <w:rsid w:val="001D452E"/>
    <w:rsid w:val="001D54C1"/>
    <w:rsid w:val="001D556E"/>
    <w:rsid w:val="001D5DF2"/>
    <w:rsid w:val="001D68B2"/>
    <w:rsid w:val="001D6E96"/>
    <w:rsid w:val="001D74DD"/>
    <w:rsid w:val="001D7EFD"/>
    <w:rsid w:val="001D7F60"/>
    <w:rsid w:val="001E09E1"/>
    <w:rsid w:val="001E504C"/>
    <w:rsid w:val="001E59DF"/>
    <w:rsid w:val="001E5A17"/>
    <w:rsid w:val="001E74C5"/>
    <w:rsid w:val="001F1236"/>
    <w:rsid w:val="001F2F90"/>
    <w:rsid w:val="001F4597"/>
    <w:rsid w:val="001F4826"/>
    <w:rsid w:val="001F5EAA"/>
    <w:rsid w:val="001F7CE0"/>
    <w:rsid w:val="00200085"/>
    <w:rsid w:val="00203332"/>
    <w:rsid w:val="00203CD5"/>
    <w:rsid w:val="00203D8F"/>
    <w:rsid w:val="00203DA4"/>
    <w:rsid w:val="00205186"/>
    <w:rsid w:val="00205932"/>
    <w:rsid w:val="00206516"/>
    <w:rsid w:val="002071D5"/>
    <w:rsid w:val="002111E5"/>
    <w:rsid w:val="00211433"/>
    <w:rsid w:val="002118B9"/>
    <w:rsid w:val="00212F5D"/>
    <w:rsid w:val="002142C0"/>
    <w:rsid w:val="00217C5B"/>
    <w:rsid w:val="00220A43"/>
    <w:rsid w:val="0022139E"/>
    <w:rsid w:val="00222729"/>
    <w:rsid w:val="002233D6"/>
    <w:rsid w:val="00223605"/>
    <w:rsid w:val="0022441D"/>
    <w:rsid w:val="00224574"/>
    <w:rsid w:val="00224E3F"/>
    <w:rsid w:val="00225292"/>
    <w:rsid w:val="002252E0"/>
    <w:rsid w:val="002255F6"/>
    <w:rsid w:val="00226032"/>
    <w:rsid w:val="0022738D"/>
    <w:rsid w:val="00227605"/>
    <w:rsid w:val="00227850"/>
    <w:rsid w:val="00227A53"/>
    <w:rsid w:val="00227E2E"/>
    <w:rsid w:val="00227F53"/>
    <w:rsid w:val="00230C6E"/>
    <w:rsid w:val="00230E21"/>
    <w:rsid w:val="002316A8"/>
    <w:rsid w:val="0023288F"/>
    <w:rsid w:val="00233603"/>
    <w:rsid w:val="00233FDA"/>
    <w:rsid w:val="002340EF"/>
    <w:rsid w:val="00234B82"/>
    <w:rsid w:val="00236443"/>
    <w:rsid w:val="00236700"/>
    <w:rsid w:val="00237D82"/>
    <w:rsid w:val="00240ADA"/>
    <w:rsid w:val="00240AF3"/>
    <w:rsid w:val="00240DA6"/>
    <w:rsid w:val="0024106F"/>
    <w:rsid w:val="002418D5"/>
    <w:rsid w:val="00241B06"/>
    <w:rsid w:val="002436BA"/>
    <w:rsid w:val="0024448D"/>
    <w:rsid w:val="00244A15"/>
    <w:rsid w:val="002452D9"/>
    <w:rsid w:val="00247319"/>
    <w:rsid w:val="0024799E"/>
    <w:rsid w:val="00247E60"/>
    <w:rsid w:val="00251771"/>
    <w:rsid w:val="00251C53"/>
    <w:rsid w:val="00252AB9"/>
    <w:rsid w:val="00253C0F"/>
    <w:rsid w:val="002558C1"/>
    <w:rsid w:val="00256207"/>
    <w:rsid w:val="002575F3"/>
    <w:rsid w:val="002603E1"/>
    <w:rsid w:val="0026120E"/>
    <w:rsid w:val="00262141"/>
    <w:rsid w:val="002624BC"/>
    <w:rsid w:val="00262582"/>
    <w:rsid w:val="0026291D"/>
    <w:rsid w:val="00264309"/>
    <w:rsid w:val="0026564B"/>
    <w:rsid w:val="00265E85"/>
    <w:rsid w:val="00266E39"/>
    <w:rsid w:val="00266F0A"/>
    <w:rsid w:val="00267B49"/>
    <w:rsid w:val="002700D9"/>
    <w:rsid w:val="0027025F"/>
    <w:rsid w:val="002709CC"/>
    <w:rsid w:val="00271022"/>
    <w:rsid w:val="00271465"/>
    <w:rsid w:val="002721F5"/>
    <w:rsid w:val="00272DF4"/>
    <w:rsid w:val="00273681"/>
    <w:rsid w:val="00274D2C"/>
    <w:rsid w:val="0027583D"/>
    <w:rsid w:val="00275DEF"/>
    <w:rsid w:val="002763A2"/>
    <w:rsid w:val="00276B33"/>
    <w:rsid w:val="00281155"/>
    <w:rsid w:val="002812E3"/>
    <w:rsid w:val="00281560"/>
    <w:rsid w:val="0028341F"/>
    <w:rsid w:val="002837AE"/>
    <w:rsid w:val="00283C13"/>
    <w:rsid w:val="00284287"/>
    <w:rsid w:val="002849D0"/>
    <w:rsid w:val="002853FA"/>
    <w:rsid w:val="00285412"/>
    <w:rsid w:val="0028578A"/>
    <w:rsid w:val="00286220"/>
    <w:rsid w:val="002904EA"/>
    <w:rsid w:val="00291640"/>
    <w:rsid w:val="00291F92"/>
    <w:rsid w:val="00291FE4"/>
    <w:rsid w:val="0029237E"/>
    <w:rsid w:val="00292997"/>
    <w:rsid w:val="00293D24"/>
    <w:rsid w:val="0029509B"/>
    <w:rsid w:val="0029588F"/>
    <w:rsid w:val="00297256"/>
    <w:rsid w:val="00297A5C"/>
    <w:rsid w:val="00297BD9"/>
    <w:rsid w:val="00297D51"/>
    <w:rsid w:val="002A0122"/>
    <w:rsid w:val="002A016B"/>
    <w:rsid w:val="002A16D4"/>
    <w:rsid w:val="002A1E4F"/>
    <w:rsid w:val="002A230C"/>
    <w:rsid w:val="002A2AF7"/>
    <w:rsid w:val="002A3EA2"/>
    <w:rsid w:val="002A490D"/>
    <w:rsid w:val="002A512F"/>
    <w:rsid w:val="002A51AC"/>
    <w:rsid w:val="002A532A"/>
    <w:rsid w:val="002A5846"/>
    <w:rsid w:val="002A5D97"/>
    <w:rsid w:val="002A5E26"/>
    <w:rsid w:val="002A603E"/>
    <w:rsid w:val="002A63B9"/>
    <w:rsid w:val="002B3178"/>
    <w:rsid w:val="002B3EF4"/>
    <w:rsid w:val="002B4845"/>
    <w:rsid w:val="002B5567"/>
    <w:rsid w:val="002B72AA"/>
    <w:rsid w:val="002C1F09"/>
    <w:rsid w:val="002C22A4"/>
    <w:rsid w:val="002C260B"/>
    <w:rsid w:val="002C27A6"/>
    <w:rsid w:val="002C398D"/>
    <w:rsid w:val="002C40D2"/>
    <w:rsid w:val="002C4214"/>
    <w:rsid w:val="002C43BD"/>
    <w:rsid w:val="002C5245"/>
    <w:rsid w:val="002C59D8"/>
    <w:rsid w:val="002D0394"/>
    <w:rsid w:val="002D05CB"/>
    <w:rsid w:val="002D0E59"/>
    <w:rsid w:val="002D13AD"/>
    <w:rsid w:val="002D1C72"/>
    <w:rsid w:val="002D455C"/>
    <w:rsid w:val="002D5087"/>
    <w:rsid w:val="002E02A1"/>
    <w:rsid w:val="002E0587"/>
    <w:rsid w:val="002E196A"/>
    <w:rsid w:val="002E20C7"/>
    <w:rsid w:val="002E20CD"/>
    <w:rsid w:val="002E222E"/>
    <w:rsid w:val="002E26A6"/>
    <w:rsid w:val="002E28D8"/>
    <w:rsid w:val="002E37D1"/>
    <w:rsid w:val="002E3BEE"/>
    <w:rsid w:val="002E4E4C"/>
    <w:rsid w:val="002E4EA7"/>
    <w:rsid w:val="002E5846"/>
    <w:rsid w:val="002E792B"/>
    <w:rsid w:val="002E7A3C"/>
    <w:rsid w:val="002F0840"/>
    <w:rsid w:val="002F19BF"/>
    <w:rsid w:val="002F1B09"/>
    <w:rsid w:val="002F1DCB"/>
    <w:rsid w:val="002F1DE4"/>
    <w:rsid w:val="002F333D"/>
    <w:rsid w:val="002F351A"/>
    <w:rsid w:val="002F46D6"/>
    <w:rsid w:val="002F498A"/>
    <w:rsid w:val="002F4AD8"/>
    <w:rsid w:val="002F5285"/>
    <w:rsid w:val="002F5820"/>
    <w:rsid w:val="002F600E"/>
    <w:rsid w:val="00300C31"/>
    <w:rsid w:val="003019B0"/>
    <w:rsid w:val="00303939"/>
    <w:rsid w:val="00304771"/>
    <w:rsid w:val="003052D4"/>
    <w:rsid w:val="00306880"/>
    <w:rsid w:val="00306C5B"/>
    <w:rsid w:val="00307529"/>
    <w:rsid w:val="00307DB3"/>
    <w:rsid w:val="00307ED2"/>
    <w:rsid w:val="0031076D"/>
    <w:rsid w:val="00310FA6"/>
    <w:rsid w:val="00311AA6"/>
    <w:rsid w:val="00311C4D"/>
    <w:rsid w:val="003121AB"/>
    <w:rsid w:val="003153C8"/>
    <w:rsid w:val="00315524"/>
    <w:rsid w:val="00315BD8"/>
    <w:rsid w:val="0032058C"/>
    <w:rsid w:val="003208D0"/>
    <w:rsid w:val="003209D6"/>
    <w:rsid w:val="003217B9"/>
    <w:rsid w:val="00321924"/>
    <w:rsid w:val="00321EB6"/>
    <w:rsid w:val="003220A5"/>
    <w:rsid w:val="00323A1C"/>
    <w:rsid w:val="00324B59"/>
    <w:rsid w:val="0032656E"/>
    <w:rsid w:val="0032788F"/>
    <w:rsid w:val="00330DF5"/>
    <w:rsid w:val="00332190"/>
    <w:rsid w:val="00332378"/>
    <w:rsid w:val="003332CE"/>
    <w:rsid w:val="00333CD0"/>
    <w:rsid w:val="0033448D"/>
    <w:rsid w:val="00334AD2"/>
    <w:rsid w:val="0033709C"/>
    <w:rsid w:val="003370B1"/>
    <w:rsid w:val="003370C5"/>
    <w:rsid w:val="0034095D"/>
    <w:rsid w:val="00340BF3"/>
    <w:rsid w:val="00340FD2"/>
    <w:rsid w:val="00341D26"/>
    <w:rsid w:val="00341F05"/>
    <w:rsid w:val="0034335E"/>
    <w:rsid w:val="00343428"/>
    <w:rsid w:val="00344668"/>
    <w:rsid w:val="003462D9"/>
    <w:rsid w:val="00347247"/>
    <w:rsid w:val="00347BDC"/>
    <w:rsid w:val="00347DD4"/>
    <w:rsid w:val="00350879"/>
    <w:rsid w:val="00352B43"/>
    <w:rsid w:val="00352C28"/>
    <w:rsid w:val="0036077F"/>
    <w:rsid w:val="00360811"/>
    <w:rsid w:val="00360C86"/>
    <w:rsid w:val="00360F7A"/>
    <w:rsid w:val="00360FBC"/>
    <w:rsid w:val="00361537"/>
    <w:rsid w:val="0036242A"/>
    <w:rsid w:val="00362C23"/>
    <w:rsid w:val="00362E29"/>
    <w:rsid w:val="00362E90"/>
    <w:rsid w:val="00364FA0"/>
    <w:rsid w:val="003657F3"/>
    <w:rsid w:val="00365844"/>
    <w:rsid w:val="00367F84"/>
    <w:rsid w:val="003712BC"/>
    <w:rsid w:val="00372164"/>
    <w:rsid w:val="003738BD"/>
    <w:rsid w:val="00373973"/>
    <w:rsid w:val="00374263"/>
    <w:rsid w:val="003746F0"/>
    <w:rsid w:val="00374A20"/>
    <w:rsid w:val="00374B68"/>
    <w:rsid w:val="00374E21"/>
    <w:rsid w:val="003810F0"/>
    <w:rsid w:val="003813A8"/>
    <w:rsid w:val="003818DC"/>
    <w:rsid w:val="00382513"/>
    <w:rsid w:val="003830D4"/>
    <w:rsid w:val="00383388"/>
    <w:rsid w:val="003834F8"/>
    <w:rsid w:val="003838D0"/>
    <w:rsid w:val="003840C2"/>
    <w:rsid w:val="00384327"/>
    <w:rsid w:val="00384A89"/>
    <w:rsid w:val="00385086"/>
    <w:rsid w:val="00385D98"/>
    <w:rsid w:val="00386127"/>
    <w:rsid w:val="003868BC"/>
    <w:rsid w:val="00390306"/>
    <w:rsid w:val="003908A6"/>
    <w:rsid w:val="00391989"/>
    <w:rsid w:val="003927F6"/>
    <w:rsid w:val="00393CDD"/>
    <w:rsid w:val="00396739"/>
    <w:rsid w:val="003A04F6"/>
    <w:rsid w:val="003A0837"/>
    <w:rsid w:val="003A2B4D"/>
    <w:rsid w:val="003A2D12"/>
    <w:rsid w:val="003A2EBA"/>
    <w:rsid w:val="003A45E3"/>
    <w:rsid w:val="003A478C"/>
    <w:rsid w:val="003A50AC"/>
    <w:rsid w:val="003A5525"/>
    <w:rsid w:val="003A5889"/>
    <w:rsid w:val="003A6B38"/>
    <w:rsid w:val="003A6B83"/>
    <w:rsid w:val="003A6C97"/>
    <w:rsid w:val="003A722F"/>
    <w:rsid w:val="003A7373"/>
    <w:rsid w:val="003A7E9D"/>
    <w:rsid w:val="003B039F"/>
    <w:rsid w:val="003B0DF4"/>
    <w:rsid w:val="003B1F9D"/>
    <w:rsid w:val="003B2AD1"/>
    <w:rsid w:val="003B2D2E"/>
    <w:rsid w:val="003B461F"/>
    <w:rsid w:val="003B483F"/>
    <w:rsid w:val="003B4998"/>
    <w:rsid w:val="003B5A32"/>
    <w:rsid w:val="003B5C49"/>
    <w:rsid w:val="003B6762"/>
    <w:rsid w:val="003B7B50"/>
    <w:rsid w:val="003C0B07"/>
    <w:rsid w:val="003C176C"/>
    <w:rsid w:val="003C257A"/>
    <w:rsid w:val="003C2CE7"/>
    <w:rsid w:val="003C3490"/>
    <w:rsid w:val="003C3608"/>
    <w:rsid w:val="003C3D2C"/>
    <w:rsid w:val="003C4E13"/>
    <w:rsid w:val="003C6221"/>
    <w:rsid w:val="003C6548"/>
    <w:rsid w:val="003C68CC"/>
    <w:rsid w:val="003C71B9"/>
    <w:rsid w:val="003C7E62"/>
    <w:rsid w:val="003D03B4"/>
    <w:rsid w:val="003D12B9"/>
    <w:rsid w:val="003D242B"/>
    <w:rsid w:val="003D2492"/>
    <w:rsid w:val="003D29AA"/>
    <w:rsid w:val="003D2A99"/>
    <w:rsid w:val="003D4A29"/>
    <w:rsid w:val="003D6920"/>
    <w:rsid w:val="003E016B"/>
    <w:rsid w:val="003E1EF8"/>
    <w:rsid w:val="003E2840"/>
    <w:rsid w:val="003E3A1B"/>
    <w:rsid w:val="003E4C91"/>
    <w:rsid w:val="003E52D8"/>
    <w:rsid w:val="003E62F1"/>
    <w:rsid w:val="003E68E3"/>
    <w:rsid w:val="003E6DE1"/>
    <w:rsid w:val="003F313C"/>
    <w:rsid w:val="003F37FC"/>
    <w:rsid w:val="003F4318"/>
    <w:rsid w:val="003F4B2C"/>
    <w:rsid w:val="003F551C"/>
    <w:rsid w:val="003F626D"/>
    <w:rsid w:val="003F72ED"/>
    <w:rsid w:val="003F7D23"/>
    <w:rsid w:val="00400050"/>
    <w:rsid w:val="004002C8"/>
    <w:rsid w:val="00400468"/>
    <w:rsid w:val="0040099D"/>
    <w:rsid w:val="004016CB"/>
    <w:rsid w:val="00401B23"/>
    <w:rsid w:val="00402ADB"/>
    <w:rsid w:val="0040368D"/>
    <w:rsid w:val="00403D51"/>
    <w:rsid w:val="00403F57"/>
    <w:rsid w:val="004045A7"/>
    <w:rsid w:val="00405318"/>
    <w:rsid w:val="004057F8"/>
    <w:rsid w:val="004059D2"/>
    <w:rsid w:val="00406C2E"/>
    <w:rsid w:val="00406EB0"/>
    <w:rsid w:val="00407711"/>
    <w:rsid w:val="00407C13"/>
    <w:rsid w:val="00407C53"/>
    <w:rsid w:val="004103F6"/>
    <w:rsid w:val="00410638"/>
    <w:rsid w:val="004113B9"/>
    <w:rsid w:val="00412511"/>
    <w:rsid w:val="004125C2"/>
    <w:rsid w:val="00412DFA"/>
    <w:rsid w:val="00413465"/>
    <w:rsid w:val="0041501E"/>
    <w:rsid w:val="00415452"/>
    <w:rsid w:val="004159C3"/>
    <w:rsid w:val="00415A57"/>
    <w:rsid w:val="00416DAC"/>
    <w:rsid w:val="00420880"/>
    <w:rsid w:val="00421179"/>
    <w:rsid w:val="00422629"/>
    <w:rsid w:val="00422D1A"/>
    <w:rsid w:val="00423F00"/>
    <w:rsid w:val="004260C4"/>
    <w:rsid w:val="004314AC"/>
    <w:rsid w:val="00431BFF"/>
    <w:rsid w:val="00432319"/>
    <w:rsid w:val="00432A58"/>
    <w:rsid w:val="004331C3"/>
    <w:rsid w:val="00434617"/>
    <w:rsid w:val="00435051"/>
    <w:rsid w:val="00435C69"/>
    <w:rsid w:val="004360FB"/>
    <w:rsid w:val="00437CED"/>
    <w:rsid w:val="00440900"/>
    <w:rsid w:val="0044121D"/>
    <w:rsid w:val="00441755"/>
    <w:rsid w:val="00441BF6"/>
    <w:rsid w:val="00441D2B"/>
    <w:rsid w:val="004441A0"/>
    <w:rsid w:val="00445861"/>
    <w:rsid w:val="00445A8E"/>
    <w:rsid w:val="00446D44"/>
    <w:rsid w:val="0045078A"/>
    <w:rsid w:val="0045086D"/>
    <w:rsid w:val="00450AB0"/>
    <w:rsid w:val="004511E6"/>
    <w:rsid w:val="00451EF1"/>
    <w:rsid w:val="00452E60"/>
    <w:rsid w:val="0045321B"/>
    <w:rsid w:val="0045332A"/>
    <w:rsid w:val="00453CD8"/>
    <w:rsid w:val="00455C25"/>
    <w:rsid w:val="00456FE5"/>
    <w:rsid w:val="00457490"/>
    <w:rsid w:val="00457953"/>
    <w:rsid w:val="00460656"/>
    <w:rsid w:val="00460FB3"/>
    <w:rsid w:val="00461404"/>
    <w:rsid w:val="0046191B"/>
    <w:rsid w:val="00461F95"/>
    <w:rsid w:val="00463700"/>
    <w:rsid w:val="00464851"/>
    <w:rsid w:val="0046746A"/>
    <w:rsid w:val="00467B14"/>
    <w:rsid w:val="004705F1"/>
    <w:rsid w:val="004707FE"/>
    <w:rsid w:val="00471DAE"/>
    <w:rsid w:val="00472177"/>
    <w:rsid w:val="0047276D"/>
    <w:rsid w:val="00472AF6"/>
    <w:rsid w:val="00473482"/>
    <w:rsid w:val="00473572"/>
    <w:rsid w:val="00473DFA"/>
    <w:rsid w:val="00474A04"/>
    <w:rsid w:val="00475A1F"/>
    <w:rsid w:val="00476240"/>
    <w:rsid w:val="00476439"/>
    <w:rsid w:val="004769E1"/>
    <w:rsid w:val="0047735C"/>
    <w:rsid w:val="004776BC"/>
    <w:rsid w:val="00477820"/>
    <w:rsid w:val="00477B96"/>
    <w:rsid w:val="00480BAE"/>
    <w:rsid w:val="0048139F"/>
    <w:rsid w:val="00481E40"/>
    <w:rsid w:val="00482405"/>
    <w:rsid w:val="004826A7"/>
    <w:rsid w:val="0048327B"/>
    <w:rsid w:val="0048368C"/>
    <w:rsid w:val="00484ECE"/>
    <w:rsid w:val="00486132"/>
    <w:rsid w:val="0048686D"/>
    <w:rsid w:val="00486A4D"/>
    <w:rsid w:val="004915CB"/>
    <w:rsid w:val="00491B06"/>
    <w:rsid w:val="004924DC"/>
    <w:rsid w:val="00492879"/>
    <w:rsid w:val="00495709"/>
    <w:rsid w:val="004979A5"/>
    <w:rsid w:val="004A036E"/>
    <w:rsid w:val="004A14E4"/>
    <w:rsid w:val="004A204E"/>
    <w:rsid w:val="004A208B"/>
    <w:rsid w:val="004A26A5"/>
    <w:rsid w:val="004A27F0"/>
    <w:rsid w:val="004A2D6B"/>
    <w:rsid w:val="004A3212"/>
    <w:rsid w:val="004A37CD"/>
    <w:rsid w:val="004A3CDE"/>
    <w:rsid w:val="004A40D9"/>
    <w:rsid w:val="004A4F8A"/>
    <w:rsid w:val="004A5494"/>
    <w:rsid w:val="004A5D4E"/>
    <w:rsid w:val="004A61C5"/>
    <w:rsid w:val="004A62A0"/>
    <w:rsid w:val="004A77DF"/>
    <w:rsid w:val="004B1417"/>
    <w:rsid w:val="004B305C"/>
    <w:rsid w:val="004B339A"/>
    <w:rsid w:val="004B33C6"/>
    <w:rsid w:val="004B55B7"/>
    <w:rsid w:val="004B6158"/>
    <w:rsid w:val="004B6468"/>
    <w:rsid w:val="004B6EF8"/>
    <w:rsid w:val="004B7125"/>
    <w:rsid w:val="004B756A"/>
    <w:rsid w:val="004B7FB1"/>
    <w:rsid w:val="004C0B3F"/>
    <w:rsid w:val="004C128A"/>
    <w:rsid w:val="004C13C0"/>
    <w:rsid w:val="004C2794"/>
    <w:rsid w:val="004C2BB6"/>
    <w:rsid w:val="004C2C2D"/>
    <w:rsid w:val="004C384C"/>
    <w:rsid w:val="004C3867"/>
    <w:rsid w:val="004C3DB0"/>
    <w:rsid w:val="004C439A"/>
    <w:rsid w:val="004C4720"/>
    <w:rsid w:val="004C4CD0"/>
    <w:rsid w:val="004C5060"/>
    <w:rsid w:val="004C5165"/>
    <w:rsid w:val="004C589C"/>
    <w:rsid w:val="004C5AE8"/>
    <w:rsid w:val="004C6E0E"/>
    <w:rsid w:val="004C70DC"/>
    <w:rsid w:val="004D0211"/>
    <w:rsid w:val="004D0794"/>
    <w:rsid w:val="004D3296"/>
    <w:rsid w:val="004D4E52"/>
    <w:rsid w:val="004D5B0F"/>
    <w:rsid w:val="004D5EEF"/>
    <w:rsid w:val="004D6FC5"/>
    <w:rsid w:val="004D7626"/>
    <w:rsid w:val="004E1095"/>
    <w:rsid w:val="004E1A40"/>
    <w:rsid w:val="004E200A"/>
    <w:rsid w:val="004E23FC"/>
    <w:rsid w:val="004E2409"/>
    <w:rsid w:val="004E261D"/>
    <w:rsid w:val="004E430C"/>
    <w:rsid w:val="004E57BF"/>
    <w:rsid w:val="004E5F41"/>
    <w:rsid w:val="004E62D0"/>
    <w:rsid w:val="004E6DE6"/>
    <w:rsid w:val="004E723A"/>
    <w:rsid w:val="004E765E"/>
    <w:rsid w:val="004E7815"/>
    <w:rsid w:val="004F06F5"/>
    <w:rsid w:val="004F103E"/>
    <w:rsid w:val="004F12A4"/>
    <w:rsid w:val="004F253F"/>
    <w:rsid w:val="004F33A0"/>
    <w:rsid w:val="004F3BD2"/>
    <w:rsid w:val="004F46ED"/>
    <w:rsid w:val="004F47F2"/>
    <w:rsid w:val="004F56FE"/>
    <w:rsid w:val="004F681B"/>
    <w:rsid w:val="004F7BC6"/>
    <w:rsid w:val="00502709"/>
    <w:rsid w:val="00503D54"/>
    <w:rsid w:val="005048E2"/>
    <w:rsid w:val="00506603"/>
    <w:rsid w:val="0050689D"/>
    <w:rsid w:val="005076CC"/>
    <w:rsid w:val="005077F5"/>
    <w:rsid w:val="005108C0"/>
    <w:rsid w:val="0051094F"/>
    <w:rsid w:val="00511873"/>
    <w:rsid w:val="00511F3B"/>
    <w:rsid w:val="00512461"/>
    <w:rsid w:val="00512A2F"/>
    <w:rsid w:val="00513857"/>
    <w:rsid w:val="00513A72"/>
    <w:rsid w:val="00513B7E"/>
    <w:rsid w:val="00513E9D"/>
    <w:rsid w:val="0051475D"/>
    <w:rsid w:val="00514A2C"/>
    <w:rsid w:val="00514B11"/>
    <w:rsid w:val="00515485"/>
    <w:rsid w:val="00515BE9"/>
    <w:rsid w:val="00515C74"/>
    <w:rsid w:val="0051630F"/>
    <w:rsid w:val="00516789"/>
    <w:rsid w:val="00517113"/>
    <w:rsid w:val="005173F3"/>
    <w:rsid w:val="0052007E"/>
    <w:rsid w:val="00520E83"/>
    <w:rsid w:val="00521CAD"/>
    <w:rsid w:val="0052200D"/>
    <w:rsid w:val="005220B4"/>
    <w:rsid w:val="00522E01"/>
    <w:rsid w:val="0052337A"/>
    <w:rsid w:val="00524385"/>
    <w:rsid w:val="005246BE"/>
    <w:rsid w:val="00525137"/>
    <w:rsid w:val="005251DD"/>
    <w:rsid w:val="0053012B"/>
    <w:rsid w:val="005301A6"/>
    <w:rsid w:val="00530A68"/>
    <w:rsid w:val="00530A88"/>
    <w:rsid w:val="00530AD4"/>
    <w:rsid w:val="00531C5A"/>
    <w:rsid w:val="00532CE7"/>
    <w:rsid w:val="00532D8B"/>
    <w:rsid w:val="0053324C"/>
    <w:rsid w:val="00534A28"/>
    <w:rsid w:val="00535018"/>
    <w:rsid w:val="0053595E"/>
    <w:rsid w:val="00537571"/>
    <w:rsid w:val="00537B61"/>
    <w:rsid w:val="00540056"/>
    <w:rsid w:val="00540BE5"/>
    <w:rsid w:val="005410E2"/>
    <w:rsid w:val="00541508"/>
    <w:rsid w:val="005419C0"/>
    <w:rsid w:val="00541AE3"/>
    <w:rsid w:val="00543498"/>
    <w:rsid w:val="00544011"/>
    <w:rsid w:val="00544BE5"/>
    <w:rsid w:val="005455F6"/>
    <w:rsid w:val="005457C3"/>
    <w:rsid w:val="005500F9"/>
    <w:rsid w:val="00550160"/>
    <w:rsid w:val="00551CBF"/>
    <w:rsid w:val="005523A8"/>
    <w:rsid w:val="00552F2C"/>
    <w:rsid w:val="00553A25"/>
    <w:rsid w:val="00553B25"/>
    <w:rsid w:val="005547EB"/>
    <w:rsid w:val="005555E0"/>
    <w:rsid w:val="0055599F"/>
    <w:rsid w:val="00556807"/>
    <w:rsid w:val="005568FA"/>
    <w:rsid w:val="005569BC"/>
    <w:rsid w:val="00556D68"/>
    <w:rsid w:val="005570D6"/>
    <w:rsid w:val="00557E45"/>
    <w:rsid w:val="00557E7E"/>
    <w:rsid w:val="00561F44"/>
    <w:rsid w:val="00562B4D"/>
    <w:rsid w:val="00563EB8"/>
    <w:rsid w:val="005647BF"/>
    <w:rsid w:val="00564AF1"/>
    <w:rsid w:val="005655DB"/>
    <w:rsid w:val="00566B6A"/>
    <w:rsid w:val="00570270"/>
    <w:rsid w:val="00570BC3"/>
    <w:rsid w:val="0057182A"/>
    <w:rsid w:val="00571E59"/>
    <w:rsid w:val="00572079"/>
    <w:rsid w:val="00572900"/>
    <w:rsid w:val="00573602"/>
    <w:rsid w:val="0057364B"/>
    <w:rsid w:val="00574773"/>
    <w:rsid w:val="005761EC"/>
    <w:rsid w:val="00577C07"/>
    <w:rsid w:val="00577DB1"/>
    <w:rsid w:val="00580AD3"/>
    <w:rsid w:val="00580DE7"/>
    <w:rsid w:val="00583E52"/>
    <w:rsid w:val="00583FFD"/>
    <w:rsid w:val="005845BB"/>
    <w:rsid w:val="0058519A"/>
    <w:rsid w:val="005856BD"/>
    <w:rsid w:val="005862D9"/>
    <w:rsid w:val="00586BCA"/>
    <w:rsid w:val="00590B28"/>
    <w:rsid w:val="00591067"/>
    <w:rsid w:val="005911BE"/>
    <w:rsid w:val="00591273"/>
    <w:rsid w:val="00591E9E"/>
    <w:rsid w:val="005927A4"/>
    <w:rsid w:val="00593152"/>
    <w:rsid w:val="005956A3"/>
    <w:rsid w:val="00595958"/>
    <w:rsid w:val="00595CAB"/>
    <w:rsid w:val="00597BBF"/>
    <w:rsid w:val="005A0948"/>
    <w:rsid w:val="005A10F2"/>
    <w:rsid w:val="005A21E0"/>
    <w:rsid w:val="005A28FF"/>
    <w:rsid w:val="005A2C09"/>
    <w:rsid w:val="005A2E7F"/>
    <w:rsid w:val="005A2FC3"/>
    <w:rsid w:val="005A3778"/>
    <w:rsid w:val="005A3DF8"/>
    <w:rsid w:val="005A5549"/>
    <w:rsid w:val="005A7CF8"/>
    <w:rsid w:val="005B0EDA"/>
    <w:rsid w:val="005B121D"/>
    <w:rsid w:val="005B1680"/>
    <w:rsid w:val="005B41C9"/>
    <w:rsid w:val="005B423D"/>
    <w:rsid w:val="005B4853"/>
    <w:rsid w:val="005B4DBA"/>
    <w:rsid w:val="005B62C3"/>
    <w:rsid w:val="005B6CA1"/>
    <w:rsid w:val="005B770C"/>
    <w:rsid w:val="005C02A8"/>
    <w:rsid w:val="005C06ED"/>
    <w:rsid w:val="005C11B8"/>
    <w:rsid w:val="005C19E9"/>
    <w:rsid w:val="005C2609"/>
    <w:rsid w:val="005C2B30"/>
    <w:rsid w:val="005C412B"/>
    <w:rsid w:val="005C43EC"/>
    <w:rsid w:val="005C45DD"/>
    <w:rsid w:val="005C5460"/>
    <w:rsid w:val="005D1511"/>
    <w:rsid w:val="005D34AB"/>
    <w:rsid w:val="005D3F06"/>
    <w:rsid w:val="005D4B73"/>
    <w:rsid w:val="005D5802"/>
    <w:rsid w:val="005D5AA9"/>
    <w:rsid w:val="005D66E6"/>
    <w:rsid w:val="005D7119"/>
    <w:rsid w:val="005D76C8"/>
    <w:rsid w:val="005D7890"/>
    <w:rsid w:val="005E0AEA"/>
    <w:rsid w:val="005E19C1"/>
    <w:rsid w:val="005E2194"/>
    <w:rsid w:val="005E24F0"/>
    <w:rsid w:val="005E36FE"/>
    <w:rsid w:val="005E490F"/>
    <w:rsid w:val="005E4BC9"/>
    <w:rsid w:val="005E5314"/>
    <w:rsid w:val="005E7C78"/>
    <w:rsid w:val="005F04A7"/>
    <w:rsid w:val="005F114F"/>
    <w:rsid w:val="005F17D6"/>
    <w:rsid w:val="005F18C5"/>
    <w:rsid w:val="005F28E2"/>
    <w:rsid w:val="005F2A08"/>
    <w:rsid w:val="005F2EB5"/>
    <w:rsid w:val="005F36CC"/>
    <w:rsid w:val="005F3EB1"/>
    <w:rsid w:val="005F413E"/>
    <w:rsid w:val="005F42C7"/>
    <w:rsid w:val="005F466B"/>
    <w:rsid w:val="005F46D8"/>
    <w:rsid w:val="005F480F"/>
    <w:rsid w:val="005F5469"/>
    <w:rsid w:val="005F63F3"/>
    <w:rsid w:val="005F6D7C"/>
    <w:rsid w:val="005F6D7F"/>
    <w:rsid w:val="005F7174"/>
    <w:rsid w:val="00600AB5"/>
    <w:rsid w:val="00601EEF"/>
    <w:rsid w:val="00601F7B"/>
    <w:rsid w:val="0060255A"/>
    <w:rsid w:val="006032E5"/>
    <w:rsid w:val="00604307"/>
    <w:rsid w:val="0060487F"/>
    <w:rsid w:val="00604EAD"/>
    <w:rsid w:val="0060513F"/>
    <w:rsid w:val="0060694B"/>
    <w:rsid w:val="006075B2"/>
    <w:rsid w:val="006104FB"/>
    <w:rsid w:val="0061176D"/>
    <w:rsid w:val="0061200F"/>
    <w:rsid w:val="006121C7"/>
    <w:rsid w:val="00612756"/>
    <w:rsid w:val="00612A2F"/>
    <w:rsid w:val="00612AAE"/>
    <w:rsid w:val="00612FD9"/>
    <w:rsid w:val="006139DE"/>
    <w:rsid w:val="006139E0"/>
    <w:rsid w:val="00614D35"/>
    <w:rsid w:val="006156B4"/>
    <w:rsid w:val="00615DAF"/>
    <w:rsid w:val="00616E05"/>
    <w:rsid w:val="00617985"/>
    <w:rsid w:val="00620B77"/>
    <w:rsid w:val="0062131B"/>
    <w:rsid w:val="00621E26"/>
    <w:rsid w:val="0062263A"/>
    <w:rsid w:val="006227DF"/>
    <w:rsid w:val="006236C8"/>
    <w:rsid w:val="00624093"/>
    <w:rsid w:val="00625A84"/>
    <w:rsid w:val="00625BCC"/>
    <w:rsid w:val="00626079"/>
    <w:rsid w:val="00631698"/>
    <w:rsid w:val="00631E44"/>
    <w:rsid w:val="00633908"/>
    <w:rsid w:val="00634C57"/>
    <w:rsid w:val="00634CE7"/>
    <w:rsid w:val="006350D5"/>
    <w:rsid w:val="0063642C"/>
    <w:rsid w:val="00637858"/>
    <w:rsid w:val="006404A7"/>
    <w:rsid w:val="00640A38"/>
    <w:rsid w:val="00641787"/>
    <w:rsid w:val="0064179B"/>
    <w:rsid w:val="006420CF"/>
    <w:rsid w:val="00642489"/>
    <w:rsid w:val="00644055"/>
    <w:rsid w:val="00644137"/>
    <w:rsid w:val="0064478C"/>
    <w:rsid w:val="00645160"/>
    <w:rsid w:val="006451E4"/>
    <w:rsid w:val="00645B33"/>
    <w:rsid w:val="006503D1"/>
    <w:rsid w:val="006516CB"/>
    <w:rsid w:val="00653BD0"/>
    <w:rsid w:val="00654110"/>
    <w:rsid w:val="00655CDE"/>
    <w:rsid w:val="00656C5D"/>
    <w:rsid w:val="00656CFB"/>
    <w:rsid w:val="00657E87"/>
    <w:rsid w:val="00660D2D"/>
    <w:rsid w:val="00661EC9"/>
    <w:rsid w:val="00661EFC"/>
    <w:rsid w:val="00662469"/>
    <w:rsid w:val="00664205"/>
    <w:rsid w:val="00664449"/>
    <w:rsid w:val="00664647"/>
    <w:rsid w:val="00664803"/>
    <w:rsid w:val="00665624"/>
    <w:rsid w:val="00665982"/>
    <w:rsid w:val="00665BA4"/>
    <w:rsid w:val="00667856"/>
    <w:rsid w:val="00667AF2"/>
    <w:rsid w:val="00670489"/>
    <w:rsid w:val="00670D0A"/>
    <w:rsid w:val="006710C9"/>
    <w:rsid w:val="00672F35"/>
    <w:rsid w:val="006741CD"/>
    <w:rsid w:val="00674D89"/>
    <w:rsid w:val="00675E37"/>
    <w:rsid w:val="00676736"/>
    <w:rsid w:val="006769A4"/>
    <w:rsid w:val="00676D76"/>
    <w:rsid w:val="00676F9F"/>
    <w:rsid w:val="00677591"/>
    <w:rsid w:val="00677594"/>
    <w:rsid w:val="0068032F"/>
    <w:rsid w:val="00680C60"/>
    <w:rsid w:val="00680D37"/>
    <w:rsid w:val="0068174E"/>
    <w:rsid w:val="00681DCE"/>
    <w:rsid w:val="006820E4"/>
    <w:rsid w:val="0068260E"/>
    <w:rsid w:val="006846B3"/>
    <w:rsid w:val="00684D59"/>
    <w:rsid w:val="00684E25"/>
    <w:rsid w:val="006858A4"/>
    <w:rsid w:val="00686718"/>
    <w:rsid w:val="00686BFA"/>
    <w:rsid w:val="00686DED"/>
    <w:rsid w:val="006875A0"/>
    <w:rsid w:val="00687D27"/>
    <w:rsid w:val="00691943"/>
    <w:rsid w:val="00691F0D"/>
    <w:rsid w:val="00693550"/>
    <w:rsid w:val="00695065"/>
    <w:rsid w:val="00695BEF"/>
    <w:rsid w:val="006965F5"/>
    <w:rsid w:val="006966C7"/>
    <w:rsid w:val="006968C1"/>
    <w:rsid w:val="006977F6"/>
    <w:rsid w:val="00697A13"/>
    <w:rsid w:val="006A109C"/>
    <w:rsid w:val="006A3F54"/>
    <w:rsid w:val="006A6565"/>
    <w:rsid w:val="006A65B5"/>
    <w:rsid w:val="006A7691"/>
    <w:rsid w:val="006A7EE2"/>
    <w:rsid w:val="006B0514"/>
    <w:rsid w:val="006B0F92"/>
    <w:rsid w:val="006B16EF"/>
    <w:rsid w:val="006B1B9B"/>
    <w:rsid w:val="006B238C"/>
    <w:rsid w:val="006B2785"/>
    <w:rsid w:val="006B344A"/>
    <w:rsid w:val="006B3A36"/>
    <w:rsid w:val="006B58C9"/>
    <w:rsid w:val="006B60ED"/>
    <w:rsid w:val="006B65DA"/>
    <w:rsid w:val="006B6CC5"/>
    <w:rsid w:val="006B74AC"/>
    <w:rsid w:val="006B78D8"/>
    <w:rsid w:val="006B79EA"/>
    <w:rsid w:val="006C09FA"/>
    <w:rsid w:val="006C0C5D"/>
    <w:rsid w:val="006C113F"/>
    <w:rsid w:val="006C123E"/>
    <w:rsid w:val="006C15A1"/>
    <w:rsid w:val="006C1752"/>
    <w:rsid w:val="006C28CA"/>
    <w:rsid w:val="006C2BBF"/>
    <w:rsid w:val="006C2FBD"/>
    <w:rsid w:val="006C3FFC"/>
    <w:rsid w:val="006C4355"/>
    <w:rsid w:val="006C440F"/>
    <w:rsid w:val="006C469D"/>
    <w:rsid w:val="006C46B5"/>
    <w:rsid w:val="006C484F"/>
    <w:rsid w:val="006C4CDD"/>
    <w:rsid w:val="006C52EC"/>
    <w:rsid w:val="006C56D4"/>
    <w:rsid w:val="006C5838"/>
    <w:rsid w:val="006C6681"/>
    <w:rsid w:val="006C683C"/>
    <w:rsid w:val="006C6924"/>
    <w:rsid w:val="006C6C1E"/>
    <w:rsid w:val="006C7076"/>
    <w:rsid w:val="006C7CA6"/>
    <w:rsid w:val="006D18B3"/>
    <w:rsid w:val="006D1E89"/>
    <w:rsid w:val="006D317E"/>
    <w:rsid w:val="006D3E8A"/>
    <w:rsid w:val="006D4F0A"/>
    <w:rsid w:val="006D61F6"/>
    <w:rsid w:val="006E1332"/>
    <w:rsid w:val="006E279A"/>
    <w:rsid w:val="006E313B"/>
    <w:rsid w:val="006E3420"/>
    <w:rsid w:val="006E3A45"/>
    <w:rsid w:val="006E4078"/>
    <w:rsid w:val="006E45D2"/>
    <w:rsid w:val="006E5161"/>
    <w:rsid w:val="006E53AD"/>
    <w:rsid w:val="006E58CB"/>
    <w:rsid w:val="006E6BA2"/>
    <w:rsid w:val="006E7227"/>
    <w:rsid w:val="006E7E74"/>
    <w:rsid w:val="006F0741"/>
    <w:rsid w:val="006F1C27"/>
    <w:rsid w:val="006F2A65"/>
    <w:rsid w:val="006F33B2"/>
    <w:rsid w:val="006F40DF"/>
    <w:rsid w:val="006F42BB"/>
    <w:rsid w:val="006F438E"/>
    <w:rsid w:val="006F440B"/>
    <w:rsid w:val="006F4866"/>
    <w:rsid w:val="006F48A3"/>
    <w:rsid w:val="006F5416"/>
    <w:rsid w:val="006F624B"/>
    <w:rsid w:val="006F6D87"/>
    <w:rsid w:val="006F7559"/>
    <w:rsid w:val="0070398A"/>
    <w:rsid w:val="00703DCB"/>
    <w:rsid w:val="00705242"/>
    <w:rsid w:val="007055E0"/>
    <w:rsid w:val="007056ED"/>
    <w:rsid w:val="007065C5"/>
    <w:rsid w:val="00706AA0"/>
    <w:rsid w:val="00706AD4"/>
    <w:rsid w:val="00707150"/>
    <w:rsid w:val="0070798D"/>
    <w:rsid w:val="007124D7"/>
    <w:rsid w:val="007129A5"/>
    <w:rsid w:val="00712C20"/>
    <w:rsid w:val="00713549"/>
    <w:rsid w:val="007140BE"/>
    <w:rsid w:val="00714224"/>
    <w:rsid w:val="00715502"/>
    <w:rsid w:val="00715E4D"/>
    <w:rsid w:val="00716F48"/>
    <w:rsid w:val="00717114"/>
    <w:rsid w:val="0071779F"/>
    <w:rsid w:val="00720D7B"/>
    <w:rsid w:val="007211F5"/>
    <w:rsid w:val="00722777"/>
    <w:rsid w:val="00723435"/>
    <w:rsid w:val="00723436"/>
    <w:rsid w:val="007240E2"/>
    <w:rsid w:val="007251D4"/>
    <w:rsid w:val="00725611"/>
    <w:rsid w:val="0072583E"/>
    <w:rsid w:val="00725BB5"/>
    <w:rsid w:val="00727C02"/>
    <w:rsid w:val="007302FF"/>
    <w:rsid w:val="00730AE8"/>
    <w:rsid w:val="00730F1B"/>
    <w:rsid w:val="0073186D"/>
    <w:rsid w:val="00732DEC"/>
    <w:rsid w:val="0073333D"/>
    <w:rsid w:val="007343D9"/>
    <w:rsid w:val="007351C8"/>
    <w:rsid w:val="00735448"/>
    <w:rsid w:val="00736841"/>
    <w:rsid w:val="00737DEC"/>
    <w:rsid w:val="0074004D"/>
    <w:rsid w:val="00741493"/>
    <w:rsid w:val="007424BA"/>
    <w:rsid w:val="007434E5"/>
    <w:rsid w:val="0074499B"/>
    <w:rsid w:val="007450BF"/>
    <w:rsid w:val="007471A1"/>
    <w:rsid w:val="007477BD"/>
    <w:rsid w:val="00747EE9"/>
    <w:rsid w:val="00750362"/>
    <w:rsid w:val="00750A71"/>
    <w:rsid w:val="0075158E"/>
    <w:rsid w:val="00752180"/>
    <w:rsid w:val="00752323"/>
    <w:rsid w:val="007532B7"/>
    <w:rsid w:val="00753CAB"/>
    <w:rsid w:val="00754A70"/>
    <w:rsid w:val="00754BC9"/>
    <w:rsid w:val="00755202"/>
    <w:rsid w:val="00755D3A"/>
    <w:rsid w:val="0075751D"/>
    <w:rsid w:val="007578D3"/>
    <w:rsid w:val="007602CF"/>
    <w:rsid w:val="00760391"/>
    <w:rsid w:val="007609C6"/>
    <w:rsid w:val="007615F3"/>
    <w:rsid w:val="0076175D"/>
    <w:rsid w:val="00761CB5"/>
    <w:rsid w:val="007622A9"/>
    <w:rsid w:val="0076264F"/>
    <w:rsid w:val="007629D5"/>
    <w:rsid w:val="007635F8"/>
    <w:rsid w:val="00763B85"/>
    <w:rsid w:val="007641B8"/>
    <w:rsid w:val="00764974"/>
    <w:rsid w:val="00764D18"/>
    <w:rsid w:val="0076521E"/>
    <w:rsid w:val="007661E9"/>
    <w:rsid w:val="00766460"/>
    <w:rsid w:val="00767062"/>
    <w:rsid w:val="00767777"/>
    <w:rsid w:val="00771972"/>
    <w:rsid w:val="00772279"/>
    <w:rsid w:val="00772DAB"/>
    <w:rsid w:val="00774D2C"/>
    <w:rsid w:val="007752BF"/>
    <w:rsid w:val="0077605B"/>
    <w:rsid w:val="00776169"/>
    <w:rsid w:val="00776527"/>
    <w:rsid w:val="00776618"/>
    <w:rsid w:val="00777040"/>
    <w:rsid w:val="007779DD"/>
    <w:rsid w:val="00777CE6"/>
    <w:rsid w:val="00780790"/>
    <w:rsid w:val="00780EF1"/>
    <w:rsid w:val="00781A91"/>
    <w:rsid w:val="0078260D"/>
    <w:rsid w:val="00785311"/>
    <w:rsid w:val="00785778"/>
    <w:rsid w:val="00786C87"/>
    <w:rsid w:val="00786D27"/>
    <w:rsid w:val="0078755E"/>
    <w:rsid w:val="007877C9"/>
    <w:rsid w:val="00790764"/>
    <w:rsid w:val="0079085F"/>
    <w:rsid w:val="00790E96"/>
    <w:rsid w:val="00791005"/>
    <w:rsid w:val="00793D78"/>
    <w:rsid w:val="0079453C"/>
    <w:rsid w:val="00794677"/>
    <w:rsid w:val="00795CC8"/>
    <w:rsid w:val="0079747A"/>
    <w:rsid w:val="007A0770"/>
    <w:rsid w:val="007A170B"/>
    <w:rsid w:val="007A20EB"/>
    <w:rsid w:val="007A282C"/>
    <w:rsid w:val="007A2A3A"/>
    <w:rsid w:val="007A33E2"/>
    <w:rsid w:val="007A3554"/>
    <w:rsid w:val="007A3CAF"/>
    <w:rsid w:val="007A4782"/>
    <w:rsid w:val="007A4E06"/>
    <w:rsid w:val="007A516D"/>
    <w:rsid w:val="007A5E65"/>
    <w:rsid w:val="007A65E1"/>
    <w:rsid w:val="007A71DE"/>
    <w:rsid w:val="007A7502"/>
    <w:rsid w:val="007A775D"/>
    <w:rsid w:val="007B0834"/>
    <w:rsid w:val="007B0CCA"/>
    <w:rsid w:val="007B0E83"/>
    <w:rsid w:val="007B11FA"/>
    <w:rsid w:val="007B1396"/>
    <w:rsid w:val="007B16D6"/>
    <w:rsid w:val="007B2011"/>
    <w:rsid w:val="007B27AE"/>
    <w:rsid w:val="007B2CFE"/>
    <w:rsid w:val="007B309B"/>
    <w:rsid w:val="007B3D5E"/>
    <w:rsid w:val="007B3DCB"/>
    <w:rsid w:val="007B3F31"/>
    <w:rsid w:val="007B5725"/>
    <w:rsid w:val="007B6689"/>
    <w:rsid w:val="007B6747"/>
    <w:rsid w:val="007B6F72"/>
    <w:rsid w:val="007C1F0C"/>
    <w:rsid w:val="007C1FFB"/>
    <w:rsid w:val="007C2106"/>
    <w:rsid w:val="007C2D94"/>
    <w:rsid w:val="007C361B"/>
    <w:rsid w:val="007C5F92"/>
    <w:rsid w:val="007C6227"/>
    <w:rsid w:val="007C682A"/>
    <w:rsid w:val="007C6BBD"/>
    <w:rsid w:val="007C6D89"/>
    <w:rsid w:val="007C6F5E"/>
    <w:rsid w:val="007C71B6"/>
    <w:rsid w:val="007D0382"/>
    <w:rsid w:val="007D1A1F"/>
    <w:rsid w:val="007D1D05"/>
    <w:rsid w:val="007D2E18"/>
    <w:rsid w:val="007D40DF"/>
    <w:rsid w:val="007D42E5"/>
    <w:rsid w:val="007D4458"/>
    <w:rsid w:val="007D50F3"/>
    <w:rsid w:val="007D5BC6"/>
    <w:rsid w:val="007D78E6"/>
    <w:rsid w:val="007E0535"/>
    <w:rsid w:val="007E0557"/>
    <w:rsid w:val="007E0D4A"/>
    <w:rsid w:val="007E1788"/>
    <w:rsid w:val="007E1B40"/>
    <w:rsid w:val="007E1EE3"/>
    <w:rsid w:val="007E20A0"/>
    <w:rsid w:val="007E2467"/>
    <w:rsid w:val="007E29B4"/>
    <w:rsid w:val="007E2F12"/>
    <w:rsid w:val="007E435A"/>
    <w:rsid w:val="007E49F7"/>
    <w:rsid w:val="007E4C70"/>
    <w:rsid w:val="007E576D"/>
    <w:rsid w:val="007E78B6"/>
    <w:rsid w:val="007E7E61"/>
    <w:rsid w:val="007F0845"/>
    <w:rsid w:val="007F20F3"/>
    <w:rsid w:val="007F2353"/>
    <w:rsid w:val="007F2390"/>
    <w:rsid w:val="007F2CAC"/>
    <w:rsid w:val="007F4740"/>
    <w:rsid w:val="007F595A"/>
    <w:rsid w:val="007F708D"/>
    <w:rsid w:val="008006B3"/>
    <w:rsid w:val="0080158A"/>
    <w:rsid w:val="00801E13"/>
    <w:rsid w:val="00802371"/>
    <w:rsid w:val="00802ABF"/>
    <w:rsid w:val="00802CEF"/>
    <w:rsid w:val="00803008"/>
    <w:rsid w:val="00803069"/>
    <w:rsid w:val="008062A6"/>
    <w:rsid w:val="0080717D"/>
    <w:rsid w:val="0080734C"/>
    <w:rsid w:val="0080780F"/>
    <w:rsid w:val="00807C82"/>
    <w:rsid w:val="008117CC"/>
    <w:rsid w:val="00812154"/>
    <w:rsid w:val="00813D58"/>
    <w:rsid w:val="00813DCA"/>
    <w:rsid w:val="008161A6"/>
    <w:rsid w:val="008165B8"/>
    <w:rsid w:val="00816905"/>
    <w:rsid w:val="00816D98"/>
    <w:rsid w:val="008179FC"/>
    <w:rsid w:val="00817A17"/>
    <w:rsid w:val="00817EC1"/>
    <w:rsid w:val="0082112D"/>
    <w:rsid w:val="00821DA9"/>
    <w:rsid w:val="00821FF6"/>
    <w:rsid w:val="00822574"/>
    <w:rsid w:val="00822F08"/>
    <w:rsid w:val="00825C4D"/>
    <w:rsid w:val="00826265"/>
    <w:rsid w:val="00826A08"/>
    <w:rsid w:val="00826AC0"/>
    <w:rsid w:val="00827186"/>
    <w:rsid w:val="00827C8E"/>
    <w:rsid w:val="00830569"/>
    <w:rsid w:val="00830AEA"/>
    <w:rsid w:val="00830E86"/>
    <w:rsid w:val="0083143E"/>
    <w:rsid w:val="008315D5"/>
    <w:rsid w:val="00831CDE"/>
    <w:rsid w:val="008337CB"/>
    <w:rsid w:val="00834304"/>
    <w:rsid w:val="00834FAA"/>
    <w:rsid w:val="008354FB"/>
    <w:rsid w:val="00836086"/>
    <w:rsid w:val="0083630F"/>
    <w:rsid w:val="00836A06"/>
    <w:rsid w:val="008374BC"/>
    <w:rsid w:val="00837E48"/>
    <w:rsid w:val="00840293"/>
    <w:rsid w:val="008402AD"/>
    <w:rsid w:val="008408D4"/>
    <w:rsid w:val="008417B5"/>
    <w:rsid w:val="00841901"/>
    <w:rsid w:val="00841FC4"/>
    <w:rsid w:val="00843541"/>
    <w:rsid w:val="008458BD"/>
    <w:rsid w:val="00846121"/>
    <w:rsid w:val="008461C2"/>
    <w:rsid w:val="008466C6"/>
    <w:rsid w:val="0084708F"/>
    <w:rsid w:val="008477C8"/>
    <w:rsid w:val="008478A6"/>
    <w:rsid w:val="008502F6"/>
    <w:rsid w:val="0085114D"/>
    <w:rsid w:val="008520A8"/>
    <w:rsid w:val="00852217"/>
    <w:rsid w:val="00852DB1"/>
    <w:rsid w:val="00853282"/>
    <w:rsid w:val="00854647"/>
    <w:rsid w:val="00855408"/>
    <w:rsid w:val="00856D65"/>
    <w:rsid w:val="008614E4"/>
    <w:rsid w:val="00861B41"/>
    <w:rsid w:val="00861B9F"/>
    <w:rsid w:val="00861BE3"/>
    <w:rsid w:val="008625D3"/>
    <w:rsid w:val="00863434"/>
    <w:rsid w:val="0086344F"/>
    <w:rsid w:val="008641AC"/>
    <w:rsid w:val="008641EA"/>
    <w:rsid w:val="00864A6C"/>
    <w:rsid w:val="00865E4C"/>
    <w:rsid w:val="0086796D"/>
    <w:rsid w:val="00867C6C"/>
    <w:rsid w:val="00867DAB"/>
    <w:rsid w:val="0087000B"/>
    <w:rsid w:val="008701E4"/>
    <w:rsid w:val="008704E9"/>
    <w:rsid w:val="00870ECD"/>
    <w:rsid w:val="0087347C"/>
    <w:rsid w:val="008734E7"/>
    <w:rsid w:val="0087368D"/>
    <w:rsid w:val="008740CC"/>
    <w:rsid w:val="00874FE8"/>
    <w:rsid w:val="00875305"/>
    <w:rsid w:val="00875A32"/>
    <w:rsid w:val="00876086"/>
    <w:rsid w:val="00876E83"/>
    <w:rsid w:val="008772BC"/>
    <w:rsid w:val="00880A0E"/>
    <w:rsid w:val="00881A67"/>
    <w:rsid w:val="00881CD7"/>
    <w:rsid w:val="00882911"/>
    <w:rsid w:val="008829C4"/>
    <w:rsid w:val="00885D40"/>
    <w:rsid w:val="00885EE2"/>
    <w:rsid w:val="008873D4"/>
    <w:rsid w:val="00887B96"/>
    <w:rsid w:val="00890C49"/>
    <w:rsid w:val="00891CEA"/>
    <w:rsid w:val="00891E07"/>
    <w:rsid w:val="00891EDF"/>
    <w:rsid w:val="00892872"/>
    <w:rsid w:val="0089296D"/>
    <w:rsid w:val="00893E85"/>
    <w:rsid w:val="00893EBE"/>
    <w:rsid w:val="00894031"/>
    <w:rsid w:val="00894327"/>
    <w:rsid w:val="00894C5D"/>
    <w:rsid w:val="00895508"/>
    <w:rsid w:val="008967E9"/>
    <w:rsid w:val="00896A5C"/>
    <w:rsid w:val="008972D2"/>
    <w:rsid w:val="0089754C"/>
    <w:rsid w:val="008A0ADD"/>
    <w:rsid w:val="008A0C39"/>
    <w:rsid w:val="008A0D27"/>
    <w:rsid w:val="008A1C59"/>
    <w:rsid w:val="008A1FBA"/>
    <w:rsid w:val="008A2105"/>
    <w:rsid w:val="008A2E4C"/>
    <w:rsid w:val="008A37E2"/>
    <w:rsid w:val="008A388E"/>
    <w:rsid w:val="008A394E"/>
    <w:rsid w:val="008A3CBA"/>
    <w:rsid w:val="008A48EB"/>
    <w:rsid w:val="008A4A76"/>
    <w:rsid w:val="008A4B59"/>
    <w:rsid w:val="008A539C"/>
    <w:rsid w:val="008A63E1"/>
    <w:rsid w:val="008A66B7"/>
    <w:rsid w:val="008A68BB"/>
    <w:rsid w:val="008A7127"/>
    <w:rsid w:val="008A76B8"/>
    <w:rsid w:val="008B3A80"/>
    <w:rsid w:val="008B3C07"/>
    <w:rsid w:val="008B3F7B"/>
    <w:rsid w:val="008B4895"/>
    <w:rsid w:val="008B6106"/>
    <w:rsid w:val="008B7C02"/>
    <w:rsid w:val="008B7D2B"/>
    <w:rsid w:val="008B7EF9"/>
    <w:rsid w:val="008C0049"/>
    <w:rsid w:val="008C0E88"/>
    <w:rsid w:val="008C1717"/>
    <w:rsid w:val="008C3D6B"/>
    <w:rsid w:val="008C4B50"/>
    <w:rsid w:val="008C6F26"/>
    <w:rsid w:val="008C7569"/>
    <w:rsid w:val="008D0DBD"/>
    <w:rsid w:val="008D117E"/>
    <w:rsid w:val="008D127E"/>
    <w:rsid w:val="008D1CA8"/>
    <w:rsid w:val="008D1E6A"/>
    <w:rsid w:val="008D2A16"/>
    <w:rsid w:val="008D33F5"/>
    <w:rsid w:val="008D35E4"/>
    <w:rsid w:val="008D4E52"/>
    <w:rsid w:val="008D6C3A"/>
    <w:rsid w:val="008E0001"/>
    <w:rsid w:val="008E1268"/>
    <w:rsid w:val="008E292B"/>
    <w:rsid w:val="008E2C57"/>
    <w:rsid w:val="008E31FF"/>
    <w:rsid w:val="008E3287"/>
    <w:rsid w:val="008E550B"/>
    <w:rsid w:val="008E6DCB"/>
    <w:rsid w:val="008E6F06"/>
    <w:rsid w:val="008E7B8E"/>
    <w:rsid w:val="008E7FC9"/>
    <w:rsid w:val="008F029B"/>
    <w:rsid w:val="008F0D42"/>
    <w:rsid w:val="008F2A5D"/>
    <w:rsid w:val="008F3636"/>
    <w:rsid w:val="008F3FC9"/>
    <w:rsid w:val="008F48A3"/>
    <w:rsid w:val="008F5383"/>
    <w:rsid w:val="008F585B"/>
    <w:rsid w:val="008F609D"/>
    <w:rsid w:val="008F7D34"/>
    <w:rsid w:val="009003A8"/>
    <w:rsid w:val="00900977"/>
    <w:rsid w:val="009021DA"/>
    <w:rsid w:val="00902500"/>
    <w:rsid w:val="00902A83"/>
    <w:rsid w:val="00902EFF"/>
    <w:rsid w:val="00903A8E"/>
    <w:rsid w:val="0090432C"/>
    <w:rsid w:val="00904F96"/>
    <w:rsid w:val="009052A3"/>
    <w:rsid w:val="00905314"/>
    <w:rsid w:val="009056D7"/>
    <w:rsid w:val="00905B8D"/>
    <w:rsid w:val="00906401"/>
    <w:rsid w:val="009065CB"/>
    <w:rsid w:val="009067EA"/>
    <w:rsid w:val="00906B79"/>
    <w:rsid w:val="0090786F"/>
    <w:rsid w:val="0091001E"/>
    <w:rsid w:val="00910C18"/>
    <w:rsid w:val="009110F7"/>
    <w:rsid w:val="0091155E"/>
    <w:rsid w:val="00912437"/>
    <w:rsid w:val="00912A92"/>
    <w:rsid w:val="00915D07"/>
    <w:rsid w:val="00916286"/>
    <w:rsid w:val="009162AE"/>
    <w:rsid w:val="00917251"/>
    <w:rsid w:val="0091728D"/>
    <w:rsid w:val="009203CC"/>
    <w:rsid w:val="00920EC4"/>
    <w:rsid w:val="0092180B"/>
    <w:rsid w:val="00921F14"/>
    <w:rsid w:val="00923CB0"/>
    <w:rsid w:val="00923D8C"/>
    <w:rsid w:val="00924871"/>
    <w:rsid w:val="00924AC8"/>
    <w:rsid w:val="0092508F"/>
    <w:rsid w:val="00925429"/>
    <w:rsid w:val="0092597A"/>
    <w:rsid w:val="00926520"/>
    <w:rsid w:val="00926CF0"/>
    <w:rsid w:val="009273A9"/>
    <w:rsid w:val="0093033E"/>
    <w:rsid w:val="009305FC"/>
    <w:rsid w:val="00930FB1"/>
    <w:rsid w:val="0093139F"/>
    <w:rsid w:val="00931E5F"/>
    <w:rsid w:val="00932443"/>
    <w:rsid w:val="00932B32"/>
    <w:rsid w:val="00933F4A"/>
    <w:rsid w:val="009341F1"/>
    <w:rsid w:val="0093475A"/>
    <w:rsid w:val="00934FF2"/>
    <w:rsid w:val="00935BD4"/>
    <w:rsid w:val="00935DFE"/>
    <w:rsid w:val="00935FC6"/>
    <w:rsid w:val="009373B2"/>
    <w:rsid w:val="00937AE2"/>
    <w:rsid w:val="0094061F"/>
    <w:rsid w:val="00940F0F"/>
    <w:rsid w:val="00941BC7"/>
    <w:rsid w:val="00941D6E"/>
    <w:rsid w:val="0094416B"/>
    <w:rsid w:val="0094427A"/>
    <w:rsid w:val="00944C7C"/>
    <w:rsid w:val="00945245"/>
    <w:rsid w:val="00945523"/>
    <w:rsid w:val="00946F8B"/>
    <w:rsid w:val="009474EF"/>
    <w:rsid w:val="00950921"/>
    <w:rsid w:val="00951A15"/>
    <w:rsid w:val="00951D68"/>
    <w:rsid w:val="00952B7B"/>
    <w:rsid w:val="00954F39"/>
    <w:rsid w:val="00955C0E"/>
    <w:rsid w:val="0095664B"/>
    <w:rsid w:val="009568DC"/>
    <w:rsid w:val="00957300"/>
    <w:rsid w:val="00957445"/>
    <w:rsid w:val="0095759C"/>
    <w:rsid w:val="0096108D"/>
    <w:rsid w:val="009618EE"/>
    <w:rsid w:val="009624D2"/>
    <w:rsid w:val="009628D9"/>
    <w:rsid w:val="00962BAE"/>
    <w:rsid w:val="009633D9"/>
    <w:rsid w:val="009637AE"/>
    <w:rsid w:val="009640F6"/>
    <w:rsid w:val="00964776"/>
    <w:rsid w:val="00964A4E"/>
    <w:rsid w:val="00964B35"/>
    <w:rsid w:val="009651C7"/>
    <w:rsid w:val="00965797"/>
    <w:rsid w:val="00965A10"/>
    <w:rsid w:val="009670A3"/>
    <w:rsid w:val="009674BE"/>
    <w:rsid w:val="00970EFF"/>
    <w:rsid w:val="00970FB5"/>
    <w:rsid w:val="009716DE"/>
    <w:rsid w:val="00971710"/>
    <w:rsid w:val="00971B87"/>
    <w:rsid w:val="00971C77"/>
    <w:rsid w:val="00972FCD"/>
    <w:rsid w:val="009741AE"/>
    <w:rsid w:val="009741FC"/>
    <w:rsid w:val="00974422"/>
    <w:rsid w:val="00974923"/>
    <w:rsid w:val="00975909"/>
    <w:rsid w:val="009773D6"/>
    <w:rsid w:val="00977C3D"/>
    <w:rsid w:val="00980A5D"/>
    <w:rsid w:val="00980D3D"/>
    <w:rsid w:val="0098103E"/>
    <w:rsid w:val="009823BF"/>
    <w:rsid w:val="00983101"/>
    <w:rsid w:val="00983E41"/>
    <w:rsid w:val="00985D9D"/>
    <w:rsid w:val="00986246"/>
    <w:rsid w:val="00986B72"/>
    <w:rsid w:val="0098717C"/>
    <w:rsid w:val="00987A30"/>
    <w:rsid w:val="00990312"/>
    <w:rsid w:val="009912E7"/>
    <w:rsid w:val="0099182E"/>
    <w:rsid w:val="00992CF3"/>
    <w:rsid w:val="00993194"/>
    <w:rsid w:val="0099321E"/>
    <w:rsid w:val="00993DA6"/>
    <w:rsid w:val="00994868"/>
    <w:rsid w:val="00994D28"/>
    <w:rsid w:val="00994F2C"/>
    <w:rsid w:val="009957CC"/>
    <w:rsid w:val="009968D6"/>
    <w:rsid w:val="00997953"/>
    <w:rsid w:val="009A0BFF"/>
    <w:rsid w:val="009A10A0"/>
    <w:rsid w:val="009A1CAB"/>
    <w:rsid w:val="009A2359"/>
    <w:rsid w:val="009A2440"/>
    <w:rsid w:val="009A24F1"/>
    <w:rsid w:val="009A4D57"/>
    <w:rsid w:val="009A5121"/>
    <w:rsid w:val="009A51A5"/>
    <w:rsid w:val="009A60D1"/>
    <w:rsid w:val="009A6225"/>
    <w:rsid w:val="009A64F5"/>
    <w:rsid w:val="009B00D2"/>
    <w:rsid w:val="009B05B3"/>
    <w:rsid w:val="009B284F"/>
    <w:rsid w:val="009B3764"/>
    <w:rsid w:val="009B52AC"/>
    <w:rsid w:val="009B59EA"/>
    <w:rsid w:val="009B66CE"/>
    <w:rsid w:val="009B6FD3"/>
    <w:rsid w:val="009B7257"/>
    <w:rsid w:val="009B7DB2"/>
    <w:rsid w:val="009C15A4"/>
    <w:rsid w:val="009C1750"/>
    <w:rsid w:val="009C2E29"/>
    <w:rsid w:val="009C3CDE"/>
    <w:rsid w:val="009C3E8F"/>
    <w:rsid w:val="009C554B"/>
    <w:rsid w:val="009C7126"/>
    <w:rsid w:val="009C719E"/>
    <w:rsid w:val="009C7799"/>
    <w:rsid w:val="009D07A9"/>
    <w:rsid w:val="009D0AE2"/>
    <w:rsid w:val="009D0EBB"/>
    <w:rsid w:val="009D3483"/>
    <w:rsid w:val="009D3ACD"/>
    <w:rsid w:val="009D4F21"/>
    <w:rsid w:val="009D587D"/>
    <w:rsid w:val="009D7731"/>
    <w:rsid w:val="009E1120"/>
    <w:rsid w:val="009E1393"/>
    <w:rsid w:val="009E1922"/>
    <w:rsid w:val="009E1A3D"/>
    <w:rsid w:val="009E3646"/>
    <w:rsid w:val="009E4715"/>
    <w:rsid w:val="009E4FEF"/>
    <w:rsid w:val="009E5273"/>
    <w:rsid w:val="009E57A8"/>
    <w:rsid w:val="009E5B85"/>
    <w:rsid w:val="009E5DDB"/>
    <w:rsid w:val="009E6140"/>
    <w:rsid w:val="009F0B4B"/>
    <w:rsid w:val="009F2921"/>
    <w:rsid w:val="009F3210"/>
    <w:rsid w:val="009F3399"/>
    <w:rsid w:val="009F38F8"/>
    <w:rsid w:val="009F4982"/>
    <w:rsid w:val="009F4CA7"/>
    <w:rsid w:val="009F5461"/>
    <w:rsid w:val="009F55BA"/>
    <w:rsid w:val="009F6257"/>
    <w:rsid w:val="009F7D36"/>
    <w:rsid w:val="00A00E71"/>
    <w:rsid w:val="00A012F7"/>
    <w:rsid w:val="00A0239B"/>
    <w:rsid w:val="00A0306F"/>
    <w:rsid w:val="00A0363E"/>
    <w:rsid w:val="00A03B10"/>
    <w:rsid w:val="00A03E2E"/>
    <w:rsid w:val="00A04616"/>
    <w:rsid w:val="00A04717"/>
    <w:rsid w:val="00A0495F"/>
    <w:rsid w:val="00A05EE4"/>
    <w:rsid w:val="00A06F99"/>
    <w:rsid w:val="00A10D66"/>
    <w:rsid w:val="00A113A4"/>
    <w:rsid w:val="00A1145C"/>
    <w:rsid w:val="00A120EA"/>
    <w:rsid w:val="00A14114"/>
    <w:rsid w:val="00A16413"/>
    <w:rsid w:val="00A16520"/>
    <w:rsid w:val="00A16545"/>
    <w:rsid w:val="00A16AED"/>
    <w:rsid w:val="00A16C37"/>
    <w:rsid w:val="00A16E1D"/>
    <w:rsid w:val="00A171D5"/>
    <w:rsid w:val="00A17559"/>
    <w:rsid w:val="00A17A15"/>
    <w:rsid w:val="00A17D5B"/>
    <w:rsid w:val="00A201E1"/>
    <w:rsid w:val="00A20FE1"/>
    <w:rsid w:val="00A21B4D"/>
    <w:rsid w:val="00A21C5E"/>
    <w:rsid w:val="00A23E43"/>
    <w:rsid w:val="00A2445C"/>
    <w:rsid w:val="00A24ED9"/>
    <w:rsid w:val="00A25216"/>
    <w:rsid w:val="00A2597D"/>
    <w:rsid w:val="00A2628E"/>
    <w:rsid w:val="00A266BF"/>
    <w:rsid w:val="00A2731E"/>
    <w:rsid w:val="00A307C2"/>
    <w:rsid w:val="00A309AC"/>
    <w:rsid w:val="00A30F65"/>
    <w:rsid w:val="00A3279E"/>
    <w:rsid w:val="00A35900"/>
    <w:rsid w:val="00A370BF"/>
    <w:rsid w:val="00A37556"/>
    <w:rsid w:val="00A40C06"/>
    <w:rsid w:val="00A40EAC"/>
    <w:rsid w:val="00A418BC"/>
    <w:rsid w:val="00A41FCF"/>
    <w:rsid w:val="00A42936"/>
    <w:rsid w:val="00A43CF8"/>
    <w:rsid w:val="00A43DF2"/>
    <w:rsid w:val="00A43DF7"/>
    <w:rsid w:val="00A445A8"/>
    <w:rsid w:val="00A44B0D"/>
    <w:rsid w:val="00A44D21"/>
    <w:rsid w:val="00A45087"/>
    <w:rsid w:val="00A45489"/>
    <w:rsid w:val="00A45CED"/>
    <w:rsid w:val="00A465E9"/>
    <w:rsid w:val="00A468E7"/>
    <w:rsid w:val="00A46DE0"/>
    <w:rsid w:val="00A5064D"/>
    <w:rsid w:val="00A50D73"/>
    <w:rsid w:val="00A5162C"/>
    <w:rsid w:val="00A52A88"/>
    <w:rsid w:val="00A52CAD"/>
    <w:rsid w:val="00A53918"/>
    <w:rsid w:val="00A53FC7"/>
    <w:rsid w:val="00A54974"/>
    <w:rsid w:val="00A55569"/>
    <w:rsid w:val="00A6092A"/>
    <w:rsid w:val="00A60AC1"/>
    <w:rsid w:val="00A615E5"/>
    <w:rsid w:val="00A623DF"/>
    <w:rsid w:val="00A626FF"/>
    <w:rsid w:val="00A62CE1"/>
    <w:rsid w:val="00A65469"/>
    <w:rsid w:val="00A65528"/>
    <w:rsid w:val="00A655D3"/>
    <w:rsid w:val="00A65711"/>
    <w:rsid w:val="00A662D9"/>
    <w:rsid w:val="00A6636F"/>
    <w:rsid w:val="00A6741E"/>
    <w:rsid w:val="00A6764C"/>
    <w:rsid w:val="00A7016A"/>
    <w:rsid w:val="00A7018D"/>
    <w:rsid w:val="00A7191D"/>
    <w:rsid w:val="00A722F9"/>
    <w:rsid w:val="00A72CD8"/>
    <w:rsid w:val="00A72D42"/>
    <w:rsid w:val="00A74C2A"/>
    <w:rsid w:val="00A75A21"/>
    <w:rsid w:val="00A75E40"/>
    <w:rsid w:val="00A77D1D"/>
    <w:rsid w:val="00A80911"/>
    <w:rsid w:val="00A80BD2"/>
    <w:rsid w:val="00A81652"/>
    <w:rsid w:val="00A83150"/>
    <w:rsid w:val="00A83398"/>
    <w:rsid w:val="00A83D6E"/>
    <w:rsid w:val="00A83F43"/>
    <w:rsid w:val="00A8521A"/>
    <w:rsid w:val="00A857C0"/>
    <w:rsid w:val="00A90F2C"/>
    <w:rsid w:val="00A90FED"/>
    <w:rsid w:val="00A9189D"/>
    <w:rsid w:val="00A91E71"/>
    <w:rsid w:val="00A925B1"/>
    <w:rsid w:val="00A934F9"/>
    <w:rsid w:val="00A93D06"/>
    <w:rsid w:val="00A940E3"/>
    <w:rsid w:val="00A95F1A"/>
    <w:rsid w:val="00A96116"/>
    <w:rsid w:val="00A9614E"/>
    <w:rsid w:val="00A96C0F"/>
    <w:rsid w:val="00AA0E80"/>
    <w:rsid w:val="00AA17CD"/>
    <w:rsid w:val="00AA212F"/>
    <w:rsid w:val="00AA2996"/>
    <w:rsid w:val="00AA2AF4"/>
    <w:rsid w:val="00AA2C80"/>
    <w:rsid w:val="00AA4282"/>
    <w:rsid w:val="00AA52BF"/>
    <w:rsid w:val="00AA559A"/>
    <w:rsid w:val="00AA58ED"/>
    <w:rsid w:val="00AA6C31"/>
    <w:rsid w:val="00AA7752"/>
    <w:rsid w:val="00AA7CE8"/>
    <w:rsid w:val="00AB1457"/>
    <w:rsid w:val="00AB22B9"/>
    <w:rsid w:val="00AB2AF1"/>
    <w:rsid w:val="00AB3EC7"/>
    <w:rsid w:val="00AB3FFA"/>
    <w:rsid w:val="00AB56A1"/>
    <w:rsid w:val="00AB5A64"/>
    <w:rsid w:val="00AB5CA1"/>
    <w:rsid w:val="00AB6456"/>
    <w:rsid w:val="00AB686D"/>
    <w:rsid w:val="00AC044E"/>
    <w:rsid w:val="00AC2118"/>
    <w:rsid w:val="00AC2395"/>
    <w:rsid w:val="00AC2960"/>
    <w:rsid w:val="00AC2AC4"/>
    <w:rsid w:val="00AC4284"/>
    <w:rsid w:val="00AC45BD"/>
    <w:rsid w:val="00AC4883"/>
    <w:rsid w:val="00AC4920"/>
    <w:rsid w:val="00AC50BB"/>
    <w:rsid w:val="00AC51CC"/>
    <w:rsid w:val="00AC6CAB"/>
    <w:rsid w:val="00AD0EE7"/>
    <w:rsid w:val="00AD168E"/>
    <w:rsid w:val="00AD306C"/>
    <w:rsid w:val="00AD44CD"/>
    <w:rsid w:val="00AD4C32"/>
    <w:rsid w:val="00AD5AD2"/>
    <w:rsid w:val="00AD6462"/>
    <w:rsid w:val="00AD66C5"/>
    <w:rsid w:val="00AD68C4"/>
    <w:rsid w:val="00AD71F9"/>
    <w:rsid w:val="00AE09B3"/>
    <w:rsid w:val="00AE12DC"/>
    <w:rsid w:val="00AE1A83"/>
    <w:rsid w:val="00AE2BA8"/>
    <w:rsid w:val="00AE30BE"/>
    <w:rsid w:val="00AE3222"/>
    <w:rsid w:val="00AE3E6A"/>
    <w:rsid w:val="00AE467A"/>
    <w:rsid w:val="00AE7269"/>
    <w:rsid w:val="00AE797C"/>
    <w:rsid w:val="00AE7CE7"/>
    <w:rsid w:val="00AE7FAB"/>
    <w:rsid w:val="00AF0DE4"/>
    <w:rsid w:val="00AF1E87"/>
    <w:rsid w:val="00AF206B"/>
    <w:rsid w:val="00AF436B"/>
    <w:rsid w:val="00AF5179"/>
    <w:rsid w:val="00AF5CC2"/>
    <w:rsid w:val="00AF6776"/>
    <w:rsid w:val="00AF6F98"/>
    <w:rsid w:val="00B00913"/>
    <w:rsid w:val="00B01593"/>
    <w:rsid w:val="00B01FF9"/>
    <w:rsid w:val="00B023F2"/>
    <w:rsid w:val="00B038CA"/>
    <w:rsid w:val="00B03FB8"/>
    <w:rsid w:val="00B05AE3"/>
    <w:rsid w:val="00B05F62"/>
    <w:rsid w:val="00B06DB4"/>
    <w:rsid w:val="00B0799C"/>
    <w:rsid w:val="00B10A4D"/>
    <w:rsid w:val="00B10C90"/>
    <w:rsid w:val="00B11002"/>
    <w:rsid w:val="00B110D0"/>
    <w:rsid w:val="00B121B2"/>
    <w:rsid w:val="00B141B6"/>
    <w:rsid w:val="00B14BC1"/>
    <w:rsid w:val="00B16DD1"/>
    <w:rsid w:val="00B16EB8"/>
    <w:rsid w:val="00B17E71"/>
    <w:rsid w:val="00B17FDE"/>
    <w:rsid w:val="00B20632"/>
    <w:rsid w:val="00B2379C"/>
    <w:rsid w:val="00B23D5D"/>
    <w:rsid w:val="00B2687D"/>
    <w:rsid w:val="00B3108D"/>
    <w:rsid w:val="00B3211D"/>
    <w:rsid w:val="00B32DDB"/>
    <w:rsid w:val="00B32F57"/>
    <w:rsid w:val="00B3345C"/>
    <w:rsid w:val="00B34528"/>
    <w:rsid w:val="00B34CC9"/>
    <w:rsid w:val="00B3504B"/>
    <w:rsid w:val="00B3563B"/>
    <w:rsid w:val="00B36BDC"/>
    <w:rsid w:val="00B37D3A"/>
    <w:rsid w:val="00B402FC"/>
    <w:rsid w:val="00B403C5"/>
    <w:rsid w:val="00B422E2"/>
    <w:rsid w:val="00B42D5F"/>
    <w:rsid w:val="00B43216"/>
    <w:rsid w:val="00B439DA"/>
    <w:rsid w:val="00B4411A"/>
    <w:rsid w:val="00B46604"/>
    <w:rsid w:val="00B47089"/>
    <w:rsid w:val="00B47587"/>
    <w:rsid w:val="00B47DD4"/>
    <w:rsid w:val="00B52151"/>
    <w:rsid w:val="00B52D70"/>
    <w:rsid w:val="00B530CD"/>
    <w:rsid w:val="00B53538"/>
    <w:rsid w:val="00B5365B"/>
    <w:rsid w:val="00B53C7D"/>
    <w:rsid w:val="00B53E56"/>
    <w:rsid w:val="00B55040"/>
    <w:rsid w:val="00B55A97"/>
    <w:rsid w:val="00B55F5E"/>
    <w:rsid w:val="00B5642C"/>
    <w:rsid w:val="00B56B6F"/>
    <w:rsid w:val="00B5752E"/>
    <w:rsid w:val="00B60AC1"/>
    <w:rsid w:val="00B61B92"/>
    <w:rsid w:val="00B61FF6"/>
    <w:rsid w:val="00B62316"/>
    <w:rsid w:val="00B6318A"/>
    <w:rsid w:val="00B63A11"/>
    <w:rsid w:val="00B63F4C"/>
    <w:rsid w:val="00B64425"/>
    <w:rsid w:val="00B64C24"/>
    <w:rsid w:val="00B65CEF"/>
    <w:rsid w:val="00B65E6B"/>
    <w:rsid w:val="00B6608F"/>
    <w:rsid w:val="00B66F84"/>
    <w:rsid w:val="00B677A6"/>
    <w:rsid w:val="00B679FB"/>
    <w:rsid w:val="00B70083"/>
    <w:rsid w:val="00B71FBF"/>
    <w:rsid w:val="00B72F87"/>
    <w:rsid w:val="00B734A0"/>
    <w:rsid w:val="00B73A14"/>
    <w:rsid w:val="00B748BD"/>
    <w:rsid w:val="00B75B39"/>
    <w:rsid w:val="00B7680F"/>
    <w:rsid w:val="00B76A3F"/>
    <w:rsid w:val="00B76D1E"/>
    <w:rsid w:val="00B772F3"/>
    <w:rsid w:val="00B77543"/>
    <w:rsid w:val="00B77584"/>
    <w:rsid w:val="00B80EC6"/>
    <w:rsid w:val="00B81288"/>
    <w:rsid w:val="00B8177E"/>
    <w:rsid w:val="00B81D70"/>
    <w:rsid w:val="00B833B9"/>
    <w:rsid w:val="00B83D4C"/>
    <w:rsid w:val="00B83E07"/>
    <w:rsid w:val="00B84CF6"/>
    <w:rsid w:val="00B85016"/>
    <w:rsid w:val="00B8561A"/>
    <w:rsid w:val="00B86643"/>
    <w:rsid w:val="00B868F7"/>
    <w:rsid w:val="00B876D2"/>
    <w:rsid w:val="00B87AED"/>
    <w:rsid w:val="00B90131"/>
    <w:rsid w:val="00B90B7C"/>
    <w:rsid w:val="00B92951"/>
    <w:rsid w:val="00B92D1D"/>
    <w:rsid w:val="00B92D7E"/>
    <w:rsid w:val="00B930CE"/>
    <w:rsid w:val="00B938C5"/>
    <w:rsid w:val="00B940A8"/>
    <w:rsid w:val="00B9554A"/>
    <w:rsid w:val="00B95940"/>
    <w:rsid w:val="00B95ACA"/>
    <w:rsid w:val="00B97ACC"/>
    <w:rsid w:val="00B97FE2"/>
    <w:rsid w:val="00BA1CF8"/>
    <w:rsid w:val="00BA3787"/>
    <w:rsid w:val="00BA433F"/>
    <w:rsid w:val="00BA46E8"/>
    <w:rsid w:val="00BA49E6"/>
    <w:rsid w:val="00BA4E19"/>
    <w:rsid w:val="00BA4E41"/>
    <w:rsid w:val="00BA6436"/>
    <w:rsid w:val="00BA684E"/>
    <w:rsid w:val="00BA6C2B"/>
    <w:rsid w:val="00BA7B64"/>
    <w:rsid w:val="00BB02A3"/>
    <w:rsid w:val="00BB0351"/>
    <w:rsid w:val="00BB15C3"/>
    <w:rsid w:val="00BB1AF4"/>
    <w:rsid w:val="00BB2202"/>
    <w:rsid w:val="00BB37D7"/>
    <w:rsid w:val="00BB3C6B"/>
    <w:rsid w:val="00BB3FD6"/>
    <w:rsid w:val="00BB453F"/>
    <w:rsid w:val="00BB46F3"/>
    <w:rsid w:val="00BB4A71"/>
    <w:rsid w:val="00BB4CB1"/>
    <w:rsid w:val="00BB4E54"/>
    <w:rsid w:val="00BB4F98"/>
    <w:rsid w:val="00BB5AB2"/>
    <w:rsid w:val="00BB5ABF"/>
    <w:rsid w:val="00BB6EA2"/>
    <w:rsid w:val="00BB7B5B"/>
    <w:rsid w:val="00BB7EB1"/>
    <w:rsid w:val="00BC003F"/>
    <w:rsid w:val="00BC00B3"/>
    <w:rsid w:val="00BC10AD"/>
    <w:rsid w:val="00BC19EB"/>
    <w:rsid w:val="00BC1DF4"/>
    <w:rsid w:val="00BC297E"/>
    <w:rsid w:val="00BC327F"/>
    <w:rsid w:val="00BC3512"/>
    <w:rsid w:val="00BC43D7"/>
    <w:rsid w:val="00BC50BE"/>
    <w:rsid w:val="00BC5332"/>
    <w:rsid w:val="00BC5715"/>
    <w:rsid w:val="00BC5C12"/>
    <w:rsid w:val="00BC7154"/>
    <w:rsid w:val="00BC731E"/>
    <w:rsid w:val="00BC7614"/>
    <w:rsid w:val="00BD25BB"/>
    <w:rsid w:val="00BD2AF8"/>
    <w:rsid w:val="00BD366B"/>
    <w:rsid w:val="00BD410B"/>
    <w:rsid w:val="00BD4A73"/>
    <w:rsid w:val="00BD4ED5"/>
    <w:rsid w:val="00BD5C0F"/>
    <w:rsid w:val="00BD6C75"/>
    <w:rsid w:val="00BD6D50"/>
    <w:rsid w:val="00BD73D2"/>
    <w:rsid w:val="00BD7B86"/>
    <w:rsid w:val="00BE0088"/>
    <w:rsid w:val="00BE0AD1"/>
    <w:rsid w:val="00BE0EF9"/>
    <w:rsid w:val="00BE10A1"/>
    <w:rsid w:val="00BE18B9"/>
    <w:rsid w:val="00BE190A"/>
    <w:rsid w:val="00BE2495"/>
    <w:rsid w:val="00BE24DD"/>
    <w:rsid w:val="00BE2527"/>
    <w:rsid w:val="00BE386D"/>
    <w:rsid w:val="00BE557B"/>
    <w:rsid w:val="00BE6E15"/>
    <w:rsid w:val="00BE7F5F"/>
    <w:rsid w:val="00BF02C8"/>
    <w:rsid w:val="00BF064A"/>
    <w:rsid w:val="00BF1578"/>
    <w:rsid w:val="00BF15CA"/>
    <w:rsid w:val="00BF1D12"/>
    <w:rsid w:val="00BF1D3A"/>
    <w:rsid w:val="00BF2B5B"/>
    <w:rsid w:val="00BF2D41"/>
    <w:rsid w:val="00BF32DC"/>
    <w:rsid w:val="00BF4329"/>
    <w:rsid w:val="00BF4E43"/>
    <w:rsid w:val="00BF5C4C"/>
    <w:rsid w:val="00C006D6"/>
    <w:rsid w:val="00C00BD7"/>
    <w:rsid w:val="00C01410"/>
    <w:rsid w:val="00C042D4"/>
    <w:rsid w:val="00C04B78"/>
    <w:rsid w:val="00C05287"/>
    <w:rsid w:val="00C052AA"/>
    <w:rsid w:val="00C058F5"/>
    <w:rsid w:val="00C05DF8"/>
    <w:rsid w:val="00C0636C"/>
    <w:rsid w:val="00C06EE3"/>
    <w:rsid w:val="00C07749"/>
    <w:rsid w:val="00C11244"/>
    <w:rsid w:val="00C11D48"/>
    <w:rsid w:val="00C13D0B"/>
    <w:rsid w:val="00C1493E"/>
    <w:rsid w:val="00C15DBD"/>
    <w:rsid w:val="00C16B15"/>
    <w:rsid w:val="00C2010D"/>
    <w:rsid w:val="00C20CB5"/>
    <w:rsid w:val="00C21430"/>
    <w:rsid w:val="00C21E61"/>
    <w:rsid w:val="00C21F94"/>
    <w:rsid w:val="00C234DB"/>
    <w:rsid w:val="00C2479A"/>
    <w:rsid w:val="00C24903"/>
    <w:rsid w:val="00C2590D"/>
    <w:rsid w:val="00C25D9C"/>
    <w:rsid w:val="00C27913"/>
    <w:rsid w:val="00C300E2"/>
    <w:rsid w:val="00C31F21"/>
    <w:rsid w:val="00C32631"/>
    <w:rsid w:val="00C33301"/>
    <w:rsid w:val="00C33311"/>
    <w:rsid w:val="00C3386C"/>
    <w:rsid w:val="00C33B68"/>
    <w:rsid w:val="00C35570"/>
    <w:rsid w:val="00C35A2A"/>
    <w:rsid w:val="00C36A79"/>
    <w:rsid w:val="00C36E37"/>
    <w:rsid w:val="00C401A9"/>
    <w:rsid w:val="00C401D2"/>
    <w:rsid w:val="00C4031A"/>
    <w:rsid w:val="00C405D4"/>
    <w:rsid w:val="00C4072D"/>
    <w:rsid w:val="00C407CF"/>
    <w:rsid w:val="00C40D33"/>
    <w:rsid w:val="00C416B3"/>
    <w:rsid w:val="00C419D5"/>
    <w:rsid w:val="00C41E3C"/>
    <w:rsid w:val="00C43D8F"/>
    <w:rsid w:val="00C4513B"/>
    <w:rsid w:val="00C475E8"/>
    <w:rsid w:val="00C476B8"/>
    <w:rsid w:val="00C479B8"/>
    <w:rsid w:val="00C50E79"/>
    <w:rsid w:val="00C525FB"/>
    <w:rsid w:val="00C5390B"/>
    <w:rsid w:val="00C54257"/>
    <w:rsid w:val="00C54697"/>
    <w:rsid w:val="00C550CE"/>
    <w:rsid w:val="00C553A5"/>
    <w:rsid w:val="00C55402"/>
    <w:rsid w:val="00C5603B"/>
    <w:rsid w:val="00C61F47"/>
    <w:rsid w:val="00C62828"/>
    <w:rsid w:val="00C64139"/>
    <w:rsid w:val="00C719A3"/>
    <w:rsid w:val="00C71D2F"/>
    <w:rsid w:val="00C72984"/>
    <w:rsid w:val="00C73885"/>
    <w:rsid w:val="00C73AE4"/>
    <w:rsid w:val="00C73C93"/>
    <w:rsid w:val="00C7435A"/>
    <w:rsid w:val="00C747B1"/>
    <w:rsid w:val="00C755F9"/>
    <w:rsid w:val="00C80FE0"/>
    <w:rsid w:val="00C815EF"/>
    <w:rsid w:val="00C8174E"/>
    <w:rsid w:val="00C81E37"/>
    <w:rsid w:val="00C82191"/>
    <w:rsid w:val="00C83134"/>
    <w:rsid w:val="00C832F3"/>
    <w:rsid w:val="00C845A4"/>
    <w:rsid w:val="00C85545"/>
    <w:rsid w:val="00C855B5"/>
    <w:rsid w:val="00C85F0E"/>
    <w:rsid w:val="00C90107"/>
    <w:rsid w:val="00C90CF4"/>
    <w:rsid w:val="00C92144"/>
    <w:rsid w:val="00C922DE"/>
    <w:rsid w:val="00C92843"/>
    <w:rsid w:val="00C9295C"/>
    <w:rsid w:val="00C92EB6"/>
    <w:rsid w:val="00C93389"/>
    <w:rsid w:val="00C94CDD"/>
    <w:rsid w:val="00C95774"/>
    <w:rsid w:val="00C97B65"/>
    <w:rsid w:val="00CA0346"/>
    <w:rsid w:val="00CA09B7"/>
    <w:rsid w:val="00CA1BD6"/>
    <w:rsid w:val="00CA2441"/>
    <w:rsid w:val="00CA37FF"/>
    <w:rsid w:val="00CA423A"/>
    <w:rsid w:val="00CA47BC"/>
    <w:rsid w:val="00CA6AB4"/>
    <w:rsid w:val="00CA7255"/>
    <w:rsid w:val="00CA7432"/>
    <w:rsid w:val="00CB2351"/>
    <w:rsid w:val="00CB3C4F"/>
    <w:rsid w:val="00CB4930"/>
    <w:rsid w:val="00CB4C63"/>
    <w:rsid w:val="00CB5599"/>
    <w:rsid w:val="00CB5A48"/>
    <w:rsid w:val="00CB5E10"/>
    <w:rsid w:val="00CB5F3F"/>
    <w:rsid w:val="00CB613B"/>
    <w:rsid w:val="00CB6152"/>
    <w:rsid w:val="00CB64E1"/>
    <w:rsid w:val="00CC0834"/>
    <w:rsid w:val="00CC20FE"/>
    <w:rsid w:val="00CC2E7D"/>
    <w:rsid w:val="00CC32A4"/>
    <w:rsid w:val="00CC519B"/>
    <w:rsid w:val="00CC5BF7"/>
    <w:rsid w:val="00CC5DBF"/>
    <w:rsid w:val="00CC612B"/>
    <w:rsid w:val="00CC655F"/>
    <w:rsid w:val="00CC6FE5"/>
    <w:rsid w:val="00CC72D7"/>
    <w:rsid w:val="00CC7458"/>
    <w:rsid w:val="00CC76BD"/>
    <w:rsid w:val="00CC7A87"/>
    <w:rsid w:val="00CD07BE"/>
    <w:rsid w:val="00CD1084"/>
    <w:rsid w:val="00CD10A5"/>
    <w:rsid w:val="00CD1129"/>
    <w:rsid w:val="00CD1A80"/>
    <w:rsid w:val="00CD1CB5"/>
    <w:rsid w:val="00CD2076"/>
    <w:rsid w:val="00CD24CE"/>
    <w:rsid w:val="00CD29B5"/>
    <w:rsid w:val="00CD2B78"/>
    <w:rsid w:val="00CD3D73"/>
    <w:rsid w:val="00CD3FAB"/>
    <w:rsid w:val="00CD5434"/>
    <w:rsid w:val="00CD5456"/>
    <w:rsid w:val="00CD5C3E"/>
    <w:rsid w:val="00CD6331"/>
    <w:rsid w:val="00CE0217"/>
    <w:rsid w:val="00CE14BE"/>
    <w:rsid w:val="00CE164F"/>
    <w:rsid w:val="00CE17A4"/>
    <w:rsid w:val="00CE1BA9"/>
    <w:rsid w:val="00CE29EE"/>
    <w:rsid w:val="00CE2D8F"/>
    <w:rsid w:val="00CE3E48"/>
    <w:rsid w:val="00CE47B8"/>
    <w:rsid w:val="00CE4B4F"/>
    <w:rsid w:val="00CE62FA"/>
    <w:rsid w:val="00CE670B"/>
    <w:rsid w:val="00CE6833"/>
    <w:rsid w:val="00CF0257"/>
    <w:rsid w:val="00CF03A8"/>
    <w:rsid w:val="00CF2E4D"/>
    <w:rsid w:val="00CF4205"/>
    <w:rsid w:val="00CF4908"/>
    <w:rsid w:val="00CF51EC"/>
    <w:rsid w:val="00CF521C"/>
    <w:rsid w:val="00CF545D"/>
    <w:rsid w:val="00CF5873"/>
    <w:rsid w:val="00CF73AE"/>
    <w:rsid w:val="00D0085A"/>
    <w:rsid w:val="00D0242D"/>
    <w:rsid w:val="00D02651"/>
    <w:rsid w:val="00D02716"/>
    <w:rsid w:val="00D0332D"/>
    <w:rsid w:val="00D03A72"/>
    <w:rsid w:val="00D040DD"/>
    <w:rsid w:val="00D04134"/>
    <w:rsid w:val="00D05C65"/>
    <w:rsid w:val="00D065FC"/>
    <w:rsid w:val="00D06B56"/>
    <w:rsid w:val="00D06D68"/>
    <w:rsid w:val="00D075BE"/>
    <w:rsid w:val="00D107EE"/>
    <w:rsid w:val="00D10C15"/>
    <w:rsid w:val="00D11476"/>
    <w:rsid w:val="00D12C25"/>
    <w:rsid w:val="00D133B4"/>
    <w:rsid w:val="00D13986"/>
    <w:rsid w:val="00D14C5B"/>
    <w:rsid w:val="00D15FED"/>
    <w:rsid w:val="00D16712"/>
    <w:rsid w:val="00D208FD"/>
    <w:rsid w:val="00D20FFB"/>
    <w:rsid w:val="00D214EF"/>
    <w:rsid w:val="00D215B0"/>
    <w:rsid w:val="00D218B6"/>
    <w:rsid w:val="00D21A0D"/>
    <w:rsid w:val="00D21D6D"/>
    <w:rsid w:val="00D21D83"/>
    <w:rsid w:val="00D22142"/>
    <w:rsid w:val="00D235B7"/>
    <w:rsid w:val="00D23FAE"/>
    <w:rsid w:val="00D24853"/>
    <w:rsid w:val="00D25098"/>
    <w:rsid w:val="00D2554F"/>
    <w:rsid w:val="00D25F28"/>
    <w:rsid w:val="00D26071"/>
    <w:rsid w:val="00D269B9"/>
    <w:rsid w:val="00D27973"/>
    <w:rsid w:val="00D27F47"/>
    <w:rsid w:val="00D31537"/>
    <w:rsid w:val="00D31E1E"/>
    <w:rsid w:val="00D3222A"/>
    <w:rsid w:val="00D322A0"/>
    <w:rsid w:val="00D32824"/>
    <w:rsid w:val="00D334E2"/>
    <w:rsid w:val="00D35AD6"/>
    <w:rsid w:val="00D35BBB"/>
    <w:rsid w:val="00D35E1A"/>
    <w:rsid w:val="00D36DFB"/>
    <w:rsid w:val="00D36E1C"/>
    <w:rsid w:val="00D373AF"/>
    <w:rsid w:val="00D40556"/>
    <w:rsid w:val="00D419C9"/>
    <w:rsid w:val="00D41F74"/>
    <w:rsid w:val="00D42FF0"/>
    <w:rsid w:val="00D43ED2"/>
    <w:rsid w:val="00D442B3"/>
    <w:rsid w:val="00D44896"/>
    <w:rsid w:val="00D464E4"/>
    <w:rsid w:val="00D46B51"/>
    <w:rsid w:val="00D478B9"/>
    <w:rsid w:val="00D50F46"/>
    <w:rsid w:val="00D5238B"/>
    <w:rsid w:val="00D5384E"/>
    <w:rsid w:val="00D544E7"/>
    <w:rsid w:val="00D5560A"/>
    <w:rsid w:val="00D56FBF"/>
    <w:rsid w:val="00D57677"/>
    <w:rsid w:val="00D57B8D"/>
    <w:rsid w:val="00D60415"/>
    <w:rsid w:val="00D60516"/>
    <w:rsid w:val="00D60E3C"/>
    <w:rsid w:val="00D63BE5"/>
    <w:rsid w:val="00D6475F"/>
    <w:rsid w:val="00D653A0"/>
    <w:rsid w:val="00D66223"/>
    <w:rsid w:val="00D667B8"/>
    <w:rsid w:val="00D70289"/>
    <w:rsid w:val="00D70822"/>
    <w:rsid w:val="00D70A58"/>
    <w:rsid w:val="00D72076"/>
    <w:rsid w:val="00D726A9"/>
    <w:rsid w:val="00D743E0"/>
    <w:rsid w:val="00D75AC1"/>
    <w:rsid w:val="00D77252"/>
    <w:rsid w:val="00D77807"/>
    <w:rsid w:val="00D8084C"/>
    <w:rsid w:val="00D81809"/>
    <w:rsid w:val="00D82435"/>
    <w:rsid w:val="00D82EF1"/>
    <w:rsid w:val="00D83C22"/>
    <w:rsid w:val="00D84F43"/>
    <w:rsid w:val="00D85114"/>
    <w:rsid w:val="00D85821"/>
    <w:rsid w:val="00D8598C"/>
    <w:rsid w:val="00D87C06"/>
    <w:rsid w:val="00D915EA"/>
    <w:rsid w:val="00D919ED"/>
    <w:rsid w:val="00D922A1"/>
    <w:rsid w:val="00D928BE"/>
    <w:rsid w:val="00D95302"/>
    <w:rsid w:val="00D95C5D"/>
    <w:rsid w:val="00D97D00"/>
    <w:rsid w:val="00DA096C"/>
    <w:rsid w:val="00DA0FE3"/>
    <w:rsid w:val="00DA1AB6"/>
    <w:rsid w:val="00DA544C"/>
    <w:rsid w:val="00DA5F8E"/>
    <w:rsid w:val="00DA6364"/>
    <w:rsid w:val="00DA7114"/>
    <w:rsid w:val="00DA7C0C"/>
    <w:rsid w:val="00DB08A9"/>
    <w:rsid w:val="00DB2DFA"/>
    <w:rsid w:val="00DB2EC8"/>
    <w:rsid w:val="00DB3419"/>
    <w:rsid w:val="00DB459B"/>
    <w:rsid w:val="00DB47FD"/>
    <w:rsid w:val="00DB5E9A"/>
    <w:rsid w:val="00DB657E"/>
    <w:rsid w:val="00DB6DFF"/>
    <w:rsid w:val="00DB7342"/>
    <w:rsid w:val="00DB7486"/>
    <w:rsid w:val="00DB7F95"/>
    <w:rsid w:val="00DC17D0"/>
    <w:rsid w:val="00DC2390"/>
    <w:rsid w:val="00DC2B41"/>
    <w:rsid w:val="00DC435B"/>
    <w:rsid w:val="00DC53D8"/>
    <w:rsid w:val="00DC56FE"/>
    <w:rsid w:val="00DC5B3B"/>
    <w:rsid w:val="00DC6C2D"/>
    <w:rsid w:val="00DC75F3"/>
    <w:rsid w:val="00DC7B1A"/>
    <w:rsid w:val="00DD04B0"/>
    <w:rsid w:val="00DD07EC"/>
    <w:rsid w:val="00DD129F"/>
    <w:rsid w:val="00DD18CA"/>
    <w:rsid w:val="00DD1A3F"/>
    <w:rsid w:val="00DD29B5"/>
    <w:rsid w:val="00DD32DD"/>
    <w:rsid w:val="00DD5287"/>
    <w:rsid w:val="00DD7944"/>
    <w:rsid w:val="00DE0D8B"/>
    <w:rsid w:val="00DE1237"/>
    <w:rsid w:val="00DE140F"/>
    <w:rsid w:val="00DE2491"/>
    <w:rsid w:val="00DE586E"/>
    <w:rsid w:val="00DE7AC8"/>
    <w:rsid w:val="00DF1FFF"/>
    <w:rsid w:val="00DF2C5D"/>
    <w:rsid w:val="00DF3643"/>
    <w:rsid w:val="00DF42FF"/>
    <w:rsid w:val="00DF4369"/>
    <w:rsid w:val="00DF4423"/>
    <w:rsid w:val="00DF4ADF"/>
    <w:rsid w:val="00DF5D1E"/>
    <w:rsid w:val="00DF6CA7"/>
    <w:rsid w:val="00DF77E4"/>
    <w:rsid w:val="00DF7F88"/>
    <w:rsid w:val="00E01C0E"/>
    <w:rsid w:val="00E0368F"/>
    <w:rsid w:val="00E03D73"/>
    <w:rsid w:val="00E03DEA"/>
    <w:rsid w:val="00E03F9A"/>
    <w:rsid w:val="00E04694"/>
    <w:rsid w:val="00E04EE2"/>
    <w:rsid w:val="00E129E7"/>
    <w:rsid w:val="00E12ABE"/>
    <w:rsid w:val="00E12B1E"/>
    <w:rsid w:val="00E12C45"/>
    <w:rsid w:val="00E1444C"/>
    <w:rsid w:val="00E17262"/>
    <w:rsid w:val="00E17D21"/>
    <w:rsid w:val="00E20016"/>
    <w:rsid w:val="00E2009B"/>
    <w:rsid w:val="00E20BB9"/>
    <w:rsid w:val="00E20BCC"/>
    <w:rsid w:val="00E2207E"/>
    <w:rsid w:val="00E2251C"/>
    <w:rsid w:val="00E22D9E"/>
    <w:rsid w:val="00E2363D"/>
    <w:rsid w:val="00E23C6A"/>
    <w:rsid w:val="00E24DEF"/>
    <w:rsid w:val="00E253A2"/>
    <w:rsid w:val="00E25809"/>
    <w:rsid w:val="00E260F6"/>
    <w:rsid w:val="00E27127"/>
    <w:rsid w:val="00E27233"/>
    <w:rsid w:val="00E31771"/>
    <w:rsid w:val="00E31A3E"/>
    <w:rsid w:val="00E31FEC"/>
    <w:rsid w:val="00E32080"/>
    <w:rsid w:val="00E32D52"/>
    <w:rsid w:val="00E3309D"/>
    <w:rsid w:val="00E343C7"/>
    <w:rsid w:val="00E3724A"/>
    <w:rsid w:val="00E375EC"/>
    <w:rsid w:val="00E378B1"/>
    <w:rsid w:val="00E404B9"/>
    <w:rsid w:val="00E404FD"/>
    <w:rsid w:val="00E417BE"/>
    <w:rsid w:val="00E4186B"/>
    <w:rsid w:val="00E41CD5"/>
    <w:rsid w:val="00E426FA"/>
    <w:rsid w:val="00E43133"/>
    <w:rsid w:val="00E4372D"/>
    <w:rsid w:val="00E43A9E"/>
    <w:rsid w:val="00E453F9"/>
    <w:rsid w:val="00E45D7D"/>
    <w:rsid w:val="00E4623F"/>
    <w:rsid w:val="00E4665D"/>
    <w:rsid w:val="00E47854"/>
    <w:rsid w:val="00E47EBA"/>
    <w:rsid w:val="00E50156"/>
    <w:rsid w:val="00E5076C"/>
    <w:rsid w:val="00E50D2E"/>
    <w:rsid w:val="00E53470"/>
    <w:rsid w:val="00E539F6"/>
    <w:rsid w:val="00E54698"/>
    <w:rsid w:val="00E54FB4"/>
    <w:rsid w:val="00E55791"/>
    <w:rsid w:val="00E55E1A"/>
    <w:rsid w:val="00E578A2"/>
    <w:rsid w:val="00E60043"/>
    <w:rsid w:val="00E601BA"/>
    <w:rsid w:val="00E61740"/>
    <w:rsid w:val="00E61EB5"/>
    <w:rsid w:val="00E6324D"/>
    <w:rsid w:val="00E64F0C"/>
    <w:rsid w:val="00E65084"/>
    <w:rsid w:val="00E6519D"/>
    <w:rsid w:val="00E66062"/>
    <w:rsid w:val="00E6660E"/>
    <w:rsid w:val="00E66F7C"/>
    <w:rsid w:val="00E67305"/>
    <w:rsid w:val="00E67696"/>
    <w:rsid w:val="00E702BD"/>
    <w:rsid w:val="00E71A58"/>
    <w:rsid w:val="00E71C23"/>
    <w:rsid w:val="00E72A26"/>
    <w:rsid w:val="00E72A7A"/>
    <w:rsid w:val="00E7335A"/>
    <w:rsid w:val="00E747DC"/>
    <w:rsid w:val="00E74A2D"/>
    <w:rsid w:val="00E75C94"/>
    <w:rsid w:val="00E76B9B"/>
    <w:rsid w:val="00E76E61"/>
    <w:rsid w:val="00E80CA3"/>
    <w:rsid w:val="00E8209B"/>
    <w:rsid w:val="00E82618"/>
    <w:rsid w:val="00E845C1"/>
    <w:rsid w:val="00E84A1C"/>
    <w:rsid w:val="00E84E09"/>
    <w:rsid w:val="00E90CA8"/>
    <w:rsid w:val="00E90FF9"/>
    <w:rsid w:val="00E91301"/>
    <w:rsid w:val="00E930A1"/>
    <w:rsid w:val="00E93820"/>
    <w:rsid w:val="00E94A86"/>
    <w:rsid w:val="00E953F6"/>
    <w:rsid w:val="00E96143"/>
    <w:rsid w:val="00E96833"/>
    <w:rsid w:val="00E97506"/>
    <w:rsid w:val="00EA0C68"/>
    <w:rsid w:val="00EA1D0E"/>
    <w:rsid w:val="00EA2841"/>
    <w:rsid w:val="00EA29D4"/>
    <w:rsid w:val="00EA32BC"/>
    <w:rsid w:val="00EA35A7"/>
    <w:rsid w:val="00EA3868"/>
    <w:rsid w:val="00EA3B32"/>
    <w:rsid w:val="00EA3D05"/>
    <w:rsid w:val="00EA4402"/>
    <w:rsid w:val="00EA4B8D"/>
    <w:rsid w:val="00EA513E"/>
    <w:rsid w:val="00EA7419"/>
    <w:rsid w:val="00EB0E32"/>
    <w:rsid w:val="00EB1DE7"/>
    <w:rsid w:val="00EB1E61"/>
    <w:rsid w:val="00EB2251"/>
    <w:rsid w:val="00EB267D"/>
    <w:rsid w:val="00EB4511"/>
    <w:rsid w:val="00EB48D7"/>
    <w:rsid w:val="00EB4A8E"/>
    <w:rsid w:val="00EB4ABD"/>
    <w:rsid w:val="00EB4BC5"/>
    <w:rsid w:val="00EB5BF7"/>
    <w:rsid w:val="00EB5E79"/>
    <w:rsid w:val="00EB663E"/>
    <w:rsid w:val="00EB6FAC"/>
    <w:rsid w:val="00EB7BAC"/>
    <w:rsid w:val="00EC03D7"/>
    <w:rsid w:val="00EC13A7"/>
    <w:rsid w:val="00EC2EB6"/>
    <w:rsid w:val="00ED0EF0"/>
    <w:rsid w:val="00ED12B9"/>
    <w:rsid w:val="00ED16B8"/>
    <w:rsid w:val="00ED19F0"/>
    <w:rsid w:val="00ED1BDE"/>
    <w:rsid w:val="00ED1DF0"/>
    <w:rsid w:val="00ED2386"/>
    <w:rsid w:val="00ED2EA1"/>
    <w:rsid w:val="00ED3F10"/>
    <w:rsid w:val="00ED4604"/>
    <w:rsid w:val="00ED4D04"/>
    <w:rsid w:val="00ED5907"/>
    <w:rsid w:val="00ED5F5B"/>
    <w:rsid w:val="00ED62C6"/>
    <w:rsid w:val="00ED64C1"/>
    <w:rsid w:val="00ED7A13"/>
    <w:rsid w:val="00ED7D0E"/>
    <w:rsid w:val="00EE1D34"/>
    <w:rsid w:val="00EE3446"/>
    <w:rsid w:val="00EE3E78"/>
    <w:rsid w:val="00EE41FD"/>
    <w:rsid w:val="00EE460E"/>
    <w:rsid w:val="00EE46FE"/>
    <w:rsid w:val="00EE4B1B"/>
    <w:rsid w:val="00EE5FBA"/>
    <w:rsid w:val="00EE6648"/>
    <w:rsid w:val="00EE6E06"/>
    <w:rsid w:val="00EE7179"/>
    <w:rsid w:val="00EF0626"/>
    <w:rsid w:val="00EF150D"/>
    <w:rsid w:val="00EF1F5A"/>
    <w:rsid w:val="00EF3C94"/>
    <w:rsid w:val="00EF47BF"/>
    <w:rsid w:val="00EF59B1"/>
    <w:rsid w:val="00EF5A13"/>
    <w:rsid w:val="00EF5FF9"/>
    <w:rsid w:val="00EF7CC7"/>
    <w:rsid w:val="00F00866"/>
    <w:rsid w:val="00F0160B"/>
    <w:rsid w:val="00F0193E"/>
    <w:rsid w:val="00F021DA"/>
    <w:rsid w:val="00F0293D"/>
    <w:rsid w:val="00F03F8D"/>
    <w:rsid w:val="00F04811"/>
    <w:rsid w:val="00F0488C"/>
    <w:rsid w:val="00F073ED"/>
    <w:rsid w:val="00F07C4C"/>
    <w:rsid w:val="00F10F11"/>
    <w:rsid w:val="00F11159"/>
    <w:rsid w:val="00F12CFB"/>
    <w:rsid w:val="00F13FDB"/>
    <w:rsid w:val="00F15AAA"/>
    <w:rsid w:val="00F15BEF"/>
    <w:rsid w:val="00F17898"/>
    <w:rsid w:val="00F2079F"/>
    <w:rsid w:val="00F207C2"/>
    <w:rsid w:val="00F20FCA"/>
    <w:rsid w:val="00F21337"/>
    <w:rsid w:val="00F215AC"/>
    <w:rsid w:val="00F219A1"/>
    <w:rsid w:val="00F231DB"/>
    <w:rsid w:val="00F23826"/>
    <w:rsid w:val="00F23E20"/>
    <w:rsid w:val="00F24407"/>
    <w:rsid w:val="00F24CDD"/>
    <w:rsid w:val="00F24FAA"/>
    <w:rsid w:val="00F24FBC"/>
    <w:rsid w:val="00F25040"/>
    <w:rsid w:val="00F27071"/>
    <w:rsid w:val="00F27331"/>
    <w:rsid w:val="00F27797"/>
    <w:rsid w:val="00F27EE5"/>
    <w:rsid w:val="00F307CB"/>
    <w:rsid w:val="00F30C65"/>
    <w:rsid w:val="00F32649"/>
    <w:rsid w:val="00F33523"/>
    <w:rsid w:val="00F3364D"/>
    <w:rsid w:val="00F349BF"/>
    <w:rsid w:val="00F34DDC"/>
    <w:rsid w:val="00F3615A"/>
    <w:rsid w:val="00F36596"/>
    <w:rsid w:val="00F37A39"/>
    <w:rsid w:val="00F37EDC"/>
    <w:rsid w:val="00F37F05"/>
    <w:rsid w:val="00F414BC"/>
    <w:rsid w:val="00F421A3"/>
    <w:rsid w:val="00F437CC"/>
    <w:rsid w:val="00F44537"/>
    <w:rsid w:val="00F46185"/>
    <w:rsid w:val="00F46423"/>
    <w:rsid w:val="00F4696A"/>
    <w:rsid w:val="00F47067"/>
    <w:rsid w:val="00F51B5B"/>
    <w:rsid w:val="00F525EB"/>
    <w:rsid w:val="00F52CB5"/>
    <w:rsid w:val="00F52E3F"/>
    <w:rsid w:val="00F53652"/>
    <w:rsid w:val="00F53A68"/>
    <w:rsid w:val="00F54330"/>
    <w:rsid w:val="00F5487D"/>
    <w:rsid w:val="00F54934"/>
    <w:rsid w:val="00F55890"/>
    <w:rsid w:val="00F55A92"/>
    <w:rsid w:val="00F62BFF"/>
    <w:rsid w:val="00F6393F"/>
    <w:rsid w:val="00F63AAE"/>
    <w:rsid w:val="00F63D70"/>
    <w:rsid w:val="00F63DDE"/>
    <w:rsid w:val="00F63FB7"/>
    <w:rsid w:val="00F6421B"/>
    <w:rsid w:val="00F647F1"/>
    <w:rsid w:val="00F649D2"/>
    <w:rsid w:val="00F6602B"/>
    <w:rsid w:val="00F67C31"/>
    <w:rsid w:val="00F7150B"/>
    <w:rsid w:val="00F717E4"/>
    <w:rsid w:val="00F71DE6"/>
    <w:rsid w:val="00F72D71"/>
    <w:rsid w:val="00F7381C"/>
    <w:rsid w:val="00F73A0C"/>
    <w:rsid w:val="00F7549F"/>
    <w:rsid w:val="00F756DB"/>
    <w:rsid w:val="00F767A8"/>
    <w:rsid w:val="00F839D3"/>
    <w:rsid w:val="00F84E7D"/>
    <w:rsid w:val="00F85066"/>
    <w:rsid w:val="00F8565E"/>
    <w:rsid w:val="00F86333"/>
    <w:rsid w:val="00F87A4D"/>
    <w:rsid w:val="00F90CF1"/>
    <w:rsid w:val="00F910B3"/>
    <w:rsid w:val="00F9354B"/>
    <w:rsid w:val="00F93688"/>
    <w:rsid w:val="00F939F3"/>
    <w:rsid w:val="00F9644E"/>
    <w:rsid w:val="00F97A39"/>
    <w:rsid w:val="00FA0105"/>
    <w:rsid w:val="00FA05A0"/>
    <w:rsid w:val="00FA17CC"/>
    <w:rsid w:val="00FA1F01"/>
    <w:rsid w:val="00FA26DF"/>
    <w:rsid w:val="00FA32BC"/>
    <w:rsid w:val="00FA4CB7"/>
    <w:rsid w:val="00FA5112"/>
    <w:rsid w:val="00FA523B"/>
    <w:rsid w:val="00FA5526"/>
    <w:rsid w:val="00FA5D4D"/>
    <w:rsid w:val="00FA6489"/>
    <w:rsid w:val="00FA6CB6"/>
    <w:rsid w:val="00FA70D3"/>
    <w:rsid w:val="00FA7AEC"/>
    <w:rsid w:val="00FB01A3"/>
    <w:rsid w:val="00FB0AEA"/>
    <w:rsid w:val="00FB0EE2"/>
    <w:rsid w:val="00FB1A79"/>
    <w:rsid w:val="00FB208B"/>
    <w:rsid w:val="00FB2B2D"/>
    <w:rsid w:val="00FB542E"/>
    <w:rsid w:val="00FB564F"/>
    <w:rsid w:val="00FB6D71"/>
    <w:rsid w:val="00FB7DBB"/>
    <w:rsid w:val="00FC05F8"/>
    <w:rsid w:val="00FC0E5F"/>
    <w:rsid w:val="00FC1266"/>
    <w:rsid w:val="00FC1A95"/>
    <w:rsid w:val="00FC1ED4"/>
    <w:rsid w:val="00FC2C40"/>
    <w:rsid w:val="00FC3BEC"/>
    <w:rsid w:val="00FC440B"/>
    <w:rsid w:val="00FC56DE"/>
    <w:rsid w:val="00FC64DE"/>
    <w:rsid w:val="00FC684B"/>
    <w:rsid w:val="00FC7D98"/>
    <w:rsid w:val="00FD025C"/>
    <w:rsid w:val="00FD0F85"/>
    <w:rsid w:val="00FD1135"/>
    <w:rsid w:val="00FD3265"/>
    <w:rsid w:val="00FD3CF7"/>
    <w:rsid w:val="00FD4916"/>
    <w:rsid w:val="00FD4D12"/>
    <w:rsid w:val="00FD4F73"/>
    <w:rsid w:val="00FD595E"/>
    <w:rsid w:val="00FD67AF"/>
    <w:rsid w:val="00FD6CA9"/>
    <w:rsid w:val="00FE27C7"/>
    <w:rsid w:val="00FE2C7E"/>
    <w:rsid w:val="00FE2F78"/>
    <w:rsid w:val="00FE3137"/>
    <w:rsid w:val="00FE346B"/>
    <w:rsid w:val="00FE48E4"/>
    <w:rsid w:val="00FE494D"/>
    <w:rsid w:val="00FE634C"/>
    <w:rsid w:val="00FE6E69"/>
    <w:rsid w:val="00FE6F59"/>
    <w:rsid w:val="00FF1136"/>
    <w:rsid w:val="00FF3D76"/>
    <w:rsid w:val="00FF3F14"/>
    <w:rsid w:val="00FF5B8C"/>
    <w:rsid w:val="00FF63E6"/>
    <w:rsid w:val="00FF7B09"/>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5:docId w15:val="{4AD56707-B834-43C7-B213-46CC73DEE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semiHidden/>
    <w:unhideWhenUsed/>
    <w:rsid w:val="00E76E61"/>
    <w:pPr>
      <w:spacing w:line="240" w:lineRule="auto"/>
    </w:pPr>
    <w:rPr>
      <w:szCs w:val="20"/>
    </w:rPr>
  </w:style>
  <w:style w:type="character" w:customStyle="1" w:styleId="TextkomenteChar">
    <w:name w:val="Text komentáře Char"/>
    <w:basedOn w:val="Standardnpsmoodstavce"/>
    <w:link w:val="Textkomente"/>
    <w:uiPriority w:val="99"/>
    <w:semiHidden/>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 w:type="character" w:customStyle="1" w:styleId="tlid-translation">
    <w:name w:val="tlid-translation"/>
    <w:basedOn w:val="Standardnpsmoodstavce"/>
    <w:rsid w:val="00166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4427001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967394828">
      <w:bodyDiv w:val="1"/>
      <w:marLeft w:val="0"/>
      <w:marRight w:val="0"/>
      <w:marTop w:val="0"/>
      <w:marBottom w:val="0"/>
      <w:divBdr>
        <w:top w:val="none" w:sz="0" w:space="0" w:color="auto"/>
        <w:left w:val="none" w:sz="0" w:space="0" w:color="auto"/>
        <w:bottom w:val="none" w:sz="0" w:space="0" w:color="auto"/>
        <w:right w:val="none" w:sz="0" w:space="0" w:color="auto"/>
      </w:divBdr>
    </w:div>
    <w:div w:id="111845364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333796159">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16055724">
      <w:bodyDiv w:val="1"/>
      <w:marLeft w:val="0"/>
      <w:marRight w:val="0"/>
      <w:marTop w:val="0"/>
      <w:marBottom w:val="0"/>
      <w:divBdr>
        <w:top w:val="none" w:sz="0" w:space="0" w:color="auto"/>
        <w:left w:val="none" w:sz="0" w:space="0" w:color="auto"/>
        <w:bottom w:val="none" w:sz="0" w:space="0" w:color="auto"/>
        <w:right w:val="none" w:sz="0" w:space="0" w:color="auto"/>
      </w:divBdr>
    </w:div>
    <w:div w:id="1467579904">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2035038106">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36" Type="http://schemas.microsoft.com/office/2016/09/relationships/commentsIds" Target="commentsId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Dokumenty\Anal&#253;za\Q\2019Q2\eng\Makroanal&#253;za%20grafy_e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4557159743329959E-2"/>
          <c:y val="2.1711264016309892E-2"/>
          <c:w val="0.93757303275920301"/>
          <c:h val="0.73130361364404473"/>
        </c:manualLayout>
      </c:layout>
      <c:barChart>
        <c:barDir val="col"/>
        <c:grouping val="clustered"/>
        <c:varyColors val="0"/>
        <c:ser>
          <c:idx val="0"/>
          <c:order val="0"/>
          <c:tx>
            <c:strRef>
              <c:f>'Měnové podmínky 1'!$C$5</c:f>
              <c:strCache>
                <c:ptCount val="1"/>
                <c:pt idx="0">
                  <c:v>2W repo rate</c:v>
                </c:pt>
              </c:strCache>
            </c:strRef>
          </c:tx>
          <c:spPr>
            <a:solidFill>
              <a:schemeClr val="bg1">
                <a:lumMod val="65000"/>
              </a:schemeClr>
            </a:solidFill>
          </c:spPr>
          <c:invertIfNegative val="0"/>
          <c:cat>
            <c:multiLvlStrRef>
              <c:f>'Měnové podmínky 1'!$A$30:$B$96</c:f>
              <c:multiLvlStrCache>
                <c:ptCount val="67"/>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lvl>
                <c:lvl>
                  <c:pt idx="0">
                    <c:v>2014</c:v>
                  </c:pt>
                  <c:pt idx="12">
                    <c:v>2015</c:v>
                  </c:pt>
                  <c:pt idx="24">
                    <c:v>2016</c:v>
                  </c:pt>
                  <c:pt idx="36">
                    <c:v>2017</c:v>
                  </c:pt>
                  <c:pt idx="48">
                    <c:v>2018</c:v>
                  </c:pt>
                  <c:pt idx="60">
                    <c:v>2019</c:v>
                  </c:pt>
                </c:lvl>
              </c:multiLvlStrCache>
            </c:multiLvlStrRef>
          </c:cat>
          <c:val>
            <c:numRef>
              <c:f>'Měnové podmínky 1'!$C$30:$C$96</c:f>
              <c:numCache>
                <c:formatCode>0.00</c:formatCode>
                <c:ptCount val="67"/>
                <c:pt idx="0">
                  <c:v>0.05</c:v>
                </c:pt>
                <c:pt idx="1">
                  <c:v>0.05</c:v>
                </c:pt>
                <c:pt idx="2">
                  <c:v>0.05</c:v>
                </c:pt>
                <c:pt idx="3">
                  <c:v>0.05</c:v>
                </c:pt>
                <c:pt idx="4">
                  <c:v>0.05</c:v>
                </c:pt>
                <c:pt idx="5">
                  <c:v>0.05</c:v>
                </c:pt>
                <c:pt idx="6">
                  <c:v>0.05</c:v>
                </c:pt>
                <c:pt idx="7">
                  <c:v>0.05</c:v>
                </c:pt>
                <c:pt idx="8">
                  <c:v>0.05</c:v>
                </c:pt>
                <c:pt idx="9">
                  <c:v>0.05</c:v>
                </c:pt>
                <c:pt idx="10">
                  <c:v>0.05</c:v>
                </c:pt>
                <c:pt idx="11">
                  <c:v>0.05</c:v>
                </c:pt>
                <c:pt idx="12">
                  <c:v>0.05</c:v>
                </c:pt>
                <c:pt idx="13">
                  <c:v>0.05</c:v>
                </c:pt>
                <c:pt idx="14">
                  <c:v>0.05</c:v>
                </c:pt>
                <c:pt idx="15">
                  <c:v>0.05</c:v>
                </c:pt>
                <c:pt idx="16">
                  <c:v>0.05</c:v>
                </c:pt>
                <c:pt idx="17">
                  <c:v>0.05</c:v>
                </c:pt>
                <c:pt idx="18">
                  <c:v>0.05</c:v>
                </c:pt>
                <c:pt idx="19">
                  <c:v>0.05</c:v>
                </c:pt>
                <c:pt idx="20">
                  <c:v>0.05</c:v>
                </c:pt>
                <c:pt idx="21">
                  <c:v>0.05</c:v>
                </c:pt>
                <c:pt idx="22">
                  <c:v>0.05</c:v>
                </c:pt>
                <c:pt idx="23">
                  <c:v>0.05</c:v>
                </c:pt>
                <c:pt idx="24">
                  <c:v>0.05</c:v>
                </c:pt>
                <c:pt idx="25">
                  <c:v>0.05</c:v>
                </c:pt>
                <c:pt idx="26">
                  <c:v>0.05</c:v>
                </c:pt>
                <c:pt idx="27">
                  <c:v>0.05</c:v>
                </c:pt>
                <c:pt idx="28">
                  <c:v>0.05</c:v>
                </c:pt>
                <c:pt idx="29">
                  <c:v>0.05</c:v>
                </c:pt>
                <c:pt idx="30">
                  <c:v>0.05</c:v>
                </c:pt>
                <c:pt idx="31">
                  <c:v>0.05</c:v>
                </c:pt>
                <c:pt idx="32">
                  <c:v>0.05</c:v>
                </c:pt>
                <c:pt idx="33">
                  <c:v>0.05</c:v>
                </c:pt>
                <c:pt idx="34">
                  <c:v>0.05</c:v>
                </c:pt>
                <c:pt idx="35">
                  <c:v>0.05</c:v>
                </c:pt>
                <c:pt idx="36" formatCode="General">
                  <c:v>0.05</c:v>
                </c:pt>
                <c:pt idx="37" formatCode="General">
                  <c:v>0.05</c:v>
                </c:pt>
                <c:pt idx="38" formatCode="General">
                  <c:v>0.05</c:v>
                </c:pt>
                <c:pt idx="39" formatCode="General">
                  <c:v>0.05</c:v>
                </c:pt>
                <c:pt idx="40" formatCode="General">
                  <c:v>0.05</c:v>
                </c:pt>
                <c:pt idx="41" formatCode="General">
                  <c:v>0.05</c:v>
                </c:pt>
                <c:pt idx="42" formatCode="General">
                  <c:v>0.05</c:v>
                </c:pt>
                <c:pt idx="43" formatCode="General">
                  <c:v>0.25</c:v>
                </c:pt>
                <c:pt idx="44" formatCode="General">
                  <c:v>0.25</c:v>
                </c:pt>
                <c:pt idx="45" formatCode="General">
                  <c:v>0.25</c:v>
                </c:pt>
                <c:pt idx="46" formatCode="General">
                  <c:v>0.5</c:v>
                </c:pt>
                <c:pt idx="47" formatCode="General">
                  <c:v>0.5</c:v>
                </c:pt>
                <c:pt idx="48" formatCode="General">
                  <c:v>0.5</c:v>
                </c:pt>
                <c:pt idx="49" formatCode="General">
                  <c:v>0.75</c:v>
                </c:pt>
                <c:pt idx="50" formatCode="General">
                  <c:v>0.75</c:v>
                </c:pt>
                <c:pt idx="51" formatCode="General">
                  <c:v>0.75</c:v>
                </c:pt>
                <c:pt idx="52" formatCode="General">
                  <c:v>0.75</c:v>
                </c:pt>
                <c:pt idx="53" formatCode="General">
                  <c:v>1</c:v>
                </c:pt>
                <c:pt idx="54" formatCode="General">
                  <c:v>1</c:v>
                </c:pt>
                <c:pt idx="55" formatCode="General">
                  <c:v>1.25</c:v>
                </c:pt>
                <c:pt idx="56" formatCode="General">
                  <c:v>1.5</c:v>
                </c:pt>
                <c:pt idx="57" formatCode="General">
                  <c:v>1.5</c:v>
                </c:pt>
                <c:pt idx="58" formatCode="General">
                  <c:v>1.75</c:v>
                </c:pt>
                <c:pt idx="59" formatCode="General">
                  <c:v>1.75</c:v>
                </c:pt>
                <c:pt idx="60" formatCode="General">
                  <c:v>1.75</c:v>
                </c:pt>
                <c:pt idx="61" formatCode="General">
                  <c:v>1.75</c:v>
                </c:pt>
                <c:pt idx="62" formatCode="General">
                  <c:v>1.75</c:v>
                </c:pt>
                <c:pt idx="63" formatCode="General">
                  <c:v>1.75</c:v>
                </c:pt>
                <c:pt idx="64" formatCode="General">
                  <c:v>2</c:v>
                </c:pt>
                <c:pt idx="65" formatCode="General">
                  <c:v>2</c:v>
                </c:pt>
                <c:pt idx="66" formatCode="General">
                  <c:v>2</c:v>
                </c:pt>
              </c:numCache>
            </c:numRef>
          </c:val>
          <c:extLst>
            <c:ext xmlns:c16="http://schemas.microsoft.com/office/drawing/2014/chart" uri="{C3380CC4-5D6E-409C-BE32-E72D297353CC}">
              <c16:uniqueId val="{00000000-3C08-4DDE-85CE-574312B46F2D}"/>
            </c:ext>
          </c:extLst>
        </c:ser>
        <c:dLbls>
          <c:showLegendKey val="0"/>
          <c:showVal val="0"/>
          <c:showCatName val="0"/>
          <c:showSerName val="0"/>
          <c:showPercent val="0"/>
          <c:showBubbleSize val="0"/>
        </c:dLbls>
        <c:gapWidth val="31"/>
        <c:axId val="131001344"/>
        <c:axId val="131027712"/>
      </c:barChart>
      <c:lineChart>
        <c:grouping val="standard"/>
        <c:varyColors val="0"/>
        <c:ser>
          <c:idx val="3"/>
          <c:order val="1"/>
          <c:tx>
            <c:strRef>
              <c:f>'Měnové podmínky 1'!$F$5</c:f>
              <c:strCache>
                <c:ptCount val="1"/>
                <c:pt idx="0">
                  <c:v>Average yield of government bonds (2Y)</c:v>
                </c:pt>
              </c:strCache>
            </c:strRef>
          </c:tx>
          <c:spPr>
            <a:ln w="19050">
              <a:solidFill>
                <a:srgbClr val="7DBB2D"/>
              </a:solidFill>
            </a:ln>
          </c:spPr>
          <c:marker>
            <c:symbol val="none"/>
          </c:marker>
          <c:cat>
            <c:multiLvlStrRef>
              <c:f>'Měnové podmínky 1'!$A$30:$B$96</c:f>
              <c:multiLvlStrCache>
                <c:ptCount val="67"/>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lvl>
                <c:lvl>
                  <c:pt idx="0">
                    <c:v>2014</c:v>
                  </c:pt>
                  <c:pt idx="12">
                    <c:v>2015</c:v>
                  </c:pt>
                  <c:pt idx="24">
                    <c:v>2016</c:v>
                  </c:pt>
                  <c:pt idx="36">
                    <c:v>2017</c:v>
                  </c:pt>
                  <c:pt idx="48">
                    <c:v>2018</c:v>
                  </c:pt>
                  <c:pt idx="60">
                    <c:v>2019</c:v>
                  </c:pt>
                </c:lvl>
              </c:multiLvlStrCache>
            </c:multiLvlStrRef>
          </c:cat>
          <c:val>
            <c:numRef>
              <c:f>'Měnové podmínky 1'!$F$30:$F$96</c:f>
              <c:numCache>
                <c:formatCode>0.00</c:formatCode>
                <c:ptCount val="67"/>
                <c:pt idx="0">
                  <c:v>0.23</c:v>
                </c:pt>
                <c:pt idx="1">
                  <c:v>0.28000000000000003</c:v>
                </c:pt>
                <c:pt idx="2">
                  <c:v>0.26</c:v>
                </c:pt>
                <c:pt idx="3">
                  <c:v>0.23</c:v>
                </c:pt>
                <c:pt idx="4">
                  <c:v>0.21</c:v>
                </c:pt>
                <c:pt idx="5">
                  <c:v>0.24</c:v>
                </c:pt>
                <c:pt idx="6">
                  <c:v>0.23</c:v>
                </c:pt>
                <c:pt idx="7">
                  <c:v>0.18</c:v>
                </c:pt>
                <c:pt idx="8">
                  <c:v>0.14000000000000001</c:v>
                </c:pt>
                <c:pt idx="9">
                  <c:v>0.1</c:v>
                </c:pt>
                <c:pt idx="10">
                  <c:v>0.12</c:v>
                </c:pt>
                <c:pt idx="11">
                  <c:v>0.13</c:v>
                </c:pt>
                <c:pt idx="12">
                  <c:v>0.09</c:v>
                </c:pt>
                <c:pt idx="13">
                  <c:v>0.06</c:v>
                </c:pt>
                <c:pt idx="14">
                  <c:v>0.04</c:v>
                </c:pt>
                <c:pt idx="15">
                  <c:v>-0.03</c:v>
                </c:pt>
                <c:pt idx="16">
                  <c:v>0.04</c:v>
                </c:pt>
                <c:pt idx="17">
                  <c:v>0.11</c:v>
                </c:pt>
                <c:pt idx="18">
                  <c:v>0.02</c:v>
                </c:pt>
                <c:pt idx="19">
                  <c:v>-7.0000000000000007E-2</c:v>
                </c:pt>
                <c:pt idx="20">
                  <c:v>-0.3</c:v>
                </c:pt>
                <c:pt idx="21">
                  <c:v>-0.28000000000000003</c:v>
                </c:pt>
                <c:pt idx="22">
                  <c:v>-0.33</c:v>
                </c:pt>
                <c:pt idx="23">
                  <c:v>-0.38</c:v>
                </c:pt>
                <c:pt idx="24" formatCode="General">
                  <c:v>-0.21</c:v>
                </c:pt>
                <c:pt idx="25" formatCode="General">
                  <c:v>-0.18</c:v>
                </c:pt>
                <c:pt idx="26" formatCode="General">
                  <c:v>-0.17</c:v>
                </c:pt>
                <c:pt idx="27" formatCode="General">
                  <c:v>-0.08</c:v>
                </c:pt>
                <c:pt idx="28" formatCode="General">
                  <c:v>-0.04</c:v>
                </c:pt>
                <c:pt idx="29" formatCode="General">
                  <c:v>-0.05</c:v>
                </c:pt>
                <c:pt idx="30" formatCode="General">
                  <c:v>-0.13</c:v>
                </c:pt>
                <c:pt idx="31" formatCode="General">
                  <c:v>-0.22</c:v>
                </c:pt>
                <c:pt idx="32" formatCode="General">
                  <c:v>-0.5</c:v>
                </c:pt>
                <c:pt idx="33" formatCode="General">
                  <c:v>-0.74</c:v>
                </c:pt>
                <c:pt idx="34" formatCode="General">
                  <c:v>-0.73</c:v>
                </c:pt>
                <c:pt idx="35" formatCode="General">
                  <c:v>-0.81</c:v>
                </c:pt>
                <c:pt idx="36" formatCode="General">
                  <c:v>-0.88</c:v>
                </c:pt>
                <c:pt idx="37" formatCode="General">
                  <c:v>-0.53</c:v>
                </c:pt>
                <c:pt idx="38" formatCode="General">
                  <c:v>-0.44</c:v>
                </c:pt>
                <c:pt idx="39" formatCode="General">
                  <c:v>-0.23</c:v>
                </c:pt>
                <c:pt idx="40" formatCode="General">
                  <c:v>-0.24</c:v>
                </c:pt>
                <c:pt idx="41" formatCode="General">
                  <c:v>-0.25</c:v>
                </c:pt>
                <c:pt idx="42" formatCode="General">
                  <c:v>-0.28999999999999998</c:v>
                </c:pt>
                <c:pt idx="43" formatCode="General">
                  <c:v>-0.33</c:v>
                </c:pt>
                <c:pt idx="44" formatCode="General">
                  <c:v>-0.28999999999999998</c:v>
                </c:pt>
                <c:pt idx="45" formatCode="General">
                  <c:v>0.12</c:v>
                </c:pt>
                <c:pt idx="46" formatCode="General">
                  <c:v>0.31</c:v>
                </c:pt>
                <c:pt idx="47" formatCode="General">
                  <c:v>0.19</c:v>
                </c:pt>
                <c:pt idx="48" formatCode="General">
                  <c:v>0.46</c:v>
                </c:pt>
                <c:pt idx="49" formatCode="General">
                  <c:v>0.55000000000000004</c:v>
                </c:pt>
                <c:pt idx="50" formatCode="General">
                  <c:v>0.62</c:v>
                </c:pt>
                <c:pt idx="51" formatCode="General">
                  <c:v>0.6</c:v>
                </c:pt>
                <c:pt idx="52" formatCode="General">
                  <c:v>0.7</c:v>
                </c:pt>
                <c:pt idx="53" formatCode="General">
                  <c:v>0.89</c:v>
                </c:pt>
                <c:pt idx="54" formatCode="General">
                  <c:v>1.0900000000000001</c:v>
                </c:pt>
                <c:pt idx="55" formatCode="General">
                  <c:v>1.26</c:v>
                </c:pt>
                <c:pt idx="56" formatCode="General">
                  <c:v>1.34</c:v>
                </c:pt>
                <c:pt idx="57" formatCode="General">
                  <c:v>1.44</c:v>
                </c:pt>
                <c:pt idx="58" formatCode="General">
                  <c:v>1.49</c:v>
                </c:pt>
                <c:pt idx="59" formatCode="General">
                  <c:v>1.52</c:v>
                </c:pt>
                <c:pt idx="60" formatCode="General">
                  <c:v>1.66</c:v>
                </c:pt>
                <c:pt idx="61" formatCode="General">
                  <c:v>1.74</c:v>
                </c:pt>
                <c:pt idx="62" formatCode="General">
                  <c:v>1.71</c:v>
                </c:pt>
                <c:pt idx="63" formatCode="General">
                  <c:v>1.63</c:v>
                </c:pt>
                <c:pt idx="64" formatCode="General">
                  <c:v>1.62</c:v>
                </c:pt>
                <c:pt idx="65" formatCode="General">
                  <c:v>1.52</c:v>
                </c:pt>
                <c:pt idx="66" formatCode="General">
                  <c:v>1.35</c:v>
                </c:pt>
              </c:numCache>
            </c:numRef>
          </c:val>
          <c:smooth val="0"/>
          <c:extLst>
            <c:ext xmlns:c16="http://schemas.microsoft.com/office/drawing/2014/chart" uri="{C3380CC4-5D6E-409C-BE32-E72D297353CC}">
              <c16:uniqueId val="{00000001-3C08-4DDE-85CE-574312B46F2D}"/>
            </c:ext>
          </c:extLst>
        </c:ser>
        <c:ser>
          <c:idx val="1"/>
          <c:order val="2"/>
          <c:tx>
            <c:strRef>
              <c:f>'Měnové podmínky 1'!$D$5</c:f>
              <c:strCache>
                <c:ptCount val="1"/>
                <c:pt idx="0">
                  <c:v>PRIBOR (3M)</c:v>
                </c:pt>
              </c:strCache>
            </c:strRef>
          </c:tx>
          <c:spPr>
            <a:ln w="19050">
              <a:solidFill>
                <a:srgbClr val="0071BC"/>
              </a:solidFill>
            </a:ln>
          </c:spPr>
          <c:marker>
            <c:symbol val="none"/>
          </c:marker>
          <c:cat>
            <c:multiLvlStrRef>
              <c:f>'Měnové podmínky 1'!$A$30:$B$96</c:f>
              <c:multiLvlStrCache>
                <c:ptCount val="67"/>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lvl>
                <c:lvl>
                  <c:pt idx="0">
                    <c:v>2014</c:v>
                  </c:pt>
                  <c:pt idx="12">
                    <c:v>2015</c:v>
                  </c:pt>
                  <c:pt idx="24">
                    <c:v>2016</c:v>
                  </c:pt>
                  <c:pt idx="36">
                    <c:v>2017</c:v>
                  </c:pt>
                  <c:pt idx="48">
                    <c:v>2018</c:v>
                  </c:pt>
                  <c:pt idx="60">
                    <c:v>2019</c:v>
                  </c:pt>
                </c:lvl>
              </c:multiLvlStrCache>
            </c:multiLvlStrRef>
          </c:cat>
          <c:val>
            <c:numRef>
              <c:f>'Měnové podmínky 1'!$D$30:$D$96</c:f>
              <c:numCache>
                <c:formatCode>0.00</c:formatCode>
                <c:ptCount val="67"/>
                <c:pt idx="0">
                  <c:v>0.37</c:v>
                </c:pt>
                <c:pt idx="1">
                  <c:v>0.37</c:v>
                </c:pt>
                <c:pt idx="2">
                  <c:v>0.37</c:v>
                </c:pt>
                <c:pt idx="3">
                  <c:v>0.37</c:v>
                </c:pt>
                <c:pt idx="4">
                  <c:v>0.37</c:v>
                </c:pt>
                <c:pt idx="5">
                  <c:v>0.35</c:v>
                </c:pt>
                <c:pt idx="6">
                  <c:v>0.35</c:v>
                </c:pt>
                <c:pt idx="7">
                  <c:v>0.35</c:v>
                </c:pt>
                <c:pt idx="8">
                  <c:v>0.35</c:v>
                </c:pt>
                <c:pt idx="9">
                  <c:v>0.35</c:v>
                </c:pt>
                <c:pt idx="10">
                  <c:v>0.34</c:v>
                </c:pt>
                <c:pt idx="11">
                  <c:v>0.34</c:v>
                </c:pt>
                <c:pt idx="12">
                  <c:v>0.33</c:v>
                </c:pt>
                <c:pt idx="13">
                  <c:v>0.33</c:v>
                </c:pt>
                <c:pt idx="14">
                  <c:v>0.32</c:v>
                </c:pt>
                <c:pt idx="15">
                  <c:v>0.31</c:v>
                </c:pt>
                <c:pt idx="16">
                  <c:v>0.31</c:v>
                </c:pt>
                <c:pt idx="17">
                  <c:v>0.31</c:v>
                </c:pt>
                <c:pt idx="18">
                  <c:v>0.31</c:v>
                </c:pt>
                <c:pt idx="19">
                  <c:v>0.31</c:v>
                </c:pt>
                <c:pt idx="20">
                  <c:v>0.3</c:v>
                </c:pt>
                <c:pt idx="21">
                  <c:v>0.28999999999999998</c:v>
                </c:pt>
                <c:pt idx="22">
                  <c:v>0.28999999999999998</c:v>
                </c:pt>
                <c:pt idx="23">
                  <c:v>0.28999999999999998</c:v>
                </c:pt>
                <c:pt idx="24">
                  <c:v>0.28999999999999998</c:v>
                </c:pt>
                <c:pt idx="25">
                  <c:v>0.28000000000000003</c:v>
                </c:pt>
                <c:pt idx="26">
                  <c:v>0.28999999999999998</c:v>
                </c:pt>
                <c:pt idx="27">
                  <c:v>0.28999999999999998</c:v>
                </c:pt>
                <c:pt idx="28">
                  <c:v>0.28999999999999998</c:v>
                </c:pt>
                <c:pt idx="29">
                  <c:v>0.28999999999999998</c:v>
                </c:pt>
                <c:pt idx="30">
                  <c:v>0.28999999999999998</c:v>
                </c:pt>
                <c:pt idx="31">
                  <c:v>0.28999999999999998</c:v>
                </c:pt>
                <c:pt idx="32">
                  <c:v>0.28999999999999998</c:v>
                </c:pt>
                <c:pt idx="33">
                  <c:v>0.28999999999999998</c:v>
                </c:pt>
                <c:pt idx="34">
                  <c:v>0.28999999999999998</c:v>
                </c:pt>
                <c:pt idx="35">
                  <c:v>0.28999999999999998</c:v>
                </c:pt>
                <c:pt idx="36" formatCode="General">
                  <c:v>0.28000000000000003</c:v>
                </c:pt>
                <c:pt idx="37" formatCode="General">
                  <c:v>0.28000000000000003</c:v>
                </c:pt>
                <c:pt idx="38" formatCode="General">
                  <c:v>0.28000000000000003</c:v>
                </c:pt>
                <c:pt idx="39" formatCode="General">
                  <c:v>0.28999999999999998</c:v>
                </c:pt>
                <c:pt idx="40" formatCode="General">
                  <c:v>0.3</c:v>
                </c:pt>
                <c:pt idx="41" formatCode="General">
                  <c:v>0.3</c:v>
                </c:pt>
                <c:pt idx="42" formatCode="General">
                  <c:v>0.3</c:v>
                </c:pt>
                <c:pt idx="43" formatCode="General">
                  <c:v>0.43</c:v>
                </c:pt>
                <c:pt idx="44" formatCode="General">
                  <c:v>0.46</c:v>
                </c:pt>
                <c:pt idx="45" formatCode="General">
                  <c:v>0.51</c:v>
                </c:pt>
                <c:pt idx="46" formatCode="General">
                  <c:v>0.71</c:v>
                </c:pt>
                <c:pt idx="47" formatCode="General">
                  <c:v>0.75</c:v>
                </c:pt>
                <c:pt idx="48" formatCode="General">
                  <c:v>0.77</c:v>
                </c:pt>
                <c:pt idx="49" formatCode="General">
                  <c:v>0.9</c:v>
                </c:pt>
                <c:pt idx="50" formatCode="General">
                  <c:v>0.9</c:v>
                </c:pt>
                <c:pt idx="51" formatCode="General">
                  <c:v>0.9</c:v>
                </c:pt>
                <c:pt idx="52" formatCode="General">
                  <c:v>0.9</c:v>
                </c:pt>
                <c:pt idx="53" formatCode="General">
                  <c:v>0.93</c:v>
                </c:pt>
                <c:pt idx="54" formatCode="General">
                  <c:v>1.18</c:v>
                </c:pt>
                <c:pt idx="55" formatCode="General">
                  <c:v>1.45</c:v>
                </c:pt>
                <c:pt idx="56" formatCode="General">
                  <c:v>1.54</c:v>
                </c:pt>
                <c:pt idx="57" formatCode="General">
                  <c:v>1.76</c:v>
                </c:pt>
                <c:pt idx="58" formatCode="General">
                  <c:v>1.99</c:v>
                </c:pt>
                <c:pt idx="59" formatCode="General">
                  <c:v>2.0099999999999998</c:v>
                </c:pt>
                <c:pt idx="60" formatCode="General">
                  <c:v>2.0099999999999998</c:v>
                </c:pt>
                <c:pt idx="61" formatCode="General">
                  <c:v>2.0099999999999998</c:v>
                </c:pt>
                <c:pt idx="62" formatCode="General">
                  <c:v>2.0299999999999998</c:v>
                </c:pt>
                <c:pt idx="63" formatCode="General">
                  <c:v>2.02</c:v>
                </c:pt>
                <c:pt idx="64" formatCode="General">
                  <c:v>2.19</c:v>
                </c:pt>
                <c:pt idx="65" formatCode="General">
                  <c:v>2.17</c:v>
                </c:pt>
                <c:pt idx="66" formatCode="General">
                  <c:v>2.16</c:v>
                </c:pt>
              </c:numCache>
            </c:numRef>
          </c:val>
          <c:smooth val="0"/>
          <c:extLst>
            <c:ext xmlns:c16="http://schemas.microsoft.com/office/drawing/2014/chart" uri="{C3380CC4-5D6E-409C-BE32-E72D297353CC}">
              <c16:uniqueId val="{00000002-3C08-4DDE-85CE-574312B46F2D}"/>
            </c:ext>
          </c:extLst>
        </c:ser>
        <c:ser>
          <c:idx val="4"/>
          <c:order val="3"/>
          <c:tx>
            <c:strRef>
              <c:f>'Měnové podmínky 1'!$G$5</c:f>
              <c:strCache>
                <c:ptCount val="1"/>
                <c:pt idx="0">
                  <c:v>Average yield of government bonds (5Y)</c:v>
                </c:pt>
              </c:strCache>
            </c:strRef>
          </c:tx>
          <c:spPr>
            <a:ln w="19050">
              <a:solidFill>
                <a:srgbClr val="F8A124"/>
              </a:solidFill>
            </a:ln>
          </c:spPr>
          <c:marker>
            <c:symbol val="none"/>
          </c:marker>
          <c:cat>
            <c:multiLvlStrRef>
              <c:f>'Měnové podmínky 1'!$A$30:$B$96</c:f>
              <c:multiLvlStrCache>
                <c:ptCount val="67"/>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lvl>
                <c:lvl>
                  <c:pt idx="0">
                    <c:v>2014</c:v>
                  </c:pt>
                  <c:pt idx="12">
                    <c:v>2015</c:v>
                  </c:pt>
                  <c:pt idx="24">
                    <c:v>2016</c:v>
                  </c:pt>
                  <c:pt idx="36">
                    <c:v>2017</c:v>
                  </c:pt>
                  <c:pt idx="48">
                    <c:v>2018</c:v>
                  </c:pt>
                  <c:pt idx="60">
                    <c:v>2019</c:v>
                  </c:pt>
                </c:lvl>
              </c:multiLvlStrCache>
            </c:multiLvlStrRef>
          </c:cat>
          <c:val>
            <c:numRef>
              <c:f>'Měnové podmínky 1'!$G$30:$G$96</c:f>
              <c:numCache>
                <c:formatCode>0.00</c:formatCode>
                <c:ptCount val="67"/>
                <c:pt idx="0">
                  <c:v>1.0900000000000001</c:v>
                </c:pt>
                <c:pt idx="1">
                  <c:v>1.2</c:v>
                </c:pt>
                <c:pt idx="2">
                  <c:v>1.1399999999999999</c:v>
                </c:pt>
                <c:pt idx="3">
                  <c:v>0.99</c:v>
                </c:pt>
                <c:pt idx="4">
                  <c:v>0.8</c:v>
                </c:pt>
                <c:pt idx="5">
                  <c:v>0.68</c:v>
                </c:pt>
                <c:pt idx="6">
                  <c:v>0.65</c:v>
                </c:pt>
                <c:pt idx="7">
                  <c:v>0.62</c:v>
                </c:pt>
                <c:pt idx="8">
                  <c:v>0.51</c:v>
                </c:pt>
                <c:pt idx="9">
                  <c:v>0.37</c:v>
                </c:pt>
                <c:pt idx="10">
                  <c:v>0.24</c:v>
                </c:pt>
                <c:pt idx="11">
                  <c:v>0.22</c:v>
                </c:pt>
                <c:pt idx="12">
                  <c:v>0.13</c:v>
                </c:pt>
                <c:pt idx="13">
                  <c:v>0.17</c:v>
                </c:pt>
                <c:pt idx="14">
                  <c:v>0.14000000000000001</c:v>
                </c:pt>
                <c:pt idx="15">
                  <c:v>0.05</c:v>
                </c:pt>
                <c:pt idx="16">
                  <c:v>0.22</c:v>
                </c:pt>
                <c:pt idx="17">
                  <c:v>0.43</c:v>
                </c:pt>
                <c:pt idx="18">
                  <c:v>0.35</c:v>
                </c:pt>
                <c:pt idx="19">
                  <c:v>0.2</c:v>
                </c:pt>
                <c:pt idx="20">
                  <c:v>0.06</c:v>
                </c:pt>
                <c:pt idx="21">
                  <c:v>-0.05</c:v>
                </c:pt>
                <c:pt idx="22">
                  <c:v>-0.05</c:v>
                </c:pt>
                <c:pt idx="23">
                  <c:v>-0.11</c:v>
                </c:pt>
                <c:pt idx="24" formatCode="General">
                  <c:v>0.04</c:v>
                </c:pt>
                <c:pt idx="25" formatCode="General">
                  <c:v>-0.08</c:v>
                </c:pt>
                <c:pt idx="26" formatCode="General">
                  <c:v>-0.1</c:v>
                </c:pt>
                <c:pt idx="27" formatCode="General">
                  <c:v>0.04</c:v>
                </c:pt>
                <c:pt idx="28" formatCode="General">
                  <c:v>7.0000000000000007E-2</c:v>
                </c:pt>
                <c:pt idx="29" formatCode="General">
                  <c:v>0.05</c:v>
                </c:pt>
                <c:pt idx="30" formatCode="General">
                  <c:v>-0.02</c:v>
                </c:pt>
                <c:pt idx="31" formatCode="General">
                  <c:v>-0.09</c:v>
                </c:pt>
                <c:pt idx="32" formatCode="General">
                  <c:v>-0.19</c:v>
                </c:pt>
                <c:pt idx="33" formatCode="General">
                  <c:v>-0.17</c:v>
                </c:pt>
                <c:pt idx="34" formatCode="General">
                  <c:v>-0.17</c:v>
                </c:pt>
                <c:pt idx="35" formatCode="General">
                  <c:v>-0.21</c:v>
                </c:pt>
                <c:pt idx="36" formatCode="General">
                  <c:v>-0.22</c:v>
                </c:pt>
                <c:pt idx="37" formatCode="General">
                  <c:v>0.09</c:v>
                </c:pt>
                <c:pt idx="38" formatCode="General">
                  <c:v>0.1</c:v>
                </c:pt>
                <c:pt idx="39" formatCode="General">
                  <c:v>0.16</c:v>
                </c:pt>
                <c:pt idx="40" formatCode="General">
                  <c:v>0.04</c:v>
                </c:pt>
                <c:pt idx="41" formatCode="General">
                  <c:v>-0.03</c:v>
                </c:pt>
                <c:pt idx="42" formatCode="General">
                  <c:v>0.14000000000000001</c:v>
                </c:pt>
                <c:pt idx="43" formatCode="General">
                  <c:v>0.09</c:v>
                </c:pt>
                <c:pt idx="44" formatCode="General">
                  <c:v>0.1</c:v>
                </c:pt>
                <c:pt idx="45" formatCode="General">
                  <c:v>0.63</c:v>
                </c:pt>
                <c:pt idx="46" formatCode="General">
                  <c:v>0.87</c:v>
                </c:pt>
                <c:pt idx="47" formatCode="General">
                  <c:v>0.68</c:v>
                </c:pt>
                <c:pt idx="48" formatCode="General">
                  <c:v>0.99</c:v>
                </c:pt>
                <c:pt idx="49" formatCode="General">
                  <c:v>1.07</c:v>
                </c:pt>
                <c:pt idx="50" formatCode="General">
                  <c:v>1.0900000000000001</c:v>
                </c:pt>
                <c:pt idx="51" formatCode="General">
                  <c:v>1.05</c:v>
                </c:pt>
                <c:pt idx="52" formatCode="General">
                  <c:v>1.21</c:v>
                </c:pt>
                <c:pt idx="53" formatCode="General">
                  <c:v>1.41</c:v>
                </c:pt>
                <c:pt idx="54" formatCode="General">
                  <c:v>1.44</c:v>
                </c:pt>
                <c:pt idx="55" formatCode="General">
                  <c:v>1.55</c:v>
                </c:pt>
                <c:pt idx="56" formatCode="General">
                  <c:v>1.7</c:v>
                </c:pt>
                <c:pt idx="57" formatCode="General">
                  <c:v>1.81</c:v>
                </c:pt>
                <c:pt idx="58" formatCode="General">
                  <c:v>1.79</c:v>
                </c:pt>
                <c:pt idx="59" formatCode="General">
                  <c:v>1.71</c:v>
                </c:pt>
                <c:pt idx="60" formatCode="General">
                  <c:v>1.6</c:v>
                </c:pt>
                <c:pt idx="61" formatCode="General">
                  <c:v>1.61</c:v>
                </c:pt>
                <c:pt idx="62" formatCode="General">
                  <c:v>1.7</c:v>
                </c:pt>
                <c:pt idx="63" formatCode="General">
                  <c:v>1.63</c:v>
                </c:pt>
                <c:pt idx="64" formatCode="General">
                  <c:v>1.57</c:v>
                </c:pt>
                <c:pt idx="65" formatCode="General">
                  <c:v>1.43</c:v>
                </c:pt>
                <c:pt idx="66" formatCode="General">
                  <c:v>1.31</c:v>
                </c:pt>
              </c:numCache>
            </c:numRef>
          </c:val>
          <c:smooth val="0"/>
          <c:extLst>
            <c:ext xmlns:c16="http://schemas.microsoft.com/office/drawing/2014/chart" uri="{C3380CC4-5D6E-409C-BE32-E72D297353CC}">
              <c16:uniqueId val="{00000003-3C08-4DDE-85CE-574312B46F2D}"/>
            </c:ext>
          </c:extLst>
        </c:ser>
        <c:ser>
          <c:idx val="2"/>
          <c:order val="4"/>
          <c:tx>
            <c:strRef>
              <c:f>'Měnové podmínky 1'!$E$5</c:f>
              <c:strCache>
                <c:ptCount val="1"/>
                <c:pt idx="0">
                  <c:v>PRIBOR (1Y)</c:v>
                </c:pt>
              </c:strCache>
            </c:strRef>
          </c:tx>
          <c:spPr>
            <a:ln w="19050">
              <a:solidFill>
                <a:srgbClr val="BD1B21"/>
              </a:solidFill>
            </a:ln>
          </c:spPr>
          <c:marker>
            <c:symbol val="none"/>
          </c:marker>
          <c:cat>
            <c:multiLvlStrRef>
              <c:f>'Měnové podmínky 1'!$A$30:$B$96</c:f>
              <c:multiLvlStrCache>
                <c:ptCount val="67"/>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lvl>
                <c:lvl>
                  <c:pt idx="0">
                    <c:v>2014</c:v>
                  </c:pt>
                  <c:pt idx="12">
                    <c:v>2015</c:v>
                  </c:pt>
                  <c:pt idx="24">
                    <c:v>2016</c:v>
                  </c:pt>
                  <c:pt idx="36">
                    <c:v>2017</c:v>
                  </c:pt>
                  <c:pt idx="48">
                    <c:v>2018</c:v>
                  </c:pt>
                  <c:pt idx="60">
                    <c:v>2019</c:v>
                  </c:pt>
                </c:lvl>
              </c:multiLvlStrCache>
            </c:multiLvlStrRef>
          </c:cat>
          <c:val>
            <c:numRef>
              <c:f>'Měnové podmínky 1'!$E$30:$E$96</c:f>
              <c:numCache>
                <c:formatCode>0.00</c:formatCode>
                <c:ptCount val="67"/>
                <c:pt idx="0">
                  <c:v>0.57999999999999996</c:v>
                </c:pt>
                <c:pt idx="1">
                  <c:v>0.55000000000000004</c:v>
                </c:pt>
                <c:pt idx="2">
                  <c:v>0.55000000000000004</c:v>
                </c:pt>
                <c:pt idx="3">
                  <c:v>0.55000000000000004</c:v>
                </c:pt>
                <c:pt idx="4">
                  <c:v>0.54</c:v>
                </c:pt>
                <c:pt idx="5">
                  <c:v>0.53</c:v>
                </c:pt>
                <c:pt idx="6">
                  <c:v>0.52</c:v>
                </c:pt>
                <c:pt idx="7">
                  <c:v>0.52</c:v>
                </c:pt>
                <c:pt idx="8">
                  <c:v>0.52</c:v>
                </c:pt>
                <c:pt idx="9">
                  <c:v>0.52</c:v>
                </c:pt>
                <c:pt idx="10">
                  <c:v>0.51</c:v>
                </c:pt>
                <c:pt idx="11">
                  <c:v>0.51</c:v>
                </c:pt>
                <c:pt idx="12">
                  <c:v>0.51</c:v>
                </c:pt>
                <c:pt idx="13">
                  <c:v>0.51</c:v>
                </c:pt>
                <c:pt idx="14">
                  <c:v>0.49</c:v>
                </c:pt>
                <c:pt idx="15">
                  <c:v>0.48</c:v>
                </c:pt>
                <c:pt idx="16">
                  <c:v>0.48</c:v>
                </c:pt>
                <c:pt idx="17">
                  <c:v>0.48</c:v>
                </c:pt>
                <c:pt idx="18">
                  <c:v>0.48</c:v>
                </c:pt>
                <c:pt idx="19">
                  <c:v>0.48</c:v>
                </c:pt>
                <c:pt idx="20">
                  <c:v>0.47</c:v>
                </c:pt>
                <c:pt idx="21">
                  <c:v>0.46</c:v>
                </c:pt>
                <c:pt idx="22">
                  <c:v>0.46</c:v>
                </c:pt>
                <c:pt idx="23">
                  <c:v>0.46</c:v>
                </c:pt>
                <c:pt idx="24">
                  <c:v>0.45</c:v>
                </c:pt>
                <c:pt idx="25">
                  <c:v>0.45</c:v>
                </c:pt>
                <c:pt idx="26">
                  <c:v>0.45</c:v>
                </c:pt>
                <c:pt idx="27">
                  <c:v>0.45</c:v>
                </c:pt>
                <c:pt idx="28">
                  <c:v>0.45</c:v>
                </c:pt>
                <c:pt idx="29">
                  <c:v>0.45</c:v>
                </c:pt>
                <c:pt idx="30">
                  <c:v>0.45</c:v>
                </c:pt>
                <c:pt idx="31">
                  <c:v>0.45</c:v>
                </c:pt>
                <c:pt idx="32">
                  <c:v>0.45</c:v>
                </c:pt>
                <c:pt idx="33">
                  <c:v>0.45</c:v>
                </c:pt>
                <c:pt idx="34">
                  <c:v>0.45</c:v>
                </c:pt>
                <c:pt idx="35">
                  <c:v>0.45</c:v>
                </c:pt>
                <c:pt idx="36" formatCode="General">
                  <c:v>0.44</c:v>
                </c:pt>
                <c:pt idx="37" formatCode="General">
                  <c:v>0.44</c:v>
                </c:pt>
                <c:pt idx="38" formatCode="General">
                  <c:v>0.44</c:v>
                </c:pt>
                <c:pt idx="39" formatCode="General">
                  <c:v>0.45</c:v>
                </c:pt>
                <c:pt idx="40" formatCode="General">
                  <c:v>0.46</c:v>
                </c:pt>
                <c:pt idx="41" formatCode="General">
                  <c:v>0.46</c:v>
                </c:pt>
                <c:pt idx="42" formatCode="General">
                  <c:v>0.47</c:v>
                </c:pt>
                <c:pt idx="43" formatCode="General">
                  <c:v>0.6</c:v>
                </c:pt>
                <c:pt idx="44" formatCode="General">
                  <c:v>0.64</c:v>
                </c:pt>
                <c:pt idx="45" formatCode="General">
                  <c:v>0.69</c:v>
                </c:pt>
                <c:pt idx="46" formatCode="General">
                  <c:v>0.91</c:v>
                </c:pt>
                <c:pt idx="47" formatCode="General">
                  <c:v>0.96</c:v>
                </c:pt>
                <c:pt idx="48" formatCode="General">
                  <c:v>0.98</c:v>
                </c:pt>
                <c:pt idx="49" formatCode="General">
                  <c:v>1.1100000000000001</c:v>
                </c:pt>
                <c:pt idx="50" formatCode="General">
                  <c:v>1.1200000000000001</c:v>
                </c:pt>
                <c:pt idx="51" formatCode="General">
                  <c:v>1.1200000000000001</c:v>
                </c:pt>
                <c:pt idx="52" formatCode="General">
                  <c:v>1.1200000000000001</c:v>
                </c:pt>
                <c:pt idx="53" formatCode="General">
                  <c:v>1.1499999999999999</c:v>
                </c:pt>
                <c:pt idx="54" formatCode="General">
                  <c:v>1.39</c:v>
                </c:pt>
                <c:pt idx="55" formatCode="General">
                  <c:v>1.67</c:v>
                </c:pt>
                <c:pt idx="56" formatCode="General">
                  <c:v>1.79</c:v>
                </c:pt>
                <c:pt idx="57" formatCode="General">
                  <c:v>1.95</c:v>
                </c:pt>
                <c:pt idx="58" formatCode="General">
                  <c:v>2.1800000000000002</c:v>
                </c:pt>
                <c:pt idx="59" formatCode="General">
                  <c:v>2.21</c:v>
                </c:pt>
                <c:pt idx="60" formatCode="General">
                  <c:v>2.21</c:v>
                </c:pt>
                <c:pt idx="61" formatCode="General">
                  <c:v>2.2000000000000002</c:v>
                </c:pt>
                <c:pt idx="62" formatCode="General">
                  <c:v>2.2000000000000002</c:v>
                </c:pt>
                <c:pt idx="63" formatCode="General">
                  <c:v>2.21</c:v>
                </c:pt>
                <c:pt idx="64" formatCode="General">
                  <c:v>2.3199999999999998</c:v>
                </c:pt>
                <c:pt idx="65" formatCode="General">
                  <c:v>2.29</c:v>
                </c:pt>
                <c:pt idx="66" formatCode="General">
                  <c:v>2.2799999999999998</c:v>
                </c:pt>
              </c:numCache>
            </c:numRef>
          </c:val>
          <c:smooth val="0"/>
          <c:extLst>
            <c:ext xmlns:c16="http://schemas.microsoft.com/office/drawing/2014/chart" uri="{C3380CC4-5D6E-409C-BE32-E72D297353CC}">
              <c16:uniqueId val="{00000004-3C08-4DDE-85CE-574312B46F2D}"/>
            </c:ext>
          </c:extLst>
        </c:ser>
        <c:ser>
          <c:idx val="5"/>
          <c:order val="5"/>
          <c:tx>
            <c:strRef>
              <c:f>'Měnové podmínky 1'!$H$5</c:f>
              <c:strCache>
                <c:ptCount val="1"/>
                <c:pt idx="0">
                  <c:v>Average yield of government bonds (10Y)</c:v>
                </c:pt>
              </c:strCache>
            </c:strRef>
          </c:tx>
          <c:spPr>
            <a:ln w="19050">
              <a:solidFill>
                <a:srgbClr val="48AEE7"/>
              </a:solidFill>
            </a:ln>
          </c:spPr>
          <c:marker>
            <c:symbol val="none"/>
          </c:marker>
          <c:cat>
            <c:multiLvlStrRef>
              <c:f>'Měnové podmínky 1'!$A$30:$B$96</c:f>
              <c:multiLvlStrCache>
                <c:ptCount val="67"/>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lvl>
                <c:lvl>
                  <c:pt idx="0">
                    <c:v>2014</c:v>
                  </c:pt>
                  <c:pt idx="12">
                    <c:v>2015</c:v>
                  </c:pt>
                  <c:pt idx="24">
                    <c:v>2016</c:v>
                  </c:pt>
                  <c:pt idx="36">
                    <c:v>2017</c:v>
                  </c:pt>
                  <c:pt idx="48">
                    <c:v>2018</c:v>
                  </c:pt>
                  <c:pt idx="60">
                    <c:v>2019</c:v>
                  </c:pt>
                </c:lvl>
              </c:multiLvlStrCache>
            </c:multiLvlStrRef>
          </c:cat>
          <c:val>
            <c:numRef>
              <c:f>'Měnové podmínky 1'!$H$30:$H$96</c:f>
              <c:numCache>
                <c:formatCode>0.00</c:formatCode>
                <c:ptCount val="67"/>
                <c:pt idx="0">
                  <c:v>2.4300000000000002</c:v>
                </c:pt>
                <c:pt idx="1">
                  <c:v>2.2799999999999998</c:v>
                </c:pt>
                <c:pt idx="2">
                  <c:v>2.2000000000000002</c:v>
                </c:pt>
                <c:pt idx="3">
                  <c:v>2</c:v>
                </c:pt>
                <c:pt idx="4">
                  <c:v>1.73</c:v>
                </c:pt>
                <c:pt idx="5">
                  <c:v>1.55</c:v>
                </c:pt>
                <c:pt idx="6">
                  <c:v>1.49</c:v>
                </c:pt>
                <c:pt idx="7">
                  <c:v>1.38</c:v>
                </c:pt>
                <c:pt idx="8">
                  <c:v>1.21</c:v>
                </c:pt>
                <c:pt idx="9">
                  <c:v>1.1000000000000001</c:v>
                </c:pt>
                <c:pt idx="10">
                  <c:v>0.87</c:v>
                </c:pt>
                <c:pt idx="11">
                  <c:v>0.67</c:v>
                </c:pt>
                <c:pt idx="12">
                  <c:v>0.35</c:v>
                </c:pt>
                <c:pt idx="13">
                  <c:v>0.4</c:v>
                </c:pt>
                <c:pt idx="14">
                  <c:v>0.35</c:v>
                </c:pt>
                <c:pt idx="15">
                  <c:v>0.26</c:v>
                </c:pt>
                <c:pt idx="16">
                  <c:v>0.6</c:v>
                </c:pt>
                <c:pt idx="17">
                  <c:v>1.01</c:v>
                </c:pt>
                <c:pt idx="18">
                  <c:v>0.97</c:v>
                </c:pt>
                <c:pt idx="19">
                  <c:v>0.74</c:v>
                </c:pt>
                <c:pt idx="20">
                  <c:v>0.68</c:v>
                </c:pt>
                <c:pt idx="21">
                  <c:v>0.56000000000000005</c:v>
                </c:pt>
                <c:pt idx="22">
                  <c:v>0.49</c:v>
                </c:pt>
                <c:pt idx="23">
                  <c:v>0.49</c:v>
                </c:pt>
                <c:pt idx="24" formatCode="General">
                  <c:v>0.62</c:v>
                </c:pt>
                <c:pt idx="25" formatCode="General">
                  <c:v>0.46</c:v>
                </c:pt>
                <c:pt idx="26" formatCode="General">
                  <c:v>0.35</c:v>
                </c:pt>
                <c:pt idx="27" formatCode="General">
                  <c:v>0.43</c:v>
                </c:pt>
                <c:pt idx="28" formatCode="General">
                  <c:v>0.46</c:v>
                </c:pt>
                <c:pt idx="29" formatCode="General">
                  <c:v>0.45</c:v>
                </c:pt>
                <c:pt idx="30" formatCode="General">
                  <c:v>0.37</c:v>
                </c:pt>
                <c:pt idx="31" formatCode="General">
                  <c:v>0.28999999999999998</c:v>
                </c:pt>
                <c:pt idx="32" formatCode="General">
                  <c:v>0.25</c:v>
                </c:pt>
                <c:pt idx="33" formatCode="General">
                  <c:v>0.37</c:v>
                </c:pt>
                <c:pt idx="34" formatCode="General">
                  <c:v>0.55000000000000004</c:v>
                </c:pt>
                <c:pt idx="35" formatCode="General">
                  <c:v>0.53</c:v>
                </c:pt>
                <c:pt idx="36" formatCode="General">
                  <c:v>0.47</c:v>
                </c:pt>
                <c:pt idx="37" formatCode="General">
                  <c:v>0.63</c:v>
                </c:pt>
                <c:pt idx="38" formatCode="General">
                  <c:v>0.87</c:v>
                </c:pt>
                <c:pt idx="39" formatCode="General">
                  <c:v>0.96</c:v>
                </c:pt>
                <c:pt idx="40" formatCode="General">
                  <c:v>0.74</c:v>
                </c:pt>
                <c:pt idx="41" formatCode="General">
                  <c:v>0.77</c:v>
                </c:pt>
                <c:pt idx="42" formatCode="General">
                  <c:v>0.9</c:v>
                </c:pt>
                <c:pt idx="43" formatCode="General">
                  <c:v>0.83</c:v>
                </c:pt>
                <c:pt idx="44" formatCode="General">
                  <c:v>0.97</c:v>
                </c:pt>
                <c:pt idx="45" formatCode="General">
                  <c:v>1.45</c:v>
                </c:pt>
                <c:pt idx="46" formatCode="General">
                  <c:v>1.68</c:v>
                </c:pt>
                <c:pt idx="47" formatCode="General">
                  <c:v>1.5</c:v>
                </c:pt>
                <c:pt idx="48" formatCode="General">
                  <c:v>1.77</c:v>
                </c:pt>
                <c:pt idx="49" formatCode="General">
                  <c:v>1.82</c:v>
                </c:pt>
                <c:pt idx="50" formatCode="General">
                  <c:v>1.81</c:v>
                </c:pt>
                <c:pt idx="51" formatCode="General">
                  <c:v>1.74</c:v>
                </c:pt>
                <c:pt idx="52" formatCode="General">
                  <c:v>1.89</c:v>
                </c:pt>
                <c:pt idx="53" formatCode="General">
                  <c:v>2.14</c:v>
                </c:pt>
                <c:pt idx="54" formatCode="General">
                  <c:v>2.11</c:v>
                </c:pt>
                <c:pt idx="55" formatCode="General">
                  <c:v>2.14</c:v>
                </c:pt>
                <c:pt idx="56" formatCode="General">
                  <c:v>2.14</c:v>
                </c:pt>
                <c:pt idx="57" formatCode="General">
                  <c:v>2.14</c:v>
                </c:pt>
                <c:pt idx="58" formatCode="General">
                  <c:v>2.0699999999999998</c:v>
                </c:pt>
                <c:pt idx="59" formatCode="General">
                  <c:v>2.0099999999999998</c:v>
                </c:pt>
                <c:pt idx="60" formatCode="General">
                  <c:v>1.85</c:v>
                </c:pt>
                <c:pt idx="61" formatCode="General">
                  <c:v>1.76</c:v>
                </c:pt>
                <c:pt idx="62" formatCode="General">
                  <c:v>1.82</c:v>
                </c:pt>
                <c:pt idx="63" formatCode="General">
                  <c:v>1.82</c:v>
                </c:pt>
                <c:pt idx="64" formatCode="General">
                  <c:v>1.86</c:v>
                </c:pt>
                <c:pt idx="65" formatCode="General">
                  <c:v>1.58</c:v>
                </c:pt>
                <c:pt idx="66" formatCode="General">
                  <c:v>1.36</c:v>
                </c:pt>
              </c:numCache>
            </c:numRef>
          </c:val>
          <c:smooth val="0"/>
          <c:extLst>
            <c:ext xmlns:c16="http://schemas.microsoft.com/office/drawing/2014/chart" uri="{C3380CC4-5D6E-409C-BE32-E72D297353CC}">
              <c16:uniqueId val="{00000005-3C08-4DDE-85CE-574312B46F2D}"/>
            </c:ext>
          </c:extLst>
        </c:ser>
        <c:dLbls>
          <c:showLegendKey val="0"/>
          <c:showVal val="0"/>
          <c:showCatName val="0"/>
          <c:showSerName val="0"/>
          <c:showPercent val="0"/>
          <c:showBubbleSize val="0"/>
        </c:dLbls>
        <c:marker val="1"/>
        <c:smooth val="0"/>
        <c:axId val="131001344"/>
        <c:axId val="131027712"/>
      </c:lineChart>
      <c:catAx>
        <c:axId val="131001344"/>
        <c:scaling>
          <c:orientation val="minMax"/>
        </c:scaling>
        <c:delete val="0"/>
        <c:axPos val="b"/>
        <c:numFmt formatCode="General" sourceLinked="0"/>
        <c:majorTickMark val="out"/>
        <c:minorTickMark val="none"/>
        <c:tickLblPos val="low"/>
        <c:spPr>
          <a:ln>
            <a:solidFill>
              <a:schemeClr val="tx1"/>
            </a:solidFill>
          </a:ln>
        </c:spPr>
        <c:crossAx val="131027712"/>
        <c:crosses val="autoZero"/>
        <c:auto val="1"/>
        <c:lblAlgn val="ctr"/>
        <c:lblOffset val="100"/>
        <c:noMultiLvlLbl val="0"/>
      </c:catAx>
      <c:valAx>
        <c:axId val="131027712"/>
        <c:scaling>
          <c:orientation val="minMax"/>
          <c:min val="-1"/>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31001344"/>
        <c:crosses val="autoZero"/>
        <c:crossBetween val="between"/>
        <c:majorUnit val="1"/>
      </c:valAx>
      <c:spPr>
        <a:ln>
          <a:solidFill>
            <a:schemeClr val="tx1"/>
          </a:solidFill>
        </a:ln>
      </c:spPr>
    </c:plotArea>
    <c:legend>
      <c:legendPos val="b"/>
      <c:layout>
        <c:manualLayout>
          <c:xMode val="edge"/>
          <c:yMode val="edge"/>
          <c:x val="4.2139690982776527E-2"/>
          <c:y val="0.87558269120103249"/>
          <c:w val="0.93886651469098281"/>
          <c:h val="0.11015705924459968"/>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51755-61A4-4A71-BD0D-114881DA1809}">
  <ds:schemaRefs>
    <ds:schemaRef ds:uri="http://schemas.openxmlformats.org/officeDocument/2006/bibliography"/>
  </ds:schemaRefs>
</ds:datastoreItem>
</file>

<file path=customXml/itemProps2.xml><?xml version="1.0" encoding="utf-8"?>
<ds:datastoreItem xmlns:ds="http://schemas.openxmlformats.org/officeDocument/2006/customXml" ds:itemID="{DD4AA61E-81BF-41EA-ABAD-A979CBBC5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Q_analyza_Q12018.dotx</Template>
  <TotalTime>2</TotalTime>
  <Pages>3</Pages>
  <Words>942</Words>
  <Characters>5561</Characters>
  <Application>Microsoft Office Word</Application>
  <DocSecurity>0</DocSecurity>
  <Lines>46</Lines>
  <Paragraphs>12</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Company>CSU</Company>
  <LinksUpToDate>false</LinksUpToDate>
  <CharactersWithSpaces>6491</CharactersWithSpaces>
  <SharedDoc>false</SharedDoc>
  <HLinks>
    <vt:vector size="18" baseType="variant">
      <vt:variant>
        <vt:i4>7602181</vt:i4>
      </vt:variant>
      <vt:variant>
        <vt:i4>11092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Karolína Súkupová</dc:creator>
  <cp:lastModifiedBy>Mgr. Karolína Zábojníková</cp:lastModifiedBy>
  <cp:revision>3</cp:revision>
  <cp:lastPrinted>2019-10-10T11:46:00Z</cp:lastPrinted>
  <dcterms:created xsi:type="dcterms:W3CDTF">2019-10-11T13:27:00Z</dcterms:created>
  <dcterms:modified xsi:type="dcterms:W3CDTF">2019-10-11T13:53:00Z</dcterms:modified>
</cp:coreProperties>
</file>