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Default="007D4281" w:rsidP="00DF52F8">
      <w:pPr>
        <w:pStyle w:val="Nadpis1"/>
        <w:numPr>
          <w:ilvl w:val="0"/>
          <w:numId w:val="6"/>
        </w:numPr>
        <w:jc w:val="both"/>
      </w:pPr>
      <w:bookmarkStart w:id="0" w:name="_Toc437874298"/>
      <w:r>
        <w:t>Ceny</w:t>
      </w:r>
      <w:bookmarkEnd w:id="0"/>
    </w:p>
    <w:tbl>
      <w:tblPr>
        <w:tblW w:w="5000" w:type="pct"/>
        <w:tblLayout w:type="fixed"/>
        <w:tblLook w:val="00A0"/>
      </w:tblPr>
      <w:tblGrid>
        <w:gridCol w:w="2077"/>
        <w:gridCol w:w="282"/>
        <w:gridCol w:w="7495"/>
      </w:tblGrid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FC7F3F">
              <w:rPr>
                <w:sz w:val="16"/>
                <w:szCs w:val="16"/>
              </w:rPr>
              <w:t>Celková cenová hladina se zvýšila ve 3. čtvrtletí 2015 v meziročním srovnání jen o 0,4 %</w:t>
            </w:r>
          </w:p>
        </w:tc>
        <w:tc>
          <w:tcPr>
            <w:tcW w:w="143" w:type="pct"/>
          </w:tcPr>
          <w:p w:rsidR="00886A8F" w:rsidRPr="00A533CE" w:rsidRDefault="00886A8F" w:rsidP="003C3686">
            <w:pPr>
              <w:pStyle w:val="Textpoznpodarou"/>
              <w:jc w:val="both"/>
              <w:rPr>
                <w:color w:val="4F81BD" w:themeColor="accent1"/>
              </w:rPr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>Podle implicitního deflátoru HDP</w:t>
            </w:r>
            <w:r w:rsidRPr="00FC7F3F">
              <w:rPr>
                <w:rStyle w:val="Znakapoznpodarou"/>
              </w:rPr>
              <w:footnoteReference w:id="1"/>
            </w:r>
            <w:r w:rsidRPr="00FC7F3F">
              <w:t xml:space="preserve"> zpomalil meziroční růst celkové cenové hladiny v ČR ve 3. čtvrtletí 2015 na +0,4 %. Ceny narostly nejpomaleji za poslední čtyři roky. Výdaje domácností podražily meziročně jen o 0,1 %, přírůstek cen investic (tvorby hrubého fixního kapitálu) se v kontextu velmi silné poptávky po investičních aktivech ukazoval </w:t>
            </w:r>
            <w:r w:rsidRPr="00FC7F3F">
              <w:rPr>
                <w:spacing w:val="-2"/>
              </w:rPr>
              <w:t>také jako</w:t>
            </w:r>
            <w:r>
              <w:rPr>
                <w:spacing w:val="-2"/>
              </w:rPr>
              <w:t xml:space="preserve"> poměrně</w:t>
            </w:r>
            <w:r w:rsidRPr="00FC7F3F">
              <w:rPr>
                <w:spacing w:val="-2"/>
              </w:rPr>
              <w:t xml:space="preserve"> střídmý (+1,0 %). Deflátor výdajů na konečnou spotřebu vládních</w:t>
            </w:r>
            <w:r w:rsidRPr="00FC7F3F">
              <w:t xml:space="preserve"> institucí činil +1,3 %. Vliv směnných relací </w:t>
            </w:r>
            <w:r w:rsidRPr="00FC7F3F">
              <w:rPr>
                <w:spacing w:val="-4"/>
              </w:rPr>
              <w:t>na meziroční vývoj celkové cenové hladiny zůstal minimální stejně jako ve</w:t>
            </w:r>
            <w:r w:rsidRPr="00FC7F3F">
              <w:t xml:space="preserve"> 2. čtvrtletí 2015, protože směnné relace setrvaly blízké hodnotě 100 % (ve 2. čtvrtletí 99,9 %, ve 3. čtvrtletí 100,1 %).</w:t>
            </w:r>
          </w:p>
          <w:p w:rsidR="00886A8F" w:rsidRPr="00FB0DF3" w:rsidRDefault="00886A8F" w:rsidP="003C3686">
            <w:pPr>
              <w:pStyle w:val="Textpoznpodarou"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Ceny pro spotřebitele vzrostly v prvních třech čtvrtletích roku 2015 v průměru pouze o 0,4 % meziročně, …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494925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  <w:r w:rsidRPr="00FC7F3F">
              <w:t xml:space="preserve">Meziroční růst spotřebitelských cen v prvních devíti měsících letošního roku činil v průměru +0,4 % a </w:t>
            </w:r>
            <w:r>
              <w:t>zůstával</w:t>
            </w:r>
            <w:r w:rsidRPr="00FC7F3F">
              <w:t xml:space="preserve"> tak</w:t>
            </w:r>
            <w:r>
              <w:t xml:space="preserve"> </w:t>
            </w:r>
            <w:r w:rsidRPr="00FC7F3F">
              <w:t xml:space="preserve">pod cílem České národní banky. Ceny rostly navzdory </w:t>
            </w:r>
            <w:r>
              <w:t xml:space="preserve">nadále </w:t>
            </w:r>
            <w:r w:rsidRPr="00FC7F3F">
              <w:t xml:space="preserve">uvolněným měnovým podmínkám pouze nepatrně rychleji než ve stejném období předchozího roku (+0,3 %). Jak bylo zřejmé z dynamiky v jednotlivých čtvrtletích roku 2015 (+0,1 %, +0,7 %, +0,4 %), nic nenasvědčovalo tomu, že by se měla inflace v blízké budoucnosti zvýšit. To ostatně potvrdily i poslední dostupné údaje za měsíce říjen a </w:t>
            </w:r>
            <w:r w:rsidRPr="003B3EEE">
              <w:t>listopad, ve kterých ceny pro spotřebitele stouply meziročně pouze o 0,2 % a 0,1 %.</w:t>
            </w:r>
          </w:p>
          <w:p w:rsidR="00886A8F" w:rsidRPr="00A020C5" w:rsidRDefault="00886A8F" w:rsidP="003C3686">
            <w:pPr>
              <w:pStyle w:val="Textpoznpodarou"/>
              <w:jc w:val="both"/>
              <w:rPr>
                <w:color w:val="1F497D" w:themeColor="text2"/>
                <w:sz w:val="16"/>
                <w:szCs w:val="16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… z velké části se přitom jednalo o důsledek nízké ceny ropy na světovém komoditním trhu. Ta se propadla již ve druhé polovině roku 2014, …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>Poptávka spotřebitelů po zboží a službách v průběhu prvních třech čtvrtletí roku 2015 nabírala na síle</w:t>
            </w:r>
            <w:r>
              <w:t xml:space="preserve"> a působila tedy proinflačně.</w:t>
            </w:r>
            <w:r w:rsidRPr="00FC7F3F">
              <w:t xml:space="preserve"> </w:t>
            </w:r>
            <w:r>
              <w:t xml:space="preserve">Ukazoval na </w:t>
            </w:r>
            <w:r w:rsidRPr="00FC7F3F">
              <w:t xml:space="preserve">to vysoký růst výdajů na konečnou </w:t>
            </w:r>
            <w:r w:rsidRPr="00FC7F3F">
              <w:rPr>
                <w:spacing w:val="-2"/>
              </w:rPr>
              <w:t>spotřebu domácností v meziročním srovnání, který po jednotlivých čtvrtletích činil +2,8 %, +3,0 % a +3,0</w:t>
            </w:r>
            <w:r w:rsidRPr="00FC7F3F">
              <w:t xml:space="preserve"> % reálně. Taktéž kurzový vývoj koruny k americkému dolaru, kdy koruna ztrácela v každém čtvrtletí meziročně více než 15 %, působil ve směru růstu cen pro spotřebitele. Propad ceny ropy, ke</w:t>
            </w:r>
            <w:r>
              <w:t> </w:t>
            </w:r>
            <w:r w:rsidRPr="00FC7F3F">
              <w:t>kterému došlo ve druhé polovině roku 2014, byl však natolik silný, že tyto vlivy potlačil a způsobil, že míra inflace v České republice byla nízká.</w:t>
            </w:r>
          </w:p>
          <w:p w:rsidR="00886A8F" w:rsidRPr="00A020C5" w:rsidRDefault="00886A8F" w:rsidP="003C3686">
            <w:pPr>
              <w:pStyle w:val="Textpoznpodarou"/>
              <w:jc w:val="both"/>
              <w:rPr>
                <w:color w:val="1F497D" w:themeColor="text2"/>
                <w:sz w:val="18"/>
                <w:szCs w:val="18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 xml:space="preserve">…v případě ropy Brent šlo o pokles ze 112 amerických dolarů za barel v červnu 2014 na 48 dolarů v lednu 2015 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>Cena ropy Brent se propadla ze 112 amerických dolarů za barel v červnu roku 2014 na pouhých 48 dolarů v lednu 2015. Během sedmi měsíců ztratila více než polovinu své hodnoty. Navzdory dočasné korekci mezi lednem a květnem 2015, kdy cena ropy Brent stoupla ze 48 dolarů za barel na 64 dolarů, byla tato komodita meziročně výrazně levnější v 1., ve 2. i ve 3. čtvrtletí. Spotřebitelé efekty levnější ropy zaznamenávali přímo při nákupech pohonných hmot,</w:t>
            </w:r>
            <w:r w:rsidRPr="00FC7F3F">
              <w:rPr>
                <w:rStyle w:val="Znakapoznpodarou"/>
              </w:rPr>
              <w:footnoteReference w:id="2"/>
            </w:r>
            <w:r w:rsidRPr="00FC7F3F">
              <w:t xml:space="preserve"> nízké ceny ropy se ale promítaly – skrze pokles výrobních nákladů firem – do cen širšího spektra výrobků a služeb.</w:t>
            </w:r>
          </w:p>
          <w:p w:rsidR="00886A8F" w:rsidRPr="00A020C5" w:rsidRDefault="00886A8F" w:rsidP="003C3686">
            <w:pPr>
              <w:pStyle w:val="Textpoznpodarou"/>
              <w:jc w:val="both"/>
              <w:rPr>
                <w:color w:val="1F497D" w:themeColor="text2"/>
                <w:sz w:val="16"/>
                <w:szCs w:val="16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Ze tří váhově nejvýznamnějších oddílů spotřebního koše vzrostly ceny ve 3. čtvrtletí 2015 pouze u výdajů za bydlení, vodu, energie a paliva (meziročně +0,8 %)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 xml:space="preserve">Co se týče třech váhově nejvýznamnějších oddílů spotřebního koše, ve 3. čtvrtletí 2015 vzrostly ceny v meziročním srovnání pouze v případě výdajů za bydlení, </w:t>
            </w:r>
            <w:r w:rsidRPr="00FC7F3F">
              <w:rPr>
                <w:spacing w:val="-2"/>
              </w:rPr>
              <w:t>vodu, energie a paliva (+0,8 %). Ceny potravin a nealkoholických nápojů se</w:t>
            </w:r>
            <w:r w:rsidRPr="00FC7F3F">
              <w:t xml:space="preserve"> snížily o 0,9 %, jednalo se</w:t>
            </w:r>
            <w:r>
              <w:t xml:space="preserve"> přitom</w:t>
            </w:r>
            <w:r w:rsidRPr="00FC7F3F">
              <w:t xml:space="preserve"> zejména o důsledek poklesu cen živočišné výroby, </w:t>
            </w:r>
            <w:r w:rsidRPr="00FC7F3F">
              <w:rPr>
                <w:spacing w:val="-2"/>
              </w:rPr>
              <w:t xml:space="preserve">který se skrze výrobní řetězec </w:t>
            </w:r>
            <w:r>
              <w:rPr>
                <w:spacing w:val="-2"/>
              </w:rPr>
              <w:t>přenesl</w:t>
            </w:r>
            <w:r w:rsidRPr="00FC7F3F">
              <w:rPr>
                <w:spacing w:val="-2"/>
              </w:rPr>
              <w:t xml:space="preserve"> do nižších cen mléka, sýrů a vajec (-7,</w:t>
            </w:r>
            <w:r w:rsidRPr="00FC7F3F">
              <w:t>2 %) a masa (-3,0 %). Výrazně nižší ceny pohonných hmot se promítly v nižších cenách výdajů za dopravu (-3,8 %).</w:t>
            </w:r>
          </w:p>
          <w:p w:rsidR="00886A8F" w:rsidRPr="00A020C5" w:rsidRDefault="00886A8F" w:rsidP="003C3686">
            <w:pPr>
              <w:pStyle w:val="Textpoznpodarou"/>
              <w:jc w:val="both"/>
              <w:rPr>
                <w:color w:val="1F497D" w:themeColor="text2"/>
                <w:sz w:val="18"/>
                <w:szCs w:val="18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Meziroční dynamika cen pro spotřebitele i nadále mírně silnější než dynamika cen domácností důchodců</w:t>
            </w:r>
          </w:p>
        </w:tc>
        <w:tc>
          <w:tcPr>
            <w:tcW w:w="143" w:type="pct"/>
          </w:tcPr>
          <w:p w:rsidR="00886A8F" w:rsidRPr="002461DB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4F5C9B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  <w:r w:rsidRPr="00FC7F3F">
              <w:t>Meziroční dynamika cen pro spotřebitele byla ve 3. čtvrtletí 2015 (+0,4 %) mírně silnější než dynamika cen</w:t>
            </w:r>
            <w:r>
              <w:t>, tak jak ji vnímaly</w:t>
            </w:r>
            <w:r w:rsidRPr="00FC7F3F">
              <w:t xml:space="preserve"> domácnosti důchodců (+0,1 %).</w:t>
            </w:r>
            <w:r w:rsidRPr="004F5C9B">
              <w:rPr>
                <w:color w:val="1F497D" w:themeColor="text2"/>
              </w:rPr>
              <w:t xml:space="preserve"> </w:t>
            </w:r>
            <w:r w:rsidRPr="00FC7F3F">
              <w:t xml:space="preserve">Opakovala se situace z předchozích šesti čtvrtletí. Zatímco v roce 2014 šlo především o důsledek mimořádného poklesu cen energií (elektrická a tepelná energie, plyn a ostatní paliva), v roce 2015 byla </w:t>
            </w:r>
            <w:r>
              <w:t>slabší</w:t>
            </w:r>
            <w:r w:rsidRPr="00FC7F3F">
              <w:t xml:space="preserve"> dynamika cen domácností důchodců dána zejména poklesem cen potravin. Energie i potraviny tvoří velkou část výdajů domácností důchodců i domácností celkem, větší však v případě prvně jmenované skupiny. Je proto logické, že pokles jejich</w:t>
            </w:r>
            <w:r>
              <w:t xml:space="preserve"> cen</w:t>
            </w:r>
            <w:r w:rsidRPr="00FC7F3F">
              <w:t xml:space="preserve"> tlumil především cenový vývoj domácností důchodců. Po dlouhodobě rychlejším růstu cenové hladiny domácností důchodců oproti cenové hladině domácností celkem docházelo k jejich mírnému sbližování.</w:t>
            </w:r>
            <w:r w:rsidRPr="004F5C9B">
              <w:rPr>
                <w:color w:val="1F497D" w:themeColor="text2"/>
              </w:rPr>
              <w:t xml:space="preserve"> </w:t>
            </w: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lastRenderedPageBreak/>
              <w:t xml:space="preserve">V deflaci dvanáct zemí Unie </w:t>
            </w:r>
          </w:p>
        </w:tc>
        <w:tc>
          <w:tcPr>
            <w:tcW w:w="143" w:type="pct"/>
          </w:tcPr>
          <w:p w:rsidR="00886A8F" w:rsidRPr="00B87F0E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C95104" w:rsidRDefault="00886A8F" w:rsidP="003C3686">
            <w:pPr>
              <w:pStyle w:val="Textpoznpodarou"/>
              <w:jc w:val="both"/>
              <w:rPr>
                <w:spacing w:val="-2"/>
              </w:rPr>
            </w:pPr>
            <w:r w:rsidRPr="00C95104">
              <w:rPr>
                <w:spacing w:val="-2"/>
              </w:rPr>
              <w:t>Nízká míra inflace nebyla problémem pouze České republiky, ale celé Evropské unie. Zatímco v ČR vzrostly ceny ve 3. čtvrtletí 2015 podle harmonizovaného indexu spotřebitelských cen (HICP) meziročně o 0,3 %, v eurozóně pouze o 0,1 % a</w:t>
            </w:r>
            <w:r>
              <w:rPr>
                <w:spacing w:val="-2"/>
              </w:rPr>
              <w:t> </w:t>
            </w:r>
            <w:r w:rsidRPr="00C95104">
              <w:rPr>
                <w:spacing w:val="-2"/>
              </w:rPr>
              <w:t>v EU jako celku stagnovaly. Dvanáct členů Unie bylo v deflaci, ve čtyřech zemích včetně Německa a Velké Británie se ceny v meziročním srovnání nezměnily. Přírůstek spotřebitelských cen překračující 1 % byl patrný pouze na Maltě (+1,4 %).</w:t>
            </w:r>
          </w:p>
          <w:p w:rsidR="00886A8F" w:rsidRPr="00B87F0E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V prvních třech čtvrtletích roku 2015 byly ceny průmyslových výrobců v meziročním srovnání nižší v průměru o 3,1 %, …</w:t>
            </w:r>
          </w:p>
        </w:tc>
        <w:tc>
          <w:tcPr>
            <w:tcW w:w="143" w:type="pct"/>
          </w:tcPr>
          <w:p w:rsidR="00886A8F" w:rsidRPr="001E6B40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>Ceny průmyslových výrobců klesly ve 3. čtvrtletí letošního roku v meziročním srovnání o 3,6 % a snížily se tak více, než odpovídalo průměru za celé období od ledna do září (-3,1 %)</w:t>
            </w:r>
            <w:r>
              <w:t xml:space="preserve">. Deflace v průmyslu trvala </w:t>
            </w:r>
            <w:r w:rsidRPr="00FC7F3F">
              <w:t>rok a tři čtvrtě a byla dána dvěma klíčovými faktory. Šlo jednak o značný pokles ceny ropy, jednak o pokračující pokles cen zpracovatelů v</w:t>
            </w:r>
            <w:r>
              <w:t> zemích platících eurem</w:t>
            </w:r>
            <w:r w:rsidRPr="00FC7F3F">
              <w:t>. Ten byl</w:t>
            </w:r>
            <w:r>
              <w:t xml:space="preserve"> z eurozóny</w:t>
            </w:r>
            <w:r w:rsidRPr="00FC7F3F">
              <w:t xml:space="preserve"> do české ekonomiky, která je nadprůměrně otevřená, dovážen spolu</w:t>
            </w:r>
            <w:r>
              <w:t xml:space="preserve"> s produkty</w:t>
            </w:r>
            <w:r w:rsidRPr="00FC7F3F">
              <w:t xml:space="preserve"> určený</w:t>
            </w:r>
            <w:r>
              <w:t>mi</w:t>
            </w:r>
            <w:r w:rsidRPr="00FC7F3F">
              <w:t xml:space="preserve"> k</w:t>
            </w:r>
            <w:r>
              <w:t> </w:t>
            </w:r>
            <w:r w:rsidRPr="00FC7F3F">
              <w:t xml:space="preserve">dalšímu zpracování. </w:t>
            </w:r>
          </w:p>
          <w:p w:rsidR="00886A8F" w:rsidRPr="001E6B40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…v samotném zpracovatelském průmyslu dokonce o 3,8 %</w:t>
            </w:r>
          </w:p>
        </w:tc>
        <w:tc>
          <w:tcPr>
            <w:tcW w:w="143" w:type="pct"/>
          </w:tcPr>
          <w:p w:rsidR="00886A8F" w:rsidRPr="001E6B40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0074BA" w:rsidRDefault="00886A8F" w:rsidP="003C3686">
            <w:pPr>
              <w:pStyle w:val="Textpoznpodarou"/>
              <w:jc w:val="both"/>
              <w:rPr>
                <w:spacing w:val="-2"/>
              </w:rPr>
            </w:pPr>
            <w:r w:rsidRPr="000074BA">
              <w:rPr>
                <w:spacing w:val="-2"/>
              </w:rPr>
              <w:t>Pokles cen průmyslových výrobců se koncentroval především ve zpracovatelském průmyslu (v průměru za první tři kvartály -3,8 %). V energetice (-0,8 %) a v těžbě a</w:t>
            </w:r>
            <w:r>
              <w:rPr>
                <w:spacing w:val="-2"/>
              </w:rPr>
              <w:t> </w:t>
            </w:r>
            <w:r w:rsidRPr="000074BA">
              <w:rPr>
                <w:spacing w:val="-2"/>
              </w:rPr>
              <w:t xml:space="preserve">dobývání </w:t>
            </w:r>
            <w:r>
              <w:rPr>
                <w:spacing w:val="-2"/>
              </w:rPr>
              <w:t>(-0,5</w:t>
            </w:r>
            <w:r w:rsidRPr="000074BA">
              <w:rPr>
                <w:spacing w:val="-2"/>
              </w:rPr>
              <w:t xml:space="preserve"> %) se ceny v tomto období snížily jen mírně a v zásobování vodou a </w:t>
            </w:r>
            <w:r>
              <w:rPr>
                <w:spacing w:val="-2"/>
              </w:rPr>
              <w:t>službách</w:t>
            </w:r>
            <w:r w:rsidRPr="000074BA">
              <w:rPr>
                <w:spacing w:val="-2"/>
              </w:rPr>
              <w:t xml:space="preserve"> souvisejících s odpady ceny o 3,4 % vzrostly. Z jednotlivých zpracovatelů (dle klasifikace produkce) se ceny snížily především výrobcům koksu a rafinovaných ropných produktů a producentům chemických látek a výrobků, tedy těm průmyslovým výrobcům, kteří ropu a ropné produkty přímo zpracovávají.</w:t>
            </w:r>
          </w:p>
          <w:p w:rsidR="00886A8F" w:rsidRPr="001E6B40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FC7F3F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FC7F3F">
              <w:rPr>
                <w:sz w:val="16"/>
                <w:szCs w:val="16"/>
              </w:rPr>
              <w:t>Zatímco v dubnu 2014 stál litr mléka na začátku výrobního řetězce 9,81</w:t>
            </w:r>
            <w:r>
              <w:rPr>
                <w:sz w:val="16"/>
                <w:szCs w:val="16"/>
              </w:rPr>
              <w:t> </w:t>
            </w:r>
            <w:r w:rsidRPr="00FC7F3F">
              <w:rPr>
                <w:sz w:val="16"/>
                <w:szCs w:val="16"/>
              </w:rPr>
              <w:t>korun, v září 2015 se</w:t>
            </w:r>
            <w:r>
              <w:rPr>
                <w:sz w:val="16"/>
                <w:szCs w:val="16"/>
              </w:rPr>
              <w:t> </w:t>
            </w:r>
            <w:r w:rsidRPr="00FC7F3F">
              <w:rPr>
                <w:sz w:val="16"/>
                <w:szCs w:val="16"/>
              </w:rPr>
              <w:t>vykupoval už pouze za</w:t>
            </w:r>
            <w:r>
              <w:rPr>
                <w:sz w:val="16"/>
                <w:szCs w:val="16"/>
              </w:rPr>
              <w:t> </w:t>
            </w:r>
            <w:r w:rsidRPr="00FC7F3F">
              <w:rPr>
                <w:sz w:val="16"/>
                <w:szCs w:val="16"/>
              </w:rPr>
              <w:t>7,14 korun. Cena mléka propadla mezi těmito měsíci o 27,2 %</w:t>
            </w:r>
          </w:p>
        </w:tc>
        <w:tc>
          <w:tcPr>
            <w:tcW w:w="143" w:type="pct"/>
          </w:tcPr>
          <w:p w:rsidR="00886A8F" w:rsidRPr="00045489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  <w:rPr>
                <w:spacing w:val="-2"/>
              </w:rPr>
            </w:pPr>
            <w:r w:rsidRPr="00FC7F3F">
              <w:t>Deflační vývoj se v prvních třech čtvrtletích letošního roku nevyhnul ani zemědělství. Za nižší ceny než před rokem se v tomto období vykupovala jak rostlinná výroba (-7,4 %), tak živočišná výroba (-10,6 %). Zatímco v samotném 3. čtvrtletí ceny rostlinné výroby již mírně vzrostly (+0,7 %), ceny živočišné výroby klesly dokonce výrazněji (-13,9 %), než dopovídalo průměru za první tři kvartály roku 2015. Pokles cen se týkal především jatečných prasat a mléka, lze přitom soudit, že hlavním faktorem – který za tímto stál – byl</w:t>
            </w:r>
            <w:r>
              <w:t xml:space="preserve"> nadbytek produkce. Ten souvisel se</w:t>
            </w:r>
            <w:r w:rsidRPr="00FC7F3F">
              <w:t xml:space="preserve"> zákaz</w:t>
            </w:r>
            <w:r>
              <w:t>em</w:t>
            </w:r>
            <w:r w:rsidRPr="00FC7F3F">
              <w:t xml:space="preserve"> dovozu zemědělských produktů a potravin do Ruské federace. V případě mléka mohlo svoji roli sehrát i zrušení mléčných kvót platné od počátku dubna.</w:t>
            </w:r>
          </w:p>
          <w:p w:rsidR="00886A8F" w:rsidRPr="00045489" w:rsidRDefault="00886A8F" w:rsidP="003C3686">
            <w:pPr>
              <w:pStyle w:val="Textpoznpodarou"/>
              <w:jc w:val="both"/>
              <w:rPr>
                <w:color w:val="1F497D" w:themeColor="text2"/>
                <w:spacing w:val="-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5819C0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5819C0">
              <w:rPr>
                <w:sz w:val="16"/>
                <w:szCs w:val="16"/>
              </w:rPr>
              <w:t xml:space="preserve">Vyšší poptávka po stavebních činnostech se promítala do růstu cen stavebních prací i ve 3. čtvrtletí 2015 </w:t>
            </w:r>
          </w:p>
        </w:tc>
        <w:tc>
          <w:tcPr>
            <w:tcW w:w="143" w:type="pct"/>
          </w:tcPr>
          <w:p w:rsidR="00886A8F" w:rsidRPr="00176291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FC7F3F" w:rsidRDefault="00886A8F" w:rsidP="003C3686">
            <w:pPr>
              <w:pStyle w:val="Textpoznpodarou"/>
              <w:jc w:val="both"/>
            </w:pPr>
            <w:r w:rsidRPr="00FC7F3F">
              <w:t xml:space="preserve">Produkce stavebních firem se zvýšila v meziročním srovnání i ve 3. čtvrtletí 2015 a šlo výlučně o </w:t>
            </w:r>
            <w:r>
              <w:t>objemnější výstavbu inženýrských děl, jejichž zadavatelem byl veřejný sektor. T</w:t>
            </w:r>
            <w:r w:rsidRPr="00FC7F3F">
              <w:t>en se snažil v průběhu roku 2015 dočerpat co nejvíce finančních prostředků, které byly Evropskou unií České republice přiděleny v rámci programového období 2007–2013. Stavební firmy</w:t>
            </w:r>
            <w:r>
              <w:t>, které byly schopné tyto specializované práce provádět, však neměly k</w:t>
            </w:r>
            <w:r w:rsidRPr="00FC7F3F">
              <w:t xml:space="preserve"> pokrytí </w:t>
            </w:r>
            <w:r>
              <w:t xml:space="preserve">vyšší poptávky </w:t>
            </w:r>
            <w:r w:rsidRPr="00FC7F3F">
              <w:t xml:space="preserve">dostatek kapacit. </w:t>
            </w:r>
            <w:r>
              <w:t>V</w:t>
            </w:r>
            <w:r w:rsidRPr="00FC7F3F">
              <w:t>ykrývaly</w:t>
            </w:r>
            <w:r>
              <w:t xml:space="preserve"> ji</w:t>
            </w:r>
            <w:r w:rsidRPr="00FC7F3F">
              <w:t xml:space="preserve"> přesčasy a rostoucí náklady si kompenzovaly cenami. Ceny stavebních prací se ve 3. čtvrtletí 2015 zvýšily meziročně o 1,4 %, rostly už</w:t>
            </w:r>
            <w:r>
              <w:t> </w:t>
            </w:r>
            <w:r w:rsidRPr="00FC7F3F">
              <w:t>šest čtvrtletí v řadě.</w:t>
            </w:r>
            <w:r>
              <w:t xml:space="preserve"> Nejrychleji narostly ceny kolejových drah (+2,2 %).</w:t>
            </w:r>
          </w:p>
          <w:p w:rsidR="00886A8F" w:rsidRPr="00176291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5819C0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5819C0">
              <w:rPr>
                <w:sz w:val="16"/>
                <w:szCs w:val="16"/>
              </w:rPr>
              <w:t>Do deflace „sklouzly“ už</w:t>
            </w:r>
            <w:r>
              <w:rPr>
                <w:sz w:val="16"/>
                <w:szCs w:val="16"/>
              </w:rPr>
              <w:t> </w:t>
            </w:r>
            <w:r w:rsidRPr="005819C0">
              <w:rPr>
                <w:sz w:val="16"/>
                <w:szCs w:val="16"/>
              </w:rPr>
              <w:t>i tržní služby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5819C0" w:rsidRDefault="00886A8F" w:rsidP="003C3686">
            <w:pPr>
              <w:pStyle w:val="Textpoznpodarou"/>
              <w:jc w:val="both"/>
              <w:rPr>
                <w:spacing w:val="-2"/>
              </w:rPr>
            </w:pPr>
            <w:r w:rsidRPr="005819C0">
              <w:rPr>
                <w:spacing w:val="-2"/>
              </w:rPr>
              <w:t>Pokles meziročních přírůstků cen producentů tržních služeb se ve 3. čtvrtletí 2015 překlopil do deflace. Jestliže ještě v 1. čtvrtletí byly tyto ceny v meziročním srovnání vyšší o 0,3 % a ve 2. čtvrtletí o 0,2 %, ve 3. čtvrtletí se již o 0,2 % snížily.</w:t>
            </w:r>
            <w:r w:rsidRPr="009B6BCB">
              <w:rPr>
                <w:color w:val="1F497D" w:themeColor="text2"/>
                <w:spacing w:val="-2"/>
              </w:rPr>
              <w:t xml:space="preserve"> </w:t>
            </w:r>
            <w:r w:rsidRPr="005819C0">
              <w:rPr>
                <w:spacing w:val="-2"/>
              </w:rPr>
              <w:t xml:space="preserve">Z váhově významnějších </w:t>
            </w:r>
            <w:r>
              <w:rPr>
                <w:spacing w:val="-2"/>
              </w:rPr>
              <w:t>segmentů ceny ve 3. čtvrtletí klesly například v</w:t>
            </w:r>
            <w:r w:rsidRPr="005819C0">
              <w:rPr>
                <w:spacing w:val="-2"/>
              </w:rPr>
              <w:t> pozemní a</w:t>
            </w:r>
            <w:r>
              <w:rPr>
                <w:spacing w:val="-2"/>
              </w:rPr>
              <w:t> potrubní dopravě</w:t>
            </w:r>
            <w:r w:rsidRPr="005819C0">
              <w:rPr>
                <w:spacing w:val="-2"/>
              </w:rPr>
              <w:t xml:space="preserve"> (-1,8 %), kde se ceny snížily vlivem poklesu cen pohonných hmot, dále ceny klesly ve službách v oblasti nemovitostí (-1,2 %), v pojištění a penzijním financování (-0,7 %) nebo například v právních a účetnických službách (-0,9 %).</w:t>
            </w:r>
          </w:p>
          <w:p w:rsidR="00886A8F" w:rsidRPr="000A2CB3" w:rsidRDefault="00886A8F" w:rsidP="003C3686">
            <w:pPr>
              <w:pStyle w:val="Textpoznpodarou"/>
              <w:jc w:val="both"/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5819C0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5819C0">
              <w:rPr>
                <w:sz w:val="16"/>
                <w:szCs w:val="16"/>
              </w:rPr>
              <w:t>Ceny dovozu zboží v prvních třech čtvrtletích roku 2015 nižší než před rokem, …</w:t>
            </w:r>
          </w:p>
        </w:tc>
        <w:tc>
          <w:tcPr>
            <w:tcW w:w="143" w:type="pct"/>
          </w:tcPr>
          <w:p w:rsidR="00886A8F" w:rsidRPr="00B45AF2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203E05" w:rsidRDefault="00886A8F" w:rsidP="003C3686">
            <w:pPr>
              <w:pStyle w:val="Textpoznpodarou"/>
              <w:jc w:val="both"/>
            </w:pPr>
            <w:r w:rsidRPr="00203E05">
              <w:t>Ceny dovozu zboží byly v lednu až září 2015 v meziročním srovnání nižší v průměru o 1,3 % navzdory tomu, že kurzový vývoj koruny působil v tomto období silně proinflačně. K euru byla koruna sice mírně silnější než před rokem (posílila o 0,5 %), vůči americkému dolaru koruna však ztrácela více než pětinu své hodnoty (oslabila o 21,0 %). Snížily se především dovozní ceny minerálních paliv (-22,9 %), šlo přitom zejména o důsledek hlubokého poklesu ceny ropy ve druhé polovině roku 2014, za nižší ceny se však do ČR dovážely i ostatní suroviny (-9,2 %) a chemikálie (-2,2 %). Relativně vysoký přírůstek dovozních cen se dotýkal strojů a dopravních prostředků (+3,4 %) a průmyslového spotřebního zboží (+4,4 %).</w:t>
            </w:r>
          </w:p>
        </w:tc>
      </w:tr>
      <w:tr w:rsidR="00886A8F" w:rsidRPr="007D44C3" w:rsidTr="003C3686">
        <w:tc>
          <w:tcPr>
            <w:tcW w:w="1054" w:type="pct"/>
          </w:tcPr>
          <w:p w:rsidR="00886A8F" w:rsidRPr="008F1BCF" w:rsidRDefault="00886A8F" w:rsidP="003C3686">
            <w:pPr>
              <w:spacing w:line="240" w:lineRule="auto"/>
              <w:rPr>
                <w:color w:val="1F497D" w:themeColor="text2"/>
                <w:sz w:val="16"/>
                <w:szCs w:val="16"/>
              </w:rPr>
            </w:pPr>
            <w:r w:rsidRPr="005819C0">
              <w:rPr>
                <w:sz w:val="16"/>
                <w:szCs w:val="16"/>
              </w:rPr>
              <w:lastRenderedPageBreak/>
              <w:t>… totéž však platilo i pro ceny vývozu. Klesly v průměru o 1,2 % ….</w:t>
            </w:r>
          </w:p>
        </w:tc>
        <w:tc>
          <w:tcPr>
            <w:tcW w:w="143" w:type="pct"/>
          </w:tcPr>
          <w:p w:rsidR="00886A8F" w:rsidRPr="008F1BCF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  <w:tc>
          <w:tcPr>
            <w:tcW w:w="3803" w:type="pct"/>
          </w:tcPr>
          <w:p w:rsidR="00886A8F" w:rsidRPr="005819C0" w:rsidRDefault="00886A8F" w:rsidP="003C3686">
            <w:pPr>
              <w:pStyle w:val="Textpoznpodarou"/>
              <w:jc w:val="both"/>
            </w:pPr>
            <w:r w:rsidRPr="005819C0">
              <w:t>Také ceny vývozu zboží byly v prvních třech čtvrtletích roku 2015 v meziročním srovnání nižší (</w:t>
            </w:r>
            <w:r>
              <w:t xml:space="preserve">v </w:t>
            </w:r>
            <w:r w:rsidRPr="005819C0">
              <w:t>průměru o 1,2 %), na rozdíl od dovozu se však pokles cen dotýkal širšího spektra výrobků. Za ceny pod úrovní roku 2014 se do zahraničí vyvážela minerální paliva, ostatní suroviny, potraviny a živá zvířata, chemikálie, živočišné a rostlinné oleje i polotovary. Ani vývoj vývoz</w:t>
            </w:r>
            <w:r>
              <w:t>ních</w:t>
            </w:r>
            <w:r w:rsidRPr="005819C0">
              <w:t xml:space="preserve"> cen strojů a dopravních prostředků a průmyslového spotřebního zboží nebyl z pohledu exportérů nikterak příznivý, neboť pouze stagnovaly. Za vyšší ceny než před rokem se do zahraničí vyvážely pouze nápoje a tabák (+3,3 %). Jde o výrobky, které se na celkovém vývozu zboží z ČR podílí</w:t>
            </w:r>
            <w:r>
              <w:t xml:space="preserve"> dlouhodobě</w:t>
            </w:r>
            <w:r w:rsidRPr="005819C0">
              <w:t xml:space="preserve"> pouze necelým jedním procentem.</w:t>
            </w:r>
          </w:p>
          <w:p w:rsidR="00886A8F" w:rsidRPr="008F1BCF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</w:p>
        </w:tc>
      </w:tr>
      <w:tr w:rsidR="00886A8F" w:rsidRPr="007D44C3" w:rsidTr="003C3686">
        <w:tc>
          <w:tcPr>
            <w:tcW w:w="1054" w:type="pct"/>
          </w:tcPr>
          <w:p w:rsidR="00886A8F" w:rsidRPr="005819C0" w:rsidRDefault="00886A8F" w:rsidP="003C3686">
            <w:pPr>
              <w:spacing w:line="240" w:lineRule="auto"/>
              <w:rPr>
                <w:sz w:val="16"/>
                <w:szCs w:val="16"/>
              </w:rPr>
            </w:pPr>
            <w:r w:rsidRPr="005819C0">
              <w:rPr>
                <w:sz w:val="16"/>
                <w:szCs w:val="16"/>
              </w:rPr>
              <w:t>… a směnné relace dosáhly hodnoty 100,1 %</w:t>
            </w:r>
          </w:p>
        </w:tc>
        <w:tc>
          <w:tcPr>
            <w:tcW w:w="143" w:type="pct"/>
          </w:tcPr>
          <w:p w:rsidR="00886A8F" w:rsidRPr="005819C0" w:rsidRDefault="00886A8F" w:rsidP="003C3686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886A8F" w:rsidRPr="008F1BCF" w:rsidRDefault="00886A8F" w:rsidP="003C3686">
            <w:pPr>
              <w:pStyle w:val="Textpoznpodarou"/>
              <w:jc w:val="both"/>
              <w:rPr>
                <w:color w:val="1F497D" w:themeColor="text2"/>
              </w:rPr>
            </w:pPr>
            <w:r>
              <w:t>Nepatrně</w:t>
            </w:r>
            <w:r w:rsidRPr="005819C0">
              <w:t xml:space="preserve"> hlubší pokles cen dovozu</w:t>
            </w:r>
            <w:r>
              <w:t xml:space="preserve"> zboží</w:t>
            </w:r>
            <w:r w:rsidRPr="005819C0">
              <w:t xml:space="preserve"> v porovnání se snížením cen vývozu </w:t>
            </w:r>
            <w:r w:rsidRPr="005819C0">
              <w:rPr>
                <w:spacing w:val="-4"/>
              </w:rPr>
              <w:t xml:space="preserve">znamenal, že směnné relace </w:t>
            </w:r>
            <w:r>
              <w:rPr>
                <w:spacing w:val="-4"/>
              </w:rPr>
              <w:t>byly</w:t>
            </w:r>
            <w:r w:rsidRPr="005819C0">
              <w:rPr>
                <w:spacing w:val="-4"/>
              </w:rPr>
              <w:t xml:space="preserve"> v lednu až září 2015</w:t>
            </w:r>
            <w:r>
              <w:rPr>
                <w:spacing w:val="-4"/>
              </w:rPr>
              <w:t xml:space="preserve"> mírně kladné</w:t>
            </w:r>
            <w:r w:rsidRPr="005819C0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5819C0">
              <w:rPr>
                <w:spacing w:val="-4"/>
              </w:rPr>
              <w:t>100,1 %</w:t>
            </w:r>
            <w:r>
              <w:rPr>
                <w:spacing w:val="-4"/>
              </w:rPr>
              <w:t>)</w:t>
            </w:r>
            <w:r w:rsidRPr="005819C0">
              <w:rPr>
                <w:spacing w:val="-4"/>
              </w:rPr>
              <w:t xml:space="preserve">. </w:t>
            </w:r>
            <w:r w:rsidRPr="005819C0">
              <w:t>Podílel se na tom cenový vývoj v 1. čtvrtletí (101,0 %), protože ve 2. i 3. čtvrtletí 2015 byly směnné relace záporné (99,5 %, 99,9 %).</w:t>
            </w:r>
          </w:p>
        </w:tc>
      </w:tr>
    </w:tbl>
    <w:p w:rsidR="00886A8F" w:rsidRDefault="00886A8F" w:rsidP="007C605B"/>
    <w:tbl>
      <w:tblPr>
        <w:tblW w:w="5000" w:type="pct"/>
        <w:tblLook w:val="04A0"/>
      </w:tblPr>
      <w:tblGrid>
        <w:gridCol w:w="1104"/>
        <w:gridCol w:w="3823"/>
        <w:gridCol w:w="1135"/>
        <w:gridCol w:w="3792"/>
      </w:tblGrid>
      <w:tr w:rsidR="00886A8F" w:rsidRPr="005819C0" w:rsidTr="003C3686">
        <w:tc>
          <w:tcPr>
            <w:tcW w:w="560" w:type="pct"/>
          </w:tcPr>
          <w:p w:rsidR="00886A8F" w:rsidRPr="005819C0" w:rsidRDefault="00886A8F" w:rsidP="003C3686">
            <w:pPr>
              <w:pStyle w:val="Textpoznpodarou"/>
            </w:pPr>
            <w:r w:rsidRPr="005819C0">
              <w:t>Graf č. 11</w:t>
            </w:r>
          </w:p>
        </w:tc>
        <w:tc>
          <w:tcPr>
            <w:tcW w:w="1940" w:type="pct"/>
          </w:tcPr>
          <w:p w:rsidR="00886A8F" w:rsidRPr="005819C0" w:rsidRDefault="00886A8F" w:rsidP="003C3686">
            <w:pPr>
              <w:pStyle w:val="Textpoznpodarou"/>
            </w:pPr>
            <w:r w:rsidRPr="005819C0">
              <w:rPr>
                <w:b/>
              </w:rPr>
              <w:t>Spotřebitelské ceny jednotlivých typů domácností</w:t>
            </w:r>
            <w:r w:rsidRPr="005819C0">
              <w:t xml:space="preserve"> (y/y v %)</w:t>
            </w:r>
          </w:p>
        </w:tc>
        <w:tc>
          <w:tcPr>
            <w:tcW w:w="576" w:type="pct"/>
          </w:tcPr>
          <w:p w:rsidR="00886A8F" w:rsidRPr="005819C0" w:rsidRDefault="00886A8F" w:rsidP="003C3686">
            <w:pPr>
              <w:pStyle w:val="Textpoznpodarou"/>
            </w:pPr>
            <w:r w:rsidRPr="005819C0">
              <w:t>Graf č. 12</w:t>
            </w:r>
          </w:p>
        </w:tc>
        <w:tc>
          <w:tcPr>
            <w:tcW w:w="1924" w:type="pct"/>
          </w:tcPr>
          <w:p w:rsidR="00886A8F" w:rsidRPr="005819C0" w:rsidRDefault="00886A8F" w:rsidP="003C3686">
            <w:pPr>
              <w:pStyle w:val="Textpoznpodarou"/>
            </w:pPr>
            <w:r w:rsidRPr="005819C0">
              <w:rPr>
                <w:b/>
              </w:rPr>
              <w:t>Ceny ve vybraných oddílech indexu spotřebitelských cen</w:t>
            </w:r>
            <w:r w:rsidRPr="005819C0">
              <w:t xml:space="preserve"> (y/y v %)</w:t>
            </w:r>
          </w:p>
        </w:tc>
      </w:tr>
      <w:tr w:rsidR="00886A8F" w:rsidRPr="005819C0" w:rsidTr="003C3686">
        <w:tc>
          <w:tcPr>
            <w:tcW w:w="2499" w:type="pct"/>
            <w:gridSpan w:val="2"/>
          </w:tcPr>
          <w:p w:rsidR="00886A8F" w:rsidRPr="005819C0" w:rsidRDefault="007A4960" w:rsidP="003C3686">
            <w:pPr>
              <w:pStyle w:val="Textpoznpodarou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37pt;height:187.5pt;visibility:visible;mso-wrap-style:square">
                  <v:imagedata r:id="rId8" o:title=""/>
                </v:shape>
              </w:pict>
            </w:r>
          </w:p>
        </w:tc>
        <w:tc>
          <w:tcPr>
            <w:tcW w:w="2501" w:type="pct"/>
            <w:gridSpan w:val="2"/>
          </w:tcPr>
          <w:p w:rsidR="00886A8F" w:rsidRPr="005819C0" w:rsidRDefault="007A4960" w:rsidP="003C3686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36" type="#_x0000_t75" style="width:237pt;height:187.5pt;visibility:visible;mso-wrap-style:square">
                  <v:imagedata r:id="rId9" o:title=""/>
                </v:shape>
              </w:pict>
            </w:r>
          </w:p>
        </w:tc>
      </w:tr>
      <w:tr w:rsidR="00886A8F" w:rsidRPr="005819C0" w:rsidTr="003C3686">
        <w:tc>
          <w:tcPr>
            <w:tcW w:w="5000" w:type="pct"/>
            <w:gridSpan w:val="4"/>
          </w:tcPr>
          <w:p w:rsidR="00886A8F" w:rsidRPr="005819C0" w:rsidRDefault="00886A8F" w:rsidP="003C3686">
            <w:pPr>
              <w:pStyle w:val="Textpoznpodarou"/>
              <w:jc w:val="right"/>
              <w:rPr>
                <w:noProof/>
              </w:rPr>
            </w:pPr>
            <w:r w:rsidRPr="005819C0">
              <w:rPr>
                <w:sz w:val="18"/>
                <w:szCs w:val="18"/>
              </w:rPr>
              <w:t>Zdroj: ČSÚ</w:t>
            </w:r>
          </w:p>
        </w:tc>
      </w:tr>
    </w:tbl>
    <w:p w:rsidR="00886A8F" w:rsidRDefault="00886A8F" w:rsidP="007C605B"/>
    <w:tbl>
      <w:tblPr>
        <w:tblW w:w="5000" w:type="pct"/>
        <w:tblLook w:val="04A0"/>
      </w:tblPr>
      <w:tblGrid>
        <w:gridCol w:w="1104"/>
        <w:gridCol w:w="3823"/>
        <w:gridCol w:w="711"/>
        <w:gridCol w:w="4216"/>
      </w:tblGrid>
      <w:tr w:rsidR="00886A8F" w:rsidRPr="005819C0" w:rsidTr="00886A8F">
        <w:tc>
          <w:tcPr>
            <w:tcW w:w="560" w:type="pct"/>
          </w:tcPr>
          <w:p w:rsidR="00886A8F" w:rsidRPr="005819C0" w:rsidRDefault="00886A8F" w:rsidP="003C3686">
            <w:pPr>
              <w:pStyle w:val="Textpoznpodarou"/>
              <w:rPr>
                <w:lang w:eastAsia="en-US"/>
              </w:rPr>
            </w:pPr>
            <w:r w:rsidRPr="005819C0">
              <w:rPr>
                <w:lang w:eastAsia="en-US"/>
              </w:rPr>
              <w:t>Graf č. 13</w:t>
            </w:r>
          </w:p>
        </w:tc>
        <w:tc>
          <w:tcPr>
            <w:tcW w:w="1940" w:type="pct"/>
          </w:tcPr>
          <w:p w:rsidR="00886A8F" w:rsidRPr="005819C0" w:rsidRDefault="00886A8F" w:rsidP="003C3686">
            <w:pPr>
              <w:pStyle w:val="Textpoznpodarou"/>
              <w:rPr>
                <w:lang w:eastAsia="en-US"/>
              </w:rPr>
            </w:pPr>
            <w:r w:rsidRPr="00886A8F">
              <w:rPr>
                <w:b/>
                <w:lang w:eastAsia="en-US"/>
              </w:rPr>
              <w:t>Deflátory</w:t>
            </w:r>
            <w:r w:rsidRPr="005819C0">
              <w:rPr>
                <w:lang w:eastAsia="en-US"/>
              </w:rPr>
              <w:t xml:space="preserve"> (očištěno o sezónní a kalendářní vlivy, y/y v %)</w:t>
            </w:r>
          </w:p>
        </w:tc>
        <w:tc>
          <w:tcPr>
            <w:tcW w:w="360" w:type="pct"/>
          </w:tcPr>
          <w:p w:rsidR="00886A8F" w:rsidRPr="005819C0" w:rsidRDefault="00886A8F" w:rsidP="003C3686">
            <w:pPr>
              <w:pStyle w:val="Textpoznpodarou"/>
              <w:rPr>
                <w:lang w:eastAsia="en-US"/>
              </w:rPr>
            </w:pPr>
            <w:r w:rsidRPr="005819C0">
              <w:rPr>
                <w:lang w:eastAsia="en-US"/>
              </w:rPr>
              <w:t>Graf č. 14</w:t>
            </w:r>
          </w:p>
        </w:tc>
        <w:tc>
          <w:tcPr>
            <w:tcW w:w="2140" w:type="pct"/>
          </w:tcPr>
          <w:p w:rsidR="00886A8F" w:rsidRPr="005819C0" w:rsidRDefault="00886A8F" w:rsidP="003C3686">
            <w:pPr>
              <w:pStyle w:val="Textpoznpodarou"/>
              <w:rPr>
                <w:lang w:eastAsia="en-US"/>
              </w:rPr>
            </w:pPr>
            <w:r w:rsidRPr="00886A8F">
              <w:rPr>
                <w:b/>
                <w:lang w:eastAsia="en-US"/>
              </w:rPr>
              <w:t>Ceny výrobců</w:t>
            </w:r>
            <w:r w:rsidRPr="005819C0">
              <w:rPr>
                <w:lang w:eastAsia="en-US"/>
              </w:rPr>
              <w:t xml:space="preserve"> (y/y v %, ceny v zemědělství na pravé ose, ostatní na levé ose)</w:t>
            </w:r>
          </w:p>
        </w:tc>
      </w:tr>
      <w:tr w:rsidR="00886A8F" w:rsidRPr="005819C0" w:rsidTr="00886A8F">
        <w:tc>
          <w:tcPr>
            <w:tcW w:w="2500" w:type="pct"/>
            <w:gridSpan w:val="2"/>
          </w:tcPr>
          <w:p w:rsidR="00886A8F" w:rsidRPr="005819C0" w:rsidRDefault="007A4960" w:rsidP="00886A8F">
            <w:pPr>
              <w:pStyle w:val="Textpoznpodarou"/>
              <w:jc w:val="both"/>
              <w:rPr>
                <w:lang w:eastAsia="en-US"/>
              </w:rPr>
            </w:pPr>
            <w:r>
              <w:rPr>
                <w:noProof/>
              </w:rPr>
              <w:pict>
                <v:shape id="_x0000_i1037" type="#_x0000_t75" style="width:237pt;height:187.5pt;visibility:visible;mso-wrap-style:square">
                  <v:imagedata r:id="rId10" o:title=""/>
                </v:shape>
              </w:pict>
            </w:r>
          </w:p>
        </w:tc>
        <w:tc>
          <w:tcPr>
            <w:tcW w:w="2500" w:type="pct"/>
            <w:gridSpan w:val="2"/>
          </w:tcPr>
          <w:p w:rsidR="00886A8F" w:rsidRPr="005819C0" w:rsidRDefault="007A4960" w:rsidP="00886A8F">
            <w:pPr>
              <w:pStyle w:val="Textpoznpodarou"/>
              <w:jc w:val="both"/>
              <w:rPr>
                <w:lang w:eastAsia="en-US"/>
              </w:rPr>
            </w:pPr>
            <w:r>
              <w:rPr>
                <w:noProof/>
              </w:rPr>
              <w:pict>
                <v:shape id="_x0000_i1038" type="#_x0000_t75" style="width:237pt;height:186pt;visibility:visible;mso-wrap-style:square">
                  <v:imagedata r:id="rId11" o:title=""/>
                </v:shape>
              </w:pict>
            </w:r>
          </w:p>
        </w:tc>
      </w:tr>
      <w:tr w:rsidR="00886A8F" w:rsidRPr="005819C0" w:rsidTr="00886A8F">
        <w:tc>
          <w:tcPr>
            <w:tcW w:w="5000" w:type="pct"/>
            <w:gridSpan w:val="4"/>
          </w:tcPr>
          <w:p w:rsidR="00886A8F" w:rsidRPr="00886A8F" w:rsidRDefault="00886A8F" w:rsidP="00886A8F">
            <w:pPr>
              <w:pStyle w:val="Textpoznpodarou"/>
              <w:jc w:val="right"/>
              <w:rPr>
                <w:sz w:val="18"/>
                <w:szCs w:val="18"/>
                <w:lang w:eastAsia="en-US"/>
              </w:rPr>
            </w:pPr>
            <w:r w:rsidRPr="00886A8F">
              <w:rPr>
                <w:sz w:val="18"/>
                <w:szCs w:val="18"/>
                <w:lang w:eastAsia="en-US"/>
              </w:rPr>
              <w:t>Zdroj: ČSÚ</w:t>
            </w:r>
          </w:p>
        </w:tc>
      </w:tr>
    </w:tbl>
    <w:p w:rsidR="00886A8F" w:rsidRDefault="00886A8F" w:rsidP="007C605B"/>
    <w:p w:rsidR="00886A8F" w:rsidRDefault="00886A8F" w:rsidP="007C605B"/>
    <w:p w:rsidR="00886A8F" w:rsidRDefault="00886A8F" w:rsidP="007C605B"/>
    <w:p w:rsidR="00886A8F" w:rsidRDefault="00886A8F" w:rsidP="007C605B"/>
    <w:sectPr w:rsidR="00886A8F" w:rsidSect="00DF52F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4B" w:rsidRDefault="00463B4B" w:rsidP="00E71A58">
      <w:r>
        <w:separator/>
      </w:r>
    </w:p>
  </w:endnote>
  <w:endnote w:type="continuationSeparator" w:id="0">
    <w:p w:rsidR="00463B4B" w:rsidRDefault="00463B4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7A4960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463B4B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DF52F8">
      <w:rPr>
        <w:rFonts w:ascii="Arial" w:hAnsi="Arial" w:cs="Arial"/>
        <w:noProof/>
        <w:sz w:val="16"/>
        <w:szCs w:val="16"/>
      </w:rPr>
      <w:t>14</w:t>
    </w:r>
    <w:r w:rsidRPr="005A21E0">
      <w:rPr>
        <w:rFonts w:ascii="Arial" w:hAnsi="Arial" w:cs="Arial"/>
        <w:sz w:val="16"/>
        <w:szCs w:val="16"/>
      </w:rPr>
      <w:fldChar w:fldCharType="end"/>
    </w:r>
    <w:r w:rsidR="00463B4B">
      <w:rPr>
        <w:rFonts w:ascii="Arial" w:hAnsi="Arial" w:cs="Arial"/>
        <w:sz w:val="16"/>
        <w:szCs w:val="16"/>
      </w:rPr>
      <w:tab/>
      <w:t>2015</w:t>
    </w:r>
    <w:r w:rsidR="00463B4B">
      <w:tab/>
    </w:r>
    <w:r w:rsidR="00463B4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7A496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463B4B">
      <w:tab/>
    </w:r>
    <w:r w:rsidR="00463B4B">
      <w:tab/>
    </w:r>
    <w:r w:rsidR="00463B4B" w:rsidRPr="00DC5B3B">
      <w:t xml:space="preserve">                              </w:t>
    </w:r>
  </w:p>
  <w:p w:rsidR="00463B4B" w:rsidRPr="00223E00" w:rsidRDefault="00463B4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7A4960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7A4960" w:rsidRPr="00223E00">
      <w:rPr>
        <w:rFonts w:ascii="Arial" w:hAnsi="Arial" w:cs="Arial"/>
        <w:sz w:val="16"/>
        <w:szCs w:val="16"/>
      </w:rPr>
      <w:fldChar w:fldCharType="separate"/>
    </w:r>
    <w:r w:rsidR="00DF52F8">
      <w:rPr>
        <w:rFonts w:ascii="Arial" w:hAnsi="Arial" w:cs="Arial"/>
        <w:noProof/>
        <w:sz w:val="16"/>
        <w:szCs w:val="16"/>
      </w:rPr>
      <w:t>15</w:t>
    </w:r>
    <w:r w:rsidR="007A4960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4B" w:rsidRDefault="00463B4B" w:rsidP="00E71A58">
      <w:r>
        <w:separator/>
      </w:r>
    </w:p>
  </w:footnote>
  <w:footnote w:type="continuationSeparator" w:id="0">
    <w:p w:rsidR="00463B4B" w:rsidRDefault="00463B4B" w:rsidP="00E71A58">
      <w:r>
        <w:continuationSeparator/>
      </w:r>
    </w:p>
  </w:footnote>
  <w:footnote w:id="1">
    <w:p w:rsidR="00463B4B" w:rsidRPr="00FC7F3F" w:rsidRDefault="00463B4B" w:rsidP="00886A8F">
      <w:pPr>
        <w:pStyle w:val="Textpoznpodarou"/>
        <w:jc w:val="both"/>
        <w:rPr>
          <w:sz w:val="16"/>
          <w:szCs w:val="16"/>
        </w:rPr>
      </w:pPr>
      <w:r w:rsidRPr="00FC7F3F">
        <w:rPr>
          <w:rStyle w:val="Znakapoznpodarou"/>
        </w:rPr>
        <w:footnoteRef/>
      </w:r>
      <w:r w:rsidRPr="00FC7F3F">
        <w:t xml:space="preserve"> </w:t>
      </w:r>
      <w:r w:rsidRPr="00FC7F3F">
        <w:rPr>
          <w:sz w:val="16"/>
          <w:szCs w:val="16"/>
        </w:rPr>
        <w:t>Očištěno o sezónní a kalendářní vlivy.</w:t>
      </w:r>
    </w:p>
  </w:footnote>
  <w:footnote w:id="2">
    <w:p w:rsidR="00463B4B" w:rsidRPr="00FC7F3F" w:rsidRDefault="00463B4B" w:rsidP="00886A8F">
      <w:pPr>
        <w:pStyle w:val="Textpoznpodarou"/>
        <w:jc w:val="both"/>
      </w:pPr>
      <w:r w:rsidRPr="00FC7F3F">
        <w:rPr>
          <w:rStyle w:val="Znakapoznpodarou"/>
        </w:rPr>
        <w:footnoteRef/>
      </w:r>
      <w:r w:rsidRPr="00FC7F3F">
        <w:t xml:space="preserve"> </w:t>
      </w:r>
      <w:r w:rsidRPr="00FC7F3F">
        <w:rPr>
          <w:sz w:val="16"/>
          <w:szCs w:val="16"/>
        </w:rPr>
        <w:t xml:space="preserve">Benzin </w:t>
      </w:r>
      <w:proofErr w:type="spellStart"/>
      <w:r w:rsidRPr="00FC7F3F">
        <w:rPr>
          <w:sz w:val="16"/>
          <w:szCs w:val="16"/>
        </w:rPr>
        <w:t>Natural</w:t>
      </w:r>
      <w:proofErr w:type="spellEnd"/>
      <w:r w:rsidRPr="00FC7F3F">
        <w:rPr>
          <w:sz w:val="16"/>
          <w:szCs w:val="16"/>
        </w:rPr>
        <w:t xml:space="preserve"> 95 se ve 39. kalendářním týdnu 2015, to je na konci měsíce září, prodával v průměru za 31,43 korun. Ve stejném týdnu roku 2014 jeho cena činila 36,88 korun. Motorová nafta se prodávala</w:t>
      </w:r>
      <w:r>
        <w:rPr>
          <w:sz w:val="16"/>
          <w:szCs w:val="16"/>
        </w:rPr>
        <w:t xml:space="preserve"> za</w:t>
      </w:r>
      <w:r w:rsidRPr="00FC7F3F">
        <w:rPr>
          <w:sz w:val="16"/>
          <w:szCs w:val="16"/>
        </w:rPr>
        <w:t xml:space="preserve"> 30,19 korun, v roce 2014 stála 36,73 korun.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EFB"/>
    <w:multiLevelType w:val="hybridMultilevel"/>
    <w:tmpl w:val="7DFCCA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195"/>
    <w:rsid w:val="0001572B"/>
    <w:rsid w:val="0001573E"/>
    <w:rsid w:val="000162DB"/>
    <w:rsid w:val="00017F05"/>
    <w:rsid w:val="000202C6"/>
    <w:rsid w:val="00020946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5CCF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0F26"/>
    <w:rsid w:val="00062D43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4F41"/>
    <w:rsid w:val="000B7663"/>
    <w:rsid w:val="000C11D3"/>
    <w:rsid w:val="000C12F5"/>
    <w:rsid w:val="000C3408"/>
    <w:rsid w:val="000C6498"/>
    <w:rsid w:val="000D0D51"/>
    <w:rsid w:val="000D14B3"/>
    <w:rsid w:val="000D208B"/>
    <w:rsid w:val="000D2B8D"/>
    <w:rsid w:val="000D2E41"/>
    <w:rsid w:val="000D342A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90F"/>
    <w:rsid w:val="000F7E1B"/>
    <w:rsid w:val="00100014"/>
    <w:rsid w:val="0010039A"/>
    <w:rsid w:val="00101FB2"/>
    <w:rsid w:val="00102F02"/>
    <w:rsid w:val="0010385D"/>
    <w:rsid w:val="001041B6"/>
    <w:rsid w:val="001070EA"/>
    <w:rsid w:val="0011002A"/>
    <w:rsid w:val="001107CE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25326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1B27"/>
    <w:rsid w:val="00152046"/>
    <w:rsid w:val="00154147"/>
    <w:rsid w:val="00155746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3CB0"/>
    <w:rsid w:val="00174CE8"/>
    <w:rsid w:val="00175351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D9B"/>
    <w:rsid w:val="00191BAE"/>
    <w:rsid w:val="00193432"/>
    <w:rsid w:val="0019346C"/>
    <w:rsid w:val="00195444"/>
    <w:rsid w:val="001A2BDB"/>
    <w:rsid w:val="001A30F4"/>
    <w:rsid w:val="001A552F"/>
    <w:rsid w:val="001A56F3"/>
    <w:rsid w:val="001A750C"/>
    <w:rsid w:val="001B1D89"/>
    <w:rsid w:val="001B3110"/>
    <w:rsid w:val="001B4198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378E"/>
    <w:rsid w:val="001F3C79"/>
    <w:rsid w:val="001F3E68"/>
    <w:rsid w:val="001F4597"/>
    <w:rsid w:val="001F56A9"/>
    <w:rsid w:val="00200D15"/>
    <w:rsid w:val="00203074"/>
    <w:rsid w:val="00203B46"/>
    <w:rsid w:val="002048E1"/>
    <w:rsid w:val="00207DB6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4280"/>
    <w:rsid w:val="00235000"/>
    <w:rsid w:val="002350E3"/>
    <w:rsid w:val="00235330"/>
    <w:rsid w:val="00236443"/>
    <w:rsid w:val="0024077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57613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238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A7CDA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E73F2"/>
    <w:rsid w:val="002F33FB"/>
    <w:rsid w:val="002F7594"/>
    <w:rsid w:val="00301357"/>
    <w:rsid w:val="00301D0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39C"/>
    <w:rsid w:val="00327DEE"/>
    <w:rsid w:val="003329F3"/>
    <w:rsid w:val="0033352E"/>
    <w:rsid w:val="00333690"/>
    <w:rsid w:val="00333D20"/>
    <w:rsid w:val="003340EF"/>
    <w:rsid w:val="00334A49"/>
    <w:rsid w:val="0033536F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3686"/>
    <w:rsid w:val="003C4852"/>
    <w:rsid w:val="003C601E"/>
    <w:rsid w:val="003D2C4E"/>
    <w:rsid w:val="003D3600"/>
    <w:rsid w:val="003D3825"/>
    <w:rsid w:val="003D3EC4"/>
    <w:rsid w:val="003D4760"/>
    <w:rsid w:val="003D49DC"/>
    <w:rsid w:val="003D5D7A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05C1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3A3C"/>
    <w:rsid w:val="0042681B"/>
    <w:rsid w:val="0043068A"/>
    <w:rsid w:val="004306E0"/>
    <w:rsid w:val="00431D54"/>
    <w:rsid w:val="004329BE"/>
    <w:rsid w:val="00432C38"/>
    <w:rsid w:val="00437C76"/>
    <w:rsid w:val="0044105C"/>
    <w:rsid w:val="004441A0"/>
    <w:rsid w:val="00444268"/>
    <w:rsid w:val="004443BF"/>
    <w:rsid w:val="00444C19"/>
    <w:rsid w:val="00446892"/>
    <w:rsid w:val="00450C30"/>
    <w:rsid w:val="004540FF"/>
    <w:rsid w:val="004541F1"/>
    <w:rsid w:val="00455ECA"/>
    <w:rsid w:val="00460164"/>
    <w:rsid w:val="0046039A"/>
    <w:rsid w:val="00460A6B"/>
    <w:rsid w:val="00461977"/>
    <w:rsid w:val="004629FD"/>
    <w:rsid w:val="00463B4B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5230"/>
    <w:rsid w:val="004879E9"/>
    <w:rsid w:val="00487F81"/>
    <w:rsid w:val="00490247"/>
    <w:rsid w:val="0049104F"/>
    <w:rsid w:val="00491218"/>
    <w:rsid w:val="00491CFD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AD6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692E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21D6"/>
    <w:rsid w:val="005C3F9F"/>
    <w:rsid w:val="005C4A23"/>
    <w:rsid w:val="005C562C"/>
    <w:rsid w:val="005C5812"/>
    <w:rsid w:val="005C6400"/>
    <w:rsid w:val="005C7F1E"/>
    <w:rsid w:val="005D374F"/>
    <w:rsid w:val="005D5802"/>
    <w:rsid w:val="005D6CFC"/>
    <w:rsid w:val="005D73E2"/>
    <w:rsid w:val="005D757A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01D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67AB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404A7"/>
    <w:rsid w:val="006407F3"/>
    <w:rsid w:val="00644DFC"/>
    <w:rsid w:val="006451E4"/>
    <w:rsid w:val="006460B8"/>
    <w:rsid w:val="006504A0"/>
    <w:rsid w:val="006520C7"/>
    <w:rsid w:val="00652CBB"/>
    <w:rsid w:val="006530B8"/>
    <w:rsid w:val="006535D6"/>
    <w:rsid w:val="006572ED"/>
    <w:rsid w:val="00657E87"/>
    <w:rsid w:val="00660457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70FAC"/>
    <w:rsid w:val="006710C9"/>
    <w:rsid w:val="006716A5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2EE8"/>
    <w:rsid w:val="006A3CF3"/>
    <w:rsid w:val="006A568F"/>
    <w:rsid w:val="006A672B"/>
    <w:rsid w:val="006B3F8A"/>
    <w:rsid w:val="006B5CA3"/>
    <w:rsid w:val="006B6B3B"/>
    <w:rsid w:val="006B7714"/>
    <w:rsid w:val="006B78D8"/>
    <w:rsid w:val="006C090F"/>
    <w:rsid w:val="006C113F"/>
    <w:rsid w:val="006C2AED"/>
    <w:rsid w:val="006C38DD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1F4C"/>
    <w:rsid w:val="006E279A"/>
    <w:rsid w:val="006E2F3F"/>
    <w:rsid w:val="006E313B"/>
    <w:rsid w:val="006E442A"/>
    <w:rsid w:val="006E4434"/>
    <w:rsid w:val="006E5CFD"/>
    <w:rsid w:val="006F1326"/>
    <w:rsid w:val="006F2BEE"/>
    <w:rsid w:val="006F3708"/>
    <w:rsid w:val="006F3E6B"/>
    <w:rsid w:val="006F4619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A4960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7181"/>
    <w:rsid w:val="0082733C"/>
    <w:rsid w:val="00827746"/>
    <w:rsid w:val="0083143E"/>
    <w:rsid w:val="0083159D"/>
    <w:rsid w:val="008318FF"/>
    <w:rsid w:val="00832187"/>
    <w:rsid w:val="00832493"/>
    <w:rsid w:val="008336D8"/>
    <w:rsid w:val="008339C4"/>
    <w:rsid w:val="00834F0A"/>
    <w:rsid w:val="00834FAA"/>
    <w:rsid w:val="00835181"/>
    <w:rsid w:val="00836086"/>
    <w:rsid w:val="00841D9F"/>
    <w:rsid w:val="00842604"/>
    <w:rsid w:val="00843ECF"/>
    <w:rsid w:val="00846673"/>
    <w:rsid w:val="0085281A"/>
    <w:rsid w:val="008559FE"/>
    <w:rsid w:val="00857339"/>
    <w:rsid w:val="00860706"/>
    <w:rsid w:val="00862A7A"/>
    <w:rsid w:val="00863104"/>
    <w:rsid w:val="00863D9E"/>
    <w:rsid w:val="008642AF"/>
    <w:rsid w:val="00865ED4"/>
    <w:rsid w:val="008669A7"/>
    <w:rsid w:val="00867E29"/>
    <w:rsid w:val="00870F2B"/>
    <w:rsid w:val="008746E6"/>
    <w:rsid w:val="0087594C"/>
    <w:rsid w:val="00876086"/>
    <w:rsid w:val="008768D6"/>
    <w:rsid w:val="008775D1"/>
    <w:rsid w:val="008777BB"/>
    <w:rsid w:val="00877D68"/>
    <w:rsid w:val="00877E5D"/>
    <w:rsid w:val="00880150"/>
    <w:rsid w:val="00884D69"/>
    <w:rsid w:val="00886A8F"/>
    <w:rsid w:val="0088733A"/>
    <w:rsid w:val="00891BE0"/>
    <w:rsid w:val="00893302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D13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13EA"/>
    <w:rsid w:val="008D2A16"/>
    <w:rsid w:val="008D2ECF"/>
    <w:rsid w:val="008D3F3D"/>
    <w:rsid w:val="008E308D"/>
    <w:rsid w:val="008E31FF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4FCE"/>
    <w:rsid w:val="008F5301"/>
    <w:rsid w:val="008F6A0C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0077"/>
    <w:rsid w:val="00962D2E"/>
    <w:rsid w:val="00964498"/>
    <w:rsid w:val="0096504D"/>
    <w:rsid w:val="00965A2D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DBB"/>
    <w:rsid w:val="00983ECF"/>
    <w:rsid w:val="00986745"/>
    <w:rsid w:val="00987109"/>
    <w:rsid w:val="00987309"/>
    <w:rsid w:val="0099012D"/>
    <w:rsid w:val="00990363"/>
    <w:rsid w:val="009954FF"/>
    <w:rsid w:val="009961BC"/>
    <w:rsid w:val="00996355"/>
    <w:rsid w:val="009A2014"/>
    <w:rsid w:val="009A3A87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2BA8"/>
    <w:rsid w:val="00A1420C"/>
    <w:rsid w:val="00A14821"/>
    <w:rsid w:val="00A17754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57F1B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4628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1B8A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3681"/>
    <w:rsid w:val="00B15DCD"/>
    <w:rsid w:val="00B17E71"/>
    <w:rsid w:val="00B17FDE"/>
    <w:rsid w:val="00B208FC"/>
    <w:rsid w:val="00B20C65"/>
    <w:rsid w:val="00B22E17"/>
    <w:rsid w:val="00B266C5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7CB8"/>
    <w:rsid w:val="00C00F20"/>
    <w:rsid w:val="00C01700"/>
    <w:rsid w:val="00C034E6"/>
    <w:rsid w:val="00C05715"/>
    <w:rsid w:val="00C0592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76C5"/>
    <w:rsid w:val="00C503B0"/>
    <w:rsid w:val="00C511C2"/>
    <w:rsid w:val="00C53D82"/>
    <w:rsid w:val="00C60696"/>
    <w:rsid w:val="00C60EEF"/>
    <w:rsid w:val="00C615F1"/>
    <w:rsid w:val="00C61627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1DAF"/>
    <w:rsid w:val="00CC2642"/>
    <w:rsid w:val="00CC2A36"/>
    <w:rsid w:val="00CC2E15"/>
    <w:rsid w:val="00CC3908"/>
    <w:rsid w:val="00CC62AD"/>
    <w:rsid w:val="00CC7B80"/>
    <w:rsid w:val="00CD2B3C"/>
    <w:rsid w:val="00CD30F6"/>
    <w:rsid w:val="00CD4B29"/>
    <w:rsid w:val="00CD6954"/>
    <w:rsid w:val="00CD6EF1"/>
    <w:rsid w:val="00CE21C7"/>
    <w:rsid w:val="00CE57D8"/>
    <w:rsid w:val="00CE617A"/>
    <w:rsid w:val="00CF25D2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0336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26A"/>
    <w:rsid w:val="00DC257F"/>
    <w:rsid w:val="00DC350B"/>
    <w:rsid w:val="00DC3790"/>
    <w:rsid w:val="00DC408A"/>
    <w:rsid w:val="00DC5B3B"/>
    <w:rsid w:val="00DC6796"/>
    <w:rsid w:val="00DC78DF"/>
    <w:rsid w:val="00DD0821"/>
    <w:rsid w:val="00DD0E32"/>
    <w:rsid w:val="00DD2BFE"/>
    <w:rsid w:val="00DD373E"/>
    <w:rsid w:val="00DD57AD"/>
    <w:rsid w:val="00DE009B"/>
    <w:rsid w:val="00DE0C31"/>
    <w:rsid w:val="00DE2ED9"/>
    <w:rsid w:val="00DE319A"/>
    <w:rsid w:val="00DF0DC3"/>
    <w:rsid w:val="00DF21FD"/>
    <w:rsid w:val="00DF2873"/>
    <w:rsid w:val="00DF52F8"/>
    <w:rsid w:val="00DF5578"/>
    <w:rsid w:val="00DF78DD"/>
    <w:rsid w:val="00DF7FEC"/>
    <w:rsid w:val="00E01C0E"/>
    <w:rsid w:val="00E03B27"/>
    <w:rsid w:val="00E04694"/>
    <w:rsid w:val="00E049F6"/>
    <w:rsid w:val="00E05B2B"/>
    <w:rsid w:val="00E06A2A"/>
    <w:rsid w:val="00E07F05"/>
    <w:rsid w:val="00E127E1"/>
    <w:rsid w:val="00E144D2"/>
    <w:rsid w:val="00E15346"/>
    <w:rsid w:val="00E15B7D"/>
    <w:rsid w:val="00E2097E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2444"/>
    <w:rsid w:val="00E438CF"/>
    <w:rsid w:val="00E43C41"/>
    <w:rsid w:val="00E4500E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61EA8"/>
    <w:rsid w:val="00E70510"/>
    <w:rsid w:val="00E71262"/>
    <w:rsid w:val="00E71A58"/>
    <w:rsid w:val="00E737F6"/>
    <w:rsid w:val="00E7568F"/>
    <w:rsid w:val="00E7724B"/>
    <w:rsid w:val="00E84F21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A76FD"/>
    <w:rsid w:val="00EB0555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07DD"/>
    <w:rsid w:val="00F318FC"/>
    <w:rsid w:val="00F31F76"/>
    <w:rsid w:val="00F3364D"/>
    <w:rsid w:val="00F35ACD"/>
    <w:rsid w:val="00F365BF"/>
    <w:rsid w:val="00F36BF8"/>
    <w:rsid w:val="00F375BA"/>
    <w:rsid w:val="00F37760"/>
    <w:rsid w:val="00F403D1"/>
    <w:rsid w:val="00F43921"/>
    <w:rsid w:val="00F4591F"/>
    <w:rsid w:val="00F4736B"/>
    <w:rsid w:val="00F47D05"/>
    <w:rsid w:val="00F50030"/>
    <w:rsid w:val="00F50B9D"/>
    <w:rsid w:val="00F51FC9"/>
    <w:rsid w:val="00F541ED"/>
    <w:rsid w:val="00F54B31"/>
    <w:rsid w:val="00F54FD3"/>
    <w:rsid w:val="00F55605"/>
    <w:rsid w:val="00F57CD7"/>
    <w:rsid w:val="00F62F02"/>
    <w:rsid w:val="00F63DDE"/>
    <w:rsid w:val="00F63FB7"/>
    <w:rsid w:val="00F64726"/>
    <w:rsid w:val="00F6561A"/>
    <w:rsid w:val="00F70309"/>
    <w:rsid w:val="00F727D5"/>
    <w:rsid w:val="00F72F44"/>
    <w:rsid w:val="00F73A0C"/>
    <w:rsid w:val="00F759D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95117"/>
    <w:rsid w:val="00FA05D7"/>
    <w:rsid w:val="00FA1C6C"/>
    <w:rsid w:val="00FA2447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2F78"/>
    <w:rsid w:val="00FE3510"/>
    <w:rsid w:val="00FE371D"/>
    <w:rsid w:val="00FE375F"/>
    <w:rsid w:val="00FE4FCB"/>
    <w:rsid w:val="00FE705E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F9216-F205-492A-B115-69C2737E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198</TotalTime>
  <Pages>3</Pages>
  <Words>1735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kucera4376</cp:lastModifiedBy>
  <cp:revision>67</cp:revision>
  <cp:lastPrinted>2015-06-19T06:21:00Z</cp:lastPrinted>
  <dcterms:created xsi:type="dcterms:W3CDTF">2015-12-16T13:30:00Z</dcterms:created>
  <dcterms:modified xsi:type="dcterms:W3CDTF">2015-12-18T12:39:00Z</dcterms:modified>
</cp:coreProperties>
</file>