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33" w:rsidRDefault="00BB4CE4">
      <w:pPr>
        <w:pStyle w:val="Zkladntext2"/>
        <w:jc w:val="center"/>
        <w:rPr>
          <w:rFonts w:cs="Arial"/>
          <w:b/>
          <w:bCs/>
          <w:sz w:val="24"/>
        </w:rPr>
      </w:pPr>
      <w:r>
        <w:rPr>
          <w:rFonts w:cs="Arial"/>
          <w:b/>
          <w:bCs/>
          <w:sz w:val="24"/>
        </w:rPr>
        <w:t>M</w:t>
      </w:r>
      <w:r w:rsidR="003A7B33">
        <w:rPr>
          <w:rFonts w:cs="Arial"/>
          <w:b/>
          <w:bCs/>
          <w:sz w:val="24"/>
        </w:rPr>
        <w:t>ETODICK</w:t>
      </w:r>
      <w:r>
        <w:rPr>
          <w:rFonts w:cs="Arial"/>
          <w:b/>
          <w:bCs/>
          <w:sz w:val="24"/>
        </w:rPr>
        <w:t xml:space="preserve">É   </w:t>
      </w:r>
      <w:r w:rsidR="003A7B33">
        <w:rPr>
          <w:rFonts w:cs="Arial"/>
          <w:b/>
          <w:bCs/>
          <w:sz w:val="24"/>
        </w:rPr>
        <w:t>VYSVĚTLIVKY</w:t>
      </w:r>
    </w:p>
    <w:p w:rsidR="003A7B33" w:rsidRDefault="003A7B33">
      <w:pPr>
        <w:pStyle w:val="Zkladntext2"/>
        <w:rPr>
          <w:rFonts w:cs="Arial"/>
          <w:b/>
          <w:bCs/>
        </w:rPr>
      </w:pPr>
    </w:p>
    <w:p w:rsidR="00793E24" w:rsidRDefault="00793E24" w:rsidP="00793E24">
      <w:pPr>
        <w:rPr>
          <w:rFonts w:ascii="Arial" w:hAnsi="Arial" w:cs="Arial"/>
          <w:sz w:val="20"/>
          <w:szCs w:val="20"/>
        </w:rPr>
      </w:pPr>
    </w:p>
    <w:p w:rsidR="00571C9F" w:rsidRDefault="00571C9F" w:rsidP="000E3097">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rsidR="00793E24" w:rsidRPr="00793E24" w:rsidRDefault="00793E24" w:rsidP="000E3097">
      <w:pPr>
        <w:pBdr>
          <w:top w:val="single" w:sz="4" w:space="1" w:color="auto"/>
          <w:left w:val="single" w:sz="4" w:space="0" w:color="auto"/>
          <w:bottom w:val="single" w:sz="4" w:space="1" w:color="auto"/>
          <w:right w:val="single" w:sz="4" w:space="4" w:color="auto"/>
        </w:pBdr>
        <w:jc w:val="both"/>
        <w:rPr>
          <w:rFonts w:ascii="Arial" w:hAnsi="Arial" w:cs="Arial"/>
          <w:sz w:val="20"/>
          <w:szCs w:val="20"/>
        </w:rPr>
      </w:pPr>
      <w:r w:rsidRPr="00793E24">
        <w:rPr>
          <w:rFonts w:ascii="Arial" w:hAnsi="Arial" w:cs="Arial"/>
          <w:sz w:val="20"/>
          <w:szCs w:val="20"/>
        </w:rPr>
        <w:t xml:space="preserve">Cenové </w:t>
      </w:r>
      <w:r w:rsidRPr="00793E24">
        <w:rPr>
          <w:rFonts w:ascii="Arial" w:hAnsi="Arial" w:cs="Arial"/>
          <w:b/>
          <w:sz w:val="20"/>
          <w:szCs w:val="20"/>
        </w:rPr>
        <w:t>indexy tržních služeb</w:t>
      </w:r>
      <w:r w:rsidRPr="00793E24">
        <w:rPr>
          <w:rFonts w:ascii="Arial" w:hAnsi="Arial" w:cs="Arial"/>
          <w:sz w:val="20"/>
          <w:szCs w:val="20"/>
        </w:rPr>
        <w:t xml:space="preserve"> </w:t>
      </w:r>
      <w:r w:rsidR="00571C9F">
        <w:rPr>
          <w:rFonts w:ascii="Arial" w:hAnsi="Arial" w:cs="Arial"/>
          <w:sz w:val="20"/>
          <w:szCs w:val="20"/>
        </w:rPr>
        <w:t>jsou</w:t>
      </w:r>
      <w:r w:rsidRPr="00793E24">
        <w:rPr>
          <w:rFonts w:ascii="Arial" w:hAnsi="Arial" w:cs="Arial"/>
          <w:sz w:val="20"/>
          <w:szCs w:val="20"/>
        </w:rPr>
        <w:t xml:space="preserve"> od ledna 2013 počítány na nových vahách, založených na struktuře tržeb roku 2011. Nově vypočtené indexy k základu průměr roku 2011 = 100 </w:t>
      </w:r>
      <w:r w:rsidR="00571C9F">
        <w:rPr>
          <w:rFonts w:ascii="Arial" w:hAnsi="Arial" w:cs="Arial"/>
          <w:sz w:val="20"/>
          <w:szCs w:val="20"/>
        </w:rPr>
        <w:t>jsou</w:t>
      </w:r>
      <w:r w:rsidRPr="00793E24">
        <w:rPr>
          <w:rFonts w:ascii="Arial" w:hAnsi="Arial" w:cs="Arial"/>
          <w:sz w:val="20"/>
          <w:szCs w:val="20"/>
        </w:rPr>
        <w:t xml:space="preserve"> řetězeny ke stávajícímu cenovému zá</w:t>
      </w:r>
      <w:r w:rsidR="000E3097">
        <w:rPr>
          <w:rFonts w:ascii="Arial" w:hAnsi="Arial" w:cs="Arial"/>
          <w:sz w:val="20"/>
          <w:szCs w:val="20"/>
        </w:rPr>
        <w:t>kladu průměr roku 2005 = 100.</w:t>
      </w:r>
    </w:p>
    <w:p w:rsidR="00D90030" w:rsidRDefault="00D90030" w:rsidP="000E3097">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rsidR="00793E24" w:rsidRPr="00793E24" w:rsidRDefault="003A7B33" w:rsidP="00793E24">
      <w:pPr>
        <w:pStyle w:val="Zkladntext2"/>
        <w:rPr>
          <w:rFonts w:cs="Arial"/>
          <w:b/>
          <w:bCs/>
        </w:rPr>
      </w:pPr>
      <w:r>
        <w:rPr>
          <w:rFonts w:cs="Arial"/>
          <w:b/>
          <w:bCs/>
        </w:rPr>
        <w:tab/>
      </w:r>
    </w:p>
    <w:p w:rsidR="003A7B33" w:rsidRDefault="003A7B33">
      <w:pPr>
        <w:pStyle w:val="Zkladntext2"/>
        <w:rPr>
          <w:rFonts w:cs="Arial"/>
        </w:rPr>
      </w:pPr>
      <w:r>
        <w:rPr>
          <w:rFonts w:cs="Arial"/>
        </w:rPr>
        <w:tab/>
        <w:t xml:space="preserve">Cenové indexy jsou počítány na základě cen za výběrové soubory reprezentantů do úhrnu pomocí výpočetního vzorce typu Laspeyres. Pro výpočet se používají váhy základního období (t.j. roční struktura tržeb, výnosů apod.). </w:t>
      </w:r>
    </w:p>
    <w:p w:rsidR="003A7B33" w:rsidRDefault="003A7B33">
      <w:pPr>
        <w:pStyle w:val="Zkladntext2"/>
      </w:pPr>
    </w:p>
    <w:p w:rsidR="003A7B33" w:rsidRDefault="003A7B33">
      <w:pPr>
        <w:pStyle w:val="Zkladntext2"/>
        <w:jc w:val="center"/>
      </w:pPr>
      <w:r>
        <w:rPr>
          <w:position w:val="-30"/>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3.25pt" o:ole="">
            <v:imagedata r:id="rId7" o:title=""/>
          </v:shape>
          <o:OLEObject Type="Embed" ProgID="Equation.3" ShapeID="_x0000_i1025" DrawAspect="Content" ObjectID="_1454227414" r:id="rId8"/>
        </w:object>
      </w:r>
    </w:p>
    <w:p w:rsidR="003A7B33" w:rsidRDefault="003A7B33">
      <w:pPr>
        <w:pStyle w:val="Zkladntext2"/>
      </w:pPr>
    </w:p>
    <w:p w:rsidR="003A7B33" w:rsidRDefault="003A7B33">
      <w:pPr>
        <w:pStyle w:val="Zkladntext2"/>
        <w:rPr>
          <w:rFonts w:cs="Arial"/>
        </w:rPr>
      </w:pPr>
      <w:r>
        <w:rPr>
          <w:rFonts w:cs="Arial"/>
        </w:rPr>
        <w:t>p</w:t>
      </w:r>
      <w:r>
        <w:rPr>
          <w:rFonts w:cs="Arial"/>
          <w:vertAlign w:val="subscript"/>
        </w:rPr>
        <w:t>1</w:t>
      </w:r>
      <w:r>
        <w:rPr>
          <w:rFonts w:cs="Arial"/>
        </w:rPr>
        <w:t xml:space="preserve">    - cena ve sledovaném období</w:t>
      </w:r>
    </w:p>
    <w:p w:rsidR="003A7B33" w:rsidRDefault="003A7B33">
      <w:pPr>
        <w:pStyle w:val="Zkladntext2"/>
      </w:pPr>
      <w:r>
        <w:t>p</w:t>
      </w:r>
      <w:r>
        <w:rPr>
          <w:vertAlign w:val="subscript"/>
        </w:rPr>
        <w:t>o</w:t>
      </w:r>
      <w:r>
        <w:t xml:space="preserve">    ­ cena v základním období</w:t>
      </w:r>
      <w:r>
        <w:tab/>
      </w:r>
      <w:r>
        <w:tab/>
      </w:r>
    </w:p>
    <w:p w:rsidR="003A7B33" w:rsidRDefault="003A7B33">
      <w:pPr>
        <w:pStyle w:val="Zkladntext2"/>
        <w:rPr>
          <w:rFonts w:cs="Arial"/>
        </w:rPr>
      </w:pPr>
      <w:r>
        <w:rPr>
          <w:rFonts w:cs="Arial"/>
        </w:rPr>
        <w:t>p</w:t>
      </w:r>
      <w:r>
        <w:rPr>
          <w:rFonts w:cs="Arial"/>
          <w:vertAlign w:val="subscript"/>
        </w:rPr>
        <w:t>o</w:t>
      </w:r>
      <w:r>
        <w:rPr>
          <w:rFonts w:cs="Arial"/>
        </w:rPr>
        <w:t>q</w:t>
      </w:r>
      <w:r>
        <w:rPr>
          <w:rFonts w:cs="Arial"/>
          <w:vertAlign w:val="subscript"/>
        </w:rPr>
        <w:t>o</w:t>
      </w:r>
      <w:r>
        <w:rPr>
          <w:rFonts w:cs="Arial"/>
        </w:rPr>
        <w:t xml:space="preserve"> - stálá váha - hodnotový ukazatel základního období</w:t>
      </w:r>
    </w:p>
    <w:p w:rsidR="003A7B33" w:rsidRDefault="003A7B33">
      <w:pPr>
        <w:pStyle w:val="Zkladntext2"/>
        <w:rPr>
          <w:rFonts w:cs="Arial"/>
        </w:rPr>
      </w:pPr>
      <w:r>
        <w:rPr>
          <w:rFonts w:cs="Arial"/>
        </w:rPr>
        <w:t xml:space="preserve">           (tržby, výnosy apod.)</w:t>
      </w:r>
    </w:p>
    <w:p w:rsidR="003A7B33" w:rsidRDefault="003A7B33">
      <w:pPr>
        <w:pStyle w:val="Zkladntext2"/>
        <w:rPr>
          <w:rFonts w:cs="Arial"/>
        </w:rPr>
      </w:pPr>
    </w:p>
    <w:p w:rsidR="00571C9F" w:rsidRDefault="00571C9F">
      <w:pPr>
        <w:pStyle w:val="Zkladntext2"/>
        <w:rPr>
          <w:rFonts w:cs="Arial"/>
        </w:rPr>
      </w:pPr>
    </w:p>
    <w:p w:rsidR="003A7B33" w:rsidRDefault="003A7B33">
      <w:pPr>
        <w:pStyle w:val="Zkladntext2"/>
        <w:rPr>
          <w:rFonts w:cs="Arial"/>
        </w:rPr>
      </w:pPr>
      <w:r>
        <w:rPr>
          <w:rFonts w:cs="Arial"/>
        </w:rPr>
        <w:tab/>
        <w:t xml:space="preserve">Předmětem statistického zjišťování jsou </w:t>
      </w:r>
      <w:r>
        <w:rPr>
          <w:rFonts w:cs="Arial"/>
          <w:b/>
          <w:bCs/>
        </w:rPr>
        <w:t>ceny služeb určených převážně pro podnikovou sféru na tuzemském trhu</w:t>
      </w:r>
      <w:r>
        <w:rPr>
          <w:rFonts w:cs="Arial"/>
        </w:rPr>
        <w:t>. Sledovanými cenami jsou převážně realizační smluvní ceny, popř. katalogové, které jsou očištěny od daně z přidané hodnoty.</w:t>
      </w:r>
    </w:p>
    <w:p w:rsidR="003A7B33" w:rsidRDefault="003A7B33">
      <w:pPr>
        <w:pStyle w:val="Zkladntext2"/>
      </w:pPr>
    </w:p>
    <w:p w:rsidR="0089498A" w:rsidRDefault="0089498A">
      <w:pPr>
        <w:pStyle w:val="Zkladntext2"/>
      </w:pPr>
    </w:p>
    <w:p w:rsidR="003A7B33" w:rsidRPr="0089498A" w:rsidRDefault="003A7B33">
      <w:pPr>
        <w:pStyle w:val="Zkladntext2"/>
      </w:pPr>
      <w:r>
        <w:rPr>
          <w:rFonts w:cs="Arial"/>
          <w:b/>
          <w:bCs/>
          <w:sz w:val="22"/>
          <w:u w:val="single"/>
        </w:rPr>
        <w:t>Celkový index cen tržních služeb pro podnikatelskou sféru</w:t>
      </w:r>
    </w:p>
    <w:p w:rsidR="003A7B33" w:rsidRDefault="003A7B33">
      <w:pPr>
        <w:pStyle w:val="Zkladntext2"/>
        <w:rPr>
          <w:rFonts w:cs="Arial"/>
          <w:b/>
          <w:bCs/>
          <w:u w:val="single"/>
        </w:rPr>
      </w:pPr>
    </w:p>
    <w:p w:rsidR="003A7B33" w:rsidRDefault="003A7B33">
      <w:pPr>
        <w:pStyle w:val="Zkladntext2"/>
        <w:rPr>
          <w:rFonts w:cs="Arial"/>
        </w:rPr>
      </w:pPr>
      <w:r>
        <w:rPr>
          <w:rFonts w:cs="Arial"/>
        </w:rPr>
        <w:tab/>
      </w:r>
    </w:p>
    <w:p w:rsidR="003A7B33" w:rsidRDefault="003A7B33">
      <w:pPr>
        <w:pStyle w:val="Zkladntext2"/>
        <w:rPr>
          <w:rFonts w:cs="Arial"/>
        </w:rPr>
      </w:pPr>
      <w:r>
        <w:rPr>
          <w:rFonts w:cs="Arial"/>
        </w:rPr>
        <w:tab/>
        <w:t>Úhrnný cenový index tržních služeb v podnikatelské sféře je složen z dílčích cenových indexů následujících vybraných služeb (členění do sekcí a oddílů dle </w:t>
      </w:r>
      <w:r>
        <w:rPr>
          <w:rFonts w:cs="Arial"/>
          <w:b/>
          <w:bCs/>
        </w:rPr>
        <w:t>Klasifikace produkce CZ-CPA</w:t>
      </w:r>
      <w:r>
        <w:rPr>
          <w:rFonts w:cs="Arial"/>
        </w:rPr>
        <w:t>):</w:t>
      </w:r>
    </w:p>
    <w:p w:rsidR="003A7B33" w:rsidRDefault="003A7B33">
      <w:pPr>
        <w:pStyle w:val="Zkladntext2"/>
        <w:rPr>
          <w:rFonts w:cs="Arial"/>
        </w:rPr>
      </w:pPr>
    </w:p>
    <w:p w:rsidR="003A7B33" w:rsidRDefault="003A7B33">
      <w:pPr>
        <w:pStyle w:val="Zkladntext2"/>
        <w:rPr>
          <w:rFonts w:cs="Arial"/>
        </w:rPr>
      </w:pPr>
      <w:r>
        <w:rPr>
          <w:rFonts w:cs="Arial"/>
        </w:rPr>
        <w:tab/>
      </w:r>
      <w:r>
        <w:rPr>
          <w:rFonts w:cs="Arial"/>
        </w:rPr>
        <w:tab/>
      </w:r>
    </w:p>
    <w:p w:rsidR="00545468" w:rsidRDefault="003A7B33">
      <w:pPr>
        <w:pStyle w:val="Zkladntext2"/>
        <w:rPr>
          <w:rFonts w:cs="Arial"/>
        </w:rPr>
      </w:pPr>
      <w:r>
        <w:rPr>
          <w:rFonts w:cs="Arial"/>
        </w:rPr>
        <w:t>H</w:t>
      </w:r>
      <w:r>
        <w:rPr>
          <w:rFonts w:cs="Arial"/>
        </w:rPr>
        <w:tab/>
        <w:t>49</w:t>
      </w:r>
      <w:r>
        <w:rPr>
          <w:rFonts w:cs="Arial"/>
        </w:rPr>
        <w:tab/>
      </w:r>
      <w:r w:rsidR="00545468">
        <w:rPr>
          <w:rFonts w:cs="Arial"/>
        </w:rPr>
        <w:t>Pozemní a potrubní doprava</w:t>
      </w:r>
    </w:p>
    <w:p w:rsidR="003A7B33" w:rsidRDefault="00545468">
      <w:pPr>
        <w:pStyle w:val="Zkladntext2"/>
        <w:rPr>
          <w:rFonts w:cs="Arial"/>
        </w:rPr>
      </w:pPr>
      <w:r>
        <w:rPr>
          <w:rFonts w:cs="Arial"/>
        </w:rPr>
        <w:tab/>
        <w:t>50</w:t>
      </w:r>
      <w:r>
        <w:rPr>
          <w:rFonts w:cs="Arial"/>
        </w:rPr>
        <w:tab/>
        <w:t>Vodní doprava</w:t>
      </w:r>
      <w:r w:rsidR="003A7B33">
        <w:rPr>
          <w:rFonts w:cs="Arial"/>
        </w:rPr>
        <w:t> </w:t>
      </w:r>
    </w:p>
    <w:p w:rsidR="003A7B33" w:rsidRDefault="003A7B33">
      <w:pPr>
        <w:pStyle w:val="Zkladntext2"/>
        <w:numPr>
          <w:ilvl w:val="0"/>
          <w:numId w:val="2"/>
        </w:numPr>
        <w:rPr>
          <w:rFonts w:cs="Arial"/>
        </w:rPr>
      </w:pPr>
      <w:r>
        <w:rPr>
          <w:rFonts w:cs="Arial"/>
        </w:rPr>
        <w:t xml:space="preserve">Skladování a </w:t>
      </w:r>
      <w:r w:rsidR="00545468">
        <w:rPr>
          <w:rFonts w:cs="Arial"/>
        </w:rPr>
        <w:t>podpůrné služby v dopravě</w:t>
      </w:r>
    </w:p>
    <w:p w:rsidR="003A7B33" w:rsidRDefault="003A7B33">
      <w:pPr>
        <w:pStyle w:val="Zkladntext2"/>
        <w:rPr>
          <w:rFonts w:cs="Arial"/>
        </w:rPr>
      </w:pPr>
      <w:r>
        <w:rPr>
          <w:rFonts w:cs="Arial"/>
        </w:rPr>
        <w:tab/>
        <w:t>53</w:t>
      </w:r>
      <w:r>
        <w:rPr>
          <w:rFonts w:cs="Arial"/>
        </w:rPr>
        <w:tab/>
        <w:t>Poštovní a kurýrní služby</w:t>
      </w:r>
    </w:p>
    <w:p w:rsidR="00884F4F" w:rsidRDefault="00884F4F">
      <w:pPr>
        <w:pStyle w:val="Zkladntext2"/>
        <w:rPr>
          <w:rFonts w:cs="Arial"/>
        </w:rPr>
      </w:pPr>
    </w:p>
    <w:p w:rsidR="00545468" w:rsidRDefault="003A7B33">
      <w:pPr>
        <w:pStyle w:val="Zkladntext2"/>
        <w:rPr>
          <w:rFonts w:cs="Arial"/>
        </w:rPr>
      </w:pPr>
      <w:r>
        <w:rPr>
          <w:rFonts w:cs="Arial"/>
        </w:rPr>
        <w:t>J</w:t>
      </w:r>
      <w:r>
        <w:rPr>
          <w:rFonts w:cs="Arial"/>
        </w:rPr>
        <w:tab/>
      </w:r>
      <w:r w:rsidR="00545468">
        <w:rPr>
          <w:rFonts w:cs="Arial"/>
        </w:rPr>
        <w:t>58</w:t>
      </w:r>
      <w:r w:rsidR="00545468">
        <w:rPr>
          <w:rFonts w:cs="Arial"/>
        </w:rPr>
        <w:tab/>
        <w:t>Vydavatelské služby</w:t>
      </w:r>
    </w:p>
    <w:p w:rsidR="003A7B33" w:rsidRDefault="00545468">
      <w:pPr>
        <w:pStyle w:val="Zkladntext2"/>
        <w:rPr>
          <w:rFonts w:cs="Arial"/>
        </w:rPr>
      </w:pPr>
      <w:r>
        <w:rPr>
          <w:rFonts w:cs="Arial"/>
        </w:rPr>
        <w:tab/>
      </w:r>
      <w:r w:rsidR="003A7B33">
        <w:rPr>
          <w:rFonts w:cs="Arial"/>
        </w:rPr>
        <w:t>61</w:t>
      </w:r>
      <w:r w:rsidR="003A7B33">
        <w:rPr>
          <w:rFonts w:cs="Arial"/>
        </w:rPr>
        <w:tab/>
        <w:t>Telekomunikační služby</w:t>
      </w:r>
    </w:p>
    <w:p w:rsidR="003A7B33" w:rsidRDefault="003A7B33">
      <w:pPr>
        <w:pStyle w:val="Zkladntext2"/>
        <w:rPr>
          <w:rFonts w:cs="Arial"/>
        </w:rPr>
      </w:pPr>
      <w:r>
        <w:rPr>
          <w:rFonts w:cs="Arial"/>
        </w:rPr>
        <w:tab/>
        <w:t>62</w:t>
      </w:r>
      <w:r>
        <w:rPr>
          <w:rFonts w:cs="Arial"/>
        </w:rPr>
        <w:tab/>
        <w:t>Služby v oblasti programování a poradenství a související služby</w:t>
      </w:r>
    </w:p>
    <w:p w:rsidR="003A7B33" w:rsidRDefault="003A7B33">
      <w:pPr>
        <w:pStyle w:val="Zkladntext2"/>
        <w:numPr>
          <w:ilvl w:val="0"/>
          <w:numId w:val="3"/>
        </w:numPr>
        <w:rPr>
          <w:rFonts w:cs="Arial"/>
        </w:rPr>
      </w:pPr>
      <w:r>
        <w:rPr>
          <w:rFonts w:cs="Arial"/>
        </w:rPr>
        <w:t xml:space="preserve">Informační služby </w:t>
      </w:r>
    </w:p>
    <w:p w:rsidR="003A7B33" w:rsidRDefault="003A7B33">
      <w:pPr>
        <w:pStyle w:val="Zkladntext2"/>
        <w:rPr>
          <w:rFonts w:cs="Arial"/>
        </w:rPr>
      </w:pPr>
    </w:p>
    <w:p w:rsidR="003A7B33" w:rsidRDefault="003A7B33">
      <w:pPr>
        <w:pStyle w:val="Zkladntext2"/>
        <w:rPr>
          <w:rFonts w:cs="Arial"/>
        </w:rPr>
      </w:pPr>
      <w:r>
        <w:rPr>
          <w:rFonts w:cs="Arial"/>
        </w:rPr>
        <w:t>K </w:t>
      </w:r>
      <w:r>
        <w:rPr>
          <w:rFonts w:cs="Arial"/>
        </w:rPr>
        <w:tab/>
        <w:t>64</w:t>
      </w:r>
      <w:r>
        <w:rPr>
          <w:rFonts w:cs="Arial"/>
        </w:rPr>
        <w:tab/>
        <w:t>Finanční služby, kromě pojištění a penzijního financování</w:t>
      </w:r>
    </w:p>
    <w:p w:rsidR="003A7B33" w:rsidRDefault="003A7B33">
      <w:pPr>
        <w:pStyle w:val="Zkladntext2"/>
        <w:rPr>
          <w:rFonts w:cs="Arial"/>
        </w:rPr>
      </w:pPr>
      <w:r>
        <w:rPr>
          <w:rFonts w:cs="Arial"/>
        </w:rPr>
        <w:tab/>
        <w:t>65</w:t>
      </w:r>
      <w:r>
        <w:rPr>
          <w:rFonts w:cs="Arial"/>
        </w:rPr>
        <w:tab/>
        <w:t>Pojištění, zajištění a penzijní financování, kromě povinného sociálního zabezpečení</w:t>
      </w:r>
    </w:p>
    <w:p w:rsidR="003A7B33" w:rsidRDefault="003A7B33">
      <w:pPr>
        <w:pStyle w:val="Zkladntext2"/>
        <w:rPr>
          <w:rFonts w:cs="Arial"/>
        </w:rPr>
      </w:pPr>
      <w:r>
        <w:rPr>
          <w:rFonts w:cs="Arial"/>
        </w:rPr>
        <w:tab/>
      </w:r>
    </w:p>
    <w:p w:rsidR="003A7B33" w:rsidRDefault="003A7B33">
      <w:pPr>
        <w:pStyle w:val="Zkladntext2"/>
        <w:rPr>
          <w:rFonts w:cs="Arial"/>
        </w:rPr>
      </w:pPr>
      <w:r>
        <w:rPr>
          <w:rFonts w:cs="Arial"/>
        </w:rPr>
        <w:t>L</w:t>
      </w:r>
      <w:r>
        <w:rPr>
          <w:rFonts w:cs="Arial"/>
        </w:rPr>
        <w:tab/>
        <w:t>68</w:t>
      </w:r>
      <w:r>
        <w:rPr>
          <w:rFonts w:cs="Arial"/>
        </w:rPr>
        <w:tab/>
        <w:t>Služby v oblasti nemovitostí</w:t>
      </w:r>
    </w:p>
    <w:p w:rsidR="003A7B33" w:rsidRDefault="003A7B33">
      <w:pPr>
        <w:pStyle w:val="Zkladntext2"/>
        <w:rPr>
          <w:rFonts w:cs="Arial"/>
        </w:rPr>
      </w:pPr>
      <w:r>
        <w:rPr>
          <w:rFonts w:cs="Arial"/>
        </w:rPr>
        <w:tab/>
      </w:r>
    </w:p>
    <w:p w:rsidR="003A7B33" w:rsidRDefault="003A7B33">
      <w:pPr>
        <w:pStyle w:val="Zkladntext2"/>
        <w:rPr>
          <w:rFonts w:cs="Arial"/>
        </w:rPr>
      </w:pPr>
      <w:r>
        <w:rPr>
          <w:rFonts w:cs="Arial"/>
        </w:rPr>
        <w:t>M</w:t>
      </w:r>
      <w:r>
        <w:rPr>
          <w:rFonts w:cs="Arial"/>
        </w:rPr>
        <w:tab/>
        <w:t>69</w:t>
      </w:r>
      <w:r>
        <w:rPr>
          <w:rFonts w:cs="Arial"/>
        </w:rPr>
        <w:tab/>
        <w:t>Právní a účetnické služby</w:t>
      </w:r>
    </w:p>
    <w:p w:rsidR="003A7B33" w:rsidRDefault="003A7B33">
      <w:pPr>
        <w:pStyle w:val="Zkladntext2"/>
        <w:rPr>
          <w:rFonts w:cs="Arial"/>
        </w:rPr>
      </w:pPr>
      <w:r>
        <w:rPr>
          <w:rFonts w:cs="Arial"/>
        </w:rPr>
        <w:tab/>
        <w:t>71</w:t>
      </w:r>
      <w:r>
        <w:rPr>
          <w:rFonts w:cs="Arial"/>
        </w:rPr>
        <w:tab/>
        <w:t>Architektonické a inženýrské služby; technické zkoušky a analýzy</w:t>
      </w:r>
    </w:p>
    <w:p w:rsidR="003A7B33" w:rsidRDefault="003A7B33">
      <w:pPr>
        <w:pStyle w:val="Zkladntext2"/>
        <w:rPr>
          <w:rFonts w:cs="Arial"/>
        </w:rPr>
      </w:pPr>
      <w:r>
        <w:rPr>
          <w:rFonts w:cs="Arial"/>
        </w:rPr>
        <w:tab/>
        <w:t>73</w:t>
      </w:r>
      <w:r>
        <w:rPr>
          <w:rFonts w:cs="Arial"/>
        </w:rPr>
        <w:tab/>
        <w:t>Reklamní služby a průzkum trhu</w:t>
      </w:r>
    </w:p>
    <w:p w:rsidR="003A7B33" w:rsidRDefault="003A7B33">
      <w:pPr>
        <w:pStyle w:val="Zkladntext2"/>
        <w:rPr>
          <w:rFonts w:cs="Arial"/>
        </w:rPr>
      </w:pPr>
      <w:r>
        <w:rPr>
          <w:rFonts w:cs="Arial"/>
        </w:rPr>
        <w:tab/>
        <w:t>74</w:t>
      </w:r>
      <w:r>
        <w:rPr>
          <w:rFonts w:cs="Arial"/>
        </w:rPr>
        <w:tab/>
        <w:t xml:space="preserve">Ostatní odborné, vědecké a technické služby </w:t>
      </w:r>
    </w:p>
    <w:p w:rsidR="003A7B33" w:rsidRDefault="003A7B33">
      <w:pPr>
        <w:pStyle w:val="Zkladntext2"/>
        <w:rPr>
          <w:rFonts w:cs="Arial"/>
        </w:rPr>
      </w:pPr>
    </w:p>
    <w:p w:rsidR="003A7B33" w:rsidRDefault="003A7B33">
      <w:pPr>
        <w:pStyle w:val="Zkladntext2"/>
        <w:rPr>
          <w:rFonts w:cs="Arial"/>
        </w:rPr>
      </w:pPr>
      <w:r>
        <w:rPr>
          <w:rFonts w:cs="Arial"/>
        </w:rPr>
        <w:t>N</w:t>
      </w:r>
      <w:r>
        <w:rPr>
          <w:rFonts w:cs="Arial"/>
        </w:rPr>
        <w:tab/>
        <w:t>77</w:t>
      </w:r>
      <w:r>
        <w:rPr>
          <w:rFonts w:cs="Arial"/>
        </w:rPr>
        <w:tab/>
        <w:t>Služby v oblasti pronájmu a operativního leasingu</w:t>
      </w:r>
    </w:p>
    <w:p w:rsidR="003A7B33" w:rsidRDefault="003A7B33">
      <w:pPr>
        <w:pStyle w:val="Zkladntext2"/>
        <w:rPr>
          <w:rFonts w:cs="Arial"/>
        </w:rPr>
      </w:pPr>
      <w:r>
        <w:rPr>
          <w:rFonts w:cs="Arial"/>
        </w:rPr>
        <w:tab/>
        <w:t>78</w:t>
      </w:r>
      <w:r>
        <w:rPr>
          <w:rFonts w:cs="Arial"/>
        </w:rPr>
        <w:tab/>
        <w:t>Služby v oblasti zaměstnání</w:t>
      </w:r>
    </w:p>
    <w:p w:rsidR="003A7B33" w:rsidRDefault="003A7B33">
      <w:pPr>
        <w:pStyle w:val="Zkladntext2"/>
        <w:rPr>
          <w:rFonts w:cs="Arial"/>
        </w:rPr>
      </w:pPr>
      <w:r>
        <w:rPr>
          <w:rFonts w:cs="Arial"/>
        </w:rPr>
        <w:tab/>
        <w:t>80</w:t>
      </w:r>
      <w:r>
        <w:rPr>
          <w:rFonts w:cs="Arial"/>
        </w:rPr>
        <w:tab/>
        <w:t>Bezpečnostní a pátrací služby</w:t>
      </w:r>
    </w:p>
    <w:p w:rsidR="003A7B33" w:rsidRDefault="003A7B33">
      <w:pPr>
        <w:pStyle w:val="Zkladntext2"/>
        <w:rPr>
          <w:rFonts w:cs="Arial"/>
        </w:rPr>
      </w:pPr>
      <w:r>
        <w:rPr>
          <w:rFonts w:cs="Arial"/>
        </w:rPr>
        <w:tab/>
        <w:t>81</w:t>
      </w:r>
      <w:r>
        <w:rPr>
          <w:rFonts w:cs="Arial"/>
        </w:rPr>
        <w:tab/>
        <w:t>Služby související se stavbami a úpravou krajiny</w:t>
      </w:r>
    </w:p>
    <w:p w:rsidR="003A7B33" w:rsidRDefault="003A7B33">
      <w:pPr>
        <w:pStyle w:val="Zkladntext2"/>
        <w:rPr>
          <w:rFonts w:cs="Arial"/>
          <w:color w:val="FF0000"/>
        </w:rPr>
      </w:pPr>
      <w:r>
        <w:rPr>
          <w:rFonts w:cs="Arial"/>
        </w:rPr>
        <w:tab/>
        <w:t>82</w:t>
      </w:r>
      <w:r>
        <w:rPr>
          <w:rFonts w:cs="Arial"/>
        </w:rPr>
        <w:tab/>
        <w:t>Administrativní, kancelářské a jiné podpůrné služby pro podnikání</w:t>
      </w:r>
    </w:p>
    <w:p w:rsidR="003A7B33" w:rsidRDefault="003A7B33">
      <w:pPr>
        <w:pStyle w:val="Zkladntext2"/>
        <w:rPr>
          <w:rFonts w:cs="Arial"/>
          <w:color w:val="FF0000"/>
        </w:rPr>
      </w:pPr>
    </w:p>
    <w:p w:rsidR="003A7B33" w:rsidRDefault="003A7B33">
      <w:pPr>
        <w:pStyle w:val="Zkladntext2"/>
        <w:rPr>
          <w:rFonts w:cs="Arial"/>
        </w:rPr>
      </w:pPr>
      <w:r>
        <w:rPr>
          <w:rFonts w:cs="Arial"/>
        </w:rPr>
        <w:tab/>
        <w:t xml:space="preserve">Stálou váhou indexů je roční struktura tržeb za </w:t>
      </w:r>
      <w:r>
        <w:rPr>
          <w:rFonts w:cs="Arial"/>
          <w:b/>
          <w:bCs/>
        </w:rPr>
        <w:t>jednotlivě publikované okruhy služeb</w:t>
      </w:r>
      <w:r>
        <w:rPr>
          <w:rFonts w:cs="Arial"/>
        </w:rPr>
        <w:t xml:space="preserve"> v roce 20</w:t>
      </w:r>
      <w:r w:rsidR="00545468">
        <w:rPr>
          <w:rFonts w:cs="Arial"/>
        </w:rPr>
        <w:t>11</w:t>
      </w:r>
      <w:r>
        <w:rPr>
          <w:rFonts w:cs="Arial"/>
        </w:rPr>
        <w:t>. Do váhového schématu jsou zahrnuty pouze ty skupiny služeb, které je možno pokrýt cenovým šetřením a které vhodně reprezentují příslušný oddíl.</w:t>
      </w:r>
    </w:p>
    <w:p w:rsidR="003A7B33" w:rsidRDefault="003A7B33">
      <w:pPr>
        <w:pStyle w:val="Zkladntext2"/>
        <w:rPr>
          <w:b/>
          <w:bCs/>
          <w:u w:val="single"/>
        </w:rPr>
      </w:pPr>
    </w:p>
    <w:p w:rsidR="003A7B33" w:rsidRDefault="003A7B33">
      <w:pPr>
        <w:pStyle w:val="Zkladntext2"/>
        <w:rPr>
          <w:b/>
          <w:bCs/>
          <w:u w:val="single"/>
        </w:rPr>
      </w:pPr>
    </w:p>
    <w:p w:rsidR="003A7B33" w:rsidRDefault="003A7B33">
      <w:pPr>
        <w:pStyle w:val="Zkladntext2"/>
        <w:rPr>
          <w:b/>
          <w:bCs/>
          <w:sz w:val="22"/>
          <w:u w:val="single"/>
        </w:rPr>
      </w:pPr>
      <w:r>
        <w:rPr>
          <w:b/>
          <w:bCs/>
          <w:sz w:val="22"/>
          <w:u w:val="single"/>
        </w:rPr>
        <w:t>Metodika vybraných dílčích indexů</w:t>
      </w:r>
    </w:p>
    <w:p w:rsidR="003A7B33" w:rsidRDefault="003A7B33">
      <w:pPr>
        <w:pStyle w:val="Zkladntext2"/>
        <w:rPr>
          <w:b/>
          <w:bCs/>
          <w:u w:val="single"/>
        </w:rPr>
      </w:pPr>
    </w:p>
    <w:p w:rsidR="0089498A" w:rsidRDefault="0089498A">
      <w:pPr>
        <w:pStyle w:val="Zkladntext2"/>
        <w:rPr>
          <w:b/>
          <w:bCs/>
          <w:u w:val="single"/>
        </w:rPr>
      </w:pPr>
    </w:p>
    <w:p w:rsidR="005A5022" w:rsidRDefault="005A5022" w:rsidP="005A5022">
      <w:pPr>
        <w:pStyle w:val="Zkladntext2"/>
        <w:rPr>
          <w:i/>
          <w:iCs/>
          <w:u w:val="single"/>
        </w:rPr>
      </w:pPr>
      <w:r>
        <w:rPr>
          <w:i/>
          <w:iCs/>
          <w:u w:val="single"/>
        </w:rPr>
        <w:t>Index cen pozemní a potrubní dopravy</w:t>
      </w:r>
    </w:p>
    <w:p w:rsidR="005A5022" w:rsidRDefault="005A5022" w:rsidP="005A5022">
      <w:pPr>
        <w:pStyle w:val="Zkladntext2"/>
        <w:rPr>
          <w:b/>
          <w:bCs/>
          <w:u w:val="single"/>
        </w:rPr>
      </w:pPr>
    </w:p>
    <w:p w:rsidR="005A5022" w:rsidRDefault="005A5022" w:rsidP="005A5022">
      <w:pPr>
        <w:pStyle w:val="Zkladntext2"/>
      </w:pPr>
      <w:r>
        <w:tab/>
        <w:t xml:space="preserve">Index cen nákladní dopravy je počítán v měsíční časové řadě od prosince 1993. Aktuálně obsahuje cenové indexy za vnitrostátní a mezinárodní silniční nákladní dopravu (CZ-CPA 49.41.1) a </w:t>
      </w:r>
      <w:r w:rsidRPr="00C00E95">
        <w:t>vnitrostátní</w:t>
      </w:r>
      <w:r>
        <w:rPr>
          <w:color w:val="FF0000"/>
        </w:rPr>
        <w:t xml:space="preserve"> </w:t>
      </w:r>
      <w:r>
        <w:t>železniční nákladní dopravu (49.2).</w:t>
      </w:r>
    </w:p>
    <w:p w:rsidR="005A5022" w:rsidRDefault="005A5022" w:rsidP="005A5022">
      <w:pPr>
        <w:pStyle w:val="Zkladntext2"/>
      </w:pPr>
    </w:p>
    <w:p w:rsidR="005A5022" w:rsidRDefault="005A5022" w:rsidP="005A5022">
      <w:pPr>
        <w:pStyle w:val="Zkladntext2"/>
      </w:pPr>
      <w:r>
        <w:tab/>
        <w:t xml:space="preserve">Metodika sledování smluvních cen na železnici se liší od ostatních druhů nákladní dopravy, neboť České dráhy a.s. mají zákonem uloženou povinnost vyhlašovat Tarif pro přepravu vozových zásilek, který slouží jako nabídkové ceny pro sjednávání volných smluvních cen. Nedohodne-li se železnice s přepravcem na jiné ceně než nabídkové, je nabídková cena považována za smluvní cenu. Pro výpočet průměrné smluvní ceny za sledované reprezentanty je používána metodika výpočtu sjednaná s pracovníky Českých drah a.s.. </w:t>
      </w:r>
    </w:p>
    <w:p w:rsidR="005A5022" w:rsidRDefault="005A5022" w:rsidP="005A5022">
      <w:pPr>
        <w:pStyle w:val="Zkladntext2"/>
      </w:pPr>
    </w:p>
    <w:p w:rsidR="003A7B33" w:rsidRDefault="003A7B33">
      <w:pPr>
        <w:pStyle w:val="Zkladntext2"/>
      </w:pPr>
      <w:r>
        <w:tab/>
      </w:r>
    </w:p>
    <w:p w:rsidR="003A7B33" w:rsidRDefault="003A7B33">
      <w:pPr>
        <w:pStyle w:val="Zkladntext2"/>
        <w:rPr>
          <w:i/>
          <w:iCs/>
          <w:u w:val="single"/>
        </w:rPr>
      </w:pPr>
      <w:r>
        <w:rPr>
          <w:i/>
          <w:iCs/>
          <w:u w:val="single"/>
        </w:rPr>
        <w:t>Index cen telekomunikačních služeb</w:t>
      </w:r>
    </w:p>
    <w:p w:rsidR="003A7B33" w:rsidRDefault="003A7B33">
      <w:pPr>
        <w:pStyle w:val="Zkladntext2"/>
        <w:rPr>
          <w:b/>
          <w:bCs/>
          <w:u w:val="single"/>
        </w:rPr>
      </w:pPr>
    </w:p>
    <w:p w:rsidR="003A7B33" w:rsidRDefault="003A7B33">
      <w:pPr>
        <w:pStyle w:val="Zkladntext2"/>
      </w:pPr>
      <w:r>
        <w:tab/>
        <w:t xml:space="preserve">Ceny za telekomunikační služby jsou od ledna 2005 sledovány v rozdělení na ceny za služby související s pevnými (skupina 61.1) nebo bezdrátovými telekomunikačními sítěmi (skupina 61.2). Vyšší váhu mají služby související s bezdrátovými telekomunikačními sítěmi. V obou skupinách je sledována cena za přenos dat a zpráv, pronájem okruhů nebo vysílačů a služby internetu. </w:t>
      </w:r>
    </w:p>
    <w:p w:rsidR="003A7B33" w:rsidRDefault="003A7B33">
      <w:pPr>
        <w:pStyle w:val="Zkladntext2"/>
      </w:pPr>
      <w:r>
        <w:t xml:space="preserve"> </w:t>
      </w:r>
    </w:p>
    <w:p w:rsidR="003A7B33" w:rsidRDefault="003A7B33">
      <w:pPr>
        <w:pStyle w:val="Zkladntext2"/>
      </w:pPr>
    </w:p>
    <w:p w:rsidR="003A7B33" w:rsidRDefault="003A7B33">
      <w:pPr>
        <w:pStyle w:val="Zkladntext2"/>
      </w:pPr>
      <w:r>
        <w:rPr>
          <w:i/>
          <w:iCs/>
          <w:u w:val="single"/>
        </w:rPr>
        <w:t>Index cen programování a poradenství</w:t>
      </w:r>
    </w:p>
    <w:p w:rsidR="003A7B33" w:rsidRDefault="003A7B33">
      <w:pPr>
        <w:pStyle w:val="Zkladntext2"/>
      </w:pPr>
      <w:r>
        <w:tab/>
      </w:r>
    </w:p>
    <w:p w:rsidR="003A7B33" w:rsidRDefault="003A7B33">
      <w:pPr>
        <w:pStyle w:val="Zkladntext2"/>
      </w:pPr>
      <w:r>
        <w:tab/>
        <w:t>Cenový index je sledován od roku 1996 v členění za programování (třída 62.01) a poradenství v oblasti počítačů (třída 62.02). Váhově významnější jsou služby v oblasti programování.</w:t>
      </w:r>
    </w:p>
    <w:p w:rsidR="003A7B33" w:rsidRDefault="003A7B33">
      <w:pPr>
        <w:pStyle w:val="Zkladntext2"/>
        <w:rPr>
          <w:b/>
          <w:bCs/>
          <w:u w:val="single"/>
        </w:rPr>
      </w:pPr>
    </w:p>
    <w:p w:rsidR="003A7B33" w:rsidRDefault="003A7B33">
      <w:pPr>
        <w:pStyle w:val="Zkladntext2"/>
        <w:rPr>
          <w:b/>
          <w:bCs/>
          <w:u w:val="single"/>
        </w:rPr>
      </w:pPr>
    </w:p>
    <w:p w:rsidR="003A7B33" w:rsidRDefault="003A7B33">
      <w:pPr>
        <w:pStyle w:val="Zkladntext2"/>
        <w:rPr>
          <w:i/>
          <w:iCs/>
          <w:u w:val="single"/>
        </w:rPr>
      </w:pPr>
      <w:r>
        <w:rPr>
          <w:i/>
          <w:iCs/>
          <w:u w:val="single"/>
        </w:rPr>
        <w:t>Index cen peněžnictví</w:t>
      </w:r>
    </w:p>
    <w:p w:rsidR="003A7B33" w:rsidRDefault="003A7B33">
      <w:pPr>
        <w:pStyle w:val="Zkladntext2"/>
        <w:rPr>
          <w:b/>
          <w:bCs/>
          <w:u w:val="single"/>
        </w:rPr>
      </w:pPr>
    </w:p>
    <w:p w:rsidR="00271769" w:rsidRDefault="003A7B33" w:rsidP="00271769">
      <w:pPr>
        <w:pStyle w:val="Zkladntext2"/>
      </w:pPr>
      <w:r>
        <w:tab/>
      </w:r>
      <w:r w:rsidR="00271769">
        <w:t>Index cen peněžnictví je počítán na základě údajů zjišťovaných u vybraných zpravodajských jednotek peněžního zprostředkování z okruhu bankovní sféry a současně u vybraných jednotek ostatního finančního zprostředkování poskytujících finanční leasing. Výběr reprezentantů je průběžně konzultován s respondenty bankovního sektoru a velkými leasingovými společnostmi.</w:t>
      </w:r>
    </w:p>
    <w:p w:rsidR="00271769" w:rsidRDefault="00271769" w:rsidP="00271769">
      <w:pPr>
        <w:pStyle w:val="Zkladntext2"/>
      </w:pPr>
    </w:p>
    <w:p w:rsidR="00271769" w:rsidRDefault="00271769" w:rsidP="00271769">
      <w:pPr>
        <w:pStyle w:val="Zkladntext2"/>
      </w:pPr>
      <w:r>
        <w:tab/>
        <w:t>Za cenu leasingu je považován leasingový koeficient, k jehož výpočtu jsou používány zásadně ceny bez daně z přidané hodnoty.</w:t>
      </w:r>
    </w:p>
    <w:p w:rsidR="003A7B33" w:rsidRDefault="003A7B33">
      <w:pPr>
        <w:pStyle w:val="Zkladntext2"/>
        <w:rPr>
          <w:b/>
          <w:bCs/>
          <w:u w:val="single"/>
        </w:rPr>
      </w:pPr>
      <w:r>
        <w:rPr>
          <w:color w:val="FF0000"/>
        </w:rPr>
        <w:tab/>
      </w:r>
      <w:r>
        <w:tab/>
      </w:r>
    </w:p>
    <w:p w:rsidR="003A7B33" w:rsidRDefault="003A7B33">
      <w:pPr>
        <w:pStyle w:val="Zkladntext2"/>
        <w:rPr>
          <w:i/>
          <w:iCs/>
          <w:u w:val="single"/>
        </w:rPr>
      </w:pPr>
      <w:r>
        <w:rPr>
          <w:i/>
          <w:iCs/>
          <w:u w:val="single"/>
        </w:rPr>
        <w:t>Index cen pojišťovnictví</w:t>
      </w:r>
    </w:p>
    <w:p w:rsidR="003A7B33" w:rsidRDefault="003A7B33">
      <w:pPr>
        <w:pStyle w:val="Zkladntext2"/>
        <w:rPr>
          <w:b/>
          <w:bCs/>
          <w:u w:val="single"/>
        </w:rPr>
      </w:pPr>
    </w:p>
    <w:p w:rsidR="00271769" w:rsidRDefault="003A7B33" w:rsidP="00271769">
      <w:pPr>
        <w:pStyle w:val="Zkladntext2"/>
      </w:pPr>
      <w:r>
        <w:tab/>
      </w:r>
      <w:r w:rsidR="00271769">
        <w:t>Index cen pojišťovnictví je počítán na základě zjišťování cen u vybraných zpravodajských jednotek, které je zaměřeno výhradně na oblast pojišťování podnikatelské sféry. Zahrnuje pojištění motorových vozidel osobních a nákladních (kategorie 65.12.2), pojištění majetku proti požáru (subkategorie 65.12.41) a proti odcizení (subkategorie 65.12.42) v členění na oblast řemesel, obchodu a služeb.</w:t>
      </w:r>
    </w:p>
    <w:p w:rsidR="00271769" w:rsidRDefault="00271769" w:rsidP="00271769">
      <w:pPr>
        <w:pStyle w:val="Zkladntext2"/>
      </w:pPr>
    </w:p>
    <w:p w:rsidR="00271769" w:rsidRDefault="00271769" w:rsidP="00271769">
      <w:pPr>
        <w:pStyle w:val="Zkladntext2"/>
      </w:pPr>
      <w:r>
        <w:tab/>
        <w:t>Výběr reprezentantů u pojištění majetku byl na základě doporučení České asociace pojišťoven volen ze sféry tzv. malých a středních rizik. K vybraným reprezentantům byl zvolen vždy druh pojištění s nejčastějším výskytem v daném oboru.</w:t>
      </w:r>
    </w:p>
    <w:p w:rsidR="00271769" w:rsidRDefault="00271769" w:rsidP="00271769">
      <w:pPr>
        <w:pStyle w:val="Zkladntext2"/>
      </w:pPr>
    </w:p>
    <w:p w:rsidR="00271769" w:rsidRDefault="00271769" w:rsidP="00271769">
      <w:pPr>
        <w:pStyle w:val="Zkladntext2"/>
      </w:pPr>
      <w:r>
        <w:tab/>
        <w:t>Za cenu u daného reprezentanta je považováno pojistné, které je vypočítáváno ze sazeb pojišťoven (v % nebo ‰) a pojistné částky pojišťovaného majetku. Na růstu cen v pojišťovnictví se proto do značné míry podílí inflační nárůst mimo sféru pojišťovnictví.</w:t>
      </w:r>
      <w:r>
        <w:tab/>
      </w:r>
    </w:p>
    <w:p w:rsidR="005A5022" w:rsidRPr="00271769" w:rsidRDefault="003A7B33">
      <w:pPr>
        <w:pStyle w:val="Zkladntext2"/>
      </w:pPr>
      <w:r>
        <w:lastRenderedPageBreak/>
        <w:tab/>
      </w:r>
    </w:p>
    <w:p w:rsidR="0089498A" w:rsidRDefault="0089498A">
      <w:pPr>
        <w:pStyle w:val="Zkladntext2"/>
        <w:rPr>
          <w:i/>
          <w:iCs/>
          <w:u w:val="single"/>
        </w:rPr>
      </w:pPr>
    </w:p>
    <w:p w:rsidR="003A7B33" w:rsidRDefault="003A7B33">
      <w:pPr>
        <w:pStyle w:val="Zkladntext2"/>
        <w:rPr>
          <w:i/>
          <w:iCs/>
          <w:u w:val="single"/>
        </w:rPr>
      </w:pPr>
      <w:r>
        <w:rPr>
          <w:i/>
          <w:iCs/>
          <w:u w:val="single"/>
        </w:rPr>
        <w:t>Index cen služeb v oblasti nemovitostí</w:t>
      </w:r>
    </w:p>
    <w:p w:rsidR="003A7B33" w:rsidRDefault="003A7B33">
      <w:pPr>
        <w:pStyle w:val="Zkladntext2"/>
      </w:pPr>
    </w:p>
    <w:p w:rsidR="003A7B33" w:rsidRDefault="003A7B33">
      <w:pPr>
        <w:pStyle w:val="Zkladntext2"/>
      </w:pPr>
      <w:r>
        <w:tab/>
        <w:t>Index cen služeb v oblasti nemovitostí je kalkulován v měsíční časové řadě od prosince 1993. Odděleně jsou sledovány ceny za pronájem a správu vlastních nebo pronajatých nemovitostí (skupina 68.2) a služby v oblasti nemovitostí na základě smlouvy nebo dohody (skupina 68.3). Výrazně váhově významnější jsou služby za pronájem a správu vlastních nebo pronajatých nemovitostí.</w:t>
      </w:r>
    </w:p>
    <w:p w:rsidR="003A7B33" w:rsidRDefault="003A7B33">
      <w:pPr>
        <w:autoSpaceDE w:val="0"/>
        <w:autoSpaceDN w:val="0"/>
        <w:adjustRightInd w:val="0"/>
        <w:rPr>
          <w:rFonts w:ascii="Arial" w:hAnsi="Arial" w:cs="Arial"/>
          <w:sz w:val="20"/>
          <w:szCs w:val="18"/>
        </w:rPr>
      </w:pPr>
    </w:p>
    <w:p w:rsidR="003A7B33" w:rsidRDefault="003A7B33">
      <w:pPr>
        <w:pStyle w:val="Zkladntext3"/>
        <w:jc w:val="both"/>
      </w:pPr>
      <w:r>
        <w:tab/>
        <w:t>V ceně pronájmu vlastních nemovitostí je zahrnuto čisté měsíční nájemné bez ostatních služeb (např. úhrada za teplo, světlo, vodu, telefonní poplatky apod.). Při sběru dat se zohledňují kategorie pronajatých objektů a typy lokality.</w:t>
      </w:r>
    </w:p>
    <w:p w:rsidR="003A7B33" w:rsidRDefault="003A7B33">
      <w:pPr>
        <w:autoSpaceDE w:val="0"/>
        <w:autoSpaceDN w:val="0"/>
        <w:adjustRightInd w:val="0"/>
        <w:rPr>
          <w:rFonts w:ascii="Arial" w:hAnsi="Arial" w:cs="Arial"/>
          <w:sz w:val="18"/>
          <w:szCs w:val="18"/>
        </w:rPr>
      </w:pPr>
    </w:p>
    <w:p w:rsidR="003A7B33" w:rsidRDefault="003A7B33">
      <w:pPr>
        <w:pStyle w:val="Zkladntext2"/>
      </w:pPr>
    </w:p>
    <w:p w:rsidR="003A7B33" w:rsidRDefault="003A7B33">
      <w:pPr>
        <w:pStyle w:val="Zkladntext2"/>
        <w:rPr>
          <w:i/>
          <w:iCs/>
          <w:u w:val="single"/>
        </w:rPr>
      </w:pPr>
      <w:r>
        <w:rPr>
          <w:i/>
          <w:iCs/>
          <w:u w:val="single"/>
        </w:rPr>
        <w:t>Index cen architektonických a inženýrských služeb</w:t>
      </w:r>
    </w:p>
    <w:p w:rsidR="003A7B33" w:rsidRDefault="003A7B33">
      <w:pPr>
        <w:pStyle w:val="Zkladntext2"/>
      </w:pPr>
    </w:p>
    <w:p w:rsidR="003A7B33" w:rsidRDefault="003A7B33">
      <w:pPr>
        <w:pStyle w:val="Zkladntext2"/>
      </w:pPr>
      <w:r>
        <w:tab/>
        <w:t>Ceny architektonických a inženýrských služeb jsou sledovány od prosince 1993 v rozdělení na architektonické služby (třída 71.11) a inženýrské služby (třída 71.12). Vyšší váhu mají architektonické služby.</w:t>
      </w:r>
    </w:p>
    <w:p w:rsidR="003A7B33" w:rsidRDefault="003A7B33">
      <w:pPr>
        <w:pStyle w:val="Zkladntext2"/>
      </w:pPr>
    </w:p>
    <w:p w:rsidR="003A7B33" w:rsidRDefault="003A7B33">
      <w:pPr>
        <w:pStyle w:val="Zkladntext2"/>
      </w:pPr>
      <w:r>
        <w:tab/>
        <w:t>Z architektonických služeb jsou pro sledování vybrány architektonické služby týkající se budov a urbanistické a územní plánování.</w:t>
      </w:r>
    </w:p>
    <w:p w:rsidR="003A7B33" w:rsidRDefault="003A7B33">
      <w:pPr>
        <w:pStyle w:val="Zkladntext2"/>
      </w:pPr>
    </w:p>
    <w:p w:rsidR="003A7B33" w:rsidRDefault="003A7B33">
      <w:pPr>
        <w:pStyle w:val="Zkladntext2"/>
      </w:pPr>
      <w:r>
        <w:tab/>
        <w:t>U inženýrských služeb jsou šetřeny ceny za služby managementů projektů týkající se stavebních projektů a zeměměřičské služby.</w:t>
      </w:r>
    </w:p>
    <w:p w:rsidR="003A7B33" w:rsidRDefault="003A7B33">
      <w:pPr>
        <w:pStyle w:val="Zkladntext2"/>
      </w:pPr>
      <w:r>
        <w:tab/>
      </w:r>
    </w:p>
    <w:p w:rsidR="003A7B33" w:rsidRPr="0089498A" w:rsidRDefault="003A7B33">
      <w:pPr>
        <w:pStyle w:val="Zkladntext2"/>
      </w:pPr>
      <w:r>
        <w:rPr>
          <w:i/>
          <w:iCs/>
          <w:u w:val="single"/>
        </w:rPr>
        <w:t>Index cen reklamních služeb a průzkumu trhu</w:t>
      </w:r>
    </w:p>
    <w:p w:rsidR="003A7B33" w:rsidRDefault="003A7B33">
      <w:pPr>
        <w:pStyle w:val="Zkladntext2"/>
      </w:pPr>
    </w:p>
    <w:p w:rsidR="003A7B33" w:rsidRDefault="003A7B33">
      <w:pPr>
        <w:pStyle w:val="Zkladntext2"/>
      </w:pPr>
      <w:r>
        <w:tab/>
        <w:t>Statistické šetření cen reklamních služeb je prováděno od prosince 1993 (skupina 73.1) a šetření cen průzkumu trhu a veřejného mínění od ledna 2005 (73.2). Výrazně váhově významnější v tomto oddíle jsou reklamní služby.</w:t>
      </w:r>
    </w:p>
    <w:p w:rsidR="003A7B33" w:rsidRDefault="003A7B33">
      <w:pPr>
        <w:pStyle w:val="Zkladntext2"/>
      </w:pPr>
    </w:p>
    <w:p w:rsidR="003A7B33" w:rsidRDefault="003A7B33">
      <w:pPr>
        <w:pStyle w:val="Zkladntext2"/>
      </w:pPr>
      <w:r>
        <w:tab/>
        <w:t>Za reklamní služby jsou sledovány ceny za reklamu v různých médiích, kde dominantní podíl mají ceny reklamních služeb v TV. V roce 2005 byly do šetření zařazeny ceny za reklamu na internetu.</w:t>
      </w:r>
    </w:p>
    <w:p w:rsidR="003A7B33" w:rsidRDefault="003A7B33">
      <w:pPr>
        <w:pStyle w:val="Zkladntext2"/>
      </w:pPr>
    </w:p>
    <w:p w:rsidR="003A7B33" w:rsidRDefault="003A7B33">
      <w:pPr>
        <w:pStyle w:val="Zkladntext2"/>
      </w:pPr>
    </w:p>
    <w:p w:rsidR="003A7B33" w:rsidRDefault="003A7B33">
      <w:pPr>
        <w:pStyle w:val="Zkladntext2"/>
        <w:jc w:val="center"/>
      </w:pPr>
      <w:r>
        <w:t>…</w:t>
      </w:r>
    </w:p>
    <w:p w:rsidR="003A7B33" w:rsidRDefault="003A7B33">
      <w:pPr>
        <w:pStyle w:val="Zkladntext2"/>
      </w:pPr>
    </w:p>
    <w:p w:rsidR="003A7B33" w:rsidRPr="005A5022" w:rsidRDefault="003A7B33">
      <w:pPr>
        <w:pStyle w:val="Zkladntext2"/>
        <w:rPr>
          <w:color w:val="FF0000"/>
        </w:rPr>
      </w:pPr>
      <w:r>
        <w:tab/>
      </w:r>
    </w:p>
    <w:p w:rsidR="003A7B33" w:rsidRPr="00850082" w:rsidRDefault="003A7B33">
      <w:pPr>
        <w:pStyle w:val="Zkladntext2"/>
      </w:pPr>
      <w:r w:rsidRPr="005A5022">
        <w:rPr>
          <w:color w:val="FF0000"/>
        </w:rPr>
        <w:tab/>
      </w:r>
      <w:r w:rsidRPr="00850082">
        <w:t xml:space="preserve">Od ledna 1998 jsou čtvrtletně publikovány </w:t>
      </w:r>
      <w:r w:rsidRPr="00850082">
        <w:rPr>
          <w:b/>
          <w:bCs/>
        </w:rPr>
        <w:t>„Průměrné ceny vybraných podnikatelských služeb“</w:t>
      </w:r>
      <w:r w:rsidRPr="00850082">
        <w:t>. Vybíráni jsou reprezentanti, jejichž průměrná cena je zaručena spolehlivým vzorkem respondentů.</w:t>
      </w:r>
    </w:p>
    <w:p w:rsidR="003A7B33" w:rsidRPr="00850082" w:rsidRDefault="003A7B33">
      <w:pPr>
        <w:pStyle w:val="Zkladntext2"/>
      </w:pPr>
    </w:p>
    <w:p w:rsidR="003A7B33" w:rsidRDefault="003A7B33">
      <w:pPr>
        <w:pStyle w:val="Zkladntext2"/>
        <w:rPr>
          <w:color w:val="FF0000"/>
        </w:rPr>
      </w:pPr>
    </w:p>
    <w:p w:rsidR="003A7B33" w:rsidRDefault="003A7B33">
      <w:pPr>
        <w:pStyle w:val="Zkladntext2"/>
        <w:rPr>
          <w:color w:val="FF0000"/>
        </w:rPr>
      </w:pPr>
    </w:p>
    <w:p w:rsidR="003A7B33" w:rsidRDefault="003A7B33">
      <w:pPr>
        <w:pStyle w:val="Zkladntext2"/>
        <w:rPr>
          <w:b/>
          <w:bCs/>
          <w:u w:val="single"/>
        </w:rPr>
      </w:pPr>
    </w:p>
    <w:sectPr w:rsidR="003A7B33">
      <w:headerReference w:type="even" r:id="rId9"/>
      <w:headerReference w:type="default" r:id="rId10"/>
      <w:type w:val="continuous"/>
      <w:pgSz w:w="11905" w:h="16837"/>
      <w:pgMar w:top="1079" w:right="1417" w:bottom="1258" w:left="141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E50" w:rsidRDefault="00DF2E50">
      <w:r>
        <w:separator/>
      </w:r>
    </w:p>
  </w:endnote>
  <w:endnote w:type="continuationSeparator" w:id="0">
    <w:p w:rsidR="00DF2E50" w:rsidRDefault="00DF2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imes New Roman CE obyčejné">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Times New Roman CE tučné">
    <w:panose1 w:val="00000000000000000000"/>
    <w:charset w:val="EE"/>
    <w:family w:val="roman"/>
    <w:notTrueType/>
    <w:pitch w:val="default"/>
    <w:sig w:usb0="00000005" w:usb1="00000000" w:usb2="00000000" w:usb3="00000000" w:csb0="00000002"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E50" w:rsidRDefault="00DF2E50">
      <w:r>
        <w:separator/>
      </w:r>
    </w:p>
  </w:footnote>
  <w:footnote w:type="continuationSeparator" w:id="0">
    <w:p w:rsidR="00DF2E50" w:rsidRDefault="00DF2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33" w:rsidRDefault="003A7B33">
    <w:pPr>
      <w:pStyle w:val="Zhlav"/>
      <w:framePr w:wrap="around" w:vAnchor="text" w:hAnchor="margin" w:xAlign="center" w:y="1"/>
      <w:jc w:val="right"/>
      <w:rPr>
        <w:rStyle w:val="slostrnky"/>
      </w:rPr>
    </w:pPr>
    <w:r>
      <w:rPr>
        <w:rStyle w:val="slostrnky"/>
      </w:rPr>
      <w:fldChar w:fldCharType="begin"/>
    </w:r>
    <w:r>
      <w:rPr>
        <w:rStyle w:val="slostrnky"/>
      </w:rPr>
      <w:instrText xml:space="preserve">PAGE  </w:instrText>
    </w:r>
    <w:r>
      <w:rPr>
        <w:rStyle w:val="slostrnky"/>
      </w:rPr>
      <w:fldChar w:fldCharType="end"/>
    </w:r>
  </w:p>
  <w:p w:rsidR="003A7B33" w:rsidRDefault="003A7B3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33" w:rsidRDefault="003A7B33">
    <w:pPr>
      <w:pStyle w:val="Zhlav"/>
      <w:framePr w:wrap="around" w:vAnchor="text" w:hAnchor="margin" w:xAlign="center" w:y="1"/>
      <w:rPr>
        <w:rStyle w:val="slostrnky"/>
      </w:rPr>
    </w:pPr>
  </w:p>
  <w:p w:rsidR="003A7B33" w:rsidRDefault="003A7B33">
    <w:pPr>
      <w:pStyle w:val="Zhlav"/>
      <w:framePr w:w="576" w:wrap="around" w:vAnchor="page" w:hAnchor="page" w:x="10610" w:y="721"/>
      <w:jc w:val="right"/>
      <w:rPr>
        <w:rStyle w:val="slostrnky"/>
      </w:rPr>
    </w:pPr>
  </w:p>
  <w:p w:rsidR="003A7B33" w:rsidRDefault="003A7B33">
    <w:pPr>
      <w:pStyle w:val="Zhlav"/>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37D72"/>
    <w:multiLevelType w:val="hybridMultilevel"/>
    <w:tmpl w:val="4A3E9572"/>
    <w:lvl w:ilvl="0" w:tplc="7FDA66C6">
      <w:start w:val="63"/>
      <w:numFmt w:val="decimal"/>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
    <w:nsid w:val="484555BC"/>
    <w:multiLevelType w:val="hybridMultilevel"/>
    <w:tmpl w:val="C1AA36D2"/>
    <w:lvl w:ilvl="0" w:tplc="51C08924">
      <w:start w:val="52"/>
      <w:numFmt w:val="decimal"/>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
    <w:nsid w:val="639D3A88"/>
    <w:multiLevelType w:val="hybridMultilevel"/>
    <w:tmpl w:val="6DB2D0B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E95"/>
    <w:rsid w:val="000E3097"/>
    <w:rsid w:val="0012771C"/>
    <w:rsid w:val="001611CD"/>
    <w:rsid w:val="001B7443"/>
    <w:rsid w:val="001D50EB"/>
    <w:rsid w:val="00271769"/>
    <w:rsid w:val="002741D6"/>
    <w:rsid w:val="002812CA"/>
    <w:rsid w:val="003210ED"/>
    <w:rsid w:val="00353ED2"/>
    <w:rsid w:val="003A7B33"/>
    <w:rsid w:val="00545468"/>
    <w:rsid w:val="00571C9F"/>
    <w:rsid w:val="005A26F2"/>
    <w:rsid w:val="005A5022"/>
    <w:rsid w:val="007646F5"/>
    <w:rsid w:val="00793E24"/>
    <w:rsid w:val="00823200"/>
    <w:rsid w:val="00850082"/>
    <w:rsid w:val="00884F4F"/>
    <w:rsid w:val="0089498A"/>
    <w:rsid w:val="00903971"/>
    <w:rsid w:val="0093364A"/>
    <w:rsid w:val="009F493F"/>
    <w:rsid w:val="00A951A9"/>
    <w:rsid w:val="00BA6495"/>
    <w:rsid w:val="00BB4CE4"/>
    <w:rsid w:val="00C00E95"/>
    <w:rsid w:val="00C77FDF"/>
    <w:rsid w:val="00D90030"/>
    <w:rsid w:val="00DD52E2"/>
    <w:rsid w:val="00DF2E50"/>
    <w:rsid w:val="00F63DED"/>
    <w:rsid w:val="00FE56F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outlineLvl w:val="0"/>
    </w:pPr>
    <w:rPr>
      <w:b/>
      <w:bCs/>
      <w:sz w:val="22"/>
      <w:u w:val="single"/>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autoSpaceDE w:val="0"/>
      <w:autoSpaceDN w:val="0"/>
      <w:adjustRightInd w:val="0"/>
    </w:pPr>
    <w:rPr>
      <w:rFonts w:ascii="Times New Roman CE obyčejné" w:hAnsi="Times New Roman CE obyčejné"/>
      <w:sz w:val="20"/>
      <w:szCs w:val="20"/>
    </w:rPr>
  </w:style>
  <w:style w:type="character" w:styleId="slostrnky">
    <w:name w:val="page number"/>
    <w:basedOn w:val="Standardnpsmoodstavce"/>
    <w:semiHidden/>
  </w:style>
  <w:style w:type="paragraph" w:styleId="Zkladntext">
    <w:name w:val="Body Text"/>
    <w:basedOn w:val="Normln"/>
    <w:semiHidden/>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style>
  <w:style w:type="paragraph" w:styleId="Zpat">
    <w:name w:val="footer"/>
    <w:basedOn w:val="Normln"/>
    <w:semiHidden/>
    <w:pPr>
      <w:tabs>
        <w:tab w:val="center" w:pos="4536"/>
        <w:tab w:val="right" w:pos="9072"/>
      </w:tabs>
    </w:pPr>
  </w:style>
  <w:style w:type="paragraph" w:styleId="Zkladntext2">
    <w:name w:val="Body Text 2"/>
    <w:basedOn w:val="Normln"/>
    <w:semiHidden/>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rPr>
      <w:rFonts w:ascii="Arial" w:hAnsi="Arial"/>
      <w:sz w:val="20"/>
    </w:rPr>
  </w:style>
  <w:style w:type="paragraph" w:styleId="Nzev">
    <w:name w:val="Title"/>
    <w:basedOn w:val="Normln"/>
    <w:qFormat/>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pPr>
    <w:rPr>
      <w:rFonts w:ascii="Times New Roman CE tučné" w:hAnsi="Times New Roman CE tučné"/>
      <w:b/>
      <w:bCs/>
      <w:sz w:val="22"/>
    </w:rPr>
  </w:style>
  <w:style w:type="paragraph" w:customStyle="1" w:styleId="Style0">
    <w:name w:val="Style0"/>
    <w:rPr>
      <w:rFonts w:ascii="MS Sans Serif" w:hAnsi="MS Sans Serif"/>
      <w:snapToGrid w:val="0"/>
      <w:sz w:val="24"/>
    </w:rPr>
  </w:style>
  <w:style w:type="character" w:styleId="Hypertextovodkaz">
    <w:name w:val="Hyperlink"/>
    <w:basedOn w:val="Standardnpsmoodstavce"/>
    <w:semiHidden/>
    <w:rPr>
      <w:color w:val="0000FF"/>
      <w:u w:val="single"/>
    </w:rPr>
  </w:style>
  <w:style w:type="character" w:styleId="Sledovanodkaz">
    <w:name w:val="FollowedHyperlink"/>
    <w:basedOn w:val="Standardnpsmoodstavce"/>
    <w:semiHidden/>
    <w:rPr>
      <w:color w:val="800080"/>
      <w:u w:val="single"/>
    </w:rPr>
  </w:style>
  <w:style w:type="paragraph" w:styleId="Zkladntext3">
    <w:name w:val="Body Text 3"/>
    <w:basedOn w:val="Normln"/>
    <w:semiHidden/>
    <w:pPr>
      <w:autoSpaceDE w:val="0"/>
      <w:autoSpaceDN w:val="0"/>
      <w:adjustRightInd w:val="0"/>
    </w:pPr>
    <w:rPr>
      <w:rFonts w:ascii="Arial" w:hAnsi="Arial" w:cs="Arial"/>
      <w:sz w:val="20"/>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5998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M E T O D I C K É   V Y S V Ě T L I V K Y</vt:lpstr>
    </vt:vector>
  </TitlesOfParts>
  <Company>ČSÚ</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T O D I C K É   V Y S V Ě T L I V K Y</dc:title>
  <dc:subject/>
  <dc:creator>ČSÚ</dc:creator>
  <cp:keywords/>
  <dc:description/>
  <cp:lastModifiedBy>helmichova21829</cp:lastModifiedBy>
  <cp:revision>2</cp:revision>
  <cp:lastPrinted>2011-03-22T13:21:00Z</cp:lastPrinted>
  <dcterms:created xsi:type="dcterms:W3CDTF">2014-02-18T10:17:00Z</dcterms:created>
  <dcterms:modified xsi:type="dcterms:W3CDTF">2014-02-18T10:17:00Z</dcterms:modified>
</cp:coreProperties>
</file>