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63" w:rsidRDefault="00185D70" w:rsidP="00AC40C2">
      <w:pPr>
        <w:pStyle w:val="Nadpis1"/>
        <w:numPr>
          <w:ilvl w:val="0"/>
          <w:numId w:val="21"/>
        </w:numPr>
        <w:jc w:val="both"/>
        <w:rPr>
          <w:lang w:val="en-GB"/>
        </w:rPr>
      </w:pPr>
      <w:r w:rsidRPr="00CB09D5">
        <w:rPr>
          <w:lang w:val="en-GB"/>
        </w:rPr>
        <w:t>Branches Performance</w:t>
      </w:r>
      <w:r w:rsidR="00AF0B8E" w:rsidRPr="00CB09D5">
        <w:rPr>
          <w:lang w:val="en-GB"/>
        </w:rPr>
        <w:t xml:space="preserve"> </w:t>
      </w:r>
    </w:p>
    <w:tbl>
      <w:tblPr>
        <w:tblW w:w="4946" w:type="pct"/>
        <w:tblInd w:w="107" w:type="dxa"/>
        <w:tblLayout w:type="fixed"/>
        <w:tblLook w:val="00A0"/>
      </w:tblPr>
      <w:tblGrid>
        <w:gridCol w:w="1982"/>
        <w:gridCol w:w="283"/>
        <w:gridCol w:w="7483"/>
      </w:tblGrid>
      <w:tr w:rsidR="00492991" w:rsidRPr="00CB09D5" w:rsidTr="00607119">
        <w:trPr>
          <w:trHeight w:val="145"/>
        </w:trPr>
        <w:tc>
          <w:tcPr>
            <w:tcW w:w="1017" w:type="pct"/>
          </w:tcPr>
          <w:p w:rsidR="00492991" w:rsidRPr="00CB09D5" w:rsidRDefault="00ED229E" w:rsidP="008A03DE">
            <w:pPr>
              <w:spacing w:line="240" w:lineRule="auto"/>
              <w:rPr>
                <w:color w:val="0D0D0D"/>
                <w:spacing w:val="-4"/>
                <w:sz w:val="16"/>
                <w:szCs w:val="16"/>
                <w:lang w:val="en-GB"/>
              </w:rPr>
            </w:pPr>
            <w:r w:rsidRPr="00CB09D5">
              <w:rPr>
                <w:color w:val="0D0D0D"/>
                <w:spacing w:val="-4"/>
                <w:sz w:val="16"/>
                <w:szCs w:val="16"/>
                <w:lang w:val="en-GB"/>
              </w:rPr>
              <w:t xml:space="preserve">Year-on-year GVA growth </w:t>
            </w:r>
            <w:r w:rsidR="0006708D" w:rsidRPr="00CB09D5">
              <w:rPr>
                <w:color w:val="0D0D0D"/>
                <w:spacing w:val="-4"/>
                <w:sz w:val="16"/>
                <w:szCs w:val="16"/>
                <w:lang w:val="en-GB"/>
              </w:rPr>
              <w:t xml:space="preserve">eased its pace </w:t>
            </w:r>
            <w:r w:rsidRPr="00CB09D5">
              <w:rPr>
                <w:color w:val="0D0D0D"/>
                <w:spacing w:val="-4"/>
                <w:sz w:val="16"/>
                <w:szCs w:val="16"/>
                <w:lang w:val="en-GB"/>
              </w:rPr>
              <w:t xml:space="preserve">last year and it was the weakest in </w:t>
            </w:r>
            <w:r w:rsidR="002B3A9C" w:rsidRPr="00CB09D5">
              <w:rPr>
                <w:color w:val="0D0D0D"/>
                <w:spacing w:val="-4"/>
                <w:sz w:val="16"/>
                <w:szCs w:val="16"/>
                <w:lang w:val="en-GB"/>
              </w:rPr>
              <w:t>t</w:t>
            </w:r>
            <w:r w:rsidR="00995FEC" w:rsidRPr="00CB09D5">
              <w:rPr>
                <w:color w:val="0D0D0D"/>
                <w:spacing w:val="-4"/>
                <w:sz w:val="16"/>
                <w:szCs w:val="16"/>
                <w:lang w:val="en-GB"/>
              </w:rPr>
              <w:t>otal for the last three years.</w:t>
            </w:r>
          </w:p>
          <w:p w:rsidR="00492991" w:rsidRPr="00CB09D5" w:rsidRDefault="00492991" w:rsidP="008A03DE">
            <w:pPr>
              <w:spacing w:line="240" w:lineRule="auto"/>
              <w:rPr>
                <w:color w:val="0D0D0D"/>
                <w:spacing w:val="-4"/>
                <w:sz w:val="16"/>
                <w:szCs w:val="16"/>
                <w:lang w:val="en-GB"/>
              </w:rPr>
            </w:pPr>
          </w:p>
          <w:p w:rsidR="00492991" w:rsidRPr="00CB09D5" w:rsidRDefault="00492991" w:rsidP="008A03DE">
            <w:pPr>
              <w:spacing w:line="240" w:lineRule="auto"/>
              <w:rPr>
                <w:color w:val="0D0D0D"/>
                <w:spacing w:val="-4"/>
                <w:sz w:val="16"/>
                <w:szCs w:val="16"/>
                <w:lang w:val="en-GB"/>
              </w:rPr>
            </w:pPr>
          </w:p>
          <w:p w:rsidR="00492991" w:rsidRPr="00CB09D5" w:rsidRDefault="00264000" w:rsidP="008A03DE">
            <w:pPr>
              <w:spacing w:line="240" w:lineRule="auto"/>
              <w:rPr>
                <w:color w:val="0D0D0D"/>
                <w:spacing w:val="-4"/>
                <w:sz w:val="16"/>
                <w:szCs w:val="16"/>
                <w:lang w:val="en-GB"/>
              </w:rPr>
            </w:pPr>
            <w:r w:rsidRPr="00CB09D5">
              <w:rPr>
                <w:color w:val="0D0D0D"/>
                <w:spacing w:val="-4"/>
                <w:sz w:val="16"/>
                <w:szCs w:val="16"/>
                <w:lang w:val="en-GB"/>
              </w:rPr>
              <w:t xml:space="preserve">Slackening of the GVA growth was caused by weaker performance in weight significant groups of service activities </w:t>
            </w:r>
            <w:r w:rsidR="00492991" w:rsidRPr="00CB09D5">
              <w:rPr>
                <w:color w:val="0D0D0D"/>
                <w:spacing w:val="-4"/>
                <w:sz w:val="16"/>
                <w:szCs w:val="16"/>
                <w:lang w:val="en-GB"/>
              </w:rPr>
              <w:t>a</w:t>
            </w:r>
            <w:r w:rsidRPr="00CB09D5">
              <w:rPr>
                <w:color w:val="0D0D0D"/>
                <w:spacing w:val="-4"/>
                <w:sz w:val="16"/>
                <w:szCs w:val="16"/>
                <w:lang w:val="en-GB"/>
              </w:rPr>
              <w:t>nd also the deepening of the adverse development in construction during the last year</w:t>
            </w:r>
            <w:r w:rsidR="00AE6734" w:rsidRPr="00CB09D5">
              <w:rPr>
                <w:color w:val="0D0D0D"/>
                <w:spacing w:val="-4"/>
                <w:sz w:val="16"/>
                <w:szCs w:val="16"/>
                <w:lang w:val="en-GB"/>
              </w:rPr>
              <w:t>.</w:t>
            </w:r>
          </w:p>
          <w:p w:rsidR="00492991" w:rsidRPr="00CB09D5" w:rsidRDefault="00492991" w:rsidP="008A03DE">
            <w:pPr>
              <w:spacing w:line="240" w:lineRule="auto"/>
              <w:rPr>
                <w:color w:val="0D0D0D"/>
                <w:spacing w:val="-4"/>
                <w:sz w:val="16"/>
                <w:szCs w:val="16"/>
                <w:lang w:val="en-GB"/>
              </w:rPr>
            </w:pPr>
          </w:p>
          <w:p w:rsidR="00492991" w:rsidRPr="00CB09D5" w:rsidRDefault="00492991" w:rsidP="008A03DE">
            <w:pPr>
              <w:spacing w:line="240" w:lineRule="auto"/>
              <w:rPr>
                <w:color w:val="0D0D0D"/>
                <w:spacing w:val="-4"/>
                <w:sz w:val="16"/>
                <w:szCs w:val="16"/>
                <w:lang w:val="en-GB"/>
              </w:rPr>
            </w:pPr>
          </w:p>
          <w:p w:rsidR="00492991" w:rsidRPr="00CB09D5" w:rsidRDefault="00492991" w:rsidP="008A03DE">
            <w:pPr>
              <w:spacing w:line="240" w:lineRule="auto"/>
              <w:rPr>
                <w:color w:val="0D0D0D"/>
                <w:spacing w:val="-4"/>
                <w:sz w:val="16"/>
                <w:szCs w:val="16"/>
                <w:lang w:val="en-GB"/>
              </w:rPr>
            </w:pPr>
            <w:r w:rsidRPr="00CB09D5">
              <w:rPr>
                <w:color w:val="0D0D0D"/>
                <w:spacing w:val="-4"/>
                <w:sz w:val="16"/>
                <w:szCs w:val="16"/>
                <w:lang w:val="en-GB"/>
              </w:rPr>
              <w:t>V</w:t>
            </w:r>
            <w:r w:rsidR="00CB76C9" w:rsidRPr="00CB09D5">
              <w:rPr>
                <w:color w:val="0D0D0D"/>
                <w:spacing w:val="-4"/>
                <w:sz w:val="16"/>
                <w:szCs w:val="16"/>
                <w:lang w:val="en-GB"/>
              </w:rPr>
              <w:t xml:space="preserve">ery good harvest led to the highest GVA growth in </w:t>
            </w:r>
            <w:r w:rsidR="0007104B" w:rsidRPr="00CB09D5">
              <w:rPr>
                <w:color w:val="0D0D0D"/>
                <w:spacing w:val="-4"/>
                <w:sz w:val="16"/>
                <w:szCs w:val="16"/>
                <w:lang w:val="en-GB"/>
              </w:rPr>
              <w:t>agriculture</w:t>
            </w:r>
            <w:r w:rsidR="00CB76C9" w:rsidRPr="00CB09D5">
              <w:rPr>
                <w:color w:val="0D0D0D"/>
                <w:spacing w:val="-4"/>
                <w:sz w:val="16"/>
                <w:szCs w:val="16"/>
                <w:lang w:val="en-GB"/>
              </w:rPr>
              <w:t xml:space="preserve">, forestry and fishing since </w:t>
            </w:r>
            <w:r w:rsidRPr="00CB09D5">
              <w:rPr>
                <w:color w:val="0D0D0D"/>
                <w:spacing w:val="-4"/>
                <w:sz w:val="16"/>
                <w:szCs w:val="16"/>
                <w:lang w:val="en-GB"/>
              </w:rPr>
              <w:t xml:space="preserve">2009, </w:t>
            </w:r>
            <w:r w:rsidR="00CB76C9" w:rsidRPr="00CB09D5">
              <w:rPr>
                <w:color w:val="0D0D0D"/>
                <w:spacing w:val="-4"/>
                <w:sz w:val="16"/>
                <w:szCs w:val="16"/>
                <w:lang w:val="en-GB"/>
              </w:rPr>
              <w:t xml:space="preserve">its value added </w:t>
            </w:r>
            <w:r w:rsidR="00964AF4" w:rsidRPr="00CB09D5">
              <w:rPr>
                <w:color w:val="0D0D0D"/>
                <w:spacing w:val="-4"/>
                <w:sz w:val="16"/>
                <w:szCs w:val="16"/>
                <w:lang w:val="en-GB"/>
              </w:rPr>
              <w:t xml:space="preserve">increased by one quarter in the last three years. </w:t>
            </w:r>
          </w:p>
          <w:p w:rsidR="00492991" w:rsidRPr="00CB09D5" w:rsidRDefault="00492991" w:rsidP="008A03DE">
            <w:pPr>
              <w:spacing w:line="240" w:lineRule="auto"/>
              <w:rPr>
                <w:color w:val="0D0D0D"/>
                <w:spacing w:val="-4"/>
                <w:sz w:val="16"/>
                <w:szCs w:val="16"/>
                <w:lang w:val="en-GB"/>
              </w:rPr>
            </w:pPr>
          </w:p>
        </w:tc>
        <w:tc>
          <w:tcPr>
            <w:tcW w:w="145" w:type="pct"/>
          </w:tcPr>
          <w:p w:rsidR="00492991" w:rsidRPr="00CB09D5" w:rsidRDefault="00492991" w:rsidP="008A03DE">
            <w:pPr>
              <w:pStyle w:val="Textpoznpodarou"/>
              <w:jc w:val="both"/>
              <w:rPr>
                <w:color w:val="0D0D0D"/>
                <w:spacing w:val="-4"/>
                <w:lang w:val="en-GB"/>
              </w:rPr>
            </w:pPr>
          </w:p>
        </w:tc>
        <w:tc>
          <w:tcPr>
            <w:tcW w:w="3838" w:type="pct"/>
          </w:tcPr>
          <w:p w:rsidR="00492991" w:rsidRPr="009D6A6F" w:rsidRDefault="00EB6063" w:rsidP="008A03DE">
            <w:pPr>
              <w:pStyle w:val="Textpoznpodarou"/>
              <w:jc w:val="both"/>
              <w:rPr>
                <w:color w:val="0D0D0D"/>
                <w:lang w:val="en-GB"/>
              </w:rPr>
            </w:pPr>
            <w:r w:rsidRPr="00EB6063">
              <w:rPr>
                <w:color w:val="0D0D0D"/>
                <w:lang w:val="en-GB"/>
              </w:rPr>
              <w:t>Performance of all economic branches according to the gross value added (GVA)</w:t>
            </w:r>
            <w:r w:rsidRPr="00EB6063">
              <w:rPr>
                <w:rStyle w:val="Znakapoznpodarou"/>
                <w:color w:val="0D0D0D"/>
                <w:lang w:val="en-GB"/>
              </w:rPr>
              <w:footnoteReference w:id="1"/>
            </w:r>
            <w:r w:rsidRPr="00EB6063">
              <w:rPr>
                <w:color w:val="0D0D0D"/>
                <w:lang w:val="en-GB"/>
              </w:rPr>
              <w:t xml:space="preserve"> was by 2.1% higher compared to 2015. The GVA growth eased its pace due to the influence of a gradual fading away of the extraordinary stimulating factors last year. It was apparent especially in the quarter-on-quarter comparison – gradually in the second half of the year +0.2%, resp. +0.3% (it represented the weakest rates of growth in both cases since Q3 2013, when the Czech economy was slowly recovering from the prolonged recession). Manufacturing managed to hold the key driving role, similarly to most periods of the economic growth. It added 1.3 p.p. to the total last year’s growth of the GVA of 2.1%. Its role was even magnified in the second half of the year, when the notable growth of the GVA in the group significant by weight trade, transportation, accommodation and food service evaporated after 2.5 years. Real estate activities and especially agriculture, forestry and fishing on the contrary fully extended their successful previous years. Very good harvest of all basic agricultural </w:t>
            </w:r>
            <w:proofErr w:type="gramStart"/>
            <w:r w:rsidRPr="00EB6063">
              <w:rPr>
                <w:color w:val="0D0D0D"/>
                <w:lang w:val="en-GB"/>
              </w:rPr>
              <w:t>crop</w:t>
            </w:r>
            <w:proofErr w:type="gramEnd"/>
            <w:r w:rsidRPr="00EB6063">
              <w:rPr>
                <w:color w:val="0D0D0D"/>
                <w:lang w:val="en-GB"/>
              </w:rPr>
              <w:t xml:space="preserve"> (for cereals it was even the third highest in the history of the independent CR) contributed to the strong growth of the GVA (by 9.5%). Lowering of the extraordinary sources of public orders suppressed the performance of construction. The GVA was falling quarter-on-quarter in construction already since Q4 </w:t>
            </w:r>
            <w:r w:rsidRPr="00EB6063">
              <w:rPr>
                <w:lang w:val="en-GB"/>
              </w:rPr>
              <w:t>2015, it declined in total by 11.3% in the five quarters. The uncertain situation over a long term took its toll in the area of employment. Number of hours worked was by 4.0% lower year-on-year in the second half of the last year. Non-manufacturing industrial branches also faced obstacles. Their negative contribution to the year-on-year GVA growth significantly shrank last year (to -0</w:t>
            </w:r>
            <w:proofErr w:type="gramStart"/>
            <w:r w:rsidRPr="00EB6063">
              <w:rPr>
                <w:lang w:val="en-GB"/>
              </w:rPr>
              <w:t>,1</w:t>
            </w:r>
            <w:proofErr w:type="gramEnd"/>
            <w:r w:rsidRPr="00EB6063">
              <w:rPr>
                <w:lang w:val="en-GB"/>
              </w:rPr>
              <w:t xml:space="preserve"> p.p., -0.8 p.p. a year ago), it was even already positive thanks to the development in energy industry in Q4 2016 (for the first time after nine quarters).</w:t>
            </w:r>
          </w:p>
          <w:p w:rsidR="00492991" w:rsidRPr="009D6A6F" w:rsidRDefault="00492991" w:rsidP="008A03DE">
            <w:pPr>
              <w:pStyle w:val="Textpoznpodarou"/>
              <w:jc w:val="both"/>
              <w:rPr>
                <w:color w:val="0D0D0D"/>
                <w:sz w:val="14"/>
                <w:szCs w:val="14"/>
                <w:lang w:val="en-GB"/>
              </w:rPr>
            </w:pPr>
          </w:p>
        </w:tc>
      </w:tr>
      <w:tr w:rsidR="00492991" w:rsidRPr="00CB09D5" w:rsidTr="00607119">
        <w:trPr>
          <w:trHeight w:val="145"/>
        </w:trPr>
        <w:tc>
          <w:tcPr>
            <w:tcW w:w="1017" w:type="pct"/>
            <w:shd w:val="clear" w:color="auto" w:fill="auto"/>
          </w:tcPr>
          <w:p w:rsidR="00492991" w:rsidRPr="00CB09D5" w:rsidRDefault="00655197" w:rsidP="008A03DE">
            <w:pPr>
              <w:spacing w:line="240" w:lineRule="auto"/>
              <w:rPr>
                <w:spacing w:val="-2"/>
                <w:sz w:val="16"/>
                <w:szCs w:val="16"/>
                <w:lang w:val="en-GB"/>
              </w:rPr>
            </w:pPr>
            <w:r w:rsidRPr="00CB09D5">
              <w:rPr>
                <w:spacing w:val="-2"/>
                <w:sz w:val="16"/>
                <w:szCs w:val="16"/>
                <w:lang w:val="en-GB"/>
              </w:rPr>
              <w:t>Year-on-year growth of the industrial production slowed down due to the high comparative basis during</w:t>
            </w:r>
            <w:r w:rsidR="00FD301F" w:rsidRPr="00CB09D5">
              <w:rPr>
                <w:spacing w:val="-2"/>
                <w:sz w:val="16"/>
                <w:szCs w:val="16"/>
                <w:lang w:val="en-GB"/>
              </w:rPr>
              <w:t xml:space="preserve"> the</w:t>
            </w:r>
            <w:r w:rsidRPr="00CB09D5">
              <w:rPr>
                <w:spacing w:val="-2"/>
                <w:sz w:val="16"/>
                <w:szCs w:val="16"/>
                <w:lang w:val="en-GB"/>
              </w:rPr>
              <w:t xml:space="preserve"> year 2016, weaker results of key export branches in summer period as well as</w:t>
            </w:r>
            <w:r w:rsidR="00C45BA1" w:rsidRPr="00CB09D5">
              <w:rPr>
                <w:spacing w:val="-2"/>
                <w:sz w:val="16"/>
                <w:szCs w:val="16"/>
                <w:lang w:val="en-GB"/>
              </w:rPr>
              <w:t xml:space="preserve"> unplanned restriction of production capacities of chemical industry and </w:t>
            </w:r>
            <w:proofErr w:type="spellStart"/>
            <w:r w:rsidR="00C45BA1" w:rsidRPr="00CB09D5">
              <w:rPr>
                <w:spacing w:val="-2"/>
                <w:sz w:val="16"/>
                <w:szCs w:val="16"/>
                <w:lang w:val="en-GB"/>
              </w:rPr>
              <w:t>energetics</w:t>
            </w:r>
            <w:proofErr w:type="spellEnd"/>
            <w:r w:rsidR="00C45BA1" w:rsidRPr="00CB09D5">
              <w:rPr>
                <w:spacing w:val="-2"/>
                <w:sz w:val="16"/>
                <w:szCs w:val="16"/>
                <w:lang w:val="en-GB"/>
              </w:rPr>
              <w:t xml:space="preserve"> fo</w:t>
            </w:r>
            <w:r w:rsidR="008850F7" w:rsidRPr="00CB09D5">
              <w:rPr>
                <w:spacing w:val="-2"/>
                <w:sz w:val="16"/>
                <w:szCs w:val="16"/>
                <w:lang w:val="en-GB"/>
              </w:rPr>
              <w:t>r</w:t>
            </w:r>
            <w:r w:rsidR="00C45BA1" w:rsidRPr="00CB09D5">
              <w:rPr>
                <w:spacing w:val="-2"/>
                <w:sz w:val="16"/>
                <w:szCs w:val="16"/>
                <w:lang w:val="en-GB"/>
              </w:rPr>
              <w:t xml:space="preserve"> most of the year</w:t>
            </w:r>
            <w:r w:rsidR="00AE6734" w:rsidRPr="00CB09D5">
              <w:rPr>
                <w:spacing w:val="-2"/>
                <w:sz w:val="16"/>
                <w:szCs w:val="16"/>
                <w:lang w:val="en-GB"/>
              </w:rPr>
              <w:t>.</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lang w:val="en-GB"/>
              </w:rPr>
            </w:pPr>
            <w:r w:rsidRPr="00EB6063">
              <w:rPr>
                <w:lang w:val="en-GB"/>
              </w:rPr>
              <w:t>More detailed results of the business statistics also confirm the lasting growth tendencies of the main economic branches. Industry performance</w:t>
            </w:r>
            <w:r w:rsidRPr="00EB6063">
              <w:rPr>
                <w:color w:val="000000"/>
                <w:vertAlign w:val="superscript"/>
                <w:lang w:val="en-GB"/>
              </w:rPr>
              <w:footnoteReference w:id="2"/>
            </w:r>
            <w:r w:rsidRPr="00EB6063">
              <w:rPr>
                <w:color w:val="000000"/>
                <w:lang w:val="en-GB"/>
              </w:rPr>
              <w:t xml:space="preserve"> (based on the industrial production index) strengthened by 2.9% in 2016 (resp. 2.3% after adjustment for calendar effects)</w:t>
            </w:r>
            <w:r w:rsidRPr="00EB6063">
              <w:rPr>
                <w:rStyle w:val="Znakapoznpodarou"/>
                <w:color w:val="000000"/>
                <w:lang w:val="en-GB"/>
              </w:rPr>
              <w:footnoteReference w:id="3"/>
            </w:r>
            <w:r w:rsidRPr="00EB6063">
              <w:rPr>
                <w:color w:val="000000"/>
                <w:lang w:val="en-GB"/>
              </w:rPr>
              <w:t xml:space="preserve">. Even though the last year’s pace declined by approximately one half against the years 2014 and 2015, it still exceeded the dynamics of the whole EU </w:t>
            </w:r>
            <w:proofErr w:type="gramStart"/>
            <w:r w:rsidRPr="00EB6063">
              <w:rPr>
                <w:color w:val="000000"/>
                <w:lang w:val="en-GB"/>
              </w:rPr>
              <w:t>(by 0.9 p.p.)</w:t>
            </w:r>
            <w:proofErr w:type="gramEnd"/>
            <w:r w:rsidRPr="00EB6063">
              <w:rPr>
                <w:color w:val="000000"/>
                <w:lang w:val="en-GB"/>
              </w:rPr>
              <w:t xml:space="preserve">. Signals of slowdown in the Czech Republic were apparent already from the lower volume of new orders in the second half of year 2015 (in machinery or manufacturing of electrical appliances), resp. their dive in the chemical industry as a result of serious accidents.  Volume significant </w:t>
            </w:r>
            <w:proofErr w:type="spellStart"/>
            <w:r w:rsidRPr="00EB6063">
              <w:rPr>
                <w:color w:val="000000"/>
                <w:lang w:val="en-GB"/>
              </w:rPr>
              <w:t>energetics</w:t>
            </w:r>
            <w:proofErr w:type="spellEnd"/>
            <w:r w:rsidRPr="00EB6063">
              <w:rPr>
                <w:color w:val="000000"/>
                <w:lang w:val="en-GB"/>
              </w:rPr>
              <w:t xml:space="preserve"> branch (comprising one twelfth of production of the whole industry) also faced cutback in production capacities during majority of the last year. Weaker results in summer months also left its mark on the last year whole industrial production. The production in whole industry declined by nearly 2% in this period and it thus recorded the deepest quarter-on-quarter fall since the end of the year </w:t>
            </w:r>
            <w:r w:rsidRPr="00EB6063">
              <w:rPr>
                <w:lang w:val="en-GB"/>
              </w:rPr>
              <w:t xml:space="preserve">2012 (even by 4% in key export branch – manufacturing of motor vehicles). However, the last quarter of the past year indicated, that it represented only a one-off fluctuation. The restoration of production capacities in power stations as well as chemical industry enabled the industry to fully breathe again. </w:t>
            </w:r>
          </w:p>
          <w:p w:rsidR="00492991" w:rsidRPr="009D6A6F" w:rsidRDefault="00492991" w:rsidP="008A03DE">
            <w:pPr>
              <w:pStyle w:val="Textpoznpodarou"/>
              <w:jc w:val="both"/>
              <w:rPr>
                <w:sz w:val="13"/>
                <w:szCs w:val="13"/>
                <w:lang w:val="en-GB"/>
              </w:rPr>
            </w:pPr>
          </w:p>
        </w:tc>
      </w:tr>
      <w:tr w:rsidR="00492991" w:rsidRPr="00CB09D5" w:rsidTr="00607119">
        <w:trPr>
          <w:trHeight w:val="145"/>
        </w:trPr>
        <w:tc>
          <w:tcPr>
            <w:tcW w:w="1017" w:type="pct"/>
            <w:shd w:val="clear" w:color="auto" w:fill="auto"/>
          </w:tcPr>
          <w:p w:rsidR="00492991" w:rsidRPr="00CB09D5" w:rsidRDefault="004257F9" w:rsidP="008A03DE">
            <w:pPr>
              <w:spacing w:line="240" w:lineRule="auto"/>
              <w:rPr>
                <w:color w:val="0D0D0D"/>
                <w:spacing w:val="-4"/>
                <w:sz w:val="16"/>
                <w:szCs w:val="16"/>
                <w:lang w:val="en-GB"/>
              </w:rPr>
            </w:pPr>
            <w:r w:rsidRPr="00CB09D5">
              <w:rPr>
                <w:color w:val="0D0D0D"/>
                <w:spacing w:val="-4"/>
                <w:sz w:val="16"/>
                <w:szCs w:val="16"/>
                <w:lang w:val="en-GB"/>
              </w:rPr>
              <w:t xml:space="preserve">The long-term dominant position of the motor vehicle manufacturing within industry was even amplified in </w:t>
            </w:r>
            <w:r w:rsidR="00492991" w:rsidRPr="00CB09D5">
              <w:rPr>
                <w:color w:val="0D0D0D"/>
                <w:spacing w:val="-4"/>
                <w:sz w:val="16"/>
                <w:szCs w:val="16"/>
                <w:lang w:val="en-GB"/>
              </w:rPr>
              <w:t>2016</w:t>
            </w:r>
            <w:r w:rsidR="00AE6734" w:rsidRPr="00CB09D5">
              <w:rPr>
                <w:color w:val="0D0D0D"/>
                <w:spacing w:val="-4"/>
                <w:sz w:val="16"/>
                <w:szCs w:val="16"/>
                <w:lang w:val="en-GB"/>
              </w:rPr>
              <w:t>.</w:t>
            </w:r>
          </w:p>
          <w:p w:rsidR="00492991" w:rsidRPr="00CB09D5" w:rsidRDefault="00492991" w:rsidP="008A03DE">
            <w:pPr>
              <w:spacing w:line="240" w:lineRule="auto"/>
              <w:rPr>
                <w:spacing w:val="-4"/>
                <w:sz w:val="16"/>
                <w:szCs w:val="16"/>
                <w:lang w:val="en-GB"/>
              </w:rPr>
            </w:pP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lang w:val="en-GB"/>
              </w:rPr>
            </w:pPr>
            <w:r w:rsidRPr="00EB6063">
              <w:rPr>
                <w:lang w:val="en-GB"/>
              </w:rPr>
              <w:t xml:space="preserve">Manufacturing of motor vehicles traditionally pulled the production of the whole industry. Its dominant position was even magnified compared to the preceding period of the years 2014 and 2015, when it contributed 2.0 p.p. to the year-on-year growth last year (together with the nearest subcontractor branches 2.5 p.p.). It is also evidenced by the fact, that it did not reduce its double-digit growths from the previous years as the only industrial branch (its production expanded by 41% in the last three years, growth in the whole industry arrived at 13%). Rising demand on European as well as Asian markets stimulated production, which was also reflected in the repeated conquest of the record of manufactured motor </w:t>
            </w:r>
            <w:r w:rsidRPr="00EB6063">
              <w:rPr>
                <w:lang w:val="en-GB"/>
              </w:rPr>
              <w:lastRenderedPageBreak/>
              <w:t>vehicles in the Czech Republic</w:t>
            </w:r>
            <w:r w:rsidRPr="00EB6063">
              <w:rPr>
                <w:rStyle w:val="Znakapoznpodarou"/>
                <w:lang w:val="en-GB"/>
              </w:rPr>
              <w:footnoteReference w:id="4"/>
            </w:r>
            <w:r w:rsidRPr="00EB6063">
              <w:rPr>
                <w:lang w:val="en-GB"/>
              </w:rPr>
              <w:t xml:space="preserve">. Manufacturers of corresponding intermediate products also benefited from this development – especially manufacture of rubber products fared well (however the growth of production was only 0.7% in the manufacture of electrical appliances). Manufacturers of other (mainly rail) transportation equipment also reached similarly modest result last year, the weaker domestic demand stood in the background (compared to the strong year 2015). </w:t>
            </w:r>
          </w:p>
          <w:p w:rsidR="00492991" w:rsidRPr="009D6A6F" w:rsidRDefault="00492991" w:rsidP="008A03DE">
            <w:pPr>
              <w:pStyle w:val="Textpoznpodarou"/>
              <w:jc w:val="both"/>
              <w:rPr>
                <w:sz w:val="13"/>
                <w:szCs w:val="13"/>
                <w:lang w:val="en-GB"/>
              </w:rPr>
            </w:pPr>
          </w:p>
        </w:tc>
      </w:tr>
      <w:tr w:rsidR="00492991" w:rsidRPr="00CB09D5" w:rsidTr="00607119">
        <w:trPr>
          <w:trHeight w:val="145"/>
        </w:trPr>
        <w:tc>
          <w:tcPr>
            <w:tcW w:w="1017" w:type="pct"/>
            <w:shd w:val="clear" w:color="auto" w:fill="auto"/>
          </w:tcPr>
          <w:p w:rsidR="00492991" w:rsidRPr="00CB09D5" w:rsidRDefault="0075747F" w:rsidP="008A03DE">
            <w:pPr>
              <w:spacing w:line="240" w:lineRule="auto"/>
              <w:rPr>
                <w:color w:val="0D0D0D"/>
                <w:spacing w:val="-4"/>
                <w:sz w:val="16"/>
                <w:szCs w:val="16"/>
                <w:lang w:val="en-GB"/>
              </w:rPr>
            </w:pPr>
            <w:r w:rsidRPr="00CB09D5">
              <w:rPr>
                <w:color w:val="0D0D0D"/>
                <w:spacing w:val="-4"/>
                <w:sz w:val="16"/>
                <w:szCs w:val="16"/>
                <w:lang w:val="en-GB"/>
              </w:rPr>
              <w:lastRenderedPageBreak/>
              <w:t xml:space="preserve">Production growth continued in the weight significant manufacture of metal products as well as machinery, </w:t>
            </w:r>
            <w:r w:rsidR="008A349F" w:rsidRPr="00CB09D5">
              <w:rPr>
                <w:color w:val="0D0D0D"/>
                <w:spacing w:val="-4"/>
                <w:sz w:val="16"/>
                <w:szCs w:val="16"/>
                <w:lang w:val="en-GB"/>
              </w:rPr>
              <w:t xml:space="preserve">manufacturers of computer, electronic and optical products also thrived   </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lang w:val="en-GB"/>
              </w:rPr>
            </w:pPr>
            <w:r w:rsidRPr="00EB6063">
              <w:rPr>
                <w:lang w:val="en-GB"/>
              </w:rPr>
              <w:t>Within the other more significant manufacturing activities, the manufacture of metal products recorded an above average growth last year (by 4.5%) and its production overtook the level of the peak year 2007 for the first time</w:t>
            </w:r>
            <w:r w:rsidRPr="00EB6063">
              <w:rPr>
                <w:rStyle w:val="Znakapoznpodarou"/>
                <w:lang w:val="en-GB"/>
              </w:rPr>
              <w:footnoteReference w:id="5"/>
            </w:r>
            <w:r w:rsidRPr="00EB6063">
              <w:rPr>
                <w:lang w:val="en-GB"/>
              </w:rPr>
              <w:t>. Strongly export oriented manufacture of computer, electronic and optical products accelerated its growth as one of the few activities year-on-year (to 5.6% from 2.8% in 2015). In machinery, the higher foreign demand managed to compensate the less favourable development at home and it resulted in higher production (by 1%). Larger diversification of this branch made it more resilient with respect to the fluctuations in demand. The production in machinery thus increased already seventh year in a row and it was by nearly one tenth higher last year compared to the year 2007 (similarly as in the whole industry).</w:t>
            </w:r>
          </w:p>
          <w:p w:rsidR="00492991" w:rsidRPr="009D6A6F" w:rsidRDefault="00492991" w:rsidP="008A03DE">
            <w:pPr>
              <w:pStyle w:val="Textpoznpodarou"/>
              <w:jc w:val="both"/>
              <w:rPr>
                <w:sz w:val="13"/>
                <w:szCs w:val="13"/>
                <w:lang w:val="en-GB"/>
              </w:rPr>
            </w:pPr>
          </w:p>
        </w:tc>
      </w:tr>
      <w:tr w:rsidR="00492991" w:rsidRPr="00CB09D5" w:rsidTr="00607119">
        <w:trPr>
          <w:trHeight w:val="145"/>
        </w:trPr>
        <w:tc>
          <w:tcPr>
            <w:tcW w:w="1017" w:type="pct"/>
            <w:shd w:val="clear" w:color="auto" w:fill="auto"/>
          </w:tcPr>
          <w:p w:rsidR="00492991" w:rsidRPr="00CB09D5" w:rsidRDefault="008A3047" w:rsidP="008A03DE">
            <w:pPr>
              <w:spacing w:line="240" w:lineRule="auto"/>
              <w:rPr>
                <w:spacing w:val="-4"/>
                <w:sz w:val="16"/>
                <w:szCs w:val="16"/>
                <w:lang w:val="en-GB"/>
              </w:rPr>
            </w:pPr>
            <w:r w:rsidRPr="00CB09D5">
              <w:rPr>
                <w:spacing w:val="-4"/>
                <w:sz w:val="16"/>
                <w:szCs w:val="16"/>
                <w:lang w:val="en-GB"/>
              </w:rPr>
              <w:t xml:space="preserve">Dynamic growth of production continued among the smaller manufacturing activities in furniture industry, </w:t>
            </w:r>
            <w:r w:rsidR="00703B9F" w:rsidRPr="00CB09D5">
              <w:rPr>
                <w:spacing w:val="-4"/>
                <w:sz w:val="16"/>
                <w:szCs w:val="16"/>
                <w:lang w:val="en-GB"/>
              </w:rPr>
              <w:t xml:space="preserve">as well as also a mild recovery in the textile industry. </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lang w:val="en-GB"/>
              </w:rPr>
            </w:pPr>
            <w:r w:rsidRPr="00EB6063">
              <w:rPr>
                <w:lang w:val="en-GB"/>
              </w:rPr>
              <w:t>Among the smaller branches, the furniture industry continued thriving, with the production rising by more than one quarter in the last four years (even though it still lagged behind its latest peak from the year 2007-by 6 %). Both the textile and leather industry recorded slightly higher pace than the whole manufacturing (+3.7%) last year. The clothing industry (subdued in the long term) stagnated after its recovery in 2015 (driven by the higher foreign demand) last year, when the increased domestic demand only compensated for the mild year-on-year decline in the foreign demand, holding higher weight. Printing industry achieved a swift growth also due to the lower comparative basis, being traditionally focussed predominantly on the domestic market.</w:t>
            </w:r>
          </w:p>
          <w:p w:rsidR="00492991" w:rsidRPr="009D6A6F" w:rsidRDefault="00492991" w:rsidP="008A03DE">
            <w:pPr>
              <w:pStyle w:val="Textpoznpodarou"/>
              <w:jc w:val="both"/>
              <w:rPr>
                <w:sz w:val="13"/>
                <w:szCs w:val="13"/>
                <w:lang w:val="en-GB"/>
              </w:rPr>
            </w:pPr>
          </w:p>
        </w:tc>
      </w:tr>
      <w:tr w:rsidR="00492991" w:rsidRPr="00CB09D5" w:rsidTr="00607119">
        <w:trPr>
          <w:trHeight w:val="145"/>
        </w:trPr>
        <w:tc>
          <w:tcPr>
            <w:tcW w:w="1017" w:type="pct"/>
          </w:tcPr>
          <w:p w:rsidR="00492991" w:rsidRPr="00CB09D5" w:rsidRDefault="005F74B2" w:rsidP="008A03DE">
            <w:pPr>
              <w:spacing w:line="240" w:lineRule="auto"/>
              <w:rPr>
                <w:spacing w:val="-4"/>
                <w:sz w:val="16"/>
                <w:szCs w:val="16"/>
                <w:lang w:val="en-GB"/>
              </w:rPr>
            </w:pPr>
            <w:r w:rsidRPr="00CB09D5">
              <w:rPr>
                <w:spacing w:val="-4"/>
                <w:sz w:val="16"/>
                <w:szCs w:val="16"/>
                <w:lang w:val="en-GB"/>
              </w:rPr>
              <w:t xml:space="preserve">The production was within the more important manufacturing activities falling only in </w:t>
            </w:r>
            <w:r w:rsidR="00CB0AE1" w:rsidRPr="00CB09D5">
              <w:rPr>
                <w:spacing w:val="-4"/>
                <w:sz w:val="16"/>
                <w:szCs w:val="16"/>
                <w:lang w:val="en-GB"/>
              </w:rPr>
              <w:t>metallurgy</w:t>
            </w:r>
            <w:r w:rsidRPr="00CB09D5">
              <w:rPr>
                <w:spacing w:val="-4"/>
                <w:sz w:val="16"/>
                <w:szCs w:val="16"/>
                <w:lang w:val="en-GB"/>
              </w:rPr>
              <w:t>, chemical industry and manufacturing of food</w:t>
            </w:r>
            <w:r w:rsidR="008339DC">
              <w:rPr>
                <w:spacing w:val="-4"/>
                <w:sz w:val="16"/>
                <w:szCs w:val="16"/>
                <w:lang w:val="en-GB"/>
              </w:rPr>
              <w:t xml:space="preserve"> products</w:t>
            </w:r>
            <w:r w:rsidR="00AE6734" w:rsidRPr="00CB09D5">
              <w:rPr>
                <w:spacing w:val="-4"/>
                <w:sz w:val="16"/>
                <w:szCs w:val="16"/>
                <w:lang w:val="en-GB"/>
              </w:rPr>
              <w:t>.</w:t>
            </w:r>
          </w:p>
          <w:p w:rsidR="00492991" w:rsidRPr="00CB09D5" w:rsidRDefault="00492991" w:rsidP="008A03DE">
            <w:pPr>
              <w:spacing w:line="240" w:lineRule="auto"/>
              <w:rPr>
                <w:spacing w:val="-4"/>
                <w:sz w:val="16"/>
                <w:szCs w:val="16"/>
                <w:lang w:val="en-GB"/>
              </w:rPr>
            </w:pPr>
          </w:p>
          <w:p w:rsidR="00492991" w:rsidRPr="00CB09D5" w:rsidRDefault="00492991" w:rsidP="008A03DE">
            <w:pPr>
              <w:spacing w:line="240" w:lineRule="auto"/>
              <w:rPr>
                <w:spacing w:val="-4"/>
                <w:sz w:val="16"/>
                <w:szCs w:val="16"/>
                <w:lang w:val="en-GB"/>
              </w:rPr>
            </w:pPr>
          </w:p>
          <w:p w:rsidR="00492991" w:rsidRPr="00CB09D5" w:rsidRDefault="00492991" w:rsidP="008A03DE">
            <w:pPr>
              <w:spacing w:line="240" w:lineRule="auto"/>
              <w:rPr>
                <w:spacing w:val="-4"/>
                <w:sz w:val="16"/>
                <w:szCs w:val="16"/>
                <w:lang w:val="en-GB"/>
              </w:rPr>
            </w:pPr>
          </w:p>
          <w:p w:rsidR="00AE6734" w:rsidRPr="00CB09D5" w:rsidRDefault="00AE6734" w:rsidP="008A03DE">
            <w:pPr>
              <w:spacing w:line="240" w:lineRule="auto"/>
              <w:rPr>
                <w:spacing w:val="-4"/>
                <w:sz w:val="16"/>
                <w:szCs w:val="16"/>
                <w:lang w:val="en-GB"/>
              </w:rPr>
            </w:pPr>
          </w:p>
          <w:p w:rsidR="00492991" w:rsidRPr="00CB09D5" w:rsidRDefault="000065B8" w:rsidP="008A03DE">
            <w:pPr>
              <w:spacing w:line="240" w:lineRule="auto"/>
              <w:rPr>
                <w:spacing w:val="-4"/>
                <w:sz w:val="16"/>
                <w:szCs w:val="16"/>
                <w:lang w:val="en-GB"/>
              </w:rPr>
            </w:pPr>
            <w:r w:rsidRPr="00CB09D5">
              <w:rPr>
                <w:spacing w:val="-4"/>
                <w:sz w:val="16"/>
                <w:szCs w:val="16"/>
                <w:lang w:val="en-GB"/>
              </w:rPr>
              <w:t xml:space="preserve">Impact of unplanned </w:t>
            </w:r>
            <w:r w:rsidR="00CB0AE1" w:rsidRPr="00CB09D5">
              <w:rPr>
                <w:spacing w:val="-4"/>
                <w:sz w:val="16"/>
                <w:szCs w:val="16"/>
                <w:lang w:val="en-GB"/>
              </w:rPr>
              <w:t>shutdowns</w:t>
            </w:r>
            <w:r w:rsidRPr="00CB09D5">
              <w:rPr>
                <w:spacing w:val="-4"/>
                <w:sz w:val="16"/>
                <w:szCs w:val="16"/>
                <w:lang w:val="en-GB"/>
              </w:rPr>
              <w:t xml:space="preserve"> on the annual production was deeper in chemical industry than in </w:t>
            </w:r>
            <w:proofErr w:type="spellStart"/>
            <w:r w:rsidRPr="00CB09D5">
              <w:rPr>
                <w:spacing w:val="-4"/>
                <w:sz w:val="16"/>
                <w:szCs w:val="16"/>
                <w:lang w:val="en-GB"/>
              </w:rPr>
              <w:t>energetics</w:t>
            </w:r>
            <w:proofErr w:type="spellEnd"/>
            <w:r w:rsidR="00AE6734" w:rsidRPr="00CB09D5">
              <w:rPr>
                <w:spacing w:val="-4"/>
                <w:sz w:val="16"/>
                <w:szCs w:val="16"/>
                <w:lang w:val="en-GB"/>
              </w:rPr>
              <w:t>.</w:t>
            </w:r>
          </w:p>
          <w:p w:rsidR="00492991" w:rsidRPr="00CB09D5" w:rsidRDefault="00492991" w:rsidP="008A03DE">
            <w:pPr>
              <w:spacing w:line="240" w:lineRule="auto"/>
              <w:rPr>
                <w:spacing w:val="-4"/>
                <w:sz w:val="16"/>
                <w:szCs w:val="16"/>
                <w:lang w:val="en-GB"/>
              </w:rPr>
            </w:pP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color w:val="000000"/>
                <w:lang w:val="en-GB"/>
              </w:rPr>
            </w:pPr>
            <w:r w:rsidRPr="00EB6063">
              <w:rPr>
                <w:lang w:val="en-GB"/>
              </w:rPr>
              <w:t>The chemical industry put the brakes the most on the growth of the whole industry in 2016, since its performance has been restricted due to accident for more than one year</w:t>
            </w:r>
            <w:r w:rsidRPr="00EB6063">
              <w:rPr>
                <w:rStyle w:val="Znakapoznpodarou"/>
                <w:lang w:val="en-GB"/>
              </w:rPr>
              <w:footnoteReference w:id="6"/>
            </w:r>
            <w:r w:rsidRPr="00EB6063">
              <w:rPr>
                <w:lang w:val="en-GB"/>
              </w:rPr>
              <w:t>. In spite of a gradual renewal of capacities in the second half of the last year, the year-on-year production was still placed by 7% lower compared to the year 2015</w:t>
            </w:r>
            <w:r w:rsidRPr="00EB6063">
              <w:rPr>
                <w:rStyle w:val="Znakapoznpodarou"/>
                <w:lang w:val="en-GB"/>
              </w:rPr>
              <w:footnoteReference w:id="7"/>
            </w:r>
            <w:r w:rsidRPr="00EB6063">
              <w:rPr>
                <w:lang w:val="en-GB"/>
              </w:rPr>
              <w:t xml:space="preserve">. The unplanned shutdowns in </w:t>
            </w:r>
            <w:proofErr w:type="spellStart"/>
            <w:r w:rsidRPr="00EB6063">
              <w:rPr>
                <w:lang w:val="en-GB"/>
              </w:rPr>
              <w:t>energetics</w:t>
            </w:r>
            <w:proofErr w:type="spellEnd"/>
            <w:r w:rsidRPr="00EB6063">
              <w:rPr>
                <w:lang w:val="en-GB"/>
              </w:rPr>
              <w:t xml:space="preserve"> did not have such a high impact on this industry, since the production rose by 0.5% for the whole year and at the same time it grew for the first time since the year 2010. On the contrary, the external influence (commodities prices on the world markets) were adversely reflected in mining and quarrying, when the guided slow-down of mining (mostly the black coal) showed in the sharp falls of production (by 9% in 2016, by 27% then in the last five years).</w:t>
            </w:r>
            <w:r w:rsidRPr="00EB6063">
              <w:rPr>
                <w:color w:val="000000"/>
                <w:lang w:val="en-GB"/>
              </w:rPr>
              <w:t xml:space="preserve"> The excess of supply of steal on the European markets led to a mild lowering of production in metallurgy and foundry industry (by 0.5%, similarly as in Germany or the whole EU)</w:t>
            </w:r>
            <w:r w:rsidRPr="00EB6063">
              <w:rPr>
                <w:rStyle w:val="Znakapoznpodarou"/>
                <w:color w:val="000000"/>
                <w:lang w:val="en-GB"/>
              </w:rPr>
              <w:footnoteReference w:id="8"/>
            </w:r>
            <w:r w:rsidRPr="00EB6063">
              <w:rPr>
                <w:color w:val="000000"/>
                <w:lang w:val="en-GB"/>
              </w:rPr>
              <w:t xml:space="preserve">. The manufacturing of food products (stable branch, oriented mostly on the domestic market), achieved in the CR the weakest result in the past five years in the last year (-2.5%, +1.0% in Germany, +6.4% in Poland). Lowering of the volume of public orders in the civil engineering construction as well as a weaker intensity of the commenced residential construction had an effect on the production of other non-metal mineral products, where the production following the revival in the years 2014 and 2015 </w:t>
            </w:r>
            <w:r w:rsidRPr="00EB6063">
              <w:rPr>
                <w:color w:val="000000"/>
                <w:lang w:val="en-GB"/>
              </w:rPr>
              <w:lastRenderedPageBreak/>
              <w:t xml:space="preserve">stagnated last year. </w:t>
            </w:r>
          </w:p>
          <w:p w:rsidR="00492991" w:rsidRPr="009D6A6F" w:rsidRDefault="00492991" w:rsidP="008A03DE">
            <w:pPr>
              <w:pStyle w:val="Textpoznpodarou"/>
              <w:jc w:val="both"/>
              <w:rPr>
                <w:sz w:val="13"/>
                <w:szCs w:val="13"/>
                <w:lang w:val="en-GB"/>
              </w:rPr>
            </w:pPr>
          </w:p>
        </w:tc>
      </w:tr>
      <w:tr w:rsidR="00492991" w:rsidRPr="00CB09D5" w:rsidTr="00607119">
        <w:tc>
          <w:tcPr>
            <w:tcW w:w="1017" w:type="pct"/>
          </w:tcPr>
          <w:p w:rsidR="00492991" w:rsidRPr="00CB09D5" w:rsidRDefault="00584150" w:rsidP="008A03DE">
            <w:pPr>
              <w:spacing w:line="240" w:lineRule="auto"/>
              <w:rPr>
                <w:spacing w:val="-4"/>
                <w:sz w:val="16"/>
                <w:szCs w:val="16"/>
                <w:lang w:val="en-GB"/>
              </w:rPr>
            </w:pPr>
            <w:r w:rsidRPr="00CB09D5">
              <w:rPr>
                <w:spacing w:val="-4"/>
                <w:sz w:val="16"/>
                <w:szCs w:val="16"/>
                <w:lang w:val="en-GB"/>
              </w:rPr>
              <w:lastRenderedPageBreak/>
              <w:t xml:space="preserve">The long-term more favourable development of industrial sales from direct exports over domestic sales continued. </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lang w:val="en-GB"/>
              </w:rPr>
            </w:pPr>
            <w:r w:rsidRPr="00EB6063">
              <w:rPr>
                <w:lang w:val="en-GB"/>
              </w:rPr>
              <w:t xml:space="preserve">Trends in the industrial production are closely connected to the development of sales. These grew by 1% in nominal terms compared to the year 2015, since the more favourable development of sales from direct exports (+2.7%) managed to offset the mild slump of the domestic sales (-1.3%). The domestic sales however revived in the last quarter of the past year (+2.3%), when they profited from the year-on-year strengthening both in the chemical industry and </w:t>
            </w:r>
            <w:proofErr w:type="spellStart"/>
            <w:r w:rsidRPr="00EB6063">
              <w:rPr>
                <w:lang w:val="en-GB"/>
              </w:rPr>
              <w:t>energetics</w:t>
            </w:r>
            <w:proofErr w:type="spellEnd"/>
            <w:r w:rsidRPr="00EB6063">
              <w:rPr>
                <w:lang w:val="en-GB"/>
              </w:rPr>
              <w:t xml:space="preserve">.  </w:t>
            </w:r>
          </w:p>
          <w:p w:rsidR="00492991" w:rsidRPr="009D6A6F" w:rsidRDefault="00492991" w:rsidP="008A03DE">
            <w:pPr>
              <w:pStyle w:val="Textpoznpodarou"/>
              <w:jc w:val="both"/>
              <w:rPr>
                <w:sz w:val="13"/>
                <w:szCs w:val="13"/>
                <w:lang w:val="en-GB"/>
              </w:rPr>
            </w:pPr>
          </w:p>
        </w:tc>
      </w:tr>
      <w:tr w:rsidR="00492991" w:rsidRPr="00CB09D5" w:rsidTr="00607119">
        <w:tc>
          <w:tcPr>
            <w:tcW w:w="1017" w:type="pct"/>
          </w:tcPr>
          <w:p w:rsidR="00492991" w:rsidRPr="00CB09D5" w:rsidRDefault="005D1966" w:rsidP="008A03DE">
            <w:pPr>
              <w:spacing w:line="240" w:lineRule="auto"/>
              <w:rPr>
                <w:spacing w:val="-4"/>
                <w:sz w:val="16"/>
                <w:szCs w:val="16"/>
                <w:lang w:val="en-GB"/>
              </w:rPr>
            </w:pPr>
            <w:r w:rsidRPr="00CB09D5">
              <w:rPr>
                <w:spacing w:val="-4"/>
                <w:sz w:val="16"/>
                <w:szCs w:val="16"/>
                <w:lang w:val="en-GB"/>
              </w:rPr>
              <w:t xml:space="preserve">Entrepreneur confidence </w:t>
            </w:r>
            <w:r w:rsidR="009F6537" w:rsidRPr="00CB09D5">
              <w:rPr>
                <w:spacing w:val="-4"/>
                <w:sz w:val="16"/>
                <w:szCs w:val="16"/>
                <w:lang w:val="en-GB"/>
              </w:rPr>
              <w:t>strengthened</w:t>
            </w:r>
            <w:r w:rsidRPr="00CB09D5">
              <w:rPr>
                <w:spacing w:val="-4"/>
                <w:sz w:val="16"/>
                <w:szCs w:val="16"/>
                <w:lang w:val="en-GB"/>
              </w:rPr>
              <w:t xml:space="preserve"> in industry at the end of the year and reached the highest values for the last </w:t>
            </w:r>
            <w:r w:rsidR="00492991" w:rsidRPr="00CB09D5">
              <w:rPr>
                <w:spacing w:val="-4"/>
                <w:sz w:val="16"/>
                <w:szCs w:val="16"/>
                <w:lang w:val="en-GB"/>
              </w:rPr>
              <w:t>5</w:t>
            </w:r>
            <w:r w:rsidRPr="00CB09D5">
              <w:rPr>
                <w:spacing w:val="-4"/>
                <w:sz w:val="16"/>
                <w:szCs w:val="16"/>
                <w:lang w:val="en-GB"/>
              </w:rPr>
              <w:t>.</w:t>
            </w:r>
            <w:r w:rsidR="00492991" w:rsidRPr="00CB09D5">
              <w:rPr>
                <w:spacing w:val="-4"/>
                <w:sz w:val="16"/>
                <w:szCs w:val="16"/>
                <w:lang w:val="en-GB"/>
              </w:rPr>
              <w:t xml:space="preserve">5 </w:t>
            </w:r>
            <w:r w:rsidRPr="00CB09D5">
              <w:rPr>
                <w:spacing w:val="-4"/>
                <w:sz w:val="16"/>
                <w:szCs w:val="16"/>
                <w:lang w:val="en-GB"/>
              </w:rPr>
              <w:t>years.</w:t>
            </w:r>
          </w:p>
          <w:p w:rsidR="00492991" w:rsidRPr="00CB09D5" w:rsidRDefault="00492991" w:rsidP="008A03DE">
            <w:pPr>
              <w:spacing w:line="240" w:lineRule="auto"/>
              <w:rPr>
                <w:spacing w:val="-4"/>
                <w:sz w:val="16"/>
                <w:szCs w:val="16"/>
                <w:lang w:val="en-GB"/>
              </w:rPr>
            </w:pPr>
          </w:p>
          <w:p w:rsidR="00492991" w:rsidRPr="00CB09D5" w:rsidRDefault="00492991" w:rsidP="008A03DE">
            <w:pPr>
              <w:spacing w:line="240" w:lineRule="auto"/>
              <w:rPr>
                <w:spacing w:val="-4"/>
                <w:sz w:val="16"/>
                <w:szCs w:val="16"/>
                <w:lang w:val="en-GB"/>
              </w:rPr>
            </w:pPr>
          </w:p>
          <w:p w:rsidR="00492991" w:rsidRPr="00CB09D5" w:rsidRDefault="00CD7A45" w:rsidP="008A03DE">
            <w:pPr>
              <w:spacing w:line="240" w:lineRule="auto"/>
              <w:rPr>
                <w:spacing w:val="-4"/>
                <w:sz w:val="16"/>
                <w:szCs w:val="16"/>
                <w:lang w:val="en-GB"/>
              </w:rPr>
            </w:pPr>
            <w:r w:rsidRPr="00CB09D5">
              <w:rPr>
                <w:spacing w:val="-4"/>
                <w:sz w:val="16"/>
                <w:szCs w:val="16"/>
                <w:lang w:val="en-GB"/>
              </w:rPr>
              <w:t>The ratio of businesses that face a lack of labour force grows already since the beginning of</w:t>
            </w:r>
            <w:r w:rsidR="00224546" w:rsidRPr="00CB09D5">
              <w:rPr>
                <w:spacing w:val="-4"/>
                <w:sz w:val="16"/>
                <w:szCs w:val="16"/>
                <w:lang w:val="en-GB"/>
              </w:rPr>
              <w:t xml:space="preserve"> the</w:t>
            </w:r>
            <w:r w:rsidRPr="00CB09D5">
              <w:rPr>
                <w:spacing w:val="-4"/>
                <w:sz w:val="16"/>
                <w:szCs w:val="16"/>
                <w:lang w:val="en-GB"/>
              </w:rPr>
              <w:t xml:space="preserve"> year </w:t>
            </w:r>
            <w:proofErr w:type="gramStart"/>
            <w:r w:rsidRPr="00CB09D5">
              <w:rPr>
                <w:spacing w:val="-4"/>
                <w:sz w:val="16"/>
                <w:szCs w:val="16"/>
                <w:lang w:val="en-GB"/>
              </w:rPr>
              <w:t>2</w:t>
            </w:r>
            <w:r w:rsidR="00492991" w:rsidRPr="00CB09D5">
              <w:rPr>
                <w:spacing w:val="-4"/>
                <w:sz w:val="16"/>
                <w:szCs w:val="16"/>
                <w:lang w:val="en-GB"/>
              </w:rPr>
              <w:t>015,</w:t>
            </w:r>
            <w:proofErr w:type="gramEnd"/>
            <w:r w:rsidR="00492991" w:rsidRPr="00CB09D5">
              <w:rPr>
                <w:spacing w:val="-4"/>
                <w:sz w:val="16"/>
                <w:szCs w:val="16"/>
                <w:lang w:val="en-GB"/>
              </w:rPr>
              <w:t xml:space="preserve"> </w:t>
            </w:r>
            <w:r w:rsidR="00603BAF" w:rsidRPr="00CB09D5">
              <w:rPr>
                <w:spacing w:val="-4"/>
                <w:sz w:val="16"/>
                <w:szCs w:val="16"/>
                <w:lang w:val="en-GB"/>
              </w:rPr>
              <w:t xml:space="preserve">it accelerated in Q4 and reached the level of </w:t>
            </w:r>
            <w:r w:rsidR="00224546" w:rsidRPr="00CB09D5">
              <w:rPr>
                <w:spacing w:val="-4"/>
                <w:sz w:val="16"/>
                <w:szCs w:val="16"/>
                <w:lang w:val="en-GB"/>
              </w:rPr>
              <w:t xml:space="preserve">the </w:t>
            </w:r>
            <w:r w:rsidR="00603BAF" w:rsidRPr="00CB09D5">
              <w:rPr>
                <w:spacing w:val="-4"/>
                <w:sz w:val="16"/>
                <w:szCs w:val="16"/>
                <w:lang w:val="en-GB"/>
              </w:rPr>
              <w:t xml:space="preserve">peak years </w:t>
            </w:r>
            <w:r w:rsidR="00AE6734" w:rsidRPr="00CB09D5">
              <w:rPr>
                <w:spacing w:val="-4"/>
                <w:sz w:val="16"/>
                <w:szCs w:val="16"/>
                <w:lang w:val="en-GB"/>
              </w:rPr>
              <w:t>2007-2008.</w:t>
            </w:r>
          </w:p>
          <w:p w:rsidR="00492991" w:rsidRPr="00CB09D5" w:rsidRDefault="00492991" w:rsidP="008A03DE">
            <w:pPr>
              <w:spacing w:line="240" w:lineRule="auto"/>
              <w:rPr>
                <w:color w:val="0D0D0D"/>
                <w:spacing w:val="-4"/>
                <w:sz w:val="16"/>
                <w:szCs w:val="16"/>
                <w:lang w:val="en-GB"/>
              </w:rPr>
            </w:pP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color w:val="000000"/>
                <w:lang w:val="en-GB"/>
              </w:rPr>
            </w:pPr>
            <w:r w:rsidRPr="00EB6063">
              <w:rPr>
                <w:lang w:val="en-GB"/>
              </w:rPr>
              <w:t>This year’s trends in the value of new orders</w:t>
            </w:r>
            <w:r w:rsidRPr="00EB6063">
              <w:rPr>
                <w:rStyle w:val="Znakapoznpodarou"/>
                <w:lang w:val="en-GB"/>
              </w:rPr>
              <w:footnoteReference w:id="9"/>
            </w:r>
            <w:r w:rsidRPr="00EB6063">
              <w:rPr>
                <w:lang w:val="en-GB"/>
              </w:rPr>
              <w:t xml:space="preserve"> signal the outlooks of industry. They increased by 5.9% </w:t>
            </w:r>
            <w:proofErr w:type="gramStart"/>
            <w:r w:rsidRPr="00EB6063">
              <w:rPr>
                <w:lang w:val="en-GB"/>
              </w:rPr>
              <w:t>year-on-year</w:t>
            </w:r>
            <w:proofErr w:type="gramEnd"/>
            <w:r w:rsidRPr="00EB6063">
              <w:rPr>
                <w:lang w:val="en-GB"/>
              </w:rPr>
              <w:t xml:space="preserve"> in Q4 2016 – the most in the motor vehicle manufacturing (+11.3%), all main branches however indicated favourable tendencies (apart from the manufacturing of electrical appliances). It is also important to stress, that the domestic orders also mildly grew (+1.7%) apart from the foreign demand (+8.1%). The positive mood of entrepreneurs lasted in industry throughout the whole </w:t>
            </w:r>
            <w:proofErr w:type="gramStart"/>
            <w:r w:rsidRPr="00EB6063">
              <w:rPr>
                <w:lang w:val="en-GB"/>
              </w:rPr>
              <w:t>year,</w:t>
            </w:r>
            <w:proofErr w:type="gramEnd"/>
            <w:r w:rsidRPr="00EB6063">
              <w:rPr>
                <w:lang w:val="en-GB"/>
              </w:rPr>
              <w:t xml:space="preserve"> in addition it even mildly grew at the end of the year. According to the fresh data (from January 2017), 22% of industrial businesses expected the increase of the production activity in the next three months (similarly as a year ago). 19% of businesses planned to increase employment (13% the year ago). Expectations improved significantly in </w:t>
            </w:r>
            <w:proofErr w:type="spellStart"/>
            <w:r w:rsidRPr="00EB6063">
              <w:rPr>
                <w:lang w:val="en-GB"/>
              </w:rPr>
              <w:t>energetics</w:t>
            </w:r>
            <w:proofErr w:type="spellEnd"/>
            <w:r w:rsidRPr="00EB6063">
              <w:rPr>
                <w:lang w:val="en-GB"/>
              </w:rPr>
              <w:t xml:space="preserve">, negative outlooks deepened in the mining industry. The share of businesses, that consider the lack of labour force as a barrier to growth markedly accelerated in the last quarter of the past year (to 29%) and it already achieved 33% at the beginning of 2017. Still, the inadequate demand remains the main barrier to growth (43%), facing for example the food industry. </w:t>
            </w:r>
          </w:p>
          <w:p w:rsidR="00492991" w:rsidRPr="009D6A6F" w:rsidRDefault="00492991" w:rsidP="008A03DE">
            <w:pPr>
              <w:pStyle w:val="Textpoznpodarou"/>
              <w:jc w:val="both"/>
              <w:rPr>
                <w:sz w:val="13"/>
                <w:szCs w:val="13"/>
                <w:lang w:val="en-GB"/>
              </w:rPr>
            </w:pPr>
          </w:p>
        </w:tc>
      </w:tr>
      <w:tr w:rsidR="00492991" w:rsidRPr="00CB09D5" w:rsidTr="00607119">
        <w:tc>
          <w:tcPr>
            <w:tcW w:w="1017" w:type="pct"/>
          </w:tcPr>
          <w:p w:rsidR="00492991" w:rsidRPr="00CB09D5" w:rsidRDefault="00A56DD4" w:rsidP="008A03DE">
            <w:pPr>
              <w:spacing w:line="240" w:lineRule="auto"/>
              <w:rPr>
                <w:color w:val="000000"/>
                <w:spacing w:val="-4"/>
                <w:sz w:val="16"/>
                <w:szCs w:val="16"/>
                <w:lang w:val="en-GB"/>
              </w:rPr>
            </w:pPr>
            <w:r w:rsidRPr="00CB09D5">
              <w:rPr>
                <w:color w:val="000000"/>
                <w:spacing w:val="-4"/>
                <w:sz w:val="16"/>
                <w:szCs w:val="16"/>
                <w:lang w:val="en-GB"/>
              </w:rPr>
              <w:t xml:space="preserve">Civil engineering construction struggled with the impacts of the very uneven drawing of </w:t>
            </w:r>
            <w:r w:rsidR="000C4AC8" w:rsidRPr="00CB09D5">
              <w:rPr>
                <w:color w:val="000000"/>
                <w:spacing w:val="-4"/>
                <w:sz w:val="16"/>
                <w:szCs w:val="16"/>
                <w:lang w:val="en-GB"/>
              </w:rPr>
              <w:t xml:space="preserve">public investment due to the </w:t>
            </w:r>
            <w:r w:rsidR="00801FB7" w:rsidRPr="00CB09D5">
              <w:rPr>
                <w:color w:val="000000"/>
                <w:spacing w:val="-4"/>
                <w:sz w:val="16"/>
                <w:szCs w:val="16"/>
                <w:lang w:val="en-GB"/>
              </w:rPr>
              <w:t>setup</w:t>
            </w:r>
            <w:r w:rsidR="000C4AC8" w:rsidRPr="00CB09D5">
              <w:rPr>
                <w:color w:val="000000"/>
                <w:spacing w:val="-4"/>
                <w:sz w:val="16"/>
                <w:szCs w:val="16"/>
                <w:lang w:val="en-GB"/>
              </w:rPr>
              <w:t xml:space="preserve"> of EU programme periods, lower production of building construction was also affected by the administrative </w:t>
            </w:r>
            <w:r w:rsidR="00BD0D6D" w:rsidRPr="00CB09D5">
              <w:rPr>
                <w:color w:val="000000"/>
                <w:spacing w:val="-4"/>
                <w:sz w:val="16"/>
                <w:szCs w:val="16"/>
                <w:lang w:val="en-GB"/>
              </w:rPr>
              <w:t>demands</w:t>
            </w:r>
            <w:r w:rsidR="00492991" w:rsidRPr="00CB09D5">
              <w:rPr>
                <w:color w:val="000000"/>
                <w:spacing w:val="-4"/>
                <w:sz w:val="16"/>
                <w:szCs w:val="16"/>
                <w:lang w:val="en-GB"/>
              </w:rPr>
              <w:t xml:space="preserve"> </w:t>
            </w:r>
            <w:r w:rsidR="000C4AC8" w:rsidRPr="00CB09D5">
              <w:rPr>
                <w:color w:val="000000"/>
                <w:spacing w:val="-4"/>
                <w:sz w:val="16"/>
                <w:szCs w:val="16"/>
                <w:lang w:val="en-GB"/>
              </w:rPr>
              <w:t xml:space="preserve">of construction proceedings. </w:t>
            </w:r>
          </w:p>
        </w:tc>
        <w:tc>
          <w:tcPr>
            <w:tcW w:w="145" w:type="pct"/>
          </w:tcPr>
          <w:p w:rsidR="00492991" w:rsidRPr="00CB09D5" w:rsidRDefault="00492991" w:rsidP="008A03DE">
            <w:pPr>
              <w:pStyle w:val="Textpoznpodarou"/>
              <w:jc w:val="both"/>
              <w:rPr>
                <w:color w:val="000000"/>
                <w:spacing w:val="-4"/>
                <w:lang w:val="en-GB"/>
              </w:rPr>
            </w:pPr>
          </w:p>
        </w:tc>
        <w:tc>
          <w:tcPr>
            <w:tcW w:w="3838" w:type="pct"/>
          </w:tcPr>
          <w:p w:rsidR="00492991" w:rsidRPr="009D6A6F" w:rsidRDefault="00EB6063" w:rsidP="008A03DE">
            <w:pPr>
              <w:pStyle w:val="Textpoznpodarou"/>
              <w:jc w:val="both"/>
              <w:rPr>
                <w:color w:val="000000"/>
                <w:lang w:val="en-GB"/>
              </w:rPr>
            </w:pPr>
            <w:r w:rsidRPr="00EB6063">
              <w:rPr>
                <w:lang w:val="en-GB"/>
              </w:rPr>
              <w:t>Construction production again returned to deeper declines last year after the growth from the years 2014</w:t>
            </w:r>
            <w:r w:rsidRPr="00EB6063">
              <w:rPr>
                <w:rFonts w:cs="Arial"/>
                <w:color w:val="0D0D0D" w:themeColor="text1" w:themeTint="F2"/>
                <w:lang w:val="en-GB"/>
              </w:rPr>
              <w:t>–</w:t>
            </w:r>
            <w:r w:rsidRPr="00EB6063">
              <w:rPr>
                <w:lang w:val="en-GB"/>
              </w:rPr>
              <w:t>2015. It decreased by 6.1% compared to the year 2015</w:t>
            </w:r>
            <w:r w:rsidRPr="00EB6063">
              <w:rPr>
                <w:rStyle w:val="Znakapoznpodarou"/>
                <w:lang w:val="en-GB"/>
              </w:rPr>
              <w:footnoteReference w:id="10"/>
            </w:r>
            <w:r w:rsidRPr="00EB6063">
              <w:rPr>
                <w:lang w:val="en-GB"/>
              </w:rPr>
              <w:t xml:space="preserve">, even by 16% in civil engineering construction (the deepest fall after the year 2000). Effect of high comparative basis (due to the fastened realisation of public orders for infrastructural projects during 2015) and the slow onset of investment in the new programme period were manifested during the whole year. The construction however already extricated from the declines in the quarter-on-quarter expression in the second half of the year, even though only thanks to the building construction so far. The production in whole construction still lagged behind the peak year 2008 by one fifth last year. On the other hand, it was by 0.6% higher (due the influence of the building construction) in comparison to the year 2014 (in which the effect of strengthening completion of drawing of European subsidies was already partially felt) last year (the decline in civil engineering construction amounted to 1.6%). </w:t>
            </w:r>
          </w:p>
          <w:p w:rsidR="00492991" w:rsidRPr="009D6A6F" w:rsidRDefault="00492991" w:rsidP="008A03DE">
            <w:pPr>
              <w:pStyle w:val="Textpoznpodarou"/>
              <w:jc w:val="both"/>
              <w:rPr>
                <w:color w:val="000000"/>
                <w:sz w:val="13"/>
                <w:szCs w:val="13"/>
                <w:lang w:val="en-GB"/>
              </w:rPr>
            </w:pPr>
          </w:p>
        </w:tc>
      </w:tr>
      <w:tr w:rsidR="00492991" w:rsidRPr="00CB09D5" w:rsidTr="00607119">
        <w:tc>
          <w:tcPr>
            <w:tcW w:w="1017" w:type="pct"/>
            <w:shd w:val="clear" w:color="auto" w:fill="auto"/>
          </w:tcPr>
          <w:p w:rsidR="00492991" w:rsidRPr="00CB09D5" w:rsidRDefault="00F86767" w:rsidP="008A03DE">
            <w:pPr>
              <w:pStyle w:val="Textpoznpodarou"/>
              <w:rPr>
                <w:spacing w:val="-4"/>
                <w:sz w:val="16"/>
                <w:szCs w:val="16"/>
                <w:lang w:val="en-GB"/>
              </w:rPr>
            </w:pPr>
            <w:r w:rsidRPr="00CB09D5">
              <w:rPr>
                <w:spacing w:val="-4"/>
                <w:sz w:val="16"/>
                <w:szCs w:val="16"/>
                <w:lang w:val="en-GB"/>
              </w:rPr>
              <w:t>Year-on-year fall of the value of new construction orders (lasting five quarters in a row) halted</w:t>
            </w:r>
            <w:r w:rsidR="008D068A" w:rsidRPr="00CB09D5">
              <w:rPr>
                <w:spacing w:val="-4"/>
                <w:sz w:val="16"/>
                <w:szCs w:val="16"/>
                <w:lang w:val="en-GB"/>
              </w:rPr>
              <w:t xml:space="preserve"> </w:t>
            </w:r>
            <w:r w:rsidRPr="00CB09D5">
              <w:rPr>
                <w:spacing w:val="-4"/>
                <w:sz w:val="16"/>
                <w:szCs w:val="16"/>
                <w:lang w:val="en-GB"/>
              </w:rPr>
              <w:t xml:space="preserve">at the end of the year </w:t>
            </w:r>
            <w:r w:rsidR="00F7738B" w:rsidRPr="00CB09D5">
              <w:rPr>
                <w:spacing w:val="-4"/>
                <w:sz w:val="16"/>
                <w:szCs w:val="16"/>
                <w:lang w:val="en-GB"/>
              </w:rPr>
              <w:t>(+10</w:t>
            </w:r>
            <w:r w:rsidR="00492991" w:rsidRPr="00CB09D5">
              <w:rPr>
                <w:spacing w:val="-4"/>
                <w:sz w:val="16"/>
                <w:szCs w:val="16"/>
                <w:lang w:val="en-GB"/>
              </w:rPr>
              <w:t xml:space="preserve">%) </w:t>
            </w:r>
            <w:r w:rsidR="008D068A" w:rsidRPr="00CB09D5">
              <w:rPr>
                <w:spacing w:val="-4"/>
                <w:sz w:val="16"/>
                <w:szCs w:val="16"/>
                <w:lang w:val="en-GB"/>
              </w:rPr>
              <w:t xml:space="preserve">exclusively thanks to the building </w:t>
            </w:r>
            <w:r w:rsidR="00E527A0" w:rsidRPr="00CB09D5">
              <w:rPr>
                <w:spacing w:val="-4"/>
                <w:sz w:val="16"/>
                <w:szCs w:val="16"/>
                <w:lang w:val="en-GB"/>
              </w:rPr>
              <w:t>construction, …</w:t>
            </w:r>
          </w:p>
          <w:p w:rsidR="00492991" w:rsidRPr="00CB09D5" w:rsidRDefault="00492991" w:rsidP="008A03DE">
            <w:pPr>
              <w:pStyle w:val="Textpoznpodarou"/>
              <w:rPr>
                <w:spacing w:val="-4"/>
                <w:sz w:val="16"/>
                <w:szCs w:val="16"/>
                <w:lang w:val="en-GB"/>
              </w:rPr>
            </w:pPr>
          </w:p>
          <w:p w:rsidR="00492991" w:rsidRPr="00CB09D5" w:rsidRDefault="00492991" w:rsidP="008A03DE">
            <w:pPr>
              <w:pStyle w:val="Textpoznpodarou"/>
              <w:rPr>
                <w:spacing w:val="-4"/>
                <w:sz w:val="16"/>
                <w:szCs w:val="16"/>
                <w:lang w:val="en-GB"/>
              </w:rPr>
            </w:pPr>
            <w:r w:rsidRPr="00CB09D5">
              <w:rPr>
                <w:spacing w:val="-4"/>
                <w:sz w:val="16"/>
                <w:szCs w:val="16"/>
                <w:lang w:val="en-GB"/>
              </w:rPr>
              <w:t>…</w:t>
            </w:r>
            <w:r w:rsidR="00E3154D" w:rsidRPr="00CB09D5">
              <w:rPr>
                <w:spacing w:val="-4"/>
                <w:sz w:val="16"/>
                <w:szCs w:val="16"/>
                <w:lang w:val="en-GB"/>
              </w:rPr>
              <w:t xml:space="preserve">total stock of orders however stayed the second lowest after </w:t>
            </w:r>
            <w:r w:rsidR="000065F9" w:rsidRPr="00CB09D5">
              <w:rPr>
                <w:spacing w:val="-4"/>
                <w:sz w:val="16"/>
                <w:szCs w:val="16"/>
                <w:lang w:val="en-GB"/>
              </w:rPr>
              <w:t xml:space="preserve">the </w:t>
            </w:r>
            <w:r w:rsidR="00E3154D" w:rsidRPr="00CB09D5">
              <w:rPr>
                <w:spacing w:val="-4"/>
                <w:sz w:val="16"/>
                <w:szCs w:val="16"/>
                <w:lang w:val="en-GB"/>
              </w:rPr>
              <w:t xml:space="preserve">year 2001 at the end of the year. </w:t>
            </w:r>
          </w:p>
          <w:p w:rsidR="00492991" w:rsidRPr="00CB09D5" w:rsidRDefault="00492991" w:rsidP="008A03DE">
            <w:pPr>
              <w:pStyle w:val="Textpoznpodarou"/>
              <w:rPr>
                <w:spacing w:val="-4"/>
                <w:sz w:val="16"/>
                <w:szCs w:val="16"/>
                <w:lang w:val="en-GB"/>
              </w:rPr>
            </w:pPr>
          </w:p>
          <w:p w:rsidR="00492991" w:rsidRPr="00CB09D5" w:rsidRDefault="00E3154D" w:rsidP="008A03DE">
            <w:pPr>
              <w:pStyle w:val="Textpoznpodarou"/>
              <w:rPr>
                <w:spacing w:val="-4"/>
                <w:sz w:val="16"/>
                <w:szCs w:val="16"/>
                <w:lang w:val="en-GB"/>
              </w:rPr>
            </w:pPr>
            <w:r w:rsidRPr="00CB09D5">
              <w:rPr>
                <w:spacing w:val="-4"/>
                <w:sz w:val="16"/>
                <w:szCs w:val="16"/>
                <w:lang w:val="en-GB"/>
              </w:rPr>
              <w:t xml:space="preserve">Balance of entrepreneur confidence in construction fell to a </w:t>
            </w:r>
            <w:r w:rsidR="002261DD" w:rsidRPr="00CB09D5">
              <w:rPr>
                <w:spacing w:val="-4"/>
                <w:sz w:val="16"/>
                <w:szCs w:val="16"/>
                <w:lang w:val="en-GB"/>
              </w:rPr>
              <w:t>two-year</w:t>
            </w:r>
            <w:r w:rsidRPr="00CB09D5">
              <w:rPr>
                <w:spacing w:val="-4"/>
                <w:sz w:val="16"/>
                <w:szCs w:val="16"/>
                <w:lang w:val="en-GB"/>
              </w:rPr>
              <w:t xml:space="preserve"> minimum in September </w:t>
            </w:r>
            <w:r w:rsidR="00A46A7F">
              <w:rPr>
                <w:spacing w:val="-4"/>
                <w:sz w:val="16"/>
                <w:szCs w:val="16"/>
                <w:lang w:val="en-GB"/>
              </w:rPr>
              <w:t xml:space="preserve">2016 </w:t>
            </w:r>
            <w:r w:rsidRPr="00CB09D5">
              <w:rPr>
                <w:spacing w:val="-4"/>
                <w:sz w:val="16"/>
                <w:szCs w:val="16"/>
                <w:lang w:val="en-GB"/>
              </w:rPr>
              <w:t xml:space="preserve">and it still perseveres in the markedly negative range. </w:t>
            </w:r>
          </w:p>
          <w:p w:rsidR="00492991" w:rsidRPr="00CB09D5" w:rsidRDefault="00492991" w:rsidP="008A03DE">
            <w:pPr>
              <w:spacing w:line="240" w:lineRule="auto"/>
              <w:rPr>
                <w:spacing w:val="-4"/>
                <w:sz w:val="16"/>
                <w:szCs w:val="16"/>
                <w:lang w:val="en-GB"/>
              </w:rPr>
            </w:pP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color w:val="000000"/>
                <w:lang w:val="en-GB"/>
              </w:rPr>
            </w:pPr>
            <w:r w:rsidRPr="00EB6063">
              <w:rPr>
                <w:lang w:val="en-GB"/>
              </w:rPr>
              <w:t>The differing development of both main fields of construction was apparent to a great extent in new orders last year</w:t>
            </w:r>
            <w:r w:rsidRPr="00EB6063">
              <w:rPr>
                <w:rStyle w:val="Znakapoznpodarou"/>
                <w:lang w:val="en-GB"/>
              </w:rPr>
              <w:footnoteReference w:id="11"/>
            </w:r>
            <w:r w:rsidRPr="00EB6063">
              <w:rPr>
                <w:lang w:val="en-GB"/>
              </w:rPr>
              <w:t>. While those in building construction enlarged by more than one fifth year-on-year (to 86 CZK bn, the highest volume after 2008), they were decreasing for the civil engineering construction for the whole year. Decline of the whole branch was connected to the absence of larger number of more significant structures. The average size of the newly closed domestic order oscillated around 3 mil crowns during the year and it was thus the lowest since Q1 2013.</w:t>
            </w:r>
            <w:r w:rsidRPr="00EB6063">
              <w:rPr>
                <w:vanish/>
                <w:lang w:val="en-GB"/>
              </w:rPr>
              <w:t xml:space="preserve"> </w:t>
            </w:r>
            <w:r w:rsidRPr="00EB6063">
              <w:rPr>
                <w:lang w:val="en-GB"/>
              </w:rPr>
              <w:t xml:space="preserve">The drop of the total stock of orders (in the form of all so far not realised construction orders) halted after six preceding quarters at the very end of the last year (due to the lower comparative basis, since the completion of public orders was culminating during Q4 2015). Despite this development, the last year’s volume of orders was the second lowest since 2001. Another flash indicator – approximate value of granted building permits – gives more favourable impression for construction. It increased by 11.5% compared to the year 2015, in large part due to the swift growth of non-residential buildings (by 39%). On the contrary, the negative balance of confidence indicator in construction kept further deepening especially in the first half of the year and even its end did not bring a turn. The development of confidence was however more favourable in the vast </w:t>
            </w:r>
            <w:r w:rsidRPr="00EB6063">
              <w:rPr>
                <w:lang w:val="en-GB"/>
              </w:rPr>
              <w:lastRenderedPageBreak/>
              <w:t xml:space="preserve">majority of states, which are significant receivers of support from the EU funds in the last year. One third of businesses in the CR (one quarter a year ago) expected a decreasing of construction activity in the next three months in January </w:t>
            </w:r>
            <w:r w:rsidRPr="00EB6063">
              <w:rPr>
                <w:color w:val="000000"/>
                <w:lang w:val="en-GB"/>
              </w:rPr>
              <w:t xml:space="preserve">2017, one quarter anticipated a decreasing of the employee levels (resp. 18%) and only 3.5% of them expected rise. Slightly above half majority of businesses considered, similarly like a year ago, the inadequate demand to present a barrier of growth (only 11% of businesses stated the lack of employees).  </w:t>
            </w:r>
          </w:p>
          <w:p w:rsidR="00492991" w:rsidRPr="009D6A6F" w:rsidRDefault="00492991" w:rsidP="008A03DE">
            <w:pPr>
              <w:pStyle w:val="Textpoznpodarou"/>
              <w:jc w:val="both"/>
              <w:rPr>
                <w:sz w:val="14"/>
                <w:szCs w:val="14"/>
                <w:lang w:val="en-GB"/>
              </w:rPr>
            </w:pPr>
          </w:p>
        </w:tc>
      </w:tr>
      <w:tr w:rsidR="00492991" w:rsidRPr="00CB09D5" w:rsidTr="00607119">
        <w:tc>
          <w:tcPr>
            <w:tcW w:w="1017" w:type="pct"/>
            <w:shd w:val="clear" w:color="auto" w:fill="auto"/>
          </w:tcPr>
          <w:p w:rsidR="00492991" w:rsidRPr="00CB09D5" w:rsidRDefault="00746AA2" w:rsidP="008A03DE">
            <w:pPr>
              <w:spacing w:line="240" w:lineRule="auto"/>
              <w:rPr>
                <w:spacing w:val="-4"/>
                <w:sz w:val="16"/>
                <w:szCs w:val="16"/>
                <w:lang w:val="en-GB"/>
              </w:rPr>
            </w:pPr>
            <w:r w:rsidRPr="00CB09D5">
              <w:rPr>
                <w:spacing w:val="-4"/>
                <w:sz w:val="16"/>
                <w:szCs w:val="16"/>
                <w:lang w:val="en-GB"/>
              </w:rPr>
              <w:lastRenderedPageBreak/>
              <w:t xml:space="preserve">Revival of commenced residential construction was only mild in 2016. </w:t>
            </w:r>
          </w:p>
          <w:p w:rsidR="00492991" w:rsidRPr="00CB09D5" w:rsidRDefault="00492991" w:rsidP="008A03DE">
            <w:pPr>
              <w:spacing w:line="240" w:lineRule="auto"/>
              <w:rPr>
                <w:spacing w:val="-4"/>
                <w:sz w:val="16"/>
                <w:szCs w:val="16"/>
                <w:lang w:val="en-GB"/>
              </w:rPr>
            </w:pPr>
          </w:p>
          <w:p w:rsidR="00492991" w:rsidRPr="00CB09D5" w:rsidRDefault="00746AA2" w:rsidP="008A03DE">
            <w:pPr>
              <w:spacing w:line="240" w:lineRule="auto"/>
              <w:rPr>
                <w:spacing w:val="-4"/>
                <w:sz w:val="16"/>
                <w:szCs w:val="16"/>
                <w:lang w:val="en-GB"/>
              </w:rPr>
            </w:pPr>
            <w:r w:rsidRPr="00CB09D5">
              <w:rPr>
                <w:spacing w:val="-4"/>
                <w:sz w:val="16"/>
                <w:szCs w:val="16"/>
                <w:lang w:val="en-GB"/>
              </w:rPr>
              <w:t>Number of completed flats</w:t>
            </w:r>
            <w:r w:rsidR="002D68E6">
              <w:rPr>
                <w:spacing w:val="-4"/>
                <w:sz w:val="16"/>
                <w:szCs w:val="16"/>
                <w:lang w:val="en-GB"/>
              </w:rPr>
              <w:t xml:space="preserve"> was</w:t>
            </w:r>
            <w:r w:rsidRPr="00CB09D5">
              <w:rPr>
                <w:spacing w:val="-4"/>
                <w:sz w:val="16"/>
                <w:szCs w:val="16"/>
                <w:lang w:val="en-GB"/>
              </w:rPr>
              <w:t xml:space="preserve"> by more than one third lower compared to </w:t>
            </w:r>
            <w:r w:rsidR="009E0CB1" w:rsidRPr="00CB09D5">
              <w:rPr>
                <w:spacing w:val="-4"/>
                <w:sz w:val="16"/>
                <w:szCs w:val="16"/>
                <w:lang w:val="en-GB"/>
              </w:rPr>
              <w:t xml:space="preserve">the </w:t>
            </w:r>
            <w:r w:rsidRPr="00CB09D5">
              <w:rPr>
                <w:spacing w:val="-4"/>
                <w:sz w:val="16"/>
                <w:szCs w:val="16"/>
                <w:lang w:val="en-GB"/>
              </w:rPr>
              <w:t xml:space="preserve">record year 2007. </w:t>
            </w:r>
          </w:p>
        </w:tc>
        <w:tc>
          <w:tcPr>
            <w:tcW w:w="145" w:type="pct"/>
          </w:tcPr>
          <w:p w:rsidR="00492991" w:rsidRPr="00CB09D5" w:rsidRDefault="00492991" w:rsidP="008A03DE">
            <w:pPr>
              <w:rPr>
                <w:spacing w:val="-4"/>
                <w:szCs w:val="20"/>
                <w:lang w:val="en-GB"/>
              </w:rPr>
            </w:pPr>
          </w:p>
        </w:tc>
        <w:tc>
          <w:tcPr>
            <w:tcW w:w="3838" w:type="pct"/>
          </w:tcPr>
          <w:p w:rsidR="00492991" w:rsidRPr="009D6A6F" w:rsidRDefault="00EB6063" w:rsidP="008A03DE">
            <w:pPr>
              <w:pStyle w:val="Textpoznpodarou"/>
              <w:jc w:val="both"/>
              <w:rPr>
                <w:lang w:val="en-GB"/>
              </w:rPr>
            </w:pPr>
            <w:r w:rsidRPr="00EB6063">
              <w:rPr>
                <w:lang w:val="en-GB"/>
              </w:rPr>
              <w:t xml:space="preserve">The residential construction did not contribute much to revival of construction despite frequent assumptions of the opposite (growing household incomes, low interest rates) either. Even though the number of commenced flats rose for the third year in a row, it exceeded the long-term minimum from the year 2013 (22.1 thousand) not even by one quarter last year. Especially the frequency of multi-dwelling buildings (5.9 thousand, due to the slump of construction in Prague) and the construction of flats in community care homes </w:t>
            </w:r>
            <w:proofErr w:type="gramStart"/>
            <w:r w:rsidRPr="00EB6063">
              <w:rPr>
                <w:lang w:val="en-GB"/>
              </w:rPr>
              <w:t>was</w:t>
            </w:r>
            <w:proofErr w:type="gramEnd"/>
            <w:r w:rsidRPr="00EB6063">
              <w:rPr>
                <w:lang w:val="en-GB"/>
              </w:rPr>
              <w:t xml:space="preserve"> low. The low volume of new construction accompanied by strengthening purchasing power of households was reflected in the accelerated growth of both supply and realised prices of residential real estate not only in Prague. </w:t>
            </w:r>
          </w:p>
          <w:p w:rsidR="00492991" w:rsidRPr="009D6A6F" w:rsidRDefault="00492991" w:rsidP="008A03DE">
            <w:pPr>
              <w:pStyle w:val="Textpoznpodarou"/>
              <w:jc w:val="both"/>
              <w:rPr>
                <w:sz w:val="14"/>
                <w:szCs w:val="14"/>
                <w:lang w:val="en-GB"/>
              </w:rPr>
            </w:pPr>
          </w:p>
        </w:tc>
      </w:tr>
      <w:tr w:rsidR="00492991" w:rsidRPr="00CB09D5" w:rsidTr="00607119">
        <w:tc>
          <w:tcPr>
            <w:tcW w:w="1017" w:type="pct"/>
            <w:shd w:val="clear" w:color="auto" w:fill="auto"/>
          </w:tcPr>
          <w:p w:rsidR="00492991" w:rsidRPr="00CB09D5" w:rsidRDefault="00B9423B" w:rsidP="008A03DE">
            <w:pPr>
              <w:pStyle w:val="Textpoznpodarou"/>
              <w:rPr>
                <w:spacing w:val="-4"/>
                <w:sz w:val="16"/>
                <w:szCs w:val="16"/>
                <w:lang w:val="en-GB"/>
              </w:rPr>
            </w:pPr>
            <w:r w:rsidRPr="00CB09D5">
              <w:rPr>
                <w:spacing w:val="-4"/>
                <w:sz w:val="16"/>
                <w:szCs w:val="16"/>
                <w:lang w:val="en-GB"/>
              </w:rPr>
              <w:t xml:space="preserve">Sales in services </w:t>
            </w:r>
            <w:r w:rsidR="00FA6936">
              <w:rPr>
                <w:spacing w:val="-4"/>
                <w:sz w:val="16"/>
                <w:szCs w:val="16"/>
                <w:lang w:val="en-GB"/>
              </w:rPr>
              <w:t>slowed down</w:t>
            </w:r>
            <w:r w:rsidRPr="00CB09D5">
              <w:rPr>
                <w:spacing w:val="-4"/>
                <w:sz w:val="16"/>
                <w:szCs w:val="16"/>
                <w:lang w:val="en-GB"/>
              </w:rPr>
              <w:t xml:space="preserve"> its growth to </w:t>
            </w:r>
            <w:r w:rsidR="00492991" w:rsidRPr="00CB09D5">
              <w:rPr>
                <w:spacing w:val="-4"/>
                <w:sz w:val="16"/>
                <w:szCs w:val="16"/>
                <w:lang w:val="en-GB"/>
              </w:rPr>
              <w:t>1</w:t>
            </w:r>
            <w:r w:rsidRPr="00CB09D5">
              <w:rPr>
                <w:spacing w:val="-4"/>
                <w:sz w:val="16"/>
                <w:szCs w:val="16"/>
                <w:lang w:val="en-GB"/>
              </w:rPr>
              <w:t>.</w:t>
            </w:r>
            <w:r w:rsidR="00F7738B" w:rsidRPr="00CB09D5">
              <w:rPr>
                <w:spacing w:val="-4"/>
                <w:sz w:val="16"/>
                <w:szCs w:val="16"/>
                <w:lang w:val="en-GB"/>
              </w:rPr>
              <w:t>2</w:t>
            </w:r>
            <w:r w:rsidR="00492991" w:rsidRPr="00CB09D5">
              <w:rPr>
                <w:spacing w:val="-4"/>
                <w:sz w:val="16"/>
                <w:szCs w:val="16"/>
                <w:lang w:val="en-GB"/>
              </w:rPr>
              <w:t xml:space="preserve">% </w:t>
            </w:r>
            <w:r w:rsidRPr="00CB09D5">
              <w:rPr>
                <w:spacing w:val="-4"/>
                <w:sz w:val="16"/>
                <w:szCs w:val="16"/>
                <w:lang w:val="en-GB"/>
              </w:rPr>
              <w:t xml:space="preserve">year-on-year </w:t>
            </w:r>
            <w:r w:rsidR="00492991" w:rsidRPr="00CB09D5">
              <w:rPr>
                <w:spacing w:val="-4"/>
                <w:sz w:val="16"/>
                <w:szCs w:val="16"/>
                <w:lang w:val="en-GB"/>
              </w:rPr>
              <w:t>(</w:t>
            </w:r>
            <w:r w:rsidRPr="00CB09D5">
              <w:rPr>
                <w:spacing w:val="-4"/>
                <w:sz w:val="16"/>
                <w:szCs w:val="16"/>
                <w:lang w:val="en-GB"/>
              </w:rPr>
              <w:t xml:space="preserve">from </w:t>
            </w:r>
            <w:r w:rsidR="00F7738B" w:rsidRPr="00CB09D5">
              <w:rPr>
                <w:spacing w:val="-4"/>
                <w:sz w:val="16"/>
                <w:szCs w:val="16"/>
                <w:lang w:val="en-GB"/>
              </w:rPr>
              <w:t>3</w:t>
            </w:r>
            <w:r w:rsidR="00492991" w:rsidRPr="00CB09D5">
              <w:rPr>
                <w:spacing w:val="-4"/>
                <w:sz w:val="16"/>
                <w:szCs w:val="16"/>
                <w:lang w:val="en-GB"/>
              </w:rPr>
              <w:t>%</w:t>
            </w:r>
            <w:r w:rsidRPr="00CB09D5">
              <w:rPr>
                <w:spacing w:val="-4"/>
                <w:sz w:val="16"/>
                <w:szCs w:val="16"/>
                <w:lang w:val="en-GB"/>
              </w:rPr>
              <w:t xml:space="preserve"> in the year before last</w:t>
            </w:r>
            <w:r w:rsidR="00492991" w:rsidRPr="00CB09D5">
              <w:rPr>
                <w:spacing w:val="-4"/>
                <w:sz w:val="16"/>
                <w:szCs w:val="16"/>
                <w:lang w:val="en-GB"/>
              </w:rPr>
              <w:t>)</w:t>
            </w:r>
            <w:r w:rsidR="00AF082A" w:rsidRPr="00CB09D5">
              <w:rPr>
                <w:spacing w:val="-4"/>
                <w:sz w:val="16"/>
                <w:szCs w:val="16"/>
                <w:lang w:val="en-GB"/>
              </w:rPr>
              <w:t>, …</w:t>
            </w:r>
          </w:p>
          <w:p w:rsidR="00492991" w:rsidRPr="00CB09D5" w:rsidRDefault="00492991" w:rsidP="008A03DE">
            <w:pPr>
              <w:pStyle w:val="Textpoznpodarou"/>
              <w:rPr>
                <w:spacing w:val="-4"/>
                <w:sz w:val="16"/>
                <w:szCs w:val="16"/>
                <w:lang w:val="en-GB"/>
              </w:rPr>
            </w:pPr>
          </w:p>
          <w:p w:rsidR="00492991" w:rsidRPr="00CB09D5" w:rsidRDefault="00492991" w:rsidP="008A03DE">
            <w:pPr>
              <w:pStyle w:val="Textpoznpodarou"/>
              <w:rPr>
                <w:spacing w:val="-4"/>
                <w:sz w:val="16"/>
                <w:szCs w:val="16"/>
                <w:lang w:val="en-GB"/>
              </w:rPr>
            </w:pPr>
            <w:r w:rsidRPr="00CB09D5">
              <w:rPr>
                <w:spacing w:val="-4"/>
                <w:sz w:val="16"/>
                <w:szCs w:val="16"/>
                <w:lang w:val="en-GB"/>
              </w:rPr>
              <w:t>…</w:t>
            </w:r>
            <w:r w:rsidR="00B9423B" w:rsidRPr="00CB09D5">
              <w:rPr>
                <w:spacing w:val="-4"/>
                <w:sz w:val="16"/>
                <w:szCs w:val="16"/>
                <w:lang w:val="en-GB"/>
              </w:rPr>
              <w:t>the deeper fall in professional, scientific and technical activit</w:t>
            </w:r>
            <w:r w:rsidR="00AF082A" w:rsidRPr="00CB09D5">
              <w:rPr>
                <w:spacing w:val="-4"/>
                <w:sz w:val="16"/>
                <w:szCs w:val="16"/>
                <w:lang w:val="en-GB"/>
              </w:rPr>
              <w:t>i</w:t>
            </w:r>
            <w:r w:rsidR="00B9423B" w:rsidRPr="00CB09D5">
              <w:rPr>
                <w:spacing w:val="-4"/>
                <w:sz w:val="16"/>
                <w:szCs w:val="16"/>
                <w:lang w:val="en-GB"/>
              </w:rPr>
              <w:t xml:space="preserve">es </w:t>
            </w:r>
            <w:r w:rsidR="00FA6936">
              <w:rPr>
                <w:spacing w:val="-4"/>
                <w:sz w:val="16"/>
                <w:szCs w:val="16"/>
                <w:lang w:val="en-GB"/>
              </w:rPr>
              <w:t>(</w:t>
            </w:r>
            <w:r w:rsidR="00B9423B" w:rsidRPr="00CB09D5">
              <w:rPr>
                <w:spacing w:val="-4"/>
                <w:sz w:val="16"/>
                <w:szCs w:val="16"/>
                <w:lang w:val="en-GB"/>
              </w:rPr>
              <w:t>bound partially to the development in construction</w:t>
            </w:r>
            <w:r w:rsidR="00CB55C2" w:rsidRPr="00CB09D5">
              <w:rPr>
                <w:spacing w:val="-4"/>
                <w:sz w:val="16"/>
                <w:szCs w:val="16"/>
                <w:lang w:val="en-GB"/>
              </w:rPr>
              <w:t xml:space="preserve"> </w:t>
            </w:r>
            <w:r w:rsidR="00FA6936">
              <w:rPr>
                <w:spacing w:val="-4"/>
                <w:sz w:val="16"/>
                <w:szCs w:val="16"/>
                <w:lang w:val="en-GB"/>
              </w:rPr>
              <w:t xml:space="preserve">–i.e. </w:t>
            </w:r>
            <w:r w:rsidRPr="00CB09D5">
              <w:rPr>
                <w:spacing w:val="-4"/>
                <w:sz w:val="16"/>
                <w:szCs w:val="16"/>
                <w:lang w:val="en-GB"/>
              </w:rPr>
              <w:t>archite</w:t>
            </w:r>
            <w:r w:rsidR="0056474F" w:rsidRPr="00CB09D5">
              <w:rPr>
                <w:spacing w:val="-4"/>
                <w:sz w:val="16"/>
                <w:szCs w:val="16"/>
                <w:lang w:val="en-GB"/>
              </w:rPr>
              <w:t xml:space="preserve">ctural and engineering </w:t>
            </w:r>
            <w:r w:rsidR="00B9423B" w:rsidRPr="00CB09D5">
              <w:rPr>
                <w:spacing w:val="-4"/>
                <w:sz w:val="16"/>
                <w:szCs w:val="16"/>
                <w:lang w:val="en-GB"/>
              </w:rPr>
              <w:t>activities</w:t>
            </w:r>
            <w:r w:rsidRPr="00CB09D5">
              <w:rPr>
                <w:spacing w:val="-4"/>
                <w:sz w:val="16"/>
                <w:szCs w:val="16"/>
                <w:lang w:val="en-GB"/>
              </w:rPr>
              <w:t>) a</w:t>
            </w:r>
            <w:r w:rsidR="00B9423B" w:rsidRPr="00CB09D5">
              <w:rPr>
                <w:spacing w:val="-4"/>
                <w:sz w:val="16"/>
                <w:szCs w:val="16"/>
                <w:lang w:val="en-GB"/>
              </w:rPr>
              <w:t>nd also the mild drop in land and pipe transport stood in the background</w:t>
            </w:r>
            <w:r w:rsidR="00AE6734" w:rsidRPr="00CB09D5">
              <w:rPr>
                <w:spacing w:val="-4"/>
                <w:sz w:val="16"/>
                <w:szCs w:val="16"/>
                <w:lang w:val="en-GB"/>
              </w:rPr>
              <w:t>.</w:t>
            </w:r>
          </w:p>
          <w:p w:rsidR="00492991" w:rsidRPr="00CB09D5" w:rsidRDefault="00492991" w:rsidP="008A03DE">
            <w:pPr>
              <w:pStyle w:val="Textpoznpodarou"/>
              <w:rPr>
                <w:spacing w:val="-4"/>
                <w:sz w:val="16"/>
                <w:szCs w:val="16"/>
                <w:lang w:val="en-GB"/>
              </w:rPr>
            </w:pPr>
          </w:p>
          <w:p w:rsidR="00492991" w:rsidRPr="00CB09D5" w:rsidRDefault="00CB55C2" w:rsidP="008A03DE">
            <w:pPr>
              <w:pStyle w:val="Textpoznpodarou"/>
              <w:rPr>
                <w:spacing w:val="-4"/>
                <w:sz w:val="16"/>
                <w:szCs w:val="16"/>
                <w:lang w:val="en-GB"/>
              </w:rPr>
            </w:pPr>
            <w:r w:rsidRPr="00CB09D5">
              <w:rPr>
                <w:spacing w:val="-4"/>
                <w:sz w:val="16"/>
                <w:szCs w:val="16"/>
                <w:lang w:val="en-GB"/>
              </w:rPr>
              <w:t>The last year sales in services lagged by nearly 9</w:t>
            </w:r>
            <w:r w:rsidR="0005670F">
              <w:rPr>
                <w:spacing w:val="-4"/>
                <w:sz w:val="16"/>
                <w:szCs w:val="16"/>
                <w:lang w:val="en-GB"/>
              </w:rPr>
              <w:t>%</w:t>
            </w:r>
            <w:r w:rsidRPr="00CB09D5">
              <w:rPr>
                <w:spacing w:val="-4"/>
                <w:sz w:val="16"/>
                <w:szCs w:val="16"/>
                <w:lang w:val="en-GB"/>
              </w:rPr>
              <w:t xml:space="preserve"> behind the level achieved in the peak year 2008 mainly due to the effect of the downturn in professional, scientific and technical activities. </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8A03DE">
            <w:pPr>
              <w:pStyle w:val="Textpoznpodarou"/>
              <w:jc w:val="both"/>
              <w:rPr>
                <w:color w:val="000000"/>
                <w:lang w:val="en-GB"/>
              </w:rPr>
            </w:pPr>
            <w:r w:rsidRPr="00EB6063">
              <w:rPr>
                <w:lang w:val="en-GB"/>
              </w:rPr>
              <w:t>The sales increased by 1.2% in real terms in the selected services</w:t>
            </w:r>
            <w:r w:rsidRPr="00EB6063">
              <w:rPr>
                <w:color w:val="000000"/>
                <w:vertAlign w:val="superscript"/>
                <w:lang w:val="en-GB"/>
              </w:rPr>
              <w:footnoteReference w:id="12"/>
            </w:r>
            <w:r w:rsidRPr="00EB6063">
              <w:rPr>
                <w:lang w:val="en-GB"/>
              </w:rPr>
              <w:t xml:space="preserve"> (by 3.0% in 2015). Vast majority of partial branches shared in this growth apart from the professional, scientific and technical activities </w:t>
            </w:r>
            <w:r w:rsidRPr="00EB6063">
              <w:rPr>
                <w:color w:val="000000"/>
                <w:lang w:val="en-GB"/>
              </w:rPr>
              <w:t>(-2.3%), whose 3% growth in 2015 was one-off in the long period since the end of the strong boom in the preceding decade. It was partially also associated to the development of the project activities linked to the completion of drawing on the EU funds – mostly the sales in architectural and engineering activities (in 2015: +2.8</w:t>
            </w:r>
            <w:r w:rsidRPr="00EB6063">
              <w:rPr>
                <w:color w:val="0D0D0D" w:themeColor="text1" w:themeTint="F2"/>
                <w:lang w:val="en-GB"/>
              </w:rPr>
              <w:t xml:space="preserve">%, last year </w:t>
            </w:r>
            <w:r w:rsidRPr="00EB6063">
              <w:rPr>
                <w:color w:val="000000"/>
                <w:lang w:val="en-GB"/>
              </w:rPr>
              <w:t>-7.3%). On the contrary, the legal and accounting activities or advertising and market research continued in the mild growth. The weight-significant branches of transportation and storage profited from the robustly growing industry as well as the foreign trade only to a limited extent, since its sales enlarged by 1.1% (by 0.4% in 2015). Moderate decrease in land and pipe transport (-0.3%) and postal and courier services (-1.0%) was offset by the more favourable development in warehousing (+3.7%) and also other types of transport. Food service activities and restaurants fared well, with the high increase in the year 2015 (+5.0%) grew even faster to 5.7% in the following year (the fastest pace after the year 2001). Continuing growth of the number of overnight stays of both foreign (+3.8%) and domestic (+7.0%) guests also supported the sales in accommodation (+4.4%). Sales in administrative and support activities were also strengthening by a similar pace, pushed by fast developing job agencies, whose sales more than doubled against the year 2010. Vast majority of other activities within this branch however also thrived. Travel agencies and offices (incl. reservation activities) represented an exception, the reduction of sales continued already for the fourth year in a row in these activities</w:t>
            </w:r>
            <w:r w:rsidRPr="00EB6063">
              <w:rPr>
                <w:rStyle w:val="Znakapoznpodarou"/>
                <w:color w:val="000000"/>
                <w:lang w:val="en-GB"/>
              </w:rPr>
              <w:footnoteReference w:id="13"/>
            </w:r>
            <w:r w:rsidRPr="00EB6063">
              <w:rPr>
                <w:color w:val="000000"/>
                <w:lang w:val="en-GB"/>
              </w:rPr>
              <w:t xml:space="preserve">. </w:t>
            </w:r>
          </w:p>
          <w:p w:rsidR="00492991" w:rsidRPr="009D6A6F" w:rsidRDefault="00492991" w:rsidP="008A03DE">
            <w:pPr>
              <w:pStyle w:val="Textpoznpodarou"/>
              <w:jc w:val="both"/>
              <w:rPr>
                <w:sz w:val="13"/>
                <w:szCs w:val="13"/>
                <w:lang w:val="en-GB"/>
              </w:rPr>
            </w:pPr>
          </w:p>
        </w:tc>
      </w:tr>
      <w:tr w:rsidR="00492991" w:rsidRPr="00CB09D5" w:rsidTr="00607119">
        <w:tc>
          <w:tcPr>
            <w:tcW w:w="1017" w:type="pct"/>
            <w:shd w:val="clear" w:color="auto" w:fill="auto"/>
          </w:tcPr>
          <w:p w:rsidR="00492991" w:rsidRPr="00CB09D5" w:rsidRDefault="00C108CE" w:rsidP="008A03DE">
            <w:pPr>
              <w:pStyle w:val="Textpoznpodarou"/>
              <w:rPr>
                <w:spacing w:val="-4"/>
                <w:sz w:val="16"/>
                <w:szCs w:val="16"/>
                <w:lang w:val="en-GB"/>
              </w:rPr>
            </w:pPr>
            <w:r w:rsidRPr="00CB09D5">
              <w:rPr>
                <w:spacing w:val="-4"/>
                <w:sz w:val="16"/>
                <w:szCs w:val="16"/>
                <w:lang w:val="en-GB"/>
              </w:rPr>
              <w:t xml:space="preserve">Favourable </w:t>
            </w:r>
            <w:r w:rsidR="00CA799B" w:rsidRPr="00CB09D5">
              <w:rPr>
                <w:spacing w:val="-4"/>
                <w:sz w:val="16"/>
                <w:szCs w:val="16"/>
                <w:lang w:val="en-GB"/>
              </w:rPr>
              <w:t>conditions prevailed for swift growth of retail sales, sales were driven mostly by the sale of non-food goods</w:t>
            </w:r>
            <w:r w:rsidR="00AE6734" w:rsidRPr="00CB09D5">
              <w:rPr>
                <w:spacing w:val="-4"/>
                <w:sz w:val="16"/>
                <w:szCs w:val="16"/>
                <w:lang w:val="en-GB"/>
              </w:rPr>
              <w:t>.</w:t>
            </w:r>
          </w:p>
          <w:p w:rsidR="00492991" w:rsidRPr="00CB09D5" w:rsidRDefault="00492991" w:rsidP="008A03DE">
            <w:pPr>
              <w:pStyle w:val="Textpoznpodarou"/>
              <w:rPr>
                <w:spacing w:val="-4"/>
                <w:sz w:val="16"/>
                <w:szCs w:val="16"/>
                <w:lang w:val="en-GB"/>
              </w:rPr>
            </w:pPr>
          </w:p>
          <w:p w:rsidR="00492991" w:rsidRPr="00CB09D5" w:rsidRDefault="00492991" w:rsidP="008A03DE">
            <w:pPr>
              <w:pStyle w:val="Textpoznpodarou"/>
              <w:rPr>
                <w:spacing w:val="-4"/>
                <w:sz w:val="16"/>
                <w:szCs w:val="16"/>
                <w:lang w:val="en-GB"/>
              </w:rPr>
            </w:pPr>
          </w:p>
          <w:p w:rsidR="00492991" w:rsidRPr="00CB09D5" w:rsidRDefault="00492991" w:rsidP="008A03DE">
            <w:pPr>
              <w:pStyle w:val="Textpoznpodarou"/>
              <w:rPr>
                <w:spacing w:val="-4"/>
                <w:sz w:val="16"/>
                <w:szCs w:val="16"/>
                <w:lang w:val="en-GB"/>
              </w:rPr>
            </w:pPr>
          </w:p>
          <w:p w:rsidR="00492991" w:rsidRPr="00CB09D5" w:rsidRDefault="0089690C" w:rsidP="008A03DE">
            <w:pPr>
              <w:pStyle w:val="Textpoznpodarou"/>
              <w:rPr>
                <w:spacing w:val="-4"/>
                <w:sz w:val="16"/>
                <w:szCs w:val="16"/>
                <w:lang w:val="en-GB"/>
              </w:rPr>
            </w:pPr>
            <w:r w:rsidRPr="00CB09D5">
              <w:rPr>
                <w:spacing w:val="-4"/>
                <w:sz w:val="16"/>
                <w:szCs w:val="16"/>
                <w:lang w:val="en-GB"/>
              </w:rPr>
              <w:t xml:space="preserve">Year-on-year growth of food </w:t>
            </w:r>
            <w:r w:rsidR="008544C2" w:rsidRPr="00CB09D5">
              <w:rPr>
                <w:spacing w:val="-4"/>
                <w:sz w:val="16"/>
                <w:szCs w:val="16"/>
                <w:lang w:val="en-GB"/>
              </w:rPr>
              <w:t>sellers’</w:t>
            </w:r>
            <w:r w:rsidRPr="00CB09D5">
              <w:rPr>
                <w:spacing w:val="-4"/>
                <w:sz w:val="16"/>
                <w:szCs w:val="16"/>
                <w:lang w:val="en-GB"/>
              </w:rPr>
              <w:t xml:space="preserve"> sales weakened during the year</w:t>
            </w:r>
            <w:r w:rsidR="00492991" w:rsidRPr="00CB09D5">
              <w:rPr>
                <w:spacing w:val="-4"/>
                <w:sz w:val="16"/>
                <w:szCs w:val="16"/>
                <w:lang w:val="en-GB"/>
              </w:rPr>
              <w:t xml:space="preserve">, </w:t>
            </w:r>
            <w:r w:rsidRPr="00CB09D5">
              <w:rPr>
                <w:spacing w:val="-4"/>
                <w:sz w:val="16"/>
                <w:szCs w:val="16"/>
                <w:lang w:val="en-GB"/>
              </w:rPr>
              <w:t>it diminished completely in Q</w:t>
            </w:r>
            <w:r w:rsidR="00492991" w:rsidRPr="00CB09D5">
              <w:rPr>
                <w:spacing w:val="-4"/>
                <w:sz w:val="16"/>
                <w:szCs w:val="16"/>
                <w:lang w:val="en-GB"/>
              </w:rPr>
              <w:t>4</w:t>
            </w:r>
            <w:r w:rsidRPr="00CB09D5">
              <w:rPr>
                <w:spacing w:val="-4"/>
                <w:sz w:val="16"/>
                <w:szCs w:val="16"/>
                <w:lang w:val="en-GB"/>
              </w:rPr>
              <w:t xml:space="preserve"> </w:t>
            </w:r>
            <w:r w:rsidR="00AE6734" w:rsidRPr="00CB09D5">
              <w:rPr>
                <w:spacing w:val="-4"/>
                <w:sz w:val="16"/>
                <w:szCs w:val="16"/>
                <w:lang w:val="en-GB"/>
              </w:rPr>
              <w:t>(-0</w:t>
            </w:r>
            <w:r w:rsidRPr="00CB09D5">
              <w:rPr>
                <w:spacing w:val="-4"/>
                <w:sz w:val="16"/>
                <w:szCs w:val="16"/>
                <w:lang w:val="en-GB"/>
              </w:rPr>
              <w:t>.</w:t>
            </w:r>
            <w:r w:rsidR="003F1749" w:rsidRPr="00CB09D5">
              <w:rPr>
                <w:spacing w:val="-4"/>
                <w:sz w:val="16"/>
                <w:szCs w:val="16"/>
                <w:lang w:val="en-GB"/>
              </w:rPr>
              <w:t>2</w:t>
            </w:r>
            <w:r w:rsidR="00AE6734" w:rsidRPr="00CB09D5">
              <w:rPr>
                <w:spacing w:val="-4"/>
                <w:sz w:val="16"/>
                <w:szCs w:val="16"/>
                <w:lang w:val="en-GB"/>
              </w:rPr>
              <w:t>%).</w:t>
            </w:r>
          </w:p>
          <w:p w:rsidR="00492991" w:rsidRPr="00CB09D5" w:rsidRDefault="00492991" w:rsidP="008A03DE">
            <w:pPr>
              <w:pStyle w:val="Textpoznpodarou"/>
              <w:rPr>
                <w:spacing w:val="-4"/>
                <w:sz w:val="16"/>
                <w:szCs w:val="16"/>
                <w:lang w:val="en-GB"/>
              </w:rPr>
            </w:pPr>
          </w:p>
          <w:p w:rsidR="009D3CD0" w:rsidRPr="00CB09D5" w:rsidRDefault="009D3CD0" w:rsidP="008A03DE">
            <w:pPr>
              <w:pStyle w:val="Textpoznpodarou"/>
              <w:rPr>
                <w:spacing w:val="-4"/>
                <w:sz w:val="16"/>
                <w:szCs w:val="16"/>
                <w:lang w:val="en-GB"/>
              </w:rPr>
            </w:pPr>
          </w:p>
          <w:p w:rsidR="00492991" w:rsidRPr="00CB09D5" w:rsidRDefault="008544C2" w:rsidP="008A03DE">
            <w:pPr>
              <w:pStyle w:val="Textpoznpodarou"/>
              <w:rPr>
                <w:spacing w:val="-4"/>
                <w:sz w:val="16"/>
                <w:szCs w:val="16"/>
                <w:lang w:val="en-GB"/>
              </w:rPr>
            </w:pPr>
            <w:r w:rsidRPr="00CB09D5">
              <w:rPr>
                <w:spacing w:val="-4"/>
                <w:sz w:val="16"/>
                <w:szCs w:val="16"/>
                <w:lang w:val="en-GB"/>
              </w:rPr>
              <w:t>Retail sales growth in the CR was the seventh highest among the E</w:t>
            </w:r>
            <w:r w:rsidR="0066328A" w:rsidRPr="00CB09D5">
              <w:rPr>
                <w:spacing w:val="-4"/>
                <w:sz w:val="16"/>
                <w:szCs w:val="16"/>
                <w:lang w:val="en-GB"/>
              </w:rPr>
              <w:t>U</w:t>
            </w:r>
            <w:r w:rsidRPr="00CB09D5">
              <w:rPr>
                <w:spacing w:val="-4"/>
                <w:sz w:val="16"/>
                <w:szCs w:val="16"/>
                <w:lang w:val="en-GB"/>
              </w:rPr>
              <w:t xml:space="preserve"> countries last year, it grew faster only in Poland within the neighbouring </w:t>
            </w:r>
            <w:r w:rsidR="00FA6936">
              <w:rPr>
                <w:spacing w:val="-4"/>
                <w:sz w:val="16"/>
                <w:szCs w:val="16"/>
                <w:lang w:val="en-GB"/>
              </w:rPr>
              <w:t>countries.</w:t>
            </w:r>
          </w:p>
        </w:tc>
        <w:tc>
          <w:tcPr>
            <w:tcW w:w="145" w:type="pct"/>
          </w:tcPr>
          <w:p w:rsidR="00492991" w:rsidRPr="00CB09D5" w:rsidRDefault="00492991" w:rsidP="008A03DE">
            <w:pPr>
              <w:pStyle w:val="Textpoznpodarou"/>
              <w:jc w:val="both"/>
              <w:rPr>
                <w:spacing w:val="-4"/>
                <w:lang w:val="en-GB"/>
              </w:rPr>
            </w:pPr>
          </w:p>
        </w:tc>
        <w:tc>
          <w:tcPr>
            <w:tcW w:w="3838" w:type="pct"/>
          </w:tcPr>
          <w:p w:rsidR="00492991" w:rsidRPr="009D6A6F" w:rsidRDefault="00EB6063" w:rsidP="009B0B1C">
            <w:pPr>
              <w:pStyle w:val="Textpoznpodarou"/>
              <w:jc w:val="both"/>
              <w:rPr>
                <w:color w:val="000000"/>
                <w:lang w:val="en-GB"/>
              </w:rPr>
            </w:pPr>
            <w:r w:rsidRPr="00EB6063">
              <w:rPr>
                <w:lang w:val="en-GB"/>
              </w:rPr>
              <w:t>Increasing disposable income of households, fed by the growth of volume of paid out salaries and wages in the whole economy (+5.5% in 2016, +4.4% the year ago), combined with a very optimistic sentiment of consumers throughout the whole last year led into a swift hike of the retail (+5.1% year-on-year)</w:t>
            </w:r>
            <w:r w:rsidRPr="00EB6063">
              <w:rPr>
                <w:rStyle w:val="Znakapoznpodarou"/>
                <w:lang w:val="en-GB"/>
              </w:rPr>
              <w:footnoteReference w:id="14"/>
            </w:r>
            <w:r w:rsidRPr="00EB6063">
              <w:rPr>
                <w:lang w:val="en-GB"/>
              </w:rPr>
              <w:t>. While the sales growth oscillated around 5.5% in the first three quarters, the pace moderated to 4.2% at the end of the year – primarily as a result of development of sales for food. These grew by 5% in Q1 2016, however already only stagnated towards the end of the year. This development concerned in the first place the non-specialised (mostly large) shops</w:t>
            </w:r>
            <w:r w:rsidRPr="00EB6063">
              <w:rPr>
                <w:rStyle w:val="Znakapoznpodarou"/>
                <w:lang w:val="en-GB"/>
              </w:rPr>
              <w:footnoteReference w:id="15"/>
            </w:r>
            <w:r w:rsidRPr="00EB6063">
              <w:rPr>
                <w:lang w:val="en-GB"/>
              </w:rPr>
              <w:t xml:space="preserve">. Sales for food in specialised shops grew by 2.9% in Q4, by 3.1% for the whole year – i.e. a higher rate of growth compared to the non-specialised sellers of food, which occurred last in the year 2005. </w:t>
            </w:r>
            <w:r w:rsidRPr="00EB6063">
              <w:rPr>
                <w:lang w:val="en-GB"/>
              </w:rPr>
              <w:lastRenderedPageBreak/>
              <w:t>Weight-dominant retail segment – sale of non-food goods – grew without any large fluctuations (by 6.3% for the whole year). It was driven especially by the internet sales and further by the sale of goods for culture as well as recreation and goods predominantly for households. The growth of the economy as well as the favourable prices of automotive fuels were reflected in the strong increase of sales at petrol stations</w:t>
            </w:r>
            <w:r w:rsidRPr="00EB6063">
              <w:rPr>
                <w:color w:val="000000"/>
                <w:lang w:val="en-GB"/>
              </w:rPr>
              <w:t>, which lasted already eight quarters in a row (by 6.8% for the whole year). Pro-cycle developing sales in trade (inc. repairs and maintenance) of motor vehicles strengthened by 7.6% for the whole year, nevertheless the growth weakened in H2 and it was the weakest since the end of the last recession in Q4 2016 (+4.2%).</w:t>
            </w:r>
          </w:p>
        </w:tc>
      </w:tr>
    </w:tbl>
    <w:p w:rsidR="00492991" w:rsidRPr="009D6A6F" w:rsidRDefault="00492991" w:rsidP="00492991">
      <w:pPr>
        <w:pStyle w:val="Textpoznpodarou"/>
        <w:jc w:val="both"/>
        <w:rPr>
          <w:lang w:val="en-GB"/>
        </w:rPr>
      </w:pPr>
    </w:p>
    <w:tbl>
      <w:tblPr>
        <w:tblW w:w="5000" w:type="pct"/>
        <w:tblInd w:w="80" w:type="dxa"/>
        <w:tblLayout w:type="fixed"/>
        <w:tblCellMar>
          <w:left w:w="28" w:type="dxa"/>
          <w:right w:w="28" w:type="dxa"/>
        </w:tblCellMar>
        <w:tblLook w:val="04A0"/>
      </w:tblPr>
      <w:tblGrid>
        <w:gridCol w:w="722"/>
        <w:gridCol w:w="4134"/>
        <w:gridCol w:w="776"/>
        <w:gridCol w:w="4062"/>
      </w:tblGrid>
      <w:tr w:rsidR="00492991" w:rsidRPr="00CB09D5" w:rsidTr="007A7EA4">
        <w:tc>
          <w:tcPr>
            <w:tcW w:w="373" w:type="pct"/>
          </w:tcPr>
          <w:p w:rsidR="00492991" w:rsidRPr="00CB09D5" w:rsidRDefault="00533AB1" w:rsidP="008A03DE">
            <w:pPr>
              <w:spacing w:line="240" w:lineRule="auto"/>
              <w:rPr>
                <w:lang w:val="en-GB"/>
              </w:rPr>
            </w:pPr>
            <w:r w:rsidRPr="00CB09D5">
              <w:rPr>
                <w:lang w:val="en-GB"/>
              </w:rPr>
              <w:t>Chart 5</w:t>
            </w:r>
          </w:p>
        </w:tc>
        <w:tc>
          <w:tcPr>
            <w:tcW w:w="2131" w:type="pct"/>
          </w:tcPr>
          <w:p w:rsidR="008D0462" w:rsidRPr="00CB09D5" w:rsidRDefault="008D0462" w:rsidP="008D0462">
            <w:pPr>
              <w:pStyle w:val="Textpoznpodarou"/>
              <w:rPr>
                <w:b/>
                <w:lang w:val="en-GB"/>
              </w:rPr>
            </w:pPr>
            <w:r w:rsidRPr="00CB09D5">
              <w:rPr>
                <w:b/>
                <w:lang w:val="en-GB"/>
              </w:rPr>
              <w:t xml:space="preserve">Production in industry and selected manufacturing branches </w:t>
            </w:r>
          </w:p>
          <w:p w:rsidR="00492991" w:rsidRPr="00CB09D5" w:rsidRDefault="008D0462" w:rsidP="008D0462">
            <w:pPr>
              <w:pStyle w:val="Textpoznpodarou"/>
              <w:rPr>
                <w:b/>
                <w:lang w:val="en-GB"/>
              </w:rPr>
            </w:pPr>
            <w:r w:rsidRPr="00CB09D5">
              <w:rPr>
                <w:lang w:val="en-GB"/>
              </w:rPr>
              <w:t xml:space="preserve"> </w:t>
            </w:r>
            <w:r w:rsidR="00492991" w:rsidRPr="00CB09D5">
              <w:rPr>
                <w:lang w:val="en-GB"/>
              </w:rPr>
              <w:t>(</w:t>
            </w:r>
            <w:proofErr w:type="gramStart"/>
            <w:r w:rsidR="00492991" w:rsidRPr="00CB09D5">
              <w:rPr>
                <w:lang w:val="en-GB"/>
              </w:rPr>
              <w:t>r</w:t>
            </w:r>
            <w:r w:rsidR="00533AB1" w:rsidRPr="00CB09D5">
              <w:rPr>
                <w:lang w:val="en-GB"/>
              </w:rPr>
              <w:t>eal</w:t>
            </w:r>
            <w:proofErr w:type="gramEnd"/>
            <w:r w:rsidR="00492991" w:rsidRPr="00CB09D5">
              <w:rPr>
                <w:lang w:val="en-GB"/>
              </w:rPr>
              <w:t xml:space="preserve">, y/y, </w:t>
            </w:r>
            <w:r w:rsidR="00533AB1" w:rsidRPr="00CB09D5">
              <w:rPr>
                <w:lang w:val="en-GB"/>
              </w:rPr>
              <w:t>adjusted for calendar effects</w:t>
            </w:r>
            <w:r w:rsidR="00492991" w:rsidRPr="00CB09D5">
              <w:rPr>
                <w:lang w:val="en-GB"/>
              </w:rPr>
              <w:t xml:space="preserve">, </w:t>
            </w:r>
            <w:r w:rsidR="00533AB1" w:rsidRPr="00CB09D5">
              <w:rPr>
                <w:lang w:val="en-GB"/>
              </w:rPr>
              <w:t>in</w:t>
            </w:r>
            <w:r w:rsidR="00492991" w:rsidRPr="00CB09D5">
              <w:rPr>
                <w:lang w:val="en-GB"/>
              </w:rPr>
              <w:t xml:space="preserve"> %)</w:t>
            </w:r>
          </w:p>
        </w:tc>
        <w:tc>
          <w:tcPr>
            <w:tcW w:w="400" w:type="pct"/>
          </w:tcPr>
          <w:p w:rsidR="00492991" w:rsidRPr="00CB09D5" w:rsidRDefault="00533AB1" w:rsidP="008A03DE">
            <w:pPr>
              <w:spacing w:line="240" w:lineRule="auto"/>
              <w:ind w:left="-8" w:right="-28"/>
              <w:rPr>
                <w:lang w:val="en-GB"/>
              </w:rPr>
            </w:pPr>
            <w:r w:rsidRPr="00CB09D5">
              <w:rPr>
                <w:lang w:val="en-GB"/>
              </w:rPr>
              <w:t>Chart 6</w:t>
            </w:r>
          </w:p>
        </w:tc>
        <w:tc>
          <w:tcPr>
            <w:tcW w:w="2095" w:type="pct"/>
          </w:tcPr>
          <w:p w:rsidR="00492991" w:rsidRPr="00CB09D5" w:rsidRDefault="008D0462" w:rsidP="008A03DE">
            <w:pPr>
              <w:spacing w:line="240" w:lineRule="auto"/>
              <w:ind w:left="-28"/>
              <w:rPr>
                <w:b/>
                <w:lang w:val="en-GB"/>
              </w:rPr>
            </w:pPr>
            <w:r w:rsidRPr="00CB09D5">
              <w:rPr>
                <w:b/>
                <w:spacing w:val="-4"/>
                <w:lang w:val="en-GB"/>
              </w:rPr>
              <w:t xml:space="preserve">New orders in manufacture of motor vehicles, industry in total </w:t>
            </w:r>
            <w:r w:rsidR="00492991" w:rsidRPr="00CB09D5">
              <w:rPr>
                <w:bCs/>
                <w:lang w:val="en-GB"/>
              </w:rPr>
              <w:t>(</w:t>
            </w:r>
            <w:proofErr w:type="spellStart"/>
            <w:r w:rsidRPr="00CB09D5">
              <w:rPr>
                <w:bCs/>
                <w:lang w:val="en-GB"/>
              </w:rPr>
              <w:t>cur</w:t>
            </w:r>
            <w:r w:rsidR="007C3191" w:rsidRPr="00CB09D5">
              <w:rPr>
                <w:bCs/>
                <w:lang w:val="en-GB"/>
              </w:rPr>
              <w:t>.p</w:t>
            </w:r>
            <w:proofErr w:type="spellEnd"/>
            <w:r w:rsidR="00492991" w:rsidRPr="00CB09D5">
              <w:rPr>
                <w:bCs/>
                <w:lang w:val="en-GB"/>
              </w:rPr>
              <w:t xml:space="preserve">, y/y </w:t>
            </w:r>
            <w:r w:rsidRPr="00CB09D5">
              <w:rPr>
                <w:bCs/>
                <w:lang w:val="en-GB"/>
              </w:rPr>
              <w:t>in</w:t>
            </w:r>
            <w:r w:rsidR="00492991" w:rsidRPr="00CB09D5">
              <w:rPr>
                <w:bCs/>
                <w:lang w:val="en-GB"/>
              </w:rPr>
              <w:t xml:space="preserve"> %) </w:t>
            </w:r>
            <w:r w:rsidR="00492991" w:rsidRPr="00CB09D5">
              <w:rPr>
                <w:b/>
                <w:lang w:val="en-GB"/>
              </w:rPr>
              <w:t>a</w:t>
            </w:r>
            <w:r w:rsidRPr="00CB09D5">
              <w:rPr>
                <w:b/>
                <w:lang w:val="en-GB"/>
              </w:rPr>
              <w:t xml:space="preserve">nd </w:t>
            </w:r>
            <w:r w:rsidRPr="00CB09D5">
              <w:rPr>
                <w:b/>
                <w:spacing w:val="-4"/>
                <w:lang w:val="en-GB"/>
              </w:rPr>
              <w:t>balance of confidence indicator in industry</w:t>
            </w:r>
            <w:r w:rsidRPr="00CB09D5">
              <w:rPr>
                <w:lang w:val="en-GB"/>
              </w:rPr>
              <w:t xml:space="preserve"> </w:t>
            </w:r>
            <w:r w:rsidR="00492991" w:rsidRPr="00CB09D5">
              <w:rPr>
                <w:lang w:val="en-GB"/>
              </w:rPr>
              <w:t>(</w:t>
            </w:r>
            <w:r w:rsidRPr="00CB09D5">
              <w:rPr>
                <w:lang w:val="en-GB"/>
              </w:rPr>
              <w:t>right axis</w:t>
            </w:r>
            <w:r w:rsidR="00492991" w:rsidRPr="00CB09D5">
              <w:rPr>
                <w:lang w:val="en-GB"/>
              </w:rPr>
              <w:t>)</w:t>
            </w:r>
          </w:p>
        </w:tc>
      </w:tr>
      <w:tr w:rsidR="00492991" w:rsidRPr="00CB09D5" w:rsidTr="007A7EA4">
        <w:tc>
          <w:tcPr>
            <w:tcW w:w="2505" w:type="pct"/>
            <w:gridSpan w:val="2"/>
          </w:tcPr>
          <w:p w:rsidR="00492991" w:rsidRPr="00CB09D5" w:rsidRDefault="0029191C" w:rsidP="008A03DE">
            <w:pPr>
              <w:pStyle w:val="Textpoznpodarou"/>
              <w:jc w:val="both"/>
              <w:rPr>
                <w:sz w:val="6"/>
                <w:szCs w:val="6"/>
                <w:lang w:val="en-GB"/>
              </w:rPr>
            </w:pPr>
            <w:r>
              <w:rPr>
                <w:noProof/>
                <w:sz w:val="6"/>
                <w:szCs w:val="6"/>
              </w:rPr>
              <w:drawing>
                <wp:inline distT="0" distB="0" distL="0" distR="0">
                  <wp:extent cx="2978150" cy="2362200"/>
                  <wp:effectExtent l="19050" t="0" r="0" b="0"/>
                  <wp:docPr id="3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980690" cy="2364215"/>
                          </a:xfrm>
                          <a:prstGeom prst="rect">
                            <a:avLst/>
                          </a:prstGeom>
                          <a:noFill/>
                          <a:ln w="9525">
                            <a:noFill/>
                            <a:miter lim="800000"/>
                            <a:headEnd/>
                            <a:tailEnd/>
                          </a:ln>
                        </pic:spPr>
                      </pic:pic>
                    </a:graphicData>
                  </a:graphic>
                </wp:inline>
              </w:drawing>
            </w:r>
          </w:p>
        </w:tc>
        <w:tc>
          <w:tcPr>
            <w:tcW w:w="2495" w:type="pct"/>
            <w:gridSpan w:val="2"/>
          </w:tcPr>
          <w:p w:rsidR="00492991" w:rsidRPr="00CB09D5" w:rsidRDefault="0029191C" w:rsidP="008A03DE">
            <w:pPr>
              <w:pStyle w:val="Textpoznpodarou"/>
              <w:jc w:val="both"/>
              <w:rPr>
                <w:lang w:val="en-GB"/>
              </w:rPr>
            </w:pPr>
            <w:r>
              <w:rPr>
                <w:noProof/>
              </w:rPr>
              <w:drawing>
                <wp:inline distT="0" distB="0" distL="0" distR="0">
                  <wp:extent cx="2997199" cy="2362200"/>
                  <wp:effectExtent l="19050" t="0" r="0" b="0"/>
                  <wp:docPr id="3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998470" cy="2363201"/>
                          </a:xfrm>
                          <a:prstGeom prst="rect">
                            <a:avLst/>
                          </a:prstGeom>
                          <a:noFill/>
                          <a:ln w="9525">
                            <a:noFill/>
                            <a:miter lim="800000"/>
                            <a:headEnd/>
                            <a:tailEnd/>
                          </a:ln>
                        </pic:spPr>
                      </pic:pic>
                    </a:graphicData>
                  </a:graphic>
                </wp:inline>
              </w:drawing>
            </w:r>
          </w:p>
        </w:tc>
      </w:tr>
    </w:tbl>
    <w:p w:rsidR="009D6A6F" w:rsidRDefault="009D6A6F" w:rsidP="005E4483">
      <w:pPr>
        <w:pStyle w:val="Textpoznpodarou"/>
        <w:jc w:val="both"/>
        <w:rPr>
          <w:lang w:val="en-GB"/>
        </w:rPr>
      </w:pPr>
    </w:p>
    <w:p w:rsidR="009D6A6F" w:rsidRPr="007A7EA4" w:rsidRDefault="009D6A6F" w:rsidP="005E4483">
      <w:pPr>
        <w:pStyle w:val="Textpoznpodarou"/>
        <w:jc w:val="both"/>
        <w:rPr>
          <w:lang w:val="en-GB"/>
        </w:rPr>
      </w:pPr>
    </w:p>
    <w:tbl>
      <w:tblPr>
        <w:tblW w:w="5000" w:type="pct"/>
        <w:tblInd w:w="80" w:type="dxa"/>
        <w:tblLayout w:type="fixed"/>
        <w:tblCellMar>
          <w:left w:w="28" w:type="dxa"/>
          <w:right w:w="28" w:type="dxa"/>
        </w:tblCellMar>
        <w:tblLook w:val="04A0"/>
      </w:tblPr>
      <w:tblGrid>
        <w:gridCol w:w="722"/>
        <w:gridCol w:w="4134"/>
        <w:gridCol w:w="776"/>
        <w:gridCol w:w="4062"/>
      </w:tblGrid>
      <w:tr w:rsidR="007A7EA4" w:rsidRPr="00CB09D5" w:rsidTr="007A7EA4">
        <w:tc>
          <w:tcPr>
            <w:tcW w:w="373" w:type="pct"/>
          </w:tcPr>
          <w:p w:rsidR="007A7EA4" w:rsidRPr="00CB09D5" w:rsidRDefault="007A7EA4" w:rsidP="00327200">
            <w:pPr>
              <w:spacing w:before="20" w:line="240" w:lineRule="auto"/>
              <w:rPr>
                <w:lang w:val="en-GB"/>
              </w:rPr>
            </w:pPr>
            <w:r w:rsidRPr="00CB09D5">
              <w:rPr>
                <w:lang w:val="en-GB"/>
              </w:rPr>
              <w:t>Chart 7</w:t>
            </w:r>
          </w:p>
        </w:tc>
        <w:tc>
          <w:tcPr>
            <w:tcW w:w="2131" w:type="pct"/>
          </w:tcPr>
          <w:p w:rsidR="007A7EA4" w:rsidRPr="00610578" w:rsidRDefault="007A7EA4" w:rsidP="00327200">
            <w:pPr>
              <w:spacing w:before="20" w:line="240" w:lineRule="auto"/>
              <w:rPr>
                <w:b/>
                <w:spacing w:val="-2"/>
                <w:lang w:val="en-GB"/>
              </w:rPr>
            </w:pPr>
            <w:r w:rsidRPr="002D3A1A">
              <w:rPr>
                <w:b/>
                <w:spacing w:val="-2"/>
                <w:lang w:val="en-GB"/>
              </w:rPr>
              <w:t xml:space="preserve">Construction production*, value of new orders </w:t>
            </w:r>
            <w:r w:rsidRPr="002D3A1A">
              <w:rPr>
                <w:bCs/>
                <w:spacing w:val="-2"/>
                <w:lang w:val="en-GB"/>
              </w:rPr>
              <w:t xml:space="preserve">(y/y in %) </w:t>
            </w:r>
            <w:r w:rsidRPr="002D3A1A">
              <w:rPr>
                <w:b/>
                <w:spacing w:val="-2"/>
                <w:lang w:val="en-GB"/>
              </w:rPr>
              <w:t>and balance of confidence indicator in construction</w:t>
            </w:r>
            <w:r w:rsidRPr="002D3A1A">
              <w:rPr>
                <w:spacing w:val="-2"/>
                <w:lang w:val="en-GB"/>
              </w:rPr>
              <w:t xml:space="preserve"> (right axis)</w:t>
            </w:r>
          </w:p>
        </w:tc>
        <w:tc>
          <w:tcPr>
            <w:tcW w:w="400" w:type="pct"/>
          </w:tcPr>
          <w:p w:rsidR="007A7EA4" w:rsidRPr="00CB09D5" w:rsidRDefault="007A7EA4" w:rsidP="00327200">
            <w:pPr>
              <w:spacing w:before="20" w:line="240" w:lineRule="auto"/>
              <w:rPr>
                <w:lang w:val="en-GB"/>
              </w:rPr>
            </w:pPr>
            <w:r w:rsidRPr="00CB09D5">
              <w:rPr>
                <w:lang w:val="en-GB"/>
              </w:rPr>
              <w:t>Chart 8</w:t>
            </w:r>
          </w:p>
        </w:tc>
        <w:tc>
          <w:tcPr>
            <w:tcW w:w="2095" w:type="pct"/>
          </w:tcPr>
          <w:p w:rsidR="007A7EA4" w:rsidRPr="00CB09D5" w:rsidRDefault="007A7EA4" w:rsidP="00327200">
            <w:pPr>
              <w:spacing w:before="20" w:line="240" w:lineRule="auto"/>
              <w:rPr>
                <w:b/>
                <w:spacing w:val="-2"/>
                <w:lang w:val="en-GB"/>
              </w:rPr>
            </w:pPr>
            <w:r w:rsidRPr="00CB09D5">
              <w:rPr>
                <w:b/>
                <w:spacing w:val="-2"/>
                <w:lang w:val="en-GB"/>
              </w:rPr>
              <w:t xml:space="preserve">Retail sales* </w:t>
            </w:r>
            <w:r w:rsidRPr="00CB09D5">
              <w:rPr>
                <w:bCs/>
                <w:spacing w:val="-2"/>
                <w:lang w:val="en-GB"/>
              </w:rPr>
              <w:t xml:space="preserve">(in real terms, y/y in %), </w:t>
            </w:r>
            <w:r w:rsidRPr="00CB09D5">
              <w:rPr>
                <w:b/>
                <w:spacing w:val="-2"/>
                <w:lang w:val="en-GB"/>
              </w:rPr>
              <w:t xml:space="preserve">balance of consumer confidence indicator </w:t>
            </w:r>
            <w:r w:rsidRPr="00CB09D5">
              <w:rPr>
                <w:spacing w:val="-2"/>
                <w:lang w:val="en-GB"/>
              </w:rPr>
              <w:t>(right axis)</w:t>
            </w:r>
          </w:p>
        </w:tc>
      </w:tr>
      <w:tr w:rsidR="007A7EA4" w:rsidRPr="00CB09D5" w:rsidTr="007A7EA4">
        <w:tc>
          <w:tcPr>
            <w:tcW w:w="2505" w:type="pct"/>
            <w:gridSpan w:val="2"/>
          </w:tcPr>
          <w:p w:rsidR="007A7EA4" w:rsidRPr="00CB09D5" w:rsidRDefault="0029191C" w:rsidP="00327200">
            <w:pPr>
              <w:pStyle w:val="Textpoznpodarou"/>
              <w:jc w:val="both"/>
              <w:rPr>
                <w:sz w:val="6"/>
                <w:szCs w:val="6"/>
                <w:lang w:val="en-GB"/>
              </w:rPr>
            </w:pPr>
            <w:r>
              <w:rPr>
                <w:noProof/>
                <w:sz w:val="6"/>
                <w:szCs w:val="6"/>
              </w:rPr>
              <w:drawing>
                <wp:inline distT="0" distB="0" distL="0" distR="0">
                  <wp:extent cx="3043523" cy="2368550"/>
                  <wp:effectExtent l="19050" t="0" r="4477" b="0"/>
                  <wp:docPr id="3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3046095" cy="2370552"/>
                          </a:xfrm>
                          <a:prstGeom prst="rect">
                            <a:avLst/>
                          </a:prstGeom>
                          <a:noFill/>
                          <a:ln w="9525">
                            <a:noFill/>
                            <a:miter lim="800000"/>
                            <a:headEnd/>
                            <a:tailEnd/>
                          </a:ln>
                        </pic:spPr>
                      </pic:pic>
                    </a:graphicData>
                  </a:graphic>
                </wp:inline>
              </w:drawing>
            </w:r>
          </w:p>
        </w:tc>
        <w:tc>
          <w:tcPr>
            <w:tcW w:w="2495" w:type="pct"/>
            <w:gridSpan w:val="2"/>
          </w:tcPr>
          <w:p w:rsidR="007A7EA4" w:rsidRPr="00CB09D5" w:rsidRDefault="0029191C" w:rsidP="00327200">
            <w:pPr>
              <w:pStyle w:val="Textpoznpodarou"/>
              <w:jc w:val="both"/>
              <w:rPr>
                <w:lang w:val="en-GB"/>
              </w:rPr>
            </w:pPr>
            <w:r>
              <w:rPr>
                <w:noProof/>
              </w:rPr>
              <w:drawing>
                <wp:inline distT="0" distB="0" distL="0" distR="0">
                  <wp:extent cx="3006409" cy="2368550"/>
                  <wp:effectExtent l="19050" t="0" r="3491" b="0"/>
                  <wp:docPr id="4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010535" cy="2371801"/>
                          </a:xfrm>
                          <a:prstGeom prst="rect">
                            <a:avLst/>
                          </a:prstGeom>
                          <a:noFill/>
                          <a:ln w="9525">
                            <a:noFill/>
                            <a:miter lim="800000"/>
                            <a:headEnd/>
                            <a:tailEnd/>
                          </a:ln>
                        </pic:spPr>
                      </pic:pic>
                    </a:graphicData>
                  </a:graphic>
                </wp:inline>
              </w:drawing>
            </w:r>
          </w:p>
        </w:tc>
      </w:tr>
      <w:tr w:rsidR="007A7EA4" w:rsidRPr="00CB09D5" w:rsidTr="007A7EA4">
        <w:trPr>
          <w:trHeight w:val="58"/>
        </w:trPr>
        <w:tc>
          <w:tcPr>
            <w:tcW w:w="5000" w:type="pct"/>
            <w:gridSpan w:val="4"/>
          </w:tcPr>
          <w:p w:rsidR="007A7EA4" w:rsidRPr="00CB09D5" w:rsidRDefault="007A7EA4" w:rsidP="00327200">
            <w:pPr>
              <w:pStyle w:val="Zhlav"/>
              <w:spacing w:line="240" w:lineRule="auto"/>
              <w:rPr>
                <w:rFonts w:ascii="Arial" w:eastAsia="Times New Roman" w:hAnsi="Arial" w:cs="Arial"/>
                <w:sz w:val="18"/>
                <w:szCs w:val="18"/>
                <w:lang w:val="en-GB"/>
              </w:rPr>
            </w:pPr>
            <w:r w:rsidRPr="00CB09D5">
              <w:rPr>
                <w:rFonts w:ascii="Arial" w:hAnsi="Arial" w:cs="Arial"/>
                <w:sz w:val="18"/>
                <w:szCs w:val="18"/>
                <w:lang w:val="en-GB" w:eastAsia="cs-CZ"/>
              </w:rPr>
              <w:t>*adjusted for calendar effects                                                                                                                          Source: CZSO</w:t>
            </w:r>
          </w:p>
        </w:tc>
      </w:tr>
      <w:tr w:rsidR="007A7EA4" w:rsidRPr="00CB09D5" w:rsidTr="007A7EA4">
        <w:trPr>
          <w:trHeight w:val="58"/>
        </w:trPr>
        <w:tc>
          <w:tcPr>
            <w:tcW w:w="5000" w:type="pct"/>
            <w:gridSpan w:val="4"/>
          </w:tcPr>
          <w:p w:rsidR="007A7EA4" w:rsidRPr="00CB09D5" w:rsidRDefault="007A7EA4" w:rsidP="00327200">
            <w:pPr>
              <w:pStyle w:val="Zhlav"/>
              <w:spacing w:line="240" w:lineRule="auto"/>
              <w:rPr>
                <w:rFonts w:ascii="Arial" w:hAnsi="Arial" w:cs="Arial"/>
                <w:sz w:val="18"/>
                <w:szCs w:val="18"/>
                <w:lang w:val="en-GB" w:eastAsia="cs-CZ"/>
              </w:rPr>
            </w:pPr>
          </w:p>
        </w:tc>
      </w:tr>
    </w:tbl>
    <w:p w:rsidR="007C3191" w:rsidRDefault="007C3191" w:rsidP="005E4483">
      <w:pPr>
        <w:pStyle w:val="Textpoznpodarou"/>
        <w:jc w:val="both"/>
        <w:rPr>
          <w:lang w:val="en-GB"/>
        </w:rPr>
      </w:pPr>
    </w:p>
    <w:p w:rsidR="008A03DE" w:rsidRPr="00CB09D5" w:rsidRDefault="008A03DE" w:rsidP="008A03DE">
      <w:pPr>
        <w:pStyle w:val="Textpoznpodarou"/>
        <w:jc w:val="both"/>
        <w:rPr>
          <w:rFonts w:cs="Arial"/>
          <w:color w:val="000000"/>
          <w:sz w:val="2"/>
          <w:szCs w:val="2"/>
          <w:lang w:val="en-GB"/>
        </w:rPr>
      </w:pPr>
    </w:p>
    <w:sectPr w:rsidR="008A03DE" w:rsidRPr="00CB09D5" w:rsidSect="00AC40C2">
      <w:headerReference w:type="even" r:id="rId13"/>
      <w:headerReference w:type="default" r:id="rId14"/>
      <w:footerReference w:type="even" r:id="rId15"/>
      <w:footerReference w:type="default" r:id="rId16"/>
      <w:type w:val="continuous"/>
      <w:pgSz w:w="11906" w:h="16838" w:code="9"/>
      <w:pgMar w:top="1134" w:right="1134" w:bottom="1418" w:left="1134" w:header="680" w:footer="680"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620" w:rsidRDefault="00171620" w:rsidP="00E71A58">
      <w:r>
        <w:separator/>
      </w:r>
    </w:p>
  </w:endnote>
  <w:endnote w:type="continuationSeparator" w:id="0">
    <w:p w:rsidR="00171620" w:rsidRDefault="00171620"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0A7C02"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5F2AB2" w:rsidRPr="005A21E0">
      <w:rPr>
        <w:rFonts w:ascii="Arial" w:hAnsi="Arial" w:cs="Arial"/>
        <w:sz w:val="16"/>
        <w:szCs w:val="16"/>
      </w:rPr>
      <w:fldChar w:fldCharType="begin"/>
    </w:r>
    <w:r w:rsidRPr="005A21E0">
      <w:rPr>
        <w:rFonts w:ascii="Arial" w:hAnsi="Arial" w:cs="Arial"/>
        <w:sz w:val="16"/>
        <w:szCs w:val="16"/>
      </w:rPr>
      <w:instrText>PAGE   \* MERGEFORMAT</w:instrText>
    </w:r>
    <w:r w:rsidR="005F2AB2" w:rsidRPr="005A21E0">
      <w:rPr>
        <w:rFonts w:ascii="Arial" w:hAnsi="Arial" w:cs="Arial"/>
        <w:sz w:val="16"/>
        <w:szCs w:val="16"/>
      </w:rPr>
      <w:fldChar w:fldCharType="separate"/>
    </w:r>
    <w:r w:rsidR="00AC40C2">
      <w:rPr>
        <w:rFonts w:ascii="Arial" w:hAnsi="Arial" w:cs="Arial"/>
        <w:noProof/>
        <w:sz w:val="16"/>
        <w:szCs w:val="16"/>
      </w:rPr>
      <w:t>8</w:t>
    </w:r>
    <w:r w:rsidR="005F2AB2"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9743B9" w:rsidP="00357449">
    <w:pPr>
      <w:pStyle w:val="Zpat"/>
      <w:tabs>
        <w:tab w:val="clear" w:pos="4536"/>
        <w:tab w:val="clear" w:pos="9072"/>
        <w:tab w:val="left" w:pos="1134"/>
        <w:tab w:val="left" w:pos="1920"/>
        <w:tab w:val="center" w:pos="4820"/>
        <w:tab w:val="right" w:pos="9639"/>
      </w:tabs>
    </w:pPr>
    <w:r w:rsidRPr="009743B9">
      <w:rPr>
        <w:noProof/>
        <w:lang w:eastAsia="cs-CZ"/>
      </w:rPr>
      <w:drawing>
        <wp:anchor distT="0" distB="0" distL="114300" distR="114300" simplePos="0" relativeHeight="251662848" behindDoc="0" locked="0" layoutInCell="1" allowOverlap="1">
          <wp:simplePos x="0" y="0"/>
          <wp:positionH relativeFrom="column">
            <wp:posOffset>35560</wp:posOffset>
          </wp:positionH>
          <wp:positionV relativeFrom="paragraph">
            <wp:posOffset>155575</wp:posOffset>
          </wp:positionV>
          <wp:extent cx="692150" cy="203200"/>
          <wp:effectExtent l="19050" t="0" r="0" b="0"/>
          <wp:wrapNone/>
          <wp:docPr id="6"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2150" cy="203200"/>
                  </a:xfrm>
                  <a:prstGeom prst="rect">
                    <a:avLst/>
                  </a:prstGeom>
                  <a:noFill/>
                  <a:ln w="9525">
                    <a:noFill/>
                    <a:miter lim="800000"/>
                    <a:headEnd/>
                    <a:tailEnd/>
                  </a:ln>
                </pic:spPr>
              </pic:pic>
            </a:graphicData>
          </a:graphic>
        </wp:anchor>
      </w:drawing>
    </w:r>
    <w:r w:rsidR="000A7C02">
      <w:tab/>
    </w:r>
    <w:r w:rsidR="000A7C02">
      <w:tab/>
    </w:r>
    <w:r w:rsidR="000A7C02" w:rsidRPr="00DC5B3B">
      <w:t xml:space="preserve">                              </w:t>
    </w:r>
  </w:p>
  <w:p w:rsidR="000A7C02" w:rsidRPr="00223E00" w:rsidRDefault="000A7C02"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5F2AB2"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5F2AB2" w:rsidRPr="00223E00">
      <w:rPr>
        <w:rFonts w:ascii="Arial" w:hAnsi="Arial" w:cs="Arial"/>
        <w:sz w:val="16"/>
        <w:szCs w:val="16"/>
      </w:rPr>
      <w:fldChar w:fldCharType="separate"/>
    </w:r>
    <w:r w:rsidR="00AC40C2">
      <w:rPr>
        <w:rFonts w:ascii="Arial" w:hAnsi="Arial" w:cs="Arial"/>
        <w:noProof/>
        <w:sz w:val="16"/>
        <w:szCs w:val="16"/>
      </w:rPr>
      <w:t>9</w:t>
    </w:r>
    <w:r w:rsidR="005F2AB2"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620" w:rsidRDefault="00171620" w:rsidP="00E71A58">
      <w:r>
        <w:separator/>
      </w:r>
    </w:p>
  </w:footnote>
  <w:footnote w:type="continuationSeparator" w:id="0">
    <w:p w:rsidR="00171620" w:rsidRDefault="00171620" w:rsidP="00E71A58">
      <w:r>
        <w:continuationSeparator/>
      </w:r>
    </w:p>
  </w:footnote>
  <w:footnote w:id="1">
    <w:p w:rsidR="000A7C02" w:rsidRPr="006D1B43" w:rsidRDefault="000A7C02" w:rsidP="00492991">
      <w:pPr>
        <w:pStyle w:val="Textpoznpodarou"/>
        <w:rPr>
          <w:rFonts w:cs="Arial"/>
          <w:sz w:val="16"/>
          <w:szCs w:val="16"/>
          <w:lang w:val="en-GB"/>
        </w:rPr>
      </w:pPr>
      <w:r w:rsidRPr="001805D6">
        <w:rPr>
          <w:rStyle w:val="Znakapoznpodarou"/>
          <w:rFonts w:cs="Arial"/>
          <w:sz w:val="16"/>
          <w:szCs w:val="16"/>
        </w:rPr>
        <w:footnoteRef/>
      </w:r>
      <w:r w:rsidRPr="001805D6">
        <w:rPr>
          <w:rFonts w:cs="Arial"/>
          <w:sz w:val="16"/>
          <w:szCs w:val="16"/>
        </w:rPr>
        <w:t xml:space="preserve"> </w:t>
      </w:r>
      <w:r w:rsidRPr="006D1B43">
        <w:rPr>
          <w:rFonts w:cs="Arial"/>
          <w:sz w:val="16"/>
          <w:szCs w:val="16"/>
          <w:lang w:val="en-GB"/>
        </w:rPr>
        <w:t xml:space="preserve">Data regarding the GVA are expressed in constant prices and adjusted for seasonal and calendar effects. </w:t>
      </w:r>
    </w:p>
  </w:footnote>
  <w:footnote w:id="2">
    <w:p w:rsidR="000A7C02" w:rsidRPr="006D1B43" w:rsidRDefault="000A7C02" w:rsidP="00492991">
      <w:pPr>
        <w:pStyle w:val="Textpoznpodarou"/>
        <w:jc w:val="both"/>
        <w:rPr>
          <w:spacing w:val="-4"/>
          <w:sz w:val="16"/>
          <w:szCs w:val="16"/>
          <w:lang w:val="en-GB"/>
        </w:rPr>
      </w:pPr>
      <w:r w:rsidRPr="006D1B43">
        <w:rPr>
          <w:rStyle w:val="Znakapoznpodarou"/>
          <w:rFonts w:cs="Arial"/>
          <w:spacing w:val="-4"/>
          <w:sz w:val="16"/>
          <w:szCs w:val="16"/>
          <w:lang w:val="en-GB"/>
        </w:rPr>
        <w:footnoteRef/>
      </w:r>
      <w:r w:rsidRPr="006D1B43">
        <w:rPr>
          <w:rFonts w:cs="Arial"/>
          <w:spacing w:val="-4"/>
          <w:sz w:val="16"/>
          <w:szCs w:val="16"/>
          <w:lang w:val="en-GB"/>
        </w:rPr>
        <w:t xml:space="preserve"> Including branches based on the CZ-NACE: B (Mining and quarrying), C (Manufacturing), </w:t>
      </w:r>
      <w:r w:rsidRPr="00ED7384">
        <w:rPr>
          <w:rFonts w:cs="Arial"/>
          <w:spacing w:val="-4"/>
          <w:sz w:val="16"/>
          <w:szCs w:val="16"/>
          <w:lang w:val="en-GB"/>
        </w:rPr>
        <w:t>D (Energeti</w:t>
      </w:r>
      <w:r>
        <w:rPr>
          <w:rFonts w:cs="Arial"/>
          <w:spacing w:val="-4"/>
          <w:sz w:val="16"/>
          <w:szCs w:val="16"/>
          <w:lang w:val="en-GB"/>
        </w:rPr>
        <w:t>cs</w:t>
      </w:r>
      <w:r w:rsidRPr="00ED7384">
        <w:rPr>
          <w:rFonts w:cs="Arial"/>
          <w:spacing w:val="-4"/>
          <w:sz w:val="16"/>
          <w:szCs w:val="16"/>
          <w:lang w:val="en-GB"/>
        </w:rPr>
        <w:t>).</w:t>
      </w:r>
    </w:p>
  </w:footnote>
  <w:footnote w:id="3">
    <w:p w:rsidR="000A7C02" w:rsidRPr="006D1B43" w:rsidRDefault="000A7C02" w:rsidP="00492991">
      <w:pPr>
        <w:pStyle w:val="Textpoznpodarou"/>
        <w:jc w:val="both"/>
        <w:rPr>
          <w:spacing w:val="-4"/>
          <w:sz w:val="16"/>
          <w:szCs w:val="16"/>
          <w:lang w:val="en-GB"/>
        </w:rPr>
      </w:pPr>
      <w:r w:rsidRPr="006D1B43">
        <w:rPr>
          <w:rStyle w:val="Znakapoznpodarou"/>
          <w:spacing w:val="-4"/>
          <w:sz w:val="16"/>
          <w:szCs w:val="16"/>
          <w:lang w:val="en-GB"/>
        </w:rPr>
        <w:footnoteRef/>
      </w:r>
      <w:r w:rsidRPr="006D1B43">
        <w:rPr>
          <w:spacing w:val="-4"/>
          <w:sz w:val="16"/>
          <w:szCs w:val="16"/>
          <w:lang w:val="en-GB"/>
        </w:rPr>
        <w:t xml:space="preserve"> The calendar effects influenced production mainly in Q2. That quarter had three working days more compared to the same period in 2015. The di</w:t>
      </w:r>
      <w:r>
        <w:rPr>
          <w:spacing w:val="-4"/>
          <w:sz w:val="16"/>
          <w:szCs w:val="16"/>
          <w:lang w:val="en-GB"/>
        </w:rPr>
        <w:t>fference between adjusted (+2.2</w:t>
      </w:r>
      <w:r w:rsidRPr="006D1B43">
        <w:rPr>
          <w:spacing w:val="-4"/>
          <w:sz w:val="16"/>
          <w:szCs w:val="16"/>
          <w:lang w:val="en-GB"/>
        </w:rPr>
        <w:t>%) an</w:t>
      </w:r>
      <w:r>
        <w:rPr>
          <w:spacing w:val="-4"/>
          <w:sz w:val="16"/>
          <w:szCs w:val="16"/>
          <w:lang w:val="en-GB"/>
        </w:rPr>
        <w:t>d not adjusted production (+5.7</w:t>
      </w:r>
      <w:r w:rsidRPr="006D1B43">
        <w:rPr>
          <w:spacing w:val="-4"/>
          <w:sz w:val="16"/>
          <w:szCs w:val="16"/>
          <w:lang w:val="en-GB"/>
        </w:rPr>
        <w:t>%) was significant and last recorded in a similar extent in Q3 2008.</w:t>
      </w:r>
    </w:p>
  </w:footnote>
  <w:footnote w:id="4">
    <w:p w:rsidR="000A7C02" w:rsidRPr="00484AE4" w:rsidRDefault="000A7C02" w:rsidP="00492991">
      <w:pPr>
        <w:pStyle w:val="Textpoznpodarou"/>
        <w:jc w:val="both"/>
        <w:rPr>
          <w:spacing w:val="-4"/>
          <w:sz w:val="16"/>
          <w:szCs w:val="16"/>
          <w:lang w:val="en-GB"/>
        </w:rPr>
      </w:pPr>
      <w:r w:rsidRPr="00484AE4">
        <w:rPr>
          <w:rStyle w:val="Znakapoznpodarou"/>
          <w:spacing w:val="-4"/>
          <w:sz w:val="16"/>
          <w:szCs w:val="16"/>
          <w:lang w:val="en-GB"/>
        </w:rPr>
        <w:footnoteRef/>
      </w:r>
      <w:r w:rsidRPr="00484AE4">
        <w:rPr>
          <w:spacing w:val="-4"/>
          <w:sz w:val="16"/>
          <w:szCs w:val="16"/>
          <w:lang w:val="en-GB"/>
        </w:rPr>
        <w:t xml:space="preserve">  According to the data of the </w:t>
      </w:r>
      <w:r>
        <w:rPr>
          <w:spacing w:val="-4"/>
          <w:sz w:val="16"/>
          <w:szCs w:val="16"/>
          <w:lang w:val="en-GB"/>
        </w:rPr>
        <w:t xml:space="preserve">Automotive industry association </w:t>
      </w:r>
      <w:r w:rsidRPr="00484AE4">
        <w:rPr>
          <w:spacing w:val="-4"/>
          <w:sz w:val="16"/>
          <w:szCs w:val="16"/>
          <w:lang w:val="en-GB"/>
        </w:rPr>
        <w:t>1.351 mil motor vehicles were manufactured in the C</w:t>
      </w:r>
      <w:r>
        <w:rPr>
          <w:spacing w:val="-4"/>
          <w:sz w:val="16"/>
          <w:szCs w:val="16"/>
          <w:lang w:val="en-GB"/>
        </w:rPr>
        <w:t>zech Republic last year, by 8.2</w:t>
      </w:r>
      <w:r w:rsidRPr="00484AE4">
        <w:rPr>
          <w:spacing w:val="-4"/>
          <w:sz w:val="16"/>
          <w:szCs w:val="16"/>
          <w:lang w:val="en-GB"/>
        </w:rPr>
        <w:t xml:space="preserve">% more year-on-year. </w:t>
      </w:r>
    </w:p>
  </w:footnote>
  <w:footnote w:id="5">
    <w:p w:rsidR="000A7C02" w:rsidRPr="00484AE4" w:rsidRDefault="000A7C02" w:rsidP="00492991">
      <w:pPr>
        <w:pStyle w:val="Textpoznpodarou"/>
        <w:jc w:val="both"/>
        <w:rPr>
          <w:sz w:val="16"/>
          <w:szCs w:val="16"/>
          <w:lang w:val="en-GB"/>
        </w:rPr>
      </w:pPr>
      <w:r w:rsidRPr="00484AE4">
        <w:rPr>
          <w:rStyle w:val="Znakapoznpodarou"/>
          <w:spacing w:val="-4"/>
          <w:sz w:val="16"/>
          <w:szCs w:val="16"/>
          <w:lang w:val="en-GB"/>
        </w:rPr>
        <w:footnoteRef/>
      </w:r>
      <w:r w:rsidRPr="00484AE4">
        <w:rPr>
          <w:spacing w:val="-4"/>
          <w:sz w:val="16"/>
          <w:szCs w:val="16"/>
          <w:lang w:val="en-GB"/>
        </w:rPr>
        <w:t xml:space="preserve"> One half of manufacturing activities still lagged behind this level in 2016. It included especially the manufacture of clothes and manufacture of leather products or manufacture of beverages (by one quarter in all cases). Among the activities more significant by weight, the same was valid in meta</w:t>
      </w:r>
      <w:r>
        <w:rPr>
          <w:spacing w:val="-4"/>
          <w:sz w:val="16"/>
          <w:szCs w:val="16"/>
          <w:lang w:val="en-GB"/>
        </w:rPr>
        <w:t>llurgy and foundry industry (89</w:t>
      </w:r>
      <w:r w:rsidRPr="00484AE4">
        <w:rPr>
          <w:spacing w:val="-4"/>
          <w:sz w:val="16"/>
          <w:szCs w:val="16"/>
          <w:lang w:val="en-GB"/>
        </w:rPr>
        <w:t>% of the production level of year 2007), manufacture of foo</w:t>
      </w:r>
      <w:r>
        <w:rPr>
          <w:spacing w:val="-4"/>
          <w:sz w:val="16"/>
          <w:szCs w:val="16"/>
          <w:lang w:val="en-GB"/>
        </w:rPr>
        <w:t>d products (91%) and chemical industry (92</w:t>
      </w:r>
      <w:r w:rsidRPr="00484AE4">
        <w:rPr>
          <w:spacing w:val="-4"/>
          <w:sz w:val="16"/>
          <w:szCs w:val="16"/>
          <w:lang w:val="en-GB"/>
        </w:rPr>
        <w:t xml:space="preserve">%). Manufacturers of motor vehicles surpassed this level already in 2010 and they exceeded </w:t>
      </w:r>
      <w:r>
        <w:rPr>
          <w:spacing w:val="-4"/>
          <w:sz w:val="16"/>
          <w:szCs w:val="16"/>
          <w:lang w:val="en-GB"/>
        </w:rPr>
        <w:t>it by 81</w:t>
      </w:r>
      <w:r w:rsidRPr="00484AE4">
        <w:rPr>
          <w:spacing w:val="-4"/>
          <w:sz w:val="16"/>
          <w:szCs w:val="16"/>
          <w:lang w:val="en-GB"/>
        </w:rPr>
        <w:t xml:space="preserve">% last year. </w:t>
      </w:r>
    </w:p>
  </w:footnote>
  <w:footnote w:id="6">
    <w:p w:rsidR="000A7C02" w:rsidRPr="00484AE4" w:rsidRDefault="000A7C02" w:rsidP="007120ED">
      <w:pPr>
        <w:pStyle w:val="Textpoznpodarou"/>
        <w:jc w:val="both"/>
        <w:rPr>
          <w:sz w:val="16"/>
          <w:szCs w:val="16"/>
          <w:lang w:val="en-GB"/>
        </w:rPr>
      </w:pPr>
      <w:r w:rsidRPr="00484AE4">
        <w:rPr>
          <w:rStyle w:val="Znakapoznpodarou"/>
          <w:sz w:val="16"/>
          <w:szCs w:val="16"/>
          <w:lang w:val="en-GB"/>
        </w:rPr>
        <w:footnoteRef/>
      </w:r>
      <w:r w:rsidRPr="00484AE4">
        <w:rPr>
          <w:sz w:val="16"/>
          <w:szCs w:val="16"/>
          <w:lang w:val="en-GB"/>
        </w:rPr>
        <w:t xml:space="preserve"> </w:t>
      </w:r>
      <w:proofErr w:type="gramStart"/>
      <w:r w:rsidRPr="00484AE4">
        <w:rPr>
          <w:sz w:val="16"/>
          <w:szCs w:val="16"/>
          <w:lang w:val="en-GB"/>
        </w:rPr>
        <w:t xml:space="preserve">Production in the </w:t>
      </w:r>
      <w:r>
        <w:rPr>
          <w:sz w:val="16"/>
          <w:szCs w:val="16"/>
          <w:lang w:val="en-GB"/>
        </w:rPr>
        <w:t xml:space="preserve">chemical industry lowered </w:t>
      </w:r>
      <w:r w:rsidR="00007C85">
        <w:rPr>
          <w:sz w:val="16"/>
          <w:szCs w:val="16"/>
          <w:lang w:val="en-GB"/>
        </w:rPr>
        <w:t>(</w:t>
      </w:r>
      <w:r>
        <w:rPr>
          <w:sz w:val="16"/>
          <w:szCs w:val="16"/>
          <w:lang w:val="en-GB"/>
        </w:rPr>
        <w:t>by</w:t>
      </w:r>
      <w:r w:rsidR="00007C85">
        <w:rPr>
          <w:sz w:val="16"/>
          <w:szCs w:val="16"/>
          <w:lang w:val="en-GB"/>
        </w:rPr>
        <w:t xml:space="preserve"> </w:t>
      </w:r>
      <w:r>
        <w:rPr>
          <w:sz w:val="16"/>
          <w:szCs w:val="16"/>
          <w:lang w:val="en-GB"/>
        </w:rPr>
        <w:t>16</w:t>
      </w:r>
      <w:r w:rsidRPr="00484AE4">
        <w:rPr>
          <w:sz w:val="16"/>
          <w:szCs w:val="16"/>
          <w:lang w:val="en-GB"/>
        </w:rPr>
        <w:t>% in total</w:t>
      </w:r>
      <w:r w:rsidR="00007C85">
        <w:rPr>
          <w:sz w:val="16"/>
          <w:szCs w:val="16"/>
          <w:lang w:val="en-GB"/>
        </w:rPr>
        <w:t>)</w:t>
      </w:r>
      <w:r w:rsidRPr="00484AE4">
        <w:rPr>
          <w:sz w:val="16"/>
          <w:szCs w:val="16"/>
          <w:lang w:val="en-GB"/>
        </w:rPr>
        <w:t xml:space="preserve"> during four quarters (i.e. from Q3 2015 to Q2 2016).</w:t>
      </w:r>
      <w:proofErr w:type="gramEnd"/>
      <w:r w:rsidRPr="00484AE4">
        <w:rPr>
          <w:sz w:val="16"/>
          <w:szCs w:val="16"/>
          <w:lang w:val="en-GB"/>
        </w:rPr>
        <w:t xml:space="preserve"> </w:t>
      </w:r>
    </w:p>
  </w:footnote>
  <w:footnote w:id="7">
    <w:p w:rsidR="000A7C02" w:rsidRPr="00D5221C" w:rsidRDefault="000A7C02" w:rsidP="007120ED">
      <w:pPr>
        <w:pStyle w:val="Textpoznpodarou"/>
        <w:jc w:val="both"/>
        <w:rPr>
          <w:spacing w:val="-2"/>
          <w:sz w:val="16"/>
          <w:szCs w:val="16"/>
        </w:rPr>
      </w:pPr>
      <w:r w:rsidRPr="00484AE4">
        <w:rPr>
          <w:rStyle w:val="Znakapoznpodarou"/>
          <w:spacing w:val="-2"/>
          <w:sz w:val="16"/>
          <w:szCs w:val="16"/>
          <w:lang w:val="en-GB"/>
        </w:rPr>
        <w:footnoteRef/>
      </w:r>
      <w:r w:rsidRPr="00484AE4">
        <w:rPr>
          <w:spacing w:val="-2"/>
          <w:sz w:val="16"/>
          <w:szCs w:val="16"/>
          <w:lang w:val="en-GB"/>
        </w:rPr>
        <w:t xml:space="preserve">  The level of production of this branch from the end of the last economic recession (Q1 2013) was exceeded thanks to the strong quarter-on-quarter growth in the last thre</w:t>
      </w:r>
      <w:r>
        <w:rPr>
          <w:spacing w:val="-2"/>
          <w:sz w:val="16"/>
          <w:szCs w:val="16"/>
          <w:lang w:val="en-GB"/>
        </w:rPr>
        <w:t xml:space="preserve">e months of </w:t>
      </w:r>
      <w:r w:rsidR="00007C85">
        <w:rPr>
          <w:spacing w:val="-2"/>
          <w:sz w:val="16"/>
          <w:szCs w:val="16"/>
          <w:lang w:val="en-GB"/>
        </w:rPr>
        <w:t>2016</w:t>
      </w:r>
      <w:r>
        <w:rPr>
          <w:spacing w:val="-2"/>
          <w:sz w:val="16"/>
          <w:szCs w:val="16"/>
          <w:lang w:val="en-GB"/>
        </w:rPr>
        <w:t xml:space="preserve"> (+7.9</w:t>
      </w:r>
      <w:r w:rsidRPr="00484AE4">
        <w:rPr>
          <w:spacing w:val="-2"/>
          <w:sz w:val="16"/>
          <w:szCs w:val="16"/>
          <w:lang w:val="en-GB"/>
        </w:rPr>
        <w:t xml:space="preserve">%). </w:t>
      </w:r>
      <w:r>
        <w:rPr>
          <w:spacing w:val="-2"/>
          <w:sz w:val="16"/>
          <w:szCs w:val="16"/>
          <w:lang w:val="en-GB"/>
        </w:rPr>
        <w:t xml:space="preserve">The </w:t>
      </w:r>
      <w:r w:rsidR="00007C85">
        <w:rPr>
          <w:spacing w:val="-2"/>
          <w:sz w:val="16"/>
          <w:szCs w:val="16"/>
          <w:lang w:val="en-GB"/>
        </w:rPr>
        <w:t>manufacture of paper and paper products</w:t>
      </w:r>
      <w:r>
        <w:rPr>
          <w:spacing w:val="-2"/>
          <w:sz w:val="16"/>
          <w:szCs w:val="16"/>
          <w:lang w:val="en-GB"/>
        </w:rPr>
        <w:t xml:space="preserve"> was the only manufacturing activity that lagged behind this level also at the end of 2016 </w:t>
      </w:r>
      <w:r w:rsidRPr="00484AE4">
        <w:rPr>
          <w:spacing w:val="-2"/>
          <w:sz w:val="16"/>
          <w:szCs w:val="16"/>
          <w:lang w:val="en-GB"/>
        </w:rPr>
        <w:t>(</w:t>
      </w:r>
      <w:r>
        <w:rPr>
          <w:spacing w:val="-2"/>
          <w:sz w:val="16"/>
          <w:szCs w:val="16"/>
          <w:lang w:val="en-GB"/>
        </w:rPr>
        <w:t>by 4</w:t>
      </w:r>
      <w:r w:rsidRPr="00484AE4">
        <w:rPr>
          <w:spacing w:val="-2"/>
          <w:sz w:val="16"/>
          <w:szCs w:val="16"/>
          <w:lang w:val="en-GB"/>
        </w:rPr>
        <w:t xml:space="preserve">%). </w:t>
      </w:r>
      <w:r>
        <w:rPr>
          <w:spacing w:val="-2"/>
          <w:sz w:val="16"/>
          <w:szCs w:val="16"/>
          <w:lang w:val="en-GB"/>
        </w:rPr>
        <w:t xml:space="preserve">From the non-manufacturing activities, it was further the mining and quarrying </w:t>
      </w:r>
      <w:r w:rsidRPr="00484AE4">
        <w:rPr>
          <w:spacing w:val="-2"/>
          <w:sz w:val="16"/>
          <w:szCs w:val="16"/>
          <w:lang w:val="en-GB"/>
        </w:rPr>
        <w:t>(</w:t>
      </w:r>
      <w:r>
        <w:rPr>
          <w:spacing w:val="-2"/>
          <w:sz w:val="16"/>
          <w:szCs w:val="16"/>
          <w:lang w:val="en-GB"/>
        </w:rPr>
        <w:t>by</w:t>
      </w:r>
      <w:r w:rsidRPr="00484AE4">
        <w:rPr>
          <w:spacing w:val="-2"/>
          <w:sz w:val="16"/>
          <w:szCs w:val="16"/>
          <w:lang w:val="en-GB"/>
        </w:rPr>
        <w:t xml:space="preserve"> 21%) a</w:t>
      </w:r>
      <w:r>
        <w:rPr>
          <w:spacing w:val="-2"/>
          <w:sz w:val="16"/>
          <w:szCs w:val="16"/>
          <w:lang w:val="en-GB"/>
        </w:rPr>
        <w:t xml:space="preserve">nd energetics </w:t>
      </w:r>
      <w:r w:rsidRPr="00D5221C">
        <w:rPr>
          <w:spacing w:val="-2"/>
          <w:sz w:val="16"/>
          <w:szCs w:val="16"/>
        </w:rPr>
        <w:t>(</w:t>
      </w:r>
      <w:r>
        <w:rPr>
          <w:spacing w:val="-2"/>
          <w:sz w:val="16"/>
          <w:szCs w:val="16"/>
        </w:rPr>
        <w:t>by 3</w:t>
      </w:r>
      <w:r w:rsidRPr="00D5221C">
        <w:rPr>
          <w:spacing w:val="-2"/>
          <w:sz w:val="16"/>
          <w:szCs w:val="16"/>
        </w:rPr>
        <w:t>%).</w:t>
      </w:r>
    </w:p>
  </w:footnote>
  <w:footnote w:id="8">
    <w:p w:rsidR="000A7C02" w:rsidRPr="00594D2B" w:rsidRDefault="000A7C02" w:rsidP="007120ED">
      <w:pPr>
        <w:pStyle w:val="Textpoznpodarou"/>
        <w:jc w:val="both"/>
        <w:rPr>
          <w:sz w:val="16"/>
          <w:szCs w:val="16"/>
          <w:lang w:val="en-GB"/>
        </w:rPr>
      </w:pPr>
      <w:r w:rsidRPr="00DD37F0">
        <w:rPr>
          <w:rStyle w:val="Znakapoznpodarou"/>
          <w:sz w:val="16"/>
          <w:szCs w:val="16"/>
        </w:rPr>
        <w:footnoteRef/>
      </w:r>
      <w:r w:rsidRPr="00DD37F0">
        <w:rPr>
          <w:sz w:val="16"/>
          <w:szCs w:val="16"/>
        </w:rPr>
        <w:t xml:space="preserve"> </w:t>
      </w:r>
      <w:r w:rsidRPr="00594D2B">
        <w:rPr>
          <w:sz w:val="16"/>
          <w:szCs w:val="16"/>
          <w:lang w:val="en-GB"/>
        </w:rPr>
        <w:t xml:space="preserve">The position of the branch partially improved also in connection to the introduction of </w:t>
      </w:r>
      <w:r>
        <w:rPr>
          <w:sz w:val="16"/>
          <w:szCs w:val="16"/>
          <w:lang w:val="en-GB"/>
        </w:rPr>
        <w:t xml:space="preserve">anti-dumping customs duty </w:t>
      </w:r>
      <w:r w:rsidRPr="00594D2B">
        <w:rPr>
          <w:sz w:val="16"/>
          <w:szCs w:val="16"/>
          <w:lang w:val="en-GB"/>
        </w:rPr>
        <w:t>on the import of</w:t>
      </w:r>
      <w:r>
        <w:rPr>
          <w:sz w:val="16"/>
          <w:szCs w:val="16"/>
          <w:lang w:val="en-GB"/>
        </w:rPr>
        <w:t xml:space="preserve"> pipes </w:t>
      </w:r>
      <w:r w:rsidRPr="00594D2B">
        <w:rPr>
          <w:sz w:val="16"/>
          <w:szCs w:val="16"/>
          <w:lang w:val="en-GB"/>
        </w:rPr>
        <w:t xml:space="preserve">from the </w:t>
      </w:r>
      <w:r>
        <w:rPr>
          <w:sz w:val="16"/>
          <w:szCs w:val="16"/>
          <w:lang w:val="en-GB"/>
        </w:rPr>
        <w:t xml:space="preserve">stainless </w:t>
      </w:r>
      <w:r w:rsidRPr="00594D2B">
        <w:rPr>
          <w:sz w:val="16"/>
          <w:szCs w:val="16"/>
          <w:lang w:val="en-GB"/>
        </w:rPr>
        <w:t xml:space="preserve">steel from China to the EU in the second half of the year. The production of metallurgy and </w:t>
      </w:r>
      <w:r>
        <w:rPr>
          <w:sz w:val="16"/>
          <w:szCs w:val="16"/>
          <w:lang w:val="en-GB"/>
        </w:rPr>
        <w:t>foundry industry in</w:t>
      </w:r>
      <w:r w:rsidRPr="00594D2B">
        <w:rPr>
          <w:sz w:val="16"/>
          <w:szCs w:val="16"/>
          <w:lang w:val="en-GB"/>
        </w:rPr>
        <w:t>creased ye</w:t>
      </w:r>
      <w:r>
        <w:rPr>
          <w:sz w:val="16"/>
          <w:szCs w:val="16"/>
          <w:lang w:val="en-GB"/>
        </w:rPr>
        <w:t>ar-on-year in Q4 (by 3.2</w:t>
      </w:r>
      <w:r w:rsidRPr="00594D2B">
        <w:rPr>
          <w:sz w:val="16"/>
          <w:szCs w:val="16"/>
          <w:lang w:val="en-GB"/>
        </w:rPr>
        <w:t>% in</w:t>
      </w:r>
      <w:r>
        <w:rPr>
          <w:sz w:val="16"/>
          <w:szCs w:val="16"/>
          <w:lang w:val="en-GB"/>
        </w:rPr>
        <w:t xml:space="preserve"> the CR, by 0.9</w:t>
      </w:r>
      <w:r w:rsidRPr="00594D2B">
        <w:rPr>
          <w:sz w:val="16"/>
          <w:szCs w:val="16"/>
          <w:lang w:val="en-GB"/>
        </w:rPr>
        <w:t>% in the EU).</w:t>
      </w:r>
    </w:p>
  </w:footnote>
  <w:footnote w:id="9">
    <w:p w:rsidR="000A7C02" w:rsidRPr="000B1458" w:rsidRDefault="000A7C02" w:rsidP="007120ED">
      <w:pPr>
        <w:pStyle w:val="Textpoznpodarou"/>
        <w:jc w:val="both"/>
        <w:rPr>
          <w:rFonts w:cs="Arial"/>
          <w:sz w:val="16"/>
          <w:szCs w:val="16"/>
          <w:lang w:val="en-GB"/>
        </w:rPr>
      </w:pPr>
      <w:r w:rsidRPr="00594D2B">
        <w:rPr>
          <w:rStyle w:val="Znakapoznpodarou"/>
          <w:rFonts w:cs="Arial"/>
          <w:sz w:val="16"/>
          <w:szCs w:val="16"/>
          <w:lang w:val="en-GB"/>
        </w:rPr>
        <w:footnoteRef/>
      </w:r>
      <w:r w:rsidRPr="00594D2B">
        <w:rPr>
          <w:rFonts w:cs="Arial"/>
          <w:sz w:val="16"/>
          <w:szCs w:val="16"/>
          <w:lang w:val="en-GB"/>
        </w:rPr>
        <w:t xml:space="preserve"> </w:t>
      </w:r>
      <w:r w:rsidRPr="000B1458">
        <w:rPr>
          <w:rFonts w:cs="Arial"/>
          <w:sz w:val="16"/>
          <w:szCs w:val="16"/>
          <w:lang w:val="en-GB"/>
        </w:rPr>
        <w:t xml:space="preserve">Industrial orders are monitored only in the selected CZ-NACE </w:t>
      </w:r>
      <w:r>
        <w:rPr>
          <w:rFonts w:cs="Arial"/>
          <w:sz w:val="16"/>
          <w:szCs w:val="16"/>
          <w:lang w:val="en-GB"/>
        </w:rPr>
        <w:t xml:space="preserve">sections </w:t>
      </w:r>
      <w:r w:rsidRPr="000B1458">
        <w:rPr>
          <w:rFonts w:cs="Arial"/>
          <w:sz w:val="16"/>
          <w:szCs w:val="16"/>
          <w:lang w:val="en-GB"/>
        </w:rPr>
        <w:t xml:space="preserve">(13, 14, 17, 20 till 21, 24 till 30), which produce mostly to order, with a longer production cycle and larger stocks of orders. </w:t>
      </w:r>
    </w:p>
  </w:footnote>
  <w:footnote w:id="10">
    <w:p w:rsidR="000A7C02" w:rsidRPr="00594D2B" w:rsidRDefault="000A7C02" w:rsidP="00C07DF0">
      <w:pPr>
        <w:pStyle w:val="Textpoznpodarou"/>
        <w:jc w:val="both"/>
        <w:rPr>
          <w:sz w:val="16"/>
          <w:szCs w:val="16"/>
          <w:lang w:val="en-GB"/>
        </w:rPr>
      </w:pPr>
      <w:r w:rsidRPr="00594D2B">
        <w:rPr>
          <w:rStyle w:val="Znakapoznpodarou"/>
          <w:sz w:val="16"/>
          <w:szCs w:val="16"/>
          <w:lang w:val="en-GB"/>
        </w:rPr>
        <w:footnoteRef/>
      </w:r>
      <w:r w:rsidRPr="00594D2B">
        <w:rPr>
          <w:sz w:val="16"/>
          <w:szCs w:val="16"/>
          <w:lang w:val="en-GB"/>
        </w:rPr>
        <w:t xml:space="preserve"> All data relating to the construction production are adjusted for calendar effects. </w:t>
      </w:r>
    </w:p>
  </w:footnote>
  <w:footnote w:id="11">
    <w:p w:rsidR="000A7C02" w:rsidRPr="00566F63" w:rsidRDefault="000A7C02" w:rsidP="00C07DF0">
      <w:pPr>
        <w:pStyle w:val="Textpoznpodarou"/>
        <w:jc w:val="both"/>
        <w:rPr>
          <w:sz w:val="16"/>
          <w:szCs w:val="16"/>
        </w:rPr>
      </w:pPr>
      <w:r w:rsidRPr="00594D2B">
        <w:rPr>
          <w:rStyle w:val="Znakapoznpodarou"/>
          <w:sz w:val="16"/>
          <w:szCs w:val="16"/>
          <w:lang w:val="en-GB"/>
        </w:rPr>
        <w:footnoteRef/>
      </w:r>
      <w:r w:rsidRPr="00594D2B">
        <w:rPr>
          <w:sz w:val="16"/>
          <w:szCs w:val="16"/>
          <w:lang w:val="en-GB"/>
        </w:rPr>
        <w:t xml:space="preserve"> Statistical surveys cover only orders of construction business</w:t>
      </w:r>
      <w:r>
        <w:rPr>
          <w:sz w:val="16"/>
          <w:szCs w:val="16"/>
          <w:lang w:val="en-GB"/>
        </w:rPr>
        <w:t>es</w:t>
      </w:r>
      <w:r w:rsidRPr="00594D2B">
        <w:rPr>
          <w:sz w:val="16"/>
          <w:szCs w:val="16"/>
          <w:lang w:val="en-GB"/>
        </w:rPr>
        <w:t xml:space="preserve"> with 50 and more employees.</w:t>
      </w:r>
      <w:r>
        <w:rPr>
          <w:sz w:val="16"/>
          <w:szCs w:val="16"/>
        </w:rPr>
        <w:t xml:space="preserve"> </w:t>
      </w:r>
    </w:p>
  </w:footnote>
  <w:footnote w:id="12">
    <w:p w:rsidR="000A7C02" w:rsidRPr="00CE5B96" w:rsidRDefault="000A7C02" w:rsidP="00C07DF0">
      <w:pPr>
        <w:pStyle w:val="Textpoznpodarou"/>
        <w:jc w:val="both"/>
        <w:rPr>
          <w:sz w:val="16"/>
          <w:szCs w:val="16"/>
          <w:lang w:val="en-GB"/>
        </w:rPr>
      </w:pPr>
      <w:r w:rsidRPr="00092C9A">
        <w:rPr>
          <w:rStyle w:val="Znakapoznpodarou"/>
          <w:sz w:val="16"/>
          <w:szCs w:val="16"/>
        </w:rPr>
        <w:footnoteRef/>
      </w:r>
      <w:r w:rsidRPr="00092C9A">
        <w:rPr>
          <w:sz w:val="16"/>
          <w:szCs w:val="16"/>
        </w:rPr>
        <w:t xml:space="preserve"> </w:t>
      </w:r>
      <w:r w:rsidRPr="00CE5B96">
        <w:rPr>
          <w:sz w:val="16"/>
          <w:szCs w:val="16"/>
          <w:lang w:val="en-GB"/>
        </w:rPr>
        <w:t xml:space="preserve">Data are not adjusted and do not include trade, </w:t>
      </w:r>
      <w:r>
        <w:rPr>
          <w:sz w:val="16"/>
          <w:szCs w:val="16"/>
          <w:lang w:val="en-GB"/>
        </w:rPr>
        <w:t>financial and insurance activities</w:t>
      </w:r>
      <w:r w:rsidRPr="00CE5B96">
        <w:rPr>
          <w:sz w:val="16"/>
          <w:szCs w:val="16"/>
          <w:lang w:val="en-GB"/>
        </w:rPr>
        <w:t xml:space="preserve">, </w:t>
      </w:r>
      <w:r w:rsidRPr="007F0012">
        <w:rPr>
          <w:sz w:val="16"/>
          <w:szCs w:val="16"/>
          <w:lang w:val="en-GB"/>
        </w:rPr>
        <w:t>scientific research and development and also the public services</w:t>
      </w:r>
      <w:r>
        <w:rPr>
          <w:sz w:val="16"/>
          <w:szCs w:val="16"/>
          <w:lang w:val="en-GB"/>
        </w:rPr>
        <w:t xml:space="preserve">. </w:t>
      </w:r>
    </w:p>
  </w:footnote>
  <w:footnote w:id="13">
    <w:p w:rsidR="000A7C02" w:rsidRPr="00A7125D" w:rsidRDefault="000A7C02" w:rsidP="007C3191">
      <w:pPr>
        <w:pStyle w:val="Textpoznpodarou"/>
        <w:jc w:val="both"/>
        <w:rPr>
          <w:sz w:val="16"/>
          <w:szCs w:val="16"/>
        </w:rPr>
      </w:pPr>
      <w:r w:rsidRPr="00CE5B96">
        <w:rPr>
          <w:rStyle w:val="Znakapoznpodarou"/>
          <w:sz w:val="16"/>
          <w:szCs w:val="16"/>
          <w:lang w:val="en-GB"/>
        </w:rPr>
        <w:footnoteRef/>
      </w:r>
      <w:r>
        <w:rPr>
          <w:sz w:val="16"/>
          <w:szCs w:val="16"/>
          <w:lang w:val="en-GB"/>
        </w:rPr>
        <w:t xml:space="preserve"> Sales however increased by 4.7</w:t>
      </w:r>
      <w:r w:rsidRPr="00CE5B96">
        <w:rPr>
          <w:sz w:val="16"/>
          <w:szCs w:val="16"/>
          <w:lang w:val="en-GB"/>
        </w:rPr>
        <w:t xml:space="preserve">% year-on-year in the Q4 2016 itself.  It occurred for the first time after sixteen quarters of adverse development. </w:t>
      </w:r>
      <w:r>
        <w:rPr>
          <w:sz w:val="16"/>
          <w:szCs w:val="16"/>
          <w:lang w:val="en-GB"/>
        </w:rPr>
        <w:t>Halting of decline of arrivals of Russian tourists into the Czech Republic in part contributed to this turn. Their numbers fell by 15</w:t>
      </w:r>
      <w:r w:rsidRPr="00CE5B96">
        <w:rPr>
          <w:sz w:val="16"/>
          <w:szCs w:val="16"/>
          <w:lang w:val="en-GB"/>
        </w:rPr>
        <w:t xml:space="preserve">% year-on-year in </w:t>
      </w:r>
      <w:r w:rsidR="00857A2F">
        <w:rPr>
          <w:sz w:val="16"/>
          <w:szCs w:val="16"/>
          <w:lang w:val="en-GB"/>
        </w:rPr>
        <w:t xml:space="preserve">the period from </w:t>
      </w:r>
      <w:r w:rsidRPr="00CE5B96">
        <w:rPr>
          <w:sz w:val="16"/>
          <w:szCs w:val="16"/>
          <w:lang w:val="en-GB"/>
        </w:rPr>
        <w:t xml:space="preserve">Q1 to Q3 </w:t>
      </w:r>
      <w:proofErr w:type="gramStart"/>
      <w:r w:rsidRPr="00CE5B96">
        <w:rPr>
          <w:sz w:val="16"/>
          <w:szCs w:val="16"/>
          <w:lang w:val="en-GB"/>
        </w:rPr>
        <w:t>2016,</w:t>
      </w:r>
      <w:proofErr w:type="gramEnd"/>
      <w:r w:rsidRPr="00CE5B96">
        <w:rPr>
          <w:sz w:val="16"/>
          <w:szCs w:val="16"/>
          <w:lang w:val="en-GB"/>
        </w:rPr>
        <w:t xml:space="preserve"> </w:t>
      </w:r>
      <w:r>
        <w:rPr>
          <w:sz w:val="16"/>
          <w:szCs w:val="16"/>
          <w:lang w:val="en-GB"/>
        </w:rPr>
        <w:t>however they already rose by 23</w:t>
      </w:r>
      <w:r w:rsidRPr="00CE5B96">
        <w:rPr>
          <w:sz w:val="16"/>
          <w:szCs w:val="16"/>
          <w:lang w:val="en-GB"/>
        </w:rPr>
        <w:t>% in the remaining part of the year.</w:t>
      </w:r>
      <w:r>
        <w:rPr>
          <w:sz w:val="16"/>
          <w:szCs w:val="16"/>
        </w:rPr>
        <w:t xml:space="preserve"> </w:t>
      </w:r>
    </w:p>
  </w:footnote>
  <w:footnote w:id="14">
    <w:p w:rsidR="000A7C02" w:rsidRPr="00953F0A" w:rsidRDefault="000A7C02" w:rsidP="007C3191">
      <w:pPr>
        <w:pStyle w:val="Textpoznpodarou"/>
        <w:jc w:val="both"/>
        <w:rPr>
          <w:sz w:val="16"/>
          <w:szCs w:val="16"/>
          <w:lang w:val="en-GB"/>
        </w:rPr>
      </w:pPr>
      <w:r w:rsidRPr="002D7A47">
        <w:rPr>
          <w:rStyle w:val="Znakapoznpodarou"/>
          <w:sz w:val="16"/>
          <w:szCs w:val="16"/>
        </w:rPr>
        <w:footnoteRef/>
      </w:r>
      <w:r w:rsidRPr="002D7A47">
        <w:rPr>
          <w:sz w:val="16"/>
          <w:szCs w:val="16"/>
        </w:rPr>
        <w:t xml:space="preserve"> </w:t>
      </w:r>
      <w:r w:rsidRPr="00953F0A">
        <w:rPr>
          <w:sz w:val="16"/>
          <w:szCs w:val="16"/>
          <w:lang w:val="en-GB"/>
        </w:rPr>
        <w:t>All data related to retail sales are adjusted for calen</w:t>
      </w:r>
      <w:r>
        <w:rPr>
          <w:sz w:val="16"/>
          <w:szCs w:val="16"/>
          <w:lang w:val="en-GB"/>
        </w:rPr>
        <w:t>dar effects in constant prices.</w:t>
      </w:r>
    </w:p>
  </w:footnote>
  <w:footnote w:id="15">
    <w:p w:rsidR="000A7C02" w:rsidRPr="00953F0A" w:rsidRDefault="000A7C02" w:rsidP="007C3191">
      <w:pPr>
        <w:pStyle w:val="Textpoznpodarou"/>
        <w:jc w:val="both"/>
        <w:rPr>
          <w:spacing w:val="-2"/>
          <w:sz w:val="16"/>
          <w:szCs w:val="16"/>
          <w:lang w:val="en-GB"/>
        </w:rPr>
      </w:pPr>
      <w:r w:rsidRPr="00953F0A">
        <w:rPr>
          <w:rStyle w:val="Znakapoznpodarou"/>
          <w:spacing w:val="-2"/>
          <w:sz w:val="16"/>
          <w:lang w:val="en-GB"/>
        </w:rPr>
        <w:footnoteRef/>
      </w:r>
      <w:r w:rsidRPr="00953F0A">
        <w:rPr>
          <w:spacing w:val="-2"/>
          <w:sz w:val="16"/>
          <w:lang w:val="en-GB"/>
        </w:rPr>
        <w:t xml:space="preserve"> A </w:t>
      </w:r>
      <w:r>
        <w:rPr>
          <w:spacing w:val="-2"/>
          <w:sz w:val="16"/>
          <w:lang w:val="en-GB"/>
        </w:rPr>
        <w:t xml:space="preserve">considerable </w:t>
      </w:r>
      <w:r w:rsidRPr="00953F0A">
        <w:rPr>
          <w:spacing w:val="-2"/>
          <w:sz w:val="16"/>
          <w:lang w:val="en-GB"/>
        </w:rPr>
        <w:t>slump of sales for services occurred in these in H2 2016 (comprising howe</w:t>
      </w:r>
      <w:r>
        <w:rPr>
          <w:spacing w:val="-2"/>
          <w:sz w:val="16"/>
          <w:lang w:val="en-GB"/>
        </w:rPr>
        <w:t>v</w:t>
      </w:r>
      <w:r w:rsidRPr="00953F0A">
        <w:rPr>
          <w:spacing w:val="-2"/>
          <w:sz w:val="16"/>
          <w:lang w:val="en-GB"/>
        </w:rPr>
        <w:t>er only a marginal share of all sales of seller</w:t>
      </w:r>
      <w:r>
        <w:rPr>
          <w:spacing w:val="-2"/>
          <w:sz w:val="16"/>
          <w:lang w:val="en-GB"/>
        </w:rPr>
        <w:t>s</w:t>
      </w:r>
      <w:r w:rsidRPr="00953F0A">
        <w:rPr>
          <w:spacing w:val="-2"/>
          <w:sz w:val="16"/>
          <w:lang w:val="en-GB"/>
        </w:rPr>
        <w:t xml:space="preserve"> of food).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AC40C2" w:rsidRDefault="000A7C02" w:rsidP="00AC40C2">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859BB" w:rsidRDefault="000A7C02" w:rsidP="007859BB">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6FB457C"/>
    <w:multiLevelType w:val="hybridMultilevel"/>
    <w:tmpl w:val="286E7B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6320703"/>
    <w:multiLevelType w:val="hybridMultilevel"/>
    <w:tmpl w:val="9CB2DAE6"/>
    <w:lvl w:ilvl="0" w:tplc="45ECC748">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nsid w:val="2CB14C08"/>
    <w:multiLevelType w:val="hybridMultilevel"/>
    <w:tmpl w:val="0DBA10E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6255FDC"/>
    <w:multiLevelType w:val="hybridMultilevel"/>
    <w:tmpl w:val="14EC1500"/>
    <w:lvl w:ilvl="0" w:tplc="DAC09A1E">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BC47DB"/>
    <w:multiLevelType w:val="hybridMultilevel"/>
    <w:tmpl w:val="AA5065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4"/>
  </w:num>
  <w:num w:numId="2">
    <w:abstractNumId w:val="20"/>
  </w:num>
  <w:num w:numId="3">
    <w:abstractNumId w:val="10"/>
  </w:num>
  <w:num w:numId="4">
    <w:abstractNumId w:val="18"/>
  </w:num>
  <w:num w:numId="5">
    <w:abstractNumId w:val="11"/>
  </w:num>
  <w:num w:numId="6">
    <w:abstractNumId w:val="15"/>
  </w:num>
  <w:num w:numId="7">
    <w:abstractNumId w:val="3"/>
  </w:num>
  <w:num w:numId="8">
    <w:abstractNumId w:val="9"/>
  </w:num>
  <w:num w:numId="9">
    <w:abstractNumId w:val="17"/>
  </w:num>
  <w:num w:numId="10">
    <w:abstractNumId w:val="2"/>
  </w:num>
  <w:num w:numId="11">
    <w:abstractNumId w:val="8"/>
  </w:num>
  <w:num w:numId="12">
    <w:abstractNumId w:val="1"/>
  </w:num>
  <w:num w:numId="13">
    <w:abstractNumId w:val="7"/>
  </w:num>
  <w:num w:numId="14">
    <w:abstractNumId w:val="0"/>
  </w:num>
  <w:num w:numId="15">
    <w:abstractNumId w:val="16"/>
  </w:num>
  <w:num w:numId="16">
    <w:abstractNumId w:val="12"/>
  </w:num>
  <w:num w:numId="17">
    <w:abstractNumId w:val="4"/>
  </w:num>
  <w:num w:numId="18">
    <w:abstractNumId w:val="19"/>
  </w:num>
  <w:num w:numId="19">
    <w:abstractNumId w:val="13"/>
  </w:num>
  <w:num w:numId="20">
    <w:abstractNumId w:val="5"/>
  </w:num>
  <w:num w:numId="21">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9B70BD"/>
    <w:rsid w:val="00000FA7"/>
    <w:rsid w:val="00001EFF"/>
    <w:rsid w:val="00003687"/>
    <w:rsid w:val="00003C43"/>
    <w:rsid w:val="00004CAA"/>
    <w:rsid w:val="00004EB0"/>
    <w:rsid w:val="00005BC0"/>
    <w:rsid w:val="000065B8"/>
    <w:rsid w:val="000065F9"/>
    <w:rsid w:val="00006FF3"/>
    <w:rsid w:val="00007498"/>
    <w:rsid w:val="0000767A"/>
    <w:rsid w:val="00007C85"/>
    <w:rsid w:val="000101F5"/>
    <w:rsid w:val="000104B9"/>
    <w:rsid w:val="00010702"/>
    <w:rsid w:val="00010770"/>
    <w:rsid w:val="00011191"/>
    <w:rsid w:val="0001159B"/>
    <w:rsid w:val="000117CA"/>
    <w:rsid w:val="00011C90"/>
    <w:rsid w:val="00012986"/>
    <w:rsid w:val="00013E59"/>
    <w:rsid w:val="00014028"/>
    <w:rsid w:val="00015195"/>
    <w:rsid w:val="0001519F"/>
    <w:rsid w:val="0001572B"/>
    <w:rsid w:val="0001573E"/>
    <w:rsid w:val="000157DA"/>
    <w:rsid w:val="0001589D"/>
    <w:rsid w:val="00016033"/>
    <w:rsid w:val="000162DB"/>
    <w:rsid w:val="00016315"/>
    <w:rsid w:val="00017F05"/>
    <w:rsid w:val="00020137"/>
    <w:rsid w:val="000202C6"/>
    <w:rsid w:val="00020946"/>
    <w:rsid w:val="00021E93"/>
    <w:rsid w:val="0002203C"/>
    <w:rsid w:val="00022081"/>
    <w:rsid w:val="0002292C"/>
    <w:rsid w:val="00022B41"/>
    <w:rsid w:val="00023FB5"/>
    <w:rsid w:val="0002434F"/>
    <w:rsid w:val="00024887"/>
    <w:rsid w:val="00024CBA"/>
    <w:rsid w:val="00025501"/>
    <w:rsid w:val="00025532"/>
    <w:rsid w:val="00026998"/>
    <w:rsid w:val="00026B06"/>
    <w:rsid w:val="000304C4"/>
    <w:rsid w:val="0003066A"/>
    <w:rsid w:val="00030BF0"/>
    <w:rsid w:val="00030F14"/>
    <w:rsid w:val="000311C5"/>
    <w:rsid w:val="00032838"/>
    <w:rsid w:val="00032C12"/>
    <w:rsid w:val="00032E0C"/>
    <w:rsid w:val="00035CCF"/>
    <w:rsid w:val="00035FC6"/>
    <w:rsid w:val="0003705E"/>
    <w:rsid w:val="00037667"/>
    <w:rsid w:val="00037961"/>
    <w:rsid w:val="00040682"/>
    <w:rsid w:val="0004075D"/>
    <w:rsid w:val="000411E1"/>
    <w:rsid w:val="00041E9C"/>
    <w:rsid w:val="00043C68"/>
    <w:rsid w:val="00043E05"/>
    <w:rsid w:val="0004694F"/>
    <w:rsid w:val="000500DC"/>
    <w:rsid w:val="0005025B"/>
    <w:rsid w:val="000509FD"/>
    <w:rsid w:val="0005171C"/>
    <w:rsid w:val="00051ADE"/>
    <w:rsid w:val="00052052"/>
    <w:rsid w:val="00052172"/>
    <w:rsid w:val="000534FD"/>
    <w:rsid w:val="00053CBA"/>
    <w:rsid w:val="000541D1"/>
    <w:rsid w:val="00054BB5"/>
    <w:rsid w:val="00054E43"/>
    <w:rsid w:val="00055059"/>
    <w:rsid w:val="000553E4"/>
    <w:rsid w:val="0005599E"/>
    <w:rsid w:val="0005670F"/>
    <w:rsid w:val="000567FA"/>
    <w:rsid w:val="00056A90"/>
    <w:rsid w:val="00056B26"/>
    <w:rsid w:val="00057708"/>
    <w:rsid w:val="00057C16"/>
    <w:rsid w:val="00060F26"/>
    <w:rsid w:val="00062D43"/>
    <w:rsid w:val="00062EC5"/>
    <w:rsid w:val="00064256"/>
    <w:rsid w:val="0006708D"/>
    <w:rsid w:val="000671C7"/>
    <w:rsid w:val="00067531"/>
    <w:rsid w:val="00067684"/>
    <w:rsid w:val="000706A4"/>
    <w:rsid w:val="00070A0C"/>
    <w:rsid w:val="0007104B"/>
    <w:rsid w:val="00071F80"/>
    <w:rsid w:val="00072118"/>
    <w:rsid w:val="00073173"/>
    <w:rsid w:val="00073192"/>
    <w:rsid w:val="00073461"/>
    <w:rsid w:val="000760AE"/>
    <w:rsid w:val="0007651D"/>
    <w:rsid w:val="00076FFF"/>
    <w:rsid w:val="000779AC"/>
    <w:rsid w:val="00080A41"/>
    <w:rsid w:val="00080AA8"/>
    <w:rsid w:val="00081C84"/>
    <w:rsid w:val="00082637"/>
    <w:rsid w:val="00082D56"/>
    <w:rsid w:val="00083803"/>
    <w:rsid w:val="00083D7F"/>
    <w:rsid w:val="00084393"/>
    <w:rsid w:val="00084807"/>
    <w:rsid w:val="00085070"/>
    <w:rsid w:val="000870F1"/>
    <w:rsid w:val="0008716A"/>
    <w:rsid w:val="00087634"/>
    <w:rsid w:val="000879B9"/>
    <w:rsid w:val="00091237"/>
    <w:rsid w:val="000916B1"/>
    <w:rsid w:val="0009191B"/>
    <w:rsid w:val="000920EC"/>
    <w:rsid w:val="00092208"/>
    <w:rsid w:val="00092505"/>
    <w:rsid w:val="000927EB"/>
    <w:rsid w:val="00092BD9"/>
    <w:rsid w:val="00092C9A"/>
    <w:rsid w:val="00094D55"/>
    <w:rsid w:val="000973B6"/>
    <w:rsid w:val="000976A6"/>
    <w:rsid w:val="00097BFC"/>
    <w:rsid w:val="00097D02"/>
    <w:rsid w:val="000A0BBE"/>
    <w:rsid w:val="000A1183"/>
    <w:rsid w:val="000A2121"/>
    <w:rsid w:val="000A2484"/>
    <w:rsid w:val="000A36CE"/>
    <w:rsid w:val="000A4021"/>
    <w:rsid w:val="000A59BF"/>
    <w:rsid w:val="000A66C2"/>
    <w:rsid w:val="000A68A2"/>
    <w:rsid w:val="000A68A7"/>
    <w:rsid w:val="000A742D"/>
    <w:rsid w:val="000A7C02"/>
    <w:rsid w:val="000B1458"/>
    <w:rsid w:val="000B1CFE"/>
    <w:rsid w:val="000B1F3D"/>
    <w:rsid w:val="000B210A"/>
    <w:rsid w:val="000B21AC"/>
    <w:rsid w:val="000B249B"/>
    <w:rsid w:val="000B2ADE"/>
    <w:rsid w:val="000B2C3D"/>
    <w:rsid w:val="000B3B01"/>
    <w:rsid w:val="000B3DB9"/>
    <w:rsid w:val="000B3F02"/>
    <w:rsid w:val="000B48A2"/>
    <w:rsid w:val="000B48E7"/>
    <w:rsid w:val="000B4F41"/>
    <w:rsid w:val="000B6E11"/>
    <w:rsid w:val="000B7663"/>
    <w:rsid w:val="000C09C1"/>
    <w:rsid w:val="000C1106"/>
    <w:rsid w:val="000C11D3"/>
    <w:rsid w:val="000C12F5"/>
    <w:rsid w:val="000C2C94"/>
    <w:rsid w:val="000C3408"/>
    <w:rsid w:val="000C3DFC"/>
    <w:rsid w:val="000C4AC8"/>
    <w:rsid w:val="000C54AF"/>
    <w:rsid w:val="000C5C0F"/>
    <w:rsid w:val="000C5D56"/>
    <w:rsid w:val="000C6498"/>
    <w:rsid w:val="000D0B22"/>
    <w:rsid w:val="000D0D51"/>
    <w:rsid w:val="000D14B3"/>
    <w:rsid w:val="000D1BFB"/>
    <w:rsid w:val="000D1F52"/>
    <w:rsid w:val="000D208B"/>
    <w:rsid w:val="000D263E"/>
    <w:rsid w:val="000D2B48"/>
    <w:rsid w:val="000D2B8D"/>
    <w:rsid w:val="000D2E41"/>
    <w:rsid w:val="000D342A"/>
    <w:rsid w:val="000D3DC0"/>
    <w:rsid w:val="000D43CB"/>
    <w:rsid w:val="000D5E7A"/>
    <w:rsid w:val="000D5FAA"/>
    <w:rsid w:val="000D65A4"/>
    <w:rsid w:val="000D6AEF"/>
    <w:rsid w:val="000D7D11"/>
    <w:rsid w:val="000E0098"/>
    <w:rsid w:val="000E025B"/>
    <w:rsid w:val="000E0ECB"/>
    <w:rsid w:val="000E153A"/>
    <w:rsid w:val="000E19A8"/>
    <w:rsid w:val="000E1EEA"/>
    <w:rsid w:val="000E4241"/>
    <w:rsid w:val="000E4A42"/>
    <w:rsid w:val="000E6476"/>
    <w:rsid w:val="000E77CC"/>
    <w:rsid w:val="000E78D2"/>
    <w:rsid w:val="000F06EF"/>
    <w:rsid w:val="000F3332"/>
    <w:rsid w:val="000F338D"/>
    <w:rsid w:val="000F33EE"/>
    <w:rsid w:val="000F401E"/>
    <w:rsid w:val="000F4191"/>
    <w:rsid w:val="000F43EB"/>
    <w:rsid w:val="000F5445"/>
    <w:rsid w:val="000F5673"/>
    <w:rsid w:val="000F67B2"/>
    <w:rsid w:val="000F6CFB"/>
    <w:rsid w:val="000F74B6"/>
    <w:rsid w:val="000F790F"/>
    <w:rsid w:val="000F7E1B"/>
    <w:rsid w:val="00100014"/>
    <w:rsid w:val="0010039A"/>
    <w:rsid w:val="001010CD"/>
    <w:rsid w:val="00101E94"/>
    <w:rsid w:val="00101FB2"/>
    <w:rsid w:val="00102CB8"/>
    <w:rsid w:val="00102F02"/>
    <w:rsid w:val="0010385D"/>
    <w:rsid w:val="00103B42"/>
    <w:rsid w:val="00103CE1"/>
    <w:rsid w:val="00103E41"/>
    <w:rsid w:val="001041B6"/>
    <w:rsid w:val="001048E0"/>
    <w:rsid w:val="001070EA"/>
    <w:rsid w:val="0011002A"/>
    <w:rsid w:val="001107CE"/>
    <w:rsid w:val="0011110A"/>
    <w:rsid w:val="001118AF"/>
    <w:rsid w:val="00111CA5"/>
    <w:rsid w:val="00112488"/>
    <w:rsid w:val="0011256E"/>
    <w:rsid w:val="0011274D"/>
    <w:rsid w:val="00112E13"/>
    <w:rsid w:val="0011352E"/>
    <w:rsid w:val="00113F43"/>
    <w:rsid w:val="00114A13"/>
    <w:rsid w:val="00114FC0"/>
    <w:rsid w:val="00115496"/>
    <w:rsid w:val="00116DB9"/>
    <w:rsid w:val="00116F28"/>
    <w:rsid w:val="00121C39"/>
    <w:rsid w:val="00123255"/>
    <w:rsid w:val="00123A5C"/>
    <w:rsid w:val="00124430"/>
    <w:rsid w:val="00124D2D"/>
    <w:rsid w:val="00124DA1"/>
    <w:rsid w:val="00124E9C"/>
    <w:rsid w:val="00125326"/>
    <w:rsid w:val="00125CB5"/>
    <w:rsid w:val="0012678C"/>
    <w:rsid w:val="00127535"/>
    <w:rsid w:val="00127965"/>
    <w:rsid w:val="001307BE"/>
    <w:rsid w:val="00130C8F"/>
    <w:rsid w:val="001314F2"/>
    <w:rsid w:val="001317DA"/>
    <w:rsid w:val="001322B4"/>
    <w:rsid w:val="001323BA"/>
    <w:rsid w:val="0013254D"/>
    <w:rsid w:val="00133AAC"/>
    <w:rsid w:val="00133FBD"/>
    <w:rsid w:val="00135008"/>
    <w:rsid w:val="001364C1"/>
    <w:rsid w:val="00136561"/>
    <w:rsid w:val="001400E1"/>
    <w:rsid w:val="001405FA"/>
    <w:rsid w:val="001413B3"/>
    <w:rsid w:val="001425C3"/>
    <w:rsid w:val="00142F16"/>
    <w:rsid w:val="00143E03"/>
    <w:rsid w:val="00143E93"/>
    <w:rsid w:val="00143FA3"/>
    <w:rsid w:val="0014428D"/>
    <w:rsid w:val="00144BEA"/>
    <w:rsid w:val="001468CC"/>
    <w:rsid w:val="001500FC"/>
    <w:rsid w:val="00151AAB"/>
    <w:rsid w:val="00151AC0"/>
    <w:rsid w:val="00151B27"/>
    <w:rsid w:val="00152046"/>
    <w:rsid w:val="001524FC"/>
    <w:rsid w:val="001528DF"/>
    <w:rsid w:val="00152E53"/>
    <w:rsid w:val="001536DD"/>
    <w:rsid w:val="00153ECF"/>
    <w:rsid w:val="00154147"/>
    <w:rsid w:val="00155089"/>
    <w:rsid w:val="001550F3"/>
    <w:rsid w:val="00155746"/>
    <w:rsid w:val="00156318"/>
    <w:rsid w:val="0015639A"/>
    <w:rsid w:val="00157410"/>
    <w:rsid w:val="0016081D"/>
    <w:rsid w:val="00160CF3"/>
    <w:rsid w:val="00160E61"/>
    <w:rsid w:val="00161300"/>
    <w:rsid w:val="00161CCF"/>
    <w:rsid w:val="001620FA"/>
    <w:rsid w:val="00162853"/>
    <w:rsid w:val="00163793"/>
    <w:rsid w:val="001640FB"/>
    <w:rsid w:val="00164B83"/>
    <w:rsid w:val="00165E1B"/>
    <w:rsid w:val="00167FB2"/>
    <w:rsid w:val="001707DE"/>
    <w:rsid w:val="00170B04"/>
    <w:rsid w:val="00170F47"/>
    <w:rsid w:val="001711F2"/>
    <w:rsid w:val="001714F2"/>
    <w:rsid w:val="00171620"/>
    <w:rsid w:val="00172F26"/>
    <w:rsid w:val="00173642"/>
    <w:rsid w:val="00173AF4"/>
    <w:rsid w:val="00173CB0"/>
    <w:rsid w:val="00174853"/>
    <w:rsid w:val="00174CE8"/>
    <w:rsid w:val="00174E7D"/>
    <w:rsid w:val="001752CB"/>
    <w:rsid w:val="00175351"/>
    <w:rsid w:val="00175F60"/>
    <w:rsid w:val="00176050"/>
    <w:rsid w:val="001764D8"/>
    <w:rsid w:val="00176A8F"/>
    <w:rsid w:val="00176C72"/>
    <w:rsid w:val="00180D58"/>
    <w:rsid w:val="00181938"/>
    <w:rsid w:val="00182981"/>
    <w:rsid w:val="00184CF9"/>
    <w:rsid w:val="00185010"/>
    <w:rsid w:val="001852EC"/>
    <w:rsid w:val="001857D6"/>
    <w:rsid w:val="00185D70"/>
    <w:rsid w:val="00186447"/>
    <w:rsid w:val="001874CF"/>
    <w:rsid w:val="00190214"/>
    <w:rsid w:val="00190D9B"/>
    <w:rsid w:val="00191461"/>
    <w:rsid w:val="00191BAE"/>
    <w:rsid w:val="00193432"/>
    <w:rsid w:val="0019346C"/>
    <w:rsid w:val="00194AE3"/>
    <w:rsid w:val="00194D9B"/>
    <w:rsid w:val="00195335"/>
    <w:rsid w:val="00195444"/>
    <w:rsid w:val="0019579E"/>
    <w:rsid w:val="0019797A"/>
    <w:rsid w:val="001A0A79"/>
    <w:rsid w:val="001A199D"/>
    <w:rsid w:val="001A2BDB"/>
    <w:rsid w:val="001A30F4"/>
    <w:rsid w:val="001A44F9"/>
    <w:rsid w:val="001A47AB"/>
    <w:rsid w:val="001A4930"/>
    <w:rsid w:val="001A4A37"/>
    <w:rsid w:val="001A4C0D"/>
    <w:rsid w:val="001A552F"/>
    <w:rsid w:val="001A56F3"/>
    <w:rsid w:val="001A737B"/>
    <w:rsid w:val="001A750C"/>
    <w:rsid w:val="001A7769"/>
    <w:rsid w:val="001A7A4E"/>
    <w:rsid w:val="001A7BBB"/>
    <w:rsid w:val="001B1D89"/>
    <w:rsid w:val="001B2143"/>
    <w:rsid w:val="001B2B24"/>
    <w:rsid w:val="001B3110"/>
    <w:rsid w:val="001B4198"/>
    <w:rsid w:val="001B44BC"/>
    <w:rsid w:val="001B46D6"/>
    <w:rsid w:val="001B5215"/>
    <w:rsid w:val="001B5888"/>
    <w:rsid w:val="001B618F"/>
    <w:rsid w:val="001B6277"/>
    <w:rsid w:val="001B6545"/>
    <w:rsid w:val="001B681B"/>
    <w:rsid w:val="001B6A49"/>
    <w:rsid w:val="001B7231"/>
    <w:rsid w:val="001B74FB"/>
    <w:rsid w:val="001B77A1"/>
    <w:rsid w:val="001C0422"/>
    <w:rsid w:val="001C049B"/>
    <w:rsid w:val="001C0E0E"/>
    <w:rsid w:val="001C0EB9"/>
    <w:rsid w:val="001C1219"/>
    <w:rsid w:val="001C24D7"/>
    <w:rsid w:val="001C2816"/>
    <w:rsid w:val="001C357A"/>
    <w:rsid w:val="001C3A37"/>
    <w:rsid w:val="001C4384"/>
    <w:rsid w:val="001C55F5"/>
    <w:rsid w:val="001C6024"/>
    <w:rsid w:val="001C65FF"/>
    <w:rsid w:val="001C78A2"/>
    <w:rsid w:val="001D05CF"/>
    <w:rsid w:val="001D3787"/>
    <w:rsid w:val="001D47E5"/>
    <w:rsid w:val="001D48A5"/>
    <w:rsid w:val="001D584C"/>
    <w:rsid w:val="001D5E1B"/>
    <w:rsid w:val="001D66C1"/>
    <w:rsid w:val="001D74E8"/>
    <w:rsid w:val="001D7C6F"/>
    <w:rsid w:val="001E0024"/>
    <w:rsid w:val="001E0C65"/>
    <w:rsid w:val="001E2377"/>
    <w:rsid w:val="001E23E3"/>
    <w:rsid w:val="001E29AF"/>
    <w:rsid w:val="001E387A"/>
    <w:rsid w:val="001E3DA4"/>
    <w:rsid w:val="001E5469"/>
    <w:rsid w:val="001E5830"/>
    <w:rsid w:val="001E59D5"/>
    <w:rsid w:val="001E684C"/>
    <w:rsid w:val="001E701C"/>
    <w:rsid w:val="001E7552"/>
    <w:rsid w:val="001E7C03"/>
    <w:rsid w:val="001F02AF"/>
    <w:rsid w:val="001F0649"/>
    <w:rsid w:val="001F1C99"/>
    <w:rsid w:val="001F21A6"/>
    <w:rsid w:val="001F28F4"/>
    <w:rsid w:val="001F2CC6"/>
    <w:rsid w:val="001F3055"/>
    <w:rsid w:val="001F31BC"/>
    <w:rsid w:val="001F378E"/>
    <w:rsid w:val="001F3C79"/>
    <w:rsid w:val="001F3E68"/>
    <w:rsid w:val="001F4597"/>
    <w:rsid w:val="001F56A9"/>
    <w:rsid w:val="001F5C6A"/>
    <w:rsid w:val="001F63A7"/>
    <w:rsid w:val="001F670A"/>
    <w:rsid w:val="001F6A2E"/>
    <w:rsid w:val="001F6CC0"/>
    <w:rsid w:val="00200D15"/>
    <w:rsid w:val="002012FC"/>
    <w:rsid w:val="0020223B"/>
    <w:rsid w:val="0020294A"/>
    <w:rsid w:val="00203074"/>
    <w:rsid w:val="00203B46"/>
    <w:rsid w:val="002048E1"/>
    <w:rsid w:val="00207DB6"/>
    <w:rsid w:val="00210278"/>
    <w:rsid w:val="00210CC2"/>
    <w:rsid w:val="00210F5B"/>
    <w:rsid w:val="00210FFA"/>
    <w:rsid w:val="00211262"/>
    <w:rsid w:val="002115F5"/>
    <w:rsid w:val="00211AC9"/>
    <w:rsid w:val="00212292"/>
    <w:rsid w:val="002131D4"/>
    <w:rsid w:val="0021329E"/>
    <w:rsid w:val="0021355B"/>
    <w:rsid w:val="00215A2C"/>
    <w:rsid w:val="00215CC3"/>
    <w:rsid w:val="002169D2"/>
    <w:rsid w:val="00217980"/>
    <w:rsid w:val="002179F9"/>
    <w:rsid w:val="00217B00"/>
    <w:rsid w:val="00217F7E"/>
    <w:rsid w:val="002205F2"/>
    <w:rsid w:val="0022080E"/>
    <w:rsid w:val="00220838"/>
    <w:rsid w:val="00220B20"/>
    <w:rsid w:val="00220CF8"/>
    <w:rsid w:val="0022139E"/>
    <w:rsid w:val="0022272B"/>
    <w:rsid w:val="00222A99"/>
    <w:rsid w:val="002234CA"/>
    <w:rsid w:val="00223678"/>
    <w:rsid w:val="002236F7"/>
    <w:rsid w:val="00223E00"/>
    <w:rsid w:val="00223ECF"/>
    <w:rsid w:val="00224546"/>
    <w:rsid w:val="002252E0"/>
    <w:rsid w:val="002255F6"/>
    <w:rsid w:val="002261DD"/>
    <w:rsid w:val="00226466"/>
    <w:rsid w:val="002266D0"/>
    <w:rsid w:val="00226887"/>
    <w:rsid w:val="00227771"/>
    <w:rsid w:val="00227991"/>
    <w:rsid w:val="0023093E"/>
    <w:rsid w:val="00230DAD"/>
    <w:rsid w:val="00231EE1"/>
    <w:rsid w:val="0023229C"/>
    <w:rsid w:val="0023301B"/>
    <w:rsid w:val="002334DF"/>
    <w:rsid w:val="0023355C"/>
    <w:rsid w:val="002340A2"/>
    <w:rsid w:val="00234280"/>
    <w:rsid w:val="00234DD5"/>
    <w:rsid w:val="00235000"/>
    <w:rsid w:val="002350E3"/>
    <w:rsid w:val="00235330"/>
    <w:rsid w:val="00236443"/>
    <w:rsid w:val="0024074D"/>
    <w:rsid w:val="00240773"/>
    <w:rsid w:val="00240815"/>
    <w:rsid w:val="00240A5B"/>
    <w:rsid w:val="00240C76"/>
    <w:rsid w:val="002411EF"/>
    <w:rsid w:val="00241446"/>
    <w:rsid w:val="00241FAA"/>
    <w:rsid w:val="00242730"/>
    <w:rsid w:val="00242C0B"/>
    <w:rsid w:val="002436BA"/>
    <w:rsid w:val="002444ED"/>
    <w:rsid w:val="00244A15"/>
    <w:rsid w:val="00244D40"/>
    <w:rsid w:val="00246AE9"/>
    <w:rsid w:val="0024799E"/>
    <w:rsid w:val="00250C59"/>
    <w:rsid w:val="00250E0D"/>
    <w:rsid w:val="002518F6"/>
    <w:rsid w:val="00251D59"/>
    <w:rsid w:val="00252602"/>
    <w:rsid w:val="00252FDC"/>
    <w:rsid w:val="002532E2"/>
    <w:rsid w:val="002550D8"/>
    <w:rsid w:val="00257613"/>
    <w:rsid w:val="0026117D"/>
    <w:rsid w:val="0026138C"/>
    <w:rsid w:val="00261A0F"/>
    <w:rsid w:val="00261E5B"/>
    <w:rsid w:val="00262F34"/>
    <w:rsid w:val="00263470"/>
    <w:rsid w:val="00263733"/>
    <w:rsid w:val="00264000"/>
    <w:rsid w:val="00264676"/>
    <w:rsid w:val="0026507C"/>
    <w:rsid w:val="00265536"/>
    <w:rsid w:val="00265772"/>
    <w:rsid w:val="00265E54"/>
    <w:rsid w:val="00266040"/>
    <w:rsid w:val="00266F3E"/>
    <w:rsid w:val="00270785"/>
    <w:rsid w:val="00270B56"/>
    <w:rsid w:val="00271BEF"/>
    <w:rsid w:val="00272464"/>
    <w:rsid w:val="002726B8"/>
    <w:rsid w:val="00272B0B"/>
    <w:rsid w:val="00272CC5"/>
    <w:rsid w:val="00273C60"/>
    <w:rsid w:val="00273CBE"/>
    <w:rsid w:val="00273DCD"/>
    <w:rsid w:val="00274291"/>
    <w:rsid w:val="00275D3C"/>
    <w:rsid w:val="00276C09"/>
    <w:rsid w:val="00276CFE"/>
    <w:rsid w:val="00277071"/>
    <w:rsid w:val="0027786C"/>
    <w:rsid w:val="00277BF7"/>
    <w:rsid w:val="00277C94"/>
    <w:rsid w:val="00280E67"/>
    <w:rsid w:val="00281416"/>
    <w:rsid w:val="00283C61"/>
    <w:rsid w:val="00285CD3"/>
    <w:rsid w:val="0028633E"/>
    <w:rsid w:val="0028686A"/>
    <w:rsid w:val="00286E66"/>
    <w:rsid w:val="002870B7"/>
    <w:rsid w:val="002879DE"/>
    <w:rsid w:val="002903C9"/>
    <w:rsid w:val="00290423"/>
    <w:rsid w:val="002907F1"/>
    <w:rsid w:val="00290870"/>
    <w:rsid w:val="0029191C"/>
    <w:rsid w:val="002919B5"/>
    <w:rsid w:val="00292137"/>
    <w:rsid w:val="002926EF"/>
    <w:rsid w:val="00293441"/>
    <w:rsid w:val="00293EA0"/>
    <w:rsid w:val="00294238"/>
    <w:rsid w:val="0029493E"/>
    <w:rsid w:val="00294A5F"/>
    <w:rsid w:val="002962E0"/>
    <w:rsid w:val="00296C2E"/>
    <w:rsid w:val="00297C8C"/>
    <w:rsid w:val="002A01B2"/>
    <w:rsid w:val="002A1B05"/>
    <w:rsid w:val="002A267F"/>
    <w:rsid w:val="002A3354"/>
    <w:rsid w:val="002A35EA"/>
    <w:rsid w:val="002A37B6"/>
    <w:rsid w:val="002A3A75"/>
    <w:rsid w:val="002A3BD5"/>
    <w:rsid w:val="002A43A2"/>
    <w:rsid w:val="002A44ED"/>
    <w:rsid w:val="002A4612"/>
    <w:rsid w:val="002A4F70"/>
    <w:rsid w:val="002A51BD"/>
    <w:rsid w:val="002A5263"/>
    <w:rsid w:val="002A66AF"/>
    <w:rsid w:val="002A6821"/>
    <w:rsid w:val="002A74D2"/>
    <w:rsid w:val="002A7CDA"/>
    <w:rsid w:val="002A7F47"/>
    <w:rsid w:val="002B1544"/>
    <w:rsid w:val="002B195A"/>
    <w:rsid w:val="002B1AA2"/>
    <w:rsid w:val="002B1DC1"/>
    <w:rsid w:val="002B36C8"/>
    <w:rsid w:val="002B385B"/>
    <w:rsid w:val="002B3A9C"/>
    <w:rsid w:val="002B556B"/>
    <w:rsid w:val="002B6D1E"/>
    <w:rsid w:val="002B71B4"/>
    <w:rsid w:val="002B7240"/>
    <w:rsid w:val="002C0FF4"/>
    <w:rsid w:val="002C125A"/>
    <w:rsid w:val="002C2668"/>
    <w:rsid w:val="002C43BD"/>
    <w:rsid w:val="002C493D"/>
    <w:rsid w:val="002C4E5A"/>
    <w:rsid w:val="002C5261"/>
    <w:rsid w:val="002C6091"/>
    <w:rsid w:val="002C7FC5"/>
    <w:rsid w:val="002D0562"/>
    <w:rsid w:val="002D1B5A"/>
    <w:rsid w:val="002D1BFF"/>
    <w:rsid w:val="002D2500"/>
    <w:rsid w:val="002D338A"/>
    <w:rsid w:val="002D3A1A"/>
    <w:rsid w:val="002D3F00"/>
    <w:rsid w:val="002D4D59"/>
    <w:rsid w:val="002D549A"/>
    <w:rsid w:val="002D54BF"/>
    <w:rsid w:val="002D58F6"/>
    <w:rsid w:val="002D5C3D"/>
    <w:rsid w:val="002D5E94"/>
    <w:rsid w:val="002D632D"/>
    <w:rsid w:val="002D68E6"/>
    <w:rsid w:val="002D6E8B"/>
    <w:rsid w:val="002D6FC7"/>
    <w:rsid w:val="002E02A1"/>
    <w:rsid w:val="002E0982"/>
    <w:rsid w:val="002E0B7A"/>
    <w:rsid w:val="002E0DB9"/>
    <w:rsid w:val="002E2CE4"/>
    <w:rsid w:val="002E34F3"/>
    <w:rsid w:val="002E383E"/>
    <w:rsid w:val="002E4217"/>
    <w:rsid w:val="002E435E"/>
    <w:rsid w:val="002E5958"/>
    <w:rsid w:val="002E73F2"/>
    <w:rsid w:val="002F0457"/>
    <w:rsid w:val="002F291A"/>
    <w:rsid w:val="002F33FB"/>
    <w:rsid w:val="002F3FBA"/>
    <w:rsid w:val="002F663A"/>
    <w:rsid w:val="002F68A4"/>
    <w:rsid w:val="002F7594"/>
    <w:rsid w:val="002F7902"/>
    <w:rsid w:val="003003E7"/>
    <w:rsid w:val="00300D6F"/>
    <w:rsid w:val="00301357"/>
    <w:rsid w:val="00301D04"/>
    <w:rsid w:val="00302C69"/>
    <w:rsid w:val="003035D4"/>
    <w:rsid w:val="00303A3C"/>
    <w:rsid w:val="00303DCB"/>
    <w:rsid w:val="00304771"/>
    <w:rsid w:val="00305736"/>
    <w:rsid w:val="0030599E"/>
    <w:rsid w:val="00305C33"/>
    <w:rsid w:val="00306C5B"/>
    <w:rsid w:val="00306E3B"/>
    <w:rsid w:val="00310ADB"/>
    <w:rsid w:val="003119B6"/>
    <w:rsid w:val="003119B7"/>
    <w:rsid w:val="00312C3D"/>
    <w:rsid w:val="003138E0"/>
    <w:rsid w:val="00314331"/>
    <w:rsid w:val="00314808"/>
    <w:rsid w:val="00317E31"/>
    <w:rsid w:val="00320146"/>
    <w:rsid w:val="00320214"/>
    <w:rsid w:val="003209D6"/>
    <w:rsid w:val="0032109A"/>
    <w:rsid w:val="0032214F"/>
    <w:rsid w:val="00322164"/>
    <w:rsid w:val="0032279C"/>
    <w:rsid w:val="00322949"/>
    <w:rsid w:val="00322CEB"/>
    <w:rsid w:val="00322D09"/>
    <w:rsid w:val="00322D80"/>
    <w:rsid w:val="00323CF7"/>
    <w:rsid w:val="00323E61"/>
    <w:rsid w:val="0032513D"/>
    <w:rsid w:val="00326251"/>
    <w:rsid w:val="0032739C"/>
    <w:rsid w:val="003277A6"/>
    <w:rsid w:val="00327DEE"/>
    <w:rsid w:val="003302DA"/>
    <w:rsid w:val="00330EB0"/>
    <w:rsid w:val="00331574"/>
    <w:rsid w:val="0033229B"/>
    <w:rsid w:val="003329F3"/>
    <w:rsid w:val="0033352E"/>
    <w:rsid w:val="00333690"/>
    <w:rsid w:val="0033390C"/>
    <w:rsid w:val="00333D20"/>
    <w:rsid w:val="00333F53"/>
    <w:rsid w:val="003340EF"/>
    <w:rsid w:val="0033463E"/>
    <w:rsid w:val="00334A49"/>
    <w:rsid w:val="0033536F"/>
    <w:rsid w:val="00335BB0"/>
    <w:rsid w:val="0033627B"/>
    <w:rsid w:val="003370B9"/>
    <w:rsid w:val="003406BD"/>
    <w:rsid w:val="00340D38"/>
    <w:rsid w:val="00342753"/>
    <w:rsid w:val="00342D7B"/>
    <w:rsid w:val="00343474"/>
    <w:rsid w:val="00343F84"/>
    <w:rsid w:val="00344135"/>
    <w:rsid w:val="00344533"/>
    <w:rsid w:val="003450E2"/>
    <w:rsid w:val="003460E3"/>
    <w:rsid w:val="00347F1E"/>
    <w:rsid w:val="00350053"/>
    <w:rsid w:val="003508B0"/>
    <w:rsid w:val="00351B63"/>
    <w:rsid w:val="00352E57"/>
    <w:rsid w:val="003541B0"/>
    <w:rsid w:val="0035422B"/>
    <w:rsid w:val="0035457E"/>
    <w:rsid w:val="00355885"/>
    <w:rsid w:val="00355A57"/>
    <w:rsid w:val="00355B5A"/>
    <w:rsid w:val="0035605E"/>
    <w:rsid w:val="00356244"/>
    <w:rsid w:val="00357449"/>
    <w:rsid w:val="00357CC2"/>
    <w:rsid w:val="00361CEF"/>
    <w:rsid w:val="0036238B"/>
    <w:rsid w:val="003630B0"/>
    <w:rsid w:val="00364173"/>
    <w:rsid w:val="003649FC"/>
    <w:rsid w:val="003651A4"/>
    <w:rsid w:val="00365680"/>
    <w:rsid w:val="003657F3"/>
    <w:rsid w:val="00365FBC"/>
    <w:rsid w:val="00366D4D"/>
    <w:rsid w:val="00367038"/>
    <w:rsid w:val="003676C4"/>
    <w:rsid w:val="0037077A"/>
    <w:rsid w:val="00370963"/>
    <w:rsid w:val="0037144E"/>
    <w:rsid w:val="00372272"/>
    <w:rsid w:val="00373689"/>
    <w:rsid w:val="003736B5"/>
    <w:rsid w:val="00374798"/>
    <w:rsid w:val="00374F1E"/>
    <w:rsid w:val="003750BC"/>
    <w:rsid w:val="003750CF"/>
    <w:rsid w:val="0037529E"/>
    <w:rsid w:val="00375A22"/>
    <w:rsid w:val="00376DEC"/>
    <w:rsid w:val="00377200"/>
    <w:rsid w:val="00377666"/>
    <w:rsid w:val="00377FE1"/>
    <w:rsid w:val="0038034A"/>
    <w:rsid w:val="00380E04"/>
    <w:rsid w:val="00380E6C"/>
    <w:rsid w:val="00381479"/>
    <w:rsid w:val="00383227"/>
    <w:rsid w:val="003839C9"/>
    <w:rsid w:val="0038422D"/>
    <w:rsid w:val="003843F5"/>
    <w:rsid w:val="00384D8F"/>
    <w:rsid w:val="00384EEA"/>
    <w:rsid w:val="003857A2"/>
    <w:rsid w:val="003857CD"/>
    <w:rsid w:val="0038595F"/>
    <w:rsid w:val="00385D98"/>
    <w:rsid w:val="00385EC5"/>
    <w:rsid w:val="0038625E"/>
    <w:rsid w:val="0038658E"/>
    <w:rsid w:val="00387507"/>
    <w:rsid w:val="003875C2"/>
    <w:rsid w:val="0039066E"/>
    <w:rsid w:val="00391C95"/>
    <w:rsid w:val="00392110"/>
    <w:rsid w:val="00393D74"/>
    <w:rsid w:val="00394D49"/>
    <w:rsid w:val="0039598F"/>
    <w:rsid w:val="00395A52"/>
    <w:rsid w:val="00396DAC"/>
    <w:rsid w:val="003971D0"/>
    <w:rsid w:val="003A0214"/>
    <w:rsid w:val="003A027D"/>
    <w:rsid w:val="003A1D74"/>
    <w:rsid w:val="003A2B4D"/>
    <w:rsid w:val="003A2D2B"/>
    <w:rsid w:val="003A2DD4"/>
    <w:rsid w:val="003A31A9"/>
    <w:rsid w:val="003A3B1C"/>
    <w:rsid w:val="003A4088"/>
    <w:rsid w:val="003A478C"/>
    <w:rsid w:val="003A4F82"/>
    <w:rsid w:val="003A5525"/>
    <w:rsid w:val="003A57A4"/>
    <w:rsid w:val="003A663F"/>
    <w:rsid w:val="003A6B38"/>
    <w:rsid w:val="003A73EA"/>
    <w:rsid w:val="003B1781"/>
    <w:rsid w:val="003B2142"/>
    <w:rsid w:val="003B2580"/>
    <w:rsid w:val="003B2E63"/>
    <w:rsid w:val="003B2F0A"/>
    <w:rsid w:val="003B3189"/>
    <w:rsid w:val="003B3A9D"/>
    <w:rsid w:val="003B3DDD"/>
    <w:rsid w:val="003B42A1"/>
    <w:rsid w:val="003B5031"/>
    <w:rsid w:val="003B5A32"/>
    <w:rsid w:val="003B5B61"/>
    <w:rsid w:val="003B5E14"/>
    <w:rsid w:val="003B6105"/>
    <w:rsid w:val="003C0122"/>
    <w:rsid w:val="003C03CC"/>
    <w:rsid w:val="003C04C4"/>
    <w:rsid w:val="003C1F8B"/>
    <w:rsid w:val="003C26F4"/>
    <w:rsid w:val="003C2809"/>
    <w:rsid w:val="003C3686"/>
    <w:rsid w:val="003C38D4"/>
    <w:rsid w:val="003C4852"/>
    <w:rsid w:val="003C486D"/>
    <w:rsid w:val="003C505A"/>
    <w:rsid w:val="003C5BC7"/>
    <w:rsid w:val="003C601E"/>
    <w:rsid w:val="003C66C4"/>
    <w:rsid w:val="003C7928"/>
    <w:rsid w:val="003C797A"/>
    <w:rsid w:val="003C7A95"/>
    <w:rsid w:val="003C7B97"/>
    <w:rsid w:val="003D15C3"/>
    <w:rsid w:val="003D17A6"/>
    <w:rsid w:val="003D2C4E"/>
    <w:rsid w:val="003D2D51"/>
    <w:rsid w:val="003D33FD"/>
    <w:rsid w:val="003D3600"/>
    <w:rsid w:val="003D3825"/>
    <w:rsid w:val="003D3EC4"/>
    <w:rsid w:val="003D44E2"/>
    <w:rsid w:val="003D4760"/>
    <w:rsid w:val="003D49DC"/>
    <w:rsid w:val="003D4DD9"/>
    <w:rsid w:val="003D4FB5"/>
    <w:rsid w:val="003D5D7A"/>
    <w:rsid w:val="003D5E4B"/>
    <w:rsid w:val="003D653F"/>
    <w:rsid w:val="003E00D4"/>
    <w:rsid w:val="003E0663"/>
    <w:rsid w:val="003E133F"/>
    <w:rsid w:val="003E194E"/>
    <w:rsid w:val="003E42C9"/>
    <w:rsid w:val="003E49F6"/>
    <w:rsid w:val="003E4FD4"/>
    <w:rsid w:val="003E5488"/>
    <w:rsid w:val="003E699C"/>
    <w:rsid w:val="003E69F3"/>
    <w:rsid w:val="003E6EB0"/>
    <w:rsid w:val="003E7550"/>
    <w:rsid w:val="003E782E"/>
    <w:rsid w:val="003E7A0B"/>
    <w:rsid w:val="003E7B2B"/>
    <w:rsid w:val="003F116D"/>
    <w:rsid w:val="003F1749"/>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015"/>
    <w:rsid w:val="003F6C74"/>
    <w:rsid w:val="003F6D19"/>
    <w:rsid w:val="003F7F67"/>
    <w:rsid w:val="004000D5"/>
    <w:rsid w:val="00400244"/>
    <w:rsid w:val="004005C1"/>
    <w:rsid w:val="004010ED"/>
    <w:rsid w:val="00401716"/>
    <w:rsid w:val="004018F7"/>
    <w:rsid w:val="00401A09"/>
    <w:rsid w:val="0040273A"/>
    <w:rsid w:val="00402C25"/>
    <w:rsid w:val="004036FB"/>
    <w:rsid w:val="00403CE3"/>
    <w:rsid w:val="004050D7"/>
    <w:rsid w:val="0040633F"/>
    <w:rsid w:val="0040758A"/>
    <w:rsid w:val="004078BD"/>
    <w:rsid w:val="00410132"/>
    <w:rsid w:val="004104E4"/>
    <w:rsid w:val="00410A97"/>
    <w:rsid w:val="00410BCD"/>
    <w:rsid w:val="00410DE5"/>
    <w:rsid w:val="00410E40"/>
    <w:rsid w:val="00410F03"/>
    <w:rsid w:val="00410FF4"/>
    <w:rsid w:val="0041175D"/>
    <w:rsid w:val="004117CE"/>
    <w:rsid w:val="004123BE"/>
    <w:rsid w:val="00412CC0"/>
    <w:rsid w:val="00414757"/>
    <w:rsid w:val="00414CE5"/>
    <w:rsid w:val="0041548B"/>
    <w:rsid w:val="00416673"/>
    <w:rsid w:val="00416F9E"/>
    <w:rsid w:val="004174FD"/>
    <w:rsid w:val="0042094A"/>
    <w:rsid w:val="004211D7"/>
    <w:rsid w:val="0042160D"/>
    <w:rsid w:val="00421A52"/>
    <w:rsid w:val="00421E7A"/>
    <w:rsid w:val="004233DB"/>
    <w:rsid w:val="00423A3C"/>
    <w:rsid w:val="00423C04"/>
    <w:rsid w:val="00423D69"/>
    <w:rsid w:val="004257F9"/>
    <w:rsid w:val="0042681B"/>
    <w:rsid w:val="00427193"/>
    <w:rsid w:val="0043068A"/>
    <w:rsid w:val="004306E0"/>
    <w:rsid w:val="004309CD"/>
    <w:rsid w:val="00431D54"/>
    <w:rsid w:val="00431F98"/>
    <w:rsid w:val="004325AA"/>
    <w:rsid w:val="004329BE"/>
    <w:rsid w:val="00432C38"/>
    <w:rsid w:val="00432F8F"/>
    <w:rsid w:val="004342EC"/>
    <w:rsid w:val="00434C84"/>
    <w:rsid w:val="00434DC4"/>
    <w:rsid w:val="00437C76"/>
    <w:rsid w:val="00437F4A"/>
    <w:rsid w:val="0044105C"/>
    <w:rsid w:val="00441542"/>
    <w:rsid w:val="00442197"/>
    <w:rsid w:val="00442B3C"/>
    <w:rsid w:val="00442FD6"/>
    <w:rsid w:val="00443646"/>
    <w:rsid w:val="00443DDE"/>
    <w:rsid w:val="00443E95"/>
    <w:rsid w:val="004441A0"/>
    <w:rsid w:val="00444268"/>
    <w:rsid w:val="00444326"/>
    <w:rsid w:val="004443BF"/>
    <w:rsid w:val="00444983"/>
    <w:rsid w:val="00444C19"/>
    <w:rsid w:val="00445218"/>
    <w:rsid w:val="00445CDD"/>
    <w:rsid w:val="00446892"/>
    <w:rsid w:val="00446C9F"/>
    <w:rsid w:val="00447E36"/>
    <w:rsid w:val="004504E0"/>
    <w:rsid w:val="00450700"/>
    <w:rsid w:val="00450C30"/>
    <w:rsid w:val="004529C7"/>
    <w:rsid w:val="00453C62"/>
    <w:rsid w:val="00453FD7"/>
    <w:rsid w:val="004540FF"/>
    <w:rsid w:val="004541F1"/>
    <w:rsid w:val="00455ECA"/>
    <w:rsid w:val="00457296"/>
    <w:rsid w:val="00457320"/>
    <w:rsid w:val="0045761F"/>
    <w:rsid w:val="00460164"/>
    <w:rsid w:val="0046039A"/>
    <w:rsid w:val="00460A6B"/>
    <w:rsid w:val="00461873"/>
    <w:rsid w:val="00461977"/>
    <w:rsid w:val="00461A3F"/>
    <w:rsid w:val="004629FD"/>
    <w:rsid w:val="00462AD2"/>
    <w:rsid w:val="00463B4B"/>
    <w:rsid w:val="00463F4D"/>
    <w:rsid w:val="00464658"/>
    <w:rsid w:val="0046471F"/>
    <w:rsid w:val="00464BE8"/>
    <w:rsid w:val="00464DE7"/>
    <w:rsid w:val="00465019"/>
    <w:rsid w:val="00465FA4"/>
    <w:rsid w:val="0046613F"/>
    <w:rsid w:val="0046655D"/>
    <w:rsid w:val="00466808"/>
    <w:rsid w:val="00466AAE"/>
    <w:rsid w:val="00466CE1"/>
    <w:rsid w:val="0046765E"/>
    <w:rsid w:val="004676E2"/>
    <w:rsid w:val="0047020E"/>
    <w:rsid w:val="00471EDD"/>
    <w:rsid w:val="00472B52"/>
    <w:rsid w:val="00473E94"/>
    <w:rsid w:val="0047400C"/>
    <w:rsid w:val="004745D9"/>
    <w:rsid w:val="00474B94"/>
    <w:rsid w:val="004761D2"/>
    <w:rsid w:val="004762D8"/>
    <w:rsid w:val="004765B3"/>
    <w:rsid w:val="00476D29"/>
    <w:rsid w:val="00477241"/>
    <w:rsid w:val="0047728F"/>
    <w:rsid w:val="004774F5"/>
    <w:rsid w:val="00477EAF"/>
    <w:rsid w:val="00477EE0"/>
    <w:rsid w:val="00480AB8"/>
    <w:rsid w:val="0048139F"/>
    <w:rsid w:val="00481C00"/>
    <w:rsid w:val="00483053"/>
    <w:rsid w:val="00483BFB"/>
    <w:rsid w:val="00484874"/>
    <w:rsid w:val="00484AE4"/>
    <w:rsid w:val="00485230"/>
    <w:rsid w:val="00487127"/>
    <w:rsid w:val="004879E9"/>
    <w:rsid w:val="00487BCB"/>
    <w:rsid w:val="00487F81"/>
    <w:rsid w:val="00490247"/>
    <w:rsid w:val="00490BD8"/>
    <w:rsid w:val="0049104F"/>
    <w:rsid w:val="00491218"/>
    <w:rsid w:val="00491CFD"/>
    <w:rsid w:val="00492991"/>
    <w:rsid w:val="00493362"/>
    <w:rsid w:val="00494343"/>
    <w:rsid w:val="00494AAB"/>
    <w:rsid w:val="00495456"/>
    <w:rsid w:val="004966D7"/>
    <w:rsid w:val="00496C2F"/>
    <w:rsid w:val="00496CEC"/>
    <w:rsid w:val="0049740D"/>
    <w:rsid w:val="0049778A"/>
    <w:rsid w:val="004978D3"/>
    <w:rsid w:val="004A11F8"/>
    <w:rsid w:val="004A1871"/>
    <w:rsid w:val="004A22BD"/>
    <w:rsid w:val="004A22FA"/>
    <w:rsid w:val="004A269A"/>
    <w:rsid w:val="004A26DB"/>
    <w:rsid w:val="004A2A16"/>
    <w:rsid w:val="004A30FB"/>
    <w:rsid w:val="004A35DD"/>
    <w:rsid w:val="004A37D3"/>
    <w:rsid w:val="004A3AD6"/>
    <w:rsid w:val="004A5865"/>
    <w:rsid w:val="004A6092"/>
    <w:rsid w:val="004A6EA4"/>
    <w:rsid w:val="004A7670"/>
    <w:rsid w:val="004A77DF"/>
    <w:rsid w:val="004B0295"/>
    <w:rsid w:val="004B0803"/>
    <w:rsid w:val="004B10A8"/>
    <w:rsid w:val="004B1F58"/>
    <w:rsid w:val="004B1F9D"/>
    <w:rsid w:val="004B22DA"/>
    <w:rsid w:val="004B2591"/>
    <w:rsid w:val="004B30E2"/>
    <w:rsid w:val="004B3CB7"/>
    <w:rsid w:val="004B3D55"/>
    <w:rsid w:val="004B55B7"/>
    <w:rsid w:val="004B5836"/>
    <w:rsid w:val="004B5F05"/>
    <w:rsid w:val="004B7A90"/>
    <w:rsid w:val="004C00A6"/>
    <w:rsid w:val="004C0BBB"/>
    <w:rsid w:val="004C1AD6"/>
    <w:rsid w:val="004C1B86"/>
    <w:rsid w:val="004C2316"/>
    <w:rsid w:val="004C2F2D"/>
    <w:rsid w:val="004C3382"/>
    <w:rsid w:val="004C3867"/>
    <w:rsid w:val="004C4AB7"/>
    <w:rsid w:val="004C4B88"/>
    <w:rsid w:val="004C4CD0"/>
    <w:rsid w:val="004C5186"/>
    <w:rsid w:val="004C57B5"/>
    <w:rsid w:val="004C5ADB"/>
    <w:rsid w:val="004C5C25"/>
    <w:rsid w:val="004C6717"/>
    <w:rsid w:val="004C6CFF"/>
    <w:rsid w:val="004C70DC"/>
    <w:rsid w:val="004C7268"/>
    <w:rsid w:val="004C7628"/>
    <w:rsid w:val="004C7C5C"/>
    <w:rsid w:val="004D0211"/>
    <w:rsid w:val="004D1C9C"/>
    <w:rsid w:val="004D458D"/>
    <w:rsid w:val="004D4F13"/>
    <w:rsid w:val="004D504B"/>
    <w:rsid w:val="004D536E"/>
    <w:rsid w:val="004D70B1"/>
    <w:rsid w:val="004D76CC"/>
    <w:rsid w:val="004E1839"/>
    <w:rsid w:val="004E230C"/>
    <w:rsid w:val="004E4A75"/>
    <w:rsid w:val="004E541A"/>
    <w:rsid w:val="004E5A5C"/>
    <w:rsid w:val="004E7007"/>
    <w:rsid w:val="004E76D6"/>
    <w:rsid w:val="004E7F57"/>
    <w:rsid w:val="004F06F5"/>
    <w:rsid w:val="004F15E5"/>
    <w:rsid w:val="004F191F"/>
    <w:rsid w:val="004F2A4D"/>
    <w:rsid w:val="004F2A73"/>
    <w:rsid w:val="004F33A0"/>
    <w:rsid w:val="004F4353"/>
    <w:rsid w:val="004F447D"/>
    <w:rsid w:val="004F4C28"/>
    <w:rsid w:val="004F4E82"/>
    <w:rsid w:val="004F5470"/>
    <w:rsid w:val="004F5CC5"/>
    <w:rsid w:val="004F6350"/>
    <w:rsid w:val="004F674E"/>
    <w:rsid w:val="004F7170"/>
    <w:rsid w:val="005028E1"/>
    <w:rsid w:val="00503C34"/>
    <w:rsid w:val="00504937"/>
    <w:rsid w:val="00505989"/>
    <w:rsid w:val="00506309"/>
    <w:rsid w:val="0050692E"/>
    <w:rsid w:val="00507040"/>
    <w:rsid w:val="005079F8"/>
    <w:rsid w:val="00510189"/>
    <w:rsid w:val="005108C0"/>
    <w:rsid w:val="00510DA4"/>
    <w:rsid w:val="00511873"/>
    <w:rsid w:val="00512603"/>
    <w:rsid w:val="0051367B"/>
    <w:rsid w:val="00513A89"/>
    <w:rsid w:val="00513B7E"/>
    <w:rsid w:val="005140DE"/>
    <w:rsid w:val="0051412B"/>
    <w:rsid w:val="00514474"/>
    <w:rsid w:val="005147E9"/>
    <w:rsid w:val="005151B5"/>
    <w:rsid w:val="00515400"/>
    <w:rsid w:val="00515402"/>
    <w:rsid w:val="0051593C"/>
    <w:rsid w:val="00515A90"/>
    <w:rsid w:val="00517567"/>
    <w:rsid w:val="0051778B"/>
    <w:rsid w:val="0051778E"/>
    <w:rsid w:val="005215EF"/>
    <w:rsid w:val="00521923"/>
    <w:rsid w:val="00523FA1"/>
    <w:rsid w:val="00524637"/>
    <w:rsid w:val="00524FDD"/>
    <w:rsid w:val="00525137"/>
    <w:rsid w:val="005251DD"/>
    <w:rsid w:val="00526DB6"/>
    <w:rsid w:val="0053017A"/>
    <w:rsid w:val="00530492"/>
    <w:rsid w:val="0053055E"/>
    <w:rsid w:val="005308E4"/>
    <w:rsid w:val="00532854"/>
    <w:rsid w:val="00532935"/>
    <w:rsid w:val="00533AB1"/>
    <w:rsid w:val="005350F2"/>
    <w:rsid w:val="00535152"/>
    <w:rsid w:val="00535359"/>
    <w:rsid w:val="005357A2"/>
    <w:rsid w:val="005359E3"/>
    <w:rsid w:val="00535D87"/>
    <w:rsid w:val="00535EF0"/>
    <w:rsid w:val="005363DF"/>
    <w:rsid w:val="00536BCA"/>
    <w:rsid w:val="0053734B"/>
    <w:rsid w:val="005375B1"/>
    <w:rsid w:val="00537737"/>
    <w:rsid w:val="00537AFD"/>
    <w:rsid w:val="00537CB4"/>
    <w:rsid w:val="00542636"/>
    <w:rsid w:val="005447DC"/>
    <w:rsid w:val="0054516B"/>
    <w:rsid w:val="0054559E"/>
    <w:rsid w:val="005459BD"/>
    <w:rsid w:val="00546234"/>
    <w:rsid w:val="005501E1"/>
    <w:rsid w:val="005502D6"/>
    <w:rsid w:val="00550ACF"/>
    <w:rsid w:val="005513D5"/>
    <w:rsid w:val="005523B9"/>
    <w:rsid w:val="0055240C"/>
    <w:rsid w:val="005532E5"/>
    <w:rsid w:val="005545E0"/>
    <w:rsid w:val="00554865"/>
    <w:rsid w:val="00554D1E"/>
    <w:rsid w:val="00554E57"/>
    <w:rsid w:val="0055601A"/>
    <w:rsid w:val="00557E36"/>
    <w:rsid w:val="00557E6A"/>
    <w:rsid w:val="00562749"/>
    <w:rsid w:val="00562DE9"/>
    <w:rsid w:val="00563191"/>
    <w:rsid w:val="005638A5"/>
    <w:rsid w:val="0056474F"/>
    <w:rsid w:val="00564DBF"/>
    <w:rsid w:val="00566381"/>
    <w:rsid w:val="00566837"/>
    <w:rsid w:val="00566A03"/>
    <w:rsid w:val="005703D0"/>
    <w:rsid w:val="00571932"/>
    <w:rsid w:val="00572B2C"/>
    <w:rsid w:val="00573C97"/>
    <w:rsid w:val="00574240"/>
    <w:rsid w:val="0057454C"/>
    <w:rsid w:val="005752EB"/>
    <w:rsid w:val="00575CDC"/>
    <w:rsid w:val="005765D5"/>
    <w:rsid w:val="005767FE"/>
    <w:rsid w:val="00576A3E"/>
    <w:rsid w:val="00576B86"/>
    <w:rsid w:val="0057703D"/>
    <w:rsid w:val="00581892"/>
    <w:rsid w:val="00582C84"/>
    <w:rsid w:val="00582F04"/>
    <w:rsid w:val="0058366F"/>
    <w:rsid w:val="00583D5B"/>
    <w:rsid w:val="00583FFD"/>
    <w:rsid w:val="00584150"/>
    <w:rsid w:val="0058621A"/>
    <w:rsid w:val="005867AE"/>
    <w:rsid w:val="00587451"/>
    <w:rsid w:val="00587CCD"/>
    <w:rsid w:val="005908AE"/>
    <w:rsid w:val="00590FCF"/>
    <w:rsid w:val="0059176E"/>
    <w:rsid w:val="00592854"/>
    <w:rsid w:val="00593152"/>
    <w:rsid w:val="005934CE"/>
    <w:rsid w:val="00593CA3"/>
    <w:rsid w:val="00594161"/>
    <w:rsid w:val="00594969"/>
    <w:rsid w:val="00594B91"/>
    <w:rsid w:val="00594D2B"/>
    <w:rsid w:val="00595035"/>
    <w:rsid w:val="00596AC6"/>
    <w:rsid w:val="00596C5E"/>
    <w:rsid w:val="005A2194"/>
    <w:rsid w:val="005A21E0"/>
    <w:rsid w:val="005A3210"/>
    <w:rsid w:val="005A33A1"/>
    <w:rsid w:val="005A3687"/>
    <w:rsid w:val="005A54EE"/>
    <w:rsid w:val="005A563B"/>
    <w:rsid w:val="005A5F82"/>
    <w:rsid w:val="005A6E85"/>
    <w:rsid w:val="005A7500"/>
    <w:rsid w:val="005A77E4"/>
    <w:rsid w:val="005B0262"/>
    <w:rsid w:val="005B0B8F"/>
    <w:rsid w:val="005B1BDB"/>
    <w:rsid w:val="005B22A7"/>
    <w:rsid w:val="005B2929"/>
    <w:rsid w:val="005B2944"/>
    <w:rsid w:val="005B2BAA"/>
    <w:rsid w:val="005B2D53"/>
    <w:rsid w:val="005B3247"/>
    <w:rsid w:val="005B3409"/>
    <w:rsid w:val="005B498A"/>
    <w:rsid w:val="005B7B12"/>
    <w:rsid w:val="005B7F75"/>
    <w:rsid w:val="005C16CB"/>
    <w:rsid w:val="005C21D6"/>
    <w:rsid w:val="005C3F9F"/>
    <w:rsid w:val="005C406F"/>
    <w:rsid w:val="005C4978"/>
    <w:rsid w:val="005C4A23"/>
    <w:rsid w:val="005C562C"/>
    <w:rsid w:val="005C5812"/>
    <w:rsid w:val="005C591E"/>
    <w:rsid w:val="005C6400"/>
    <w:rsid w:val="005C7F1E"/>
    <w:rsid w:val="005D073B"/>
    <w:rsid w:val="005D1966"/>
    <w:rsid w:val="005D25B4"/>
    <w:rsid w:val="005D374F"/>
    <w:rsid w:val="005D5802"/>
    <w:rsid w:val="005D6CFC"/>
    <w:rsid w:val="005D73E2"/>
    <w:rsid w:val="005D757A"/>
    <w:rsid w:val="005D7C4B"/>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B8"/>
    <w:rsid w:val="005F0976"/>
    <w:rsid w:val="005F26CE"/>
    <w:rsid w:val="005F2AB2"/>
    <w:rsid w:val="005F38D3"/>
    <w:rsid w:val="005F4057"/>
    <w:rsid w:val="005F4088"/>
    <w:rsid w:val="005F42F4"/>
    <w:rsid w:val="005F4C83"/>
    <w:rsid w:val="005F5916"/>
    <w:rsid w:val="005F5AD6"/>
    <w:rsid w:val="005F601D"/>
    <w:rsid w:val="005F6119"/>
    <w:rsid w:val="005F74B2"/>
    <w:rsid w:val="005F76F8"/>
    <w:rsid w:val="005F7940"/>
    <w:rsid w:val="005F7A9D"/>
    <w:rsid w:val="0060107A"/>
    <w:rsid w:val="00601AFF"/>
    <w:rsid w:val="00602D1D"/>
    <w:rsid w:val="00603BAF"/>
    <w:rsid w:val="00604307"/>
    <w:rsid w:val="0060487F"/>
    <w:rsid w:val="00605814"/>
    <w:rsid w:val="00606B93"/>
    <w:rsid w:val="00607119"/>
    <w:rsid w:val="006074D7"/>
    <w:rsid w:val="00607727"/>
    <w:rsid w:val="00607934"/>
    <w:rsid w:val="00610504"/>
    <w:rsid w:val="00610578"/>
    <w:rsid w:val="00610BD5"/>
    <w:rsid w:val="00611363"/>
    <w:rsid w:val="00611531"/>
    <w:rsid w:val="006118AA"/>
    <w:rsid w:val="00611C28"/>
    <w:rsid w:val="00612192"/>
    <w:rsid w:val="006139C7"/>
    <w:rsid w:val="006150EA"/>
    <w:rsid w:val="006153E3"/>
    <w:rsid w:val="006167AB"/>
    <w:rsid w:val="0061718A"/>
    <w:rsid w:val="00617C6F"/>
    <w:rsid w:val="00617D2D"/>
    <w:rsid w:val="00617D83"/>
    <w:rsid w:val="00620430"/>
    <w:rsid w:val="00620AC5"/>
    <w:rsid w:val="00621575"/>
    <w:rsid w:val="006215FC"/>
    <w:rsid w:val="00623EB2"/>
    <w:rsid w:val="00624093"/>
    <w:rsid w:val="00624198"/>
    <w:rsid w:val="006250B5"/>
    <w:rsid w:val="006279F0"/>
    <w:rsid w:val="00630F66"/>
    <w:rsid w:val="00631FC2"/>
    <w:rsid w:val="00632171"/>
    <w:rsid w:val="0063252F"/>
    <w:rsid w:val="006325CC"/>
    <w:rsid w:val="00632D86"/>
    <w:rsid w:val="0063332A"/>
    <w:rsid w:val="006347F9"/>
    <w:rsid w:val="0063494E"/>
    <w:rsid w:val="00634C90"/>
    <w:rsid w:val="00635818"/>
    <w:rsid w:val="00635E79"/>
    <w:rsid w:val="00636E5E"/>
    <w:rsid w:val="006379E0"/>
    <w:rsid w:val="006403DC"/>
    <w:rsid w:val="006404A7"/>
    <w:rsid w:val="006407F3"/>
    <w:rsid w:val="006408EC"/>
    <w:rsid w:val="0064129B"/>
    <w:rsid w:val="00641849"/>
    <w:rsid w:val="00641DF7"/>
    <w:rsid w:val="00643145"/>
    <w:rsid w:val="00643497"/>
    <w:rsid w:val="00643735"/>
    <w:rsid w:val="00643A80"/>
    <w:rsid w:val="006448C2"/>
    <w:rsid w:val="00644DFC"/>
    <w:rsid w:val="006451E4"/>
    <w:rsid w:val="006454B4"/>
    <w:rsid w:val="0064575F"/>
    <w:rsid w:val="00645A9C"/>
    <w:rsid w:val="00646042"/>
    <w:rsid w:val="006460B8"/>
    <w:rsid w:val="00650260"/>
    <w:rsid w:val="006504A0"/>
    <w:rsid w:val="006515D6"/>
    <w:rsid w:val="006520C7"/>
    <w:rsid w:val="006520D5"/>
    <w:rsid w:val="0065271C"/>
    <w:rsid w:val="00652CBB"/>
    <w:rsid w:val="006530B8"/>
    <w:rsid w:val="006535D6"/>
    <w:rsid w:val="006539ED"/>
    <w:rsid w:val="00655197"/>
    <w:rsid w:val="006555FE"/>
    <w:rsid w:val="00656716"/>
    <w:rsid w:val="0065692B"/>
    <w:rsid w:val="006572ED"/>
    <w:rsid w:val="00657E87"/>
    <w:rsid w:val="00660457"/>
    <w:rsid w:val="00660CB4"/>
    <w:rsid w:val="00660E1E"/>
    <w:rsid w:val="00661416"/>
    <w:rsid w:val="006621EB"/>
    <w:rsid w:val="00662E05"/>
    <w:rsid w:val="0066328A"/>
    <w:rsid w:val="006637B1"/>
    <w:rsid w:val="00663CFD"/>
    <w:rsid w:val="00664B64"/>
    <w:rsid w:val="00665587"/>
    <w:rsid w:val="00665D67"/>
    <w:rsid w:val="00665D77"/>
    <w:rsid w:val="006660BB"/>
    <w:rsid w:val="006660CD"/>
    <w:rsid w:val="00666EC8"/>
    <w:rsid w:val="00666F4B"/>
    <w:rsid w:val="006676D0"/>
    <w:rsid w:val="0066796E"/>
    <w:rsid w:val="00667ED1"/>
    <w:rsid w:val="00670FAC"/>
    <w:rsid w:val="006710C9"/>
    <w:rsid w:val="006716A5"/>
    <w:rsid w:val="00672271"/>
    <w:rsid w:val="00673904"/>
    <w:rsid w:val="00674B96"/>
    <w:rsid w:val="00674D93"/>
    <w:rsid w:val="00675E37"/>
    <w:rsid w:val="006764ED"/>
    <w:rsid w:val="00676AFC"/>
    <w:rsid w:val="00676F11"/>
    <w:rsid w:val="00680079"/>
    <w:rsid w:val="00680ECC"/>
    <w:rsid w:val="00680F68"/>
    <w:rsid w:val="0068260E"/>
    <w:rsid w:val="0068373D"/>
    <w:rsid w:val="00683BFE"/>
    <w:rsid w:val="0068437D"/>
    <w:rsid w:val="006857DF"/>
    <w:rsid w:val="00685E66"/>
    <w:rsid w:val="00686B72"/>
    <w:rsid w:val="00686BF1"/>
    <w:rsid w:val="006877CC"/>
    <w:rsid w:val="00687AE5"/>
    <w:rsid w:val="0069087E"/>
    <w:rsid w:val="00690A09"/>
    <w:rsid w:val="00690A25"/>
    <w:rsid w:val="00691008"/>
    <w:rsid w:val="006927C4"/>
    <w:rsid w:val="0069281B"/>
    <w:rsid w:val="006936AD"/>
    <w:rsid w:val="00693EA1"/>
    <w:rsid w:val="00693FEA"/>
    <w:rsid w:val="00694930"/>
    <w:rsid w:val="00695170"/>
    <w:rsid w:val="00695BEF"/>
    <w:rsid w:val="006960D6"/>
    <w:rsid w:val="00696AA5"/>
    <w:rsid w:val="006977F6"/>
    <w:rsid w:val="00697A13"/>
    <w:rsid w:val="006A109C"/>
    <w:rsid w:val="006A18AE"/>
    <w:rsid w:val="006A2EE8"/>
    <w:rsid w:val="006A3CF3"/>
    <w:rsid w:val="006A4409"/>
    <w:rsid w:val="006A45B6"/>
    <w:rsid w:val="006A568F"/>
    <w:rsid w:val="006A5BA8"/>
    <w:rsid w:val="006A5C97"/>
    <w:rsid w:val="006A65EF"/>
    <w:rsid w:val="006A672B"/>
    <w:rsid w:val="006A7B27"/>
    <w:rsid w:val="006B08BB"/>
    <w:rsid w:val="006B1781"/>
    <w:rsid w:val="006B23A9"/>
    <w:rsid w:val="006B23D8"/>
    <w:rsid w:val="006B281D"/>
    <w:rsid w:val="006B2F6D"/>
    <w:rsid w:val="006B385C"/>
    <w:rsid w:val="006B3F8A"/>
    <w:rsid w:val="006B5CA3"/>
    <w:rsid w:val="006B6B3B"/>
    <w:rsid w:val="006B7248"/>
    <w:rsid w:val="006B7714"/>
    <w:rsid w:val="006B781B"/>
    <w:rsid w:val="006B78D8"/>
    <w:rsid w:val="006C07D6"/>
    <w:rsid w:val="006C090F"/>
    <w:rsid w:val="006C0935"/>
    <w:rsid w:val="006C0BCE"/>
    <w:rsid w:val="006C113F"/>
    <w:rsid w:val="006C1B8C"/>
    <w:rsid w:val="006C2AED"/>
    <w:rsid w:val="006C38DD"/>
    <w:rsid w:val="006C457F"/>
    <w:rsid w:val="006C53C7"/>
    <w:rsid w:val="006C5577"/>
    <w:rsid w:val="006C559A"/>
    <w:rsid w:val="006C58FA"/>
    <w:rsid w:val="006C5FB6"/>
    <w:rsid w:val="006D004F"/>
    <w:rsid w:val="006D0366"/>
    <w:rsid w:val="006D042D"/>
    <w:rsid w:val="006D06BF"/>
    <w:rsid w:val="006D06EF"/>
    <w:rsid w:val="006D142E"/>
    <w:rsid w:val="006D1B43"/>
    <w:rsid w:val="006D3B87"/>
    <w:rsid w:val="006D4178"/>
    <w:rsid w:val="006D4497"/>
    <w:rsid w:val="006D4E6F"/>
    <w:rsid w:val="006D61F6"/>
    <w:rsid w:val="006D710C"/>
    <w:rsid w:val="006E0EB0"/>
    <w:rsid w:val="006E182C"/>
    <w:rsid w:val="006E1F4C"/>
    <w:rsid w:val="006E22C8"/>
    <w:rsid w:val="006E279A"/>
    <w:rsid w:val="006E2C28"/>
    <w:rsid w:val="006E2F3F"/>
    <w:rsid w:val="006E313B"/>
    <w:rsid w:val="006E3B2F"/>
    <w:rsid w:val="006E442A"/>
    <w:rsid w:val="006E4434"/>
    <w:rsid w:val="006E59FC"/>
    <w:rsid w:val="006E5CFD"/>
    <w:rsid w:val="006E7E2C"/>
    <w:rsid w:val="006F0367"/>
    <w:rsid w:val="006F1326"/>
    <w:rsid w:val="006F1A67"/>
    <w:rsid w:val="006F21A0"/>
    <w:rsid w:val="006F2280"/>
    <w:rsid w:val="006F2BEE"/>
    <w:rsid w:val="006F3531"/>
    <w:rsid w:val="006F3708"/>
    <w:rsid w:val="006F376C"/>
    <w:rsid w:val="006F3E6B"/>
    <w:rsid w:val="006F4619"/>
    <w:rsid w:val="006F4A59"/>
    <w:rsid w:val="006F6968"/>
    <w:rsid w:val="006F69A1"/>
    <w:rsid w:val="0070009B"/>
    <w:rsid w:val="00700232"/>
    <w:rsid w:val="00701382"/>
    <w:rsid w:val="007014C7"/>
    <w:rsid w:val="007016E8"/>
    <w:rsid w:val="00702100"/>
    <w:rsid w:val="00702401"/>
    <w:rsid w:val="00702D6F"/>
    <w:rsid w:val="00703B6C"/>
    <w:rsid w:val="00703B9F"/>
    <w:rsid w:val="00703C6B"/>
    <w:rsid w:val="007047D5"/>
    <w:rsid w:val="00704A71"/>
    <w:rsid w:val="00705CA7"/>
    <w:rsid w:val="00705D98"/>
    <w:rsid w:val="00707891"/>
    <w:rsid w:val="00707D43"/>
    <w:rsid w:val="00710F7C"/>
    <w:rsid w:val="00711D33"/>
    <w:rsid w:val="00711D7C"/>
    <w:rsid w:val="00711EF1"/>
    <w:rsid w:val="007120ED"/>
    <w:rsid w:val="0071229A"/>
    <w:rsid w:val="00712572"/>
    <w:rsid w:val="00713355"/>
    <w:rsid w:val="00713477"/>
    <w:rsid w:val="00713495"/>
    <w:rsid w:val="00713EEB"/>
    <w:rsid w:val="007159D2"/>
    <w:rsid w:val="007175F6"/>
    <w:rsid w:val="00717726"/>
    <w:rsid w:val="0072050E"/>
    <w:rsid w:val="00720958"/>
    <w:rsid w:val="00720FA2"/>
    <w:rsid w:val="007211F5"/>
    <w:rsid w:val="00721B11"/>
    <w:rsid w:val="00722286"/>
    <w:rsid w:val="00724428"/>
    <w:rsid w:val="00724666"/>
    <w:rsid w:val="00724E80"/>
    <w:rsid w:val="0072526D"/>
    <w:rsid w:val="00725492"/>
    <w:rsid w:val="007256B7"/>
    <w:rsid w:val="00726043"/>
    <w:rsid w:val="007268D0"/>
    <w:rsid w:val="0072704A"/>
    <w:rsid w:val="00727457"/>
    <w:rsid w:val="007274A9"/>
    <w:rsid w:val="00730AE8"/>
    <w:rsid w:val="007315DA"/>
    <w:rsid w:val="00731963"/>
    <w:rsid w:val="00732706"/>
    <w:rsid w:val="00732F10"/>
    <w:rsid w:val="00734321"/>
    <w:rsid w:val="0073532E"/>
    <w:rsid w:val="00735B01"/>
    <w:rsid w:val="007374FC"/>
    <w:rsid w:val="00740310"/>
    <w:rsid w:val="00740652"/>
    <w:rsid w:val="00740F02"/>
    <w:rsid w:val="00740FEC"/>
    <w:rsid w:val="0074132E"/>
    <w:rsid w:val="00741493"/>
    <w:rsid w:val="0074261C"/>
    <w:rsid w:val="007426B3"/>
    <w:rsid w:val="007426FD"/>
    <w:rsid w:val="007430AB"/>
    <w:rsid w:val="0074329D"/>
    <w:rsid w:val="007436AD"/>
    <w:rsid w:val="00744376"/>
    <w:rsid w:val="007449EA"/>
    <w:rsid w:val="00744D00"/>
    <w:rsid w:val="00744D2B"/>
    <w:rsid w:val="00745273"/>
    <w:rsid w:val="00745F3C"/>
    <w:rsid w:val="007468BC"/>
    <w:rsid w:val="00746AA2"/>
    <w:rsid w:val="00746DC9"/>
    <w:rsid w:val="00746DD9"/>
    <w:rsid w:val="0075057A"/>
    <w:rsid w:val="007515E0"/>
    <w:rsid w:val="00751771"/>
    <w:rsid w:val="00751C1C"/>
    <w:rsid w:val="00752180"/>
    <w:rsid w:val="007521A1"/>
    <w:rsid w:val="00752BC3"/>
    <w:rsid w:val="0075315D"/>
    <w:rsid w:val="00753518"/>
    <w:rsid w:val="007538F9"/>
    <w:rsid w:val="00754253"/>
    <w:rsid w:val="00754593"/>
    <w:rsid w:val="007552BB"/>
    <w:rsid w:val="007558D3"/>
    <w:rsid w:val="007559D7"/>
    <w:rsid w:val="00755D3A"/>
    <w:rsid w:val="0075747F"/>
    <w:rsid w:val="00760141"/>
    <w:rsid w:val="007609C6"/>
    <w:rsid w:val="007610A0"/>
    <w:rsid w:val="00762036"/>
    <w:rsid w:val="007620F2"/>
    <w:rsid w:val="00762EBA"/>
    <w:rsid w:val="0076359D"/>
    <w:rsid w:val="007678F9"/>
    <w:rsid w:val="0077058D"/>
    <w:rsid w:val="00770931"/>
    <w:rsid w:val="00772536"/>
    <w:rsid w:val="007732D4"/>
    <w:rsid w:val="00773613"/>
    <w:rsid w:val="00774782"/>
    <w:rsid w:val="00775219"/>
    <w:rsid w:val="00776476"/>
    <w:rsid w:val="00776527"/>
    <w:rsid w:val="00777268"/>
    <w:rsid w:val="007805E1"/>
    <w:rsid w:val="0078113E"/>
    <w:rsid w:val="00781834"/>
    <w:rsid w:val="007821DB"/>
    <w:rsid w:val="00782818"/>
    <w:rsid w:val="0078337E"/>
    <w:rsid w:val="007838F1"/>
    <w:rsid w:val="007845FB"/>
    <w:rsid w:val="007846DB"/>
    <w:rsid w:val="00784AE5"/>
    <w:rsid w:val="00784C4A"/>
    <w:rsid w:val="007856E9"/>
    <w:rsid w:val="007859BB"/>
    <w:rsid w:val="00787432"/>
    <w:rsid w:val="00787507"/>
    <w:rsid w:val="007877B5"/>
    <w:rsid w:val="007879F2"/>
    <w:rsid w:val="00787AC5"/>
    <w:rsid w:val="00790393"/>
    <w:rsid w:val="007909B8"/>
    <w:rsid w:val="00791804"/>
    <w:rsid w:val="00791CF8"/>
    <w:rsid w:val="00791D4B"/>
    <w:rsid w:val="00791EF9"/>
    <w:rsid w:val="00792262"/>
    <w:rsid w:val="00793387"/>
    <w:rsid w:val="00793BAE"/>
    <w:rsid w:val="00794216"/>
    <w:rsid w:val="00794870"/>
    <w:rsid w:val="00794E0A"/>
    <w:rsid w:val="00795B04"/>
    <w:rsid w:val="00796642"/>
    <w:rsid w:val="007A11D9"/>
    <w:rsid w:val="007A186E"/>
    <w:rsid w:val="007A327B"/>
    <w:rsid w:val="007A4048"/>
    <w:rsid w:val="007A45B1"/>
    <w:rsid w:val="007A4606"/>
    <w:rsid w:val="007A4C99"/>
    <w:rsid w:val="007A4D58"/>
    <w:rsid w:val="007A4FAF"/>
    <w:rsid w:val="007A51A8"/>
    <w:rsid w:val="007A7976"/>
    <w:rsid w:val="007A7EA4"/>
    <w:rsid w:val="007B011D"/>
    <w:rsid w:val="007B0D67"/>
    <w:rsid w:val="007B1584"/>
    <w:rsid w:val="007B1966"/>
    <w:rsid w:val="007B1A8F"/>
    <w:rsid w:val="007B1BA5"/>
    <w:rsid w:val="007B2257"/>
    <w:rsid w:val="007B2779"/>
    <w:rsid w:val="007B2AF7"/>
    <w:rsid w:val="007B3A9B"/>
    <w:rsid w:val="007B3DCC"/>
    <w:rsid w:val="007B400B"/>
    <w:rsid w:val="007B4427"/>
    <w:rsid w:val="007B4518"/>
    <w:rsid w:val="007B5031"/>
    <w:rsid w:val="007B573F"/>
    <w:rsid w:val="007B58A7"/>
    <w:rsid w:val="007B72AC"/>
    <w:rsid w:val="007B78F8"/>
    <w:rsid w:val="007C0065"/>
    <w:rsid w:val="007C010B"/>
    <w:rsid w:val="007C0BF1"/>
    <w:rsid w:val="007C2C5A"/>
    <w:rsid w:val="007C3191"/>
    <w:rsid w:val="007C32B6"/>
    <w:rsid w:val="007C3AE3"/>
    <w:rsid w:val="007C605B"/>
    <w:rsid w:val="007C6EBA"/>
    <w:rsid w:val="007D08EF"/>
    <w:rsid w:val="007D2A5A"/>
    <w:rsid w:val="007D2AD8"/>
    <w:rsid w:val="007D2C47"/>
    <w:rsid w:val="007D2C61"/>
    <w:rsid w:val="007D2F81"/>
    <w:rsid w:val="007D3167"/>
    <w:rsid w:val="007D3CF7"/>
    <w:rsid w:val="007D4128"/>
    <w:rsid w:val="007D4281"/>
    <w:rsid w:val="007D42F5"/>
    <w:rsid w:val="007D44C3"/>
    <w:rsid w:val="007D5947"/>
    <w:rsid w:val="007D5A68"/>
    <w:rsid w:val="007D65C1"/>
    <w:rsid w:val="007E00F7"/>
    <w:rsid w:val="007E030F"/>
    <w:rsid w:val="007E0D49"/>
    <w:rsid w:val="007E0E59"/>
    <w:rsid w:val="007E0F4B"/>
    <w:rsid w:val="007E12C1"/>
    <w:rsid w:val="007E1EF7"/>
    <w:rsid w:val="007E24C1"/>
    <w:rsid w:val="007E3715"/>
    <w:rsid w:val="007E5F3D"/>
    <w:rsid w:val="007E6588"/>
    <w:rsid w:val="007E69F5"/>
    <w:rsid w:val="007E7063"/>
    <w:rsid w:val="007E74EA"/>
    <w:rsid w:val="007E7E61"/>
    <w:rsid w:val="007E7E88"/>
    <w:rsid w:val="007F0316"/>
    <w:rsid w:val="007F0845"/>
    <w:rsid w:val="007F1092"/>
    <w:rsid w:val="007F12B6"/>
    <w:rsid w:val="007F16F9"/>
    <w:rsid w:val="007F27D2"/>
    <w:rsid w:val="007F2801"/>
    <w:rsid w:val="007F3D55"/>
    <w:rsid w:val="007F3E3E"/>
    <w:rsid w:val="007F42E0"/>
    <w:rsid w:val="007F500D"/>
    <w:rsid w:val="007F5F14"/>
    <w:rsid w:val="007F6CEB"/>
    <w:rsid w:val="007F7A39"/>
    <w:rsid w:val="007F7B54"/>
    <w:rsid w:val="007F7C60"/>
    <w:rsid w:val="00800073"/>
    <w:rsid w:val="008000EB"/>
    <w:rsid w:val="008005D7"/>
    <w:rsid w:val="00801FB7"/>
    <w:rsid w:val="00801FDD"/>
    <w:rsid w:val="008020C2"/>
    <w:rsid w:val="00802259"/>
    <w:rsid w:val="0080255C"/>
    <w:rsid w:val="00802D68"/>
    <w:rsid w:val="00806088"/>
    <w:rsid w:val="00806231"/>
    <w:rsid w:val="00806D07"/>
    <w:rsid w:val="008100E2"/>
    <w:rsid w:val="0081019B"/>
    <w:rsid w:val="00810A42"/>
    <w:rsid w:val="0081100A"/>
    <w:rsid w:val="0081187C"/>
    <w:rsid w:val="00811E24"/>
    <w:rsid w:val="00812386"/>
    <w:rsid w:val="00812A9C"/>
    <w:rsid w:val="00812E2B"/>
    <w:rsid w:val="00813A70"/>
    <w:rsid w:val="00813FE6"/>
    <w:rsid w:val="00815C6E"/>
    <w:rsid w:val="00815DD0"/>
    <w:rsid w:val="00815F10"/>
    <w:rsid w:val="0081645F"/>
    <w:rsid w:val="00816D15"/>
    <w:rsid w:val="008173D2"/>
    <w:rsid w:val="00817755"/>
    <w:rsid w:val="008178C2"/>
    <w:rsid w:val="008178CF"/>
    <w:rsid w:val="00817C98"/>
    <w:rsid w:val="00820C9F"/>
    <w:rsid w:val="00821AAE"/>
    <w:rsid w:val="00821FF6"/>
    <w:rsid w:val="00823AAF"/>
    <w:rsid w:val="00824081"/>
    <w:rsid w:val="0082409A"/>
    <w:rsid w:val="008252D7"/>
    <w:rsid w:val="00825B92"/>
    <w:rsid w:val="00825C0F"/>
    <w:rsid w:val="00826376"/>
    <w:rsid w:val="00826ED1"/>
    <w:rsid w:val="00827181"/>
    <w:rsid w:val="0082733C"/>
    <w:rsid w:val="00827746"/>
    <w:rsid w:val="00830191"/>
    <w:rsid w:val="0083102D"/>
    <w:rsid w:val="00831296"/>
    <w:rsid w:val="0083143E"/>
    <w:rsid w:val="0083159D"/>
    <w:rsid w:val="008318FF"/>
    <w:rsid w:val="00832187"/>
    <w:rsid w:val="00832493"/>
    <w:rsid w:val="008329BD"/>
    <w:rsid w:val="0083330B"/>
    <w:rsid w:val="008334C3"/>
    <w:rsid w:val="008336D8"/>
    <w:rsid w:val="008339C4"/>
    <w:rsid w:val="008339DC"/>
    <w:rsid w:val="008341B5"/>
    <w:rsid w:val="00834F0A"/>
    <w:rsid w:val="00834FAA"/>
    <w:rsid w:val="00835181"/>
    <w:rsid w:val="00835606"/>
    <w:rsid w:val="00835991"/>
    <w:rsid w:val="00836086"/>
    <w:rsid w:val="00837280"/>
    <w:rsid w:val="00837763"/>
    <w:rsid w:val="00840699"/>
    <w:rsid w:val="00841924"/>
    <w:rsid w:val="00841D9F"/>
    <w:rsid w:val="00842078"/>
    <w:rsid w:val="00842604"/>
    <w:rsid w:val="008426B1"/>
    <w:rsid w:val="00843ECF"/>
    <w:rsid w:val="00844AFC"/>
    <w:rsid w:val="00845AB1"/>
    <w:rsid w:val="00846673"/>
    <w:rsid w:val="008508A9"/>
    <w:rsid w:val="0085188D"/>
    <w:rsid w:val="008525F9"/>
    <w:rsid w:val="0085281A"/>
    <w:rsid w:val="00852939"/>
    <w:rsid w:val="00853421"/>
    <w:rsid w:val="00853A25"/>
    <w:rsid w:val="00853F33"/>
    <w:rsid w:val="008544C2"/>
    <w:rsid w:val="00854A82"/>
    <w:rsid w:val="00854BD5"/>
    <w:rsid w:val="008550EA"/>
    <w:rsid w:val="008559FE"/>
    <w:rsid w:val="00857339"/>
    <w:rsid w:val="00857A2F"/>
    <w:rsid w:val="00860706"/>
    <w:rsid w:val="008612B0"/>
    <w:rsid w:val="00862A7A"/>
    <w:rsid w:val="00862FBD"/>
    <w:rsid w:val="00863104"/>
    <w:rsid w:val="008636CD"/>
    <w:rsid w:val="00863702"/>
    <w:rsid w:val="00863D9E"/>
    <w:rsid w:val="00863FDC"/>
    <w:rsid w:val="0086405D"/>
    <w:rsid w:val="008642AF"/>
    <w:rsid w:val="00865286"/>
    <w:rsid w:val="00865729"/>
    <w:rsid w:val="00865ED4"/>
    <w:rsid w:val="008669A7"/>
    <w:rsid w:val="00867464"/>
    <w:rsid w:val="00867D15"/>
    <w:rsid w:val="00867E29"/>
    <w:rsid w:val="00870F2B"/>
    <w:rsid w:val="00871594"/>
    <w:rsid w:val="00873B2E"/>
    <w:rsid w:val="008746E6"/>
    <w:rsid w:val="0087515D"/>
    <w:rsid w:val="0087594C"/>
    <w:rsid w:val="00876086"/>
    <w:rsid w:val="008765FA"/>
    <w:rsid w:val="008768D6"/>
    <w:rsid w:val="008775D1"/>
    <w:rsid w:val="008777A6"/>
    <w:rsid w:val="008777BB"/>
    <w:rsid w:val="00877BA6"/>
    <w:rsid w:val="00877D68"/>
    <w:rsid w:val="00877E5D"/>
    <w:rsid w:val="00880150"/>
    <w:rsid w:val="00880ABA"/>
    <w:rsid w:val="00880BD4"/>
    <w:rsid w:val="00882D1B"/>
    <w:rsid w:val="008834D6"/>
    <w:rsid w:val="00883A67"/>
    <w:rsid w:val="00883CB5"/>
    <w:rsid w:val="00883D45"/>
    <w:rsid w:val="0088446A"/>
    <w:rsid w:val="00884D69"/>
    <w:rsid w:val="00884E13"/>
    <w:rsid w:val="0088503D"/>
    <w:rsid w:val="008850F7"/>
    <w:rsid w:val="008856E1"/>
    <w:rsid w:val="00885891"/>
    <w:rsid w:val="00885EC6"/>
    <w:rsid w:val="008869D2"/>
    <w:rsid w:val="00886A8F"/>
    <w:rsid w:val="0088733A"/>
    <w:rsid w:val="00890114"/>
    <w:rsid w:val="0089107B"/>
    <w:rsid w:val="00891BE0"/>
    <w:rsid w:val="00893302"/>
    <w:rsid w:val="00893648"/>
    <w:rsid w:val="0089368A"/>
    <w:rsid w:val="00893F3C"/>
    <w:rsid w:val="008945A1"/>
    <w:rsid w:val="00894A63"/>
    <w:rsid w:val="00895A54"/>
    <w:rsid w:val="00896776"/>
    <w:rsid w:val="0089690C"/>
    <w:rsid w:val="00896916"/>
    <w:rsid w:val="00896BDE"/>
    <w:rsid w:val="0089763E"/>
    <w:rsid w:val="008A03DE"/>
    <w:rsid w:val="008A0861"/>
    <w:rsid w:val="008A0BB2"/>
    <w:rsid w:val="008A1662"/>
    <w:rsid w:val="008A1AB3"/>
    <w:rsid w:val="008A1D5C"/>
    <w:rsid w:val="008A3047"/>
    <w:rsid w:val="008A3292"/>
    <w:rsid w:val="008A349F"/>
    <w:rsid w:val="008A3A85"/>
    <w:rsid w:val="008A43E9"/>
    <w:rsid w:val="008A4CB1"/>
    <w:rsid w:val="008A6103"/>
    <w:rsid w:val="008A615E"/>
    <w:rsid w:val="008A632B"/>
    <w:rsid w:val="008A69A7"/>
    <w:rsid w:val="008A6BFE"/>
    <w:rsid w:val="008A73DA"/>
    <w:rsid w:val="008A76BD"/>
    <w:rsid w:val="008B00C2"/>
    <w:rsid w:val="008B051B"/>
    <w:rsid w:val="008B05E8"/>
    <w:rsid w:val="008B07EF"/>
    <w:rsid w:val="008B0862"/>
    <w:rsid w:val="008B16DE"/>
    <w:rsid w:val="008B190E"/>
    <w:rsid w:val="008B1A8A"/>
    <w:rsid w:val="008B1FC9"/>
    <w:rsid w:val="008B24AF"/>
    <w:rsid w:val="008B2D93"/>
    <w:rsid w:val="008B531F"/>
    <w:rsid w:val="008B54A3"/>
    <w:rsid w:val="008B634C"/>
    <w:rsid w:val="008B6B67"/>
    <w:rsid w:val="008B7306"/>
    <w:rsid w:val="008B775F"/>
    <w:rsid w:val="008B7C02"/>
    <w:rsid w:val="008B7D13"/>
    <w:rsid w:val="008B7F9E"/>
    <w:rsid w:val="008C034E"/>
    <w:rsid w:val="008C0595"/>
    <w:rsid w:val="008C083D"/>
    <w:rsid w:val="008C0E88"/>
    <w:rsid w:val="008C1399"/>
    <w:rsid w:val="008C173D"/>
    <w:rsid w:val="008C1AA8"/>
    <w:rsid w:val="008C22A8"/>
    <w:rsid w:val="008C2BDA"/>
    <w:rsid w:val="008C46D8"/>
    <w:rsid w:val="008C478D"/>
    <w:rsid w:val="008C5B43"/>
    <w:rsid w:val="008C5DC6"/>
    <w:rsid w:val="008C63FD"/>
    <w:rsid w:val="008C6B40"/>
    <w:rsid w:val="008C6CB8"/>
    <w:rsid w:val="008C6D92"/>
    <w:rsid w:val="008C777A"/>
    <w:rsid w:val="008C7815"/>
    <w:rsid w:val="008C7A07"/>
    <w:rsid w:val="008C7E90"/>
    <w:rsid w:val="008C7EB3"/>
    <w:rsid w:val="008D0171"/>
    <w:rsid w:val="008D0462"/>
    <w:rsid w:val="008D068A"/>
    <w:rsid w:val="008D0AC2"/>
    <w:rsid w:val="008D13EA"/>
    <w:rsid w:val="008D1DD9"/>
    <w:rsid w:val="008D2671"/>
    <w:rsid w:val="008D2A16"/>
    <w:rsid w:val="008D2ECF"/>
    <w:rsid w:val="008D347D"/>
    <w:rsid w:val="008D3F3D"/>
    <w:rsid w:val="008D3F95"/>
    <w:rsid w:val="008D4376"/>
    <w:rsid w:val="008D4D5E"/>
    <w:rsid w:val="008D5058"/>
    <w:rsid w:val="008D6244"/>
    <w:rsid w:val="008E0367"/>
    <w:rsid w:val="008E1FBE"/>
    <w:rsid w:val="008E308D"/>
    <w:rsid w:val="008E31FF"/>
    <w:rsid w:val="008E46A3"/>
    <w:rsid w:val="008E4E44"/>
    <w:rsid w:val="008E4FC2"/>
    <w:rsid w:val="008E5DE6"/>
    <w:rsid w:val="008E6113"/>
    <w:rsid w:val="008E6AB3"/>
    <w:rsid w:val="008E6AD3"/>
    <w:rsid w:val="008E6EBD"/>
    <w:rsid w:val="008E71A6"/>
    <w:rsid w:val="008E77B6"/>
    <w:rsid w:val="008E7C55"/>
    <w:rsid w:val="008F032E"/>
    <w:rsid w:val="008F0F14"/>
    <w:rsid w:val="008F2097"/>
    <w:rsid w:val="008F2342"/>
    <w:rsid w:val="008F2F44"/>
    <w:rsid w:val="008F4FCE"/>
    <w:rsid w:val="008F5301"/>
    <w:rsid w:val="008F6967"/>
    <w:rsid w:val="008F6A0C"/>
    <w:rsid w:val="008F6F38"/>
    <w:rsid w:val="008F7721"/>
    <w:rsid w:val="008F77B5"/>
    <w:rsid w:val="008F7D28"/>
    <w:rsid w:val="009003A8"/>
    <w:rsid w:val="009010A7"/>
    <w:rsid w:val="009010E3"/>
    <w:rsid w:val="00901703"/>
    <w:rsid w:val="00901AF3"/>
    <w:rsid w:val="009029C8"/>
    <w:rsid w:val="00902CBE"/>
    <w:rsid w:val="00902D74"/>
    <w:rsid w:val="00902EFF"/>
    <w:rsid w:val="009030F3"/>
    <w:rsid w:val="00903126"/>
    <w:rsid w:val="00903E06"/>
    <w:rsid w:val="00903F54"/>
    <w:rsid w:val="009045D1"/>
    <w:rsid w:val="00904B9D"/>
    <w:rsid w:val="009050C0"/>
    <w:rsid w:val="00905A11"/>
    <w:rsid w:val="00905FE8"/>
    <w:rsid w:val="009060A1"/>
    <w:rsid w:val="00906225"/>
    <w:rsid w:val="009066E1"/>
    <w:rsid w:val="00906F67"/>
    <w:rsid w:val="00907A41"/>
    <w:rsid w:val="009102BD"/>
    <w:rsid w:val="00910F93"/>
    <w:rsid w:val="0091174F"/>
    <w:rsid w:val="00911E87"/>
    <w:rsid w:val="0091255A"/>
    <w:rsid w:val="0091339E"/>
    <w:rsid w:val="00913547"/>
    <w:rsid w:val="00914426"/>
    <w:rsid w:val="00914962"/>
    <w:rsid w:val="0091675F"/>
    <w:rsid w:val="00917709"/>
    <w:rsid w:val="00917918"/>
    <w:rsid w:val="00920874"/>
    <w:rsid w:val="009209D9"/>
    <w:rsid w:val="00921F14"/>
    <w:rsid w:val="00923750"/>
    <w:rsid w:val="00923C17"/>
    <w:rsid w:val="009243A5"/>
    <w:rsid w:val="0092500F"/>
    <w:rsid w:val="009250D2"/>
    <w:rsid w:val="0092519D"/>
    <w:rsid w:val="0092540B"/>
    <w:rsid w:val="009256C5"/>
    <w:rsid w:val="00926283"/>
    <w:rsid w:val="009262D6"/>
    <w:rsid w:val="009306BE"/>
    <w:rsid w:val="00930CFB"/>
    <w:rsid w:val="00931208"/>
    <w:rsid w:val="00931324"/>
    <w:rsid w:val="00931C13"/>
    <w:rsid w:val="00934963"/>
    <w:rsid w:val="00934D36"/>
    <w:rsid w:val="009360FE"/>
    <w:rsid w:val="00937B11"/>
    <w:rsid w:val="009408E8"/>
    <w:rsid w:val="00940F1F"/>
    <w:rsid w:val="00941250"/>
    <w:rsid w:val="00941339"/>
    <w:rsid w:val="009416D5"/>
    <w:rsid w:val="0094396E"/>
    <w:rsid w:val="0094427A"/>
    <w:rsid w:val="00944380"/>
    <w:rsid w:val="009459C5"/>
    <w:rsid w:val="00945E5E"/>
    <w:rsid w:val="0094626C"/>
    <w:rsid w:val="0094681E"/>
    <w:rsid w:val="009475DB"/>
    <w:rsid w:val="0095013A"/>
    <w:rsid w:val="00953070"/>
    <w:rsid w:val="00953AEF"/>
    <w:rsid w:val="00953F0A"/>
    <w:rsid w:val="009546B0"/>
    <w:rsid w:val="009551E2"/>
    <w:rsid w:val="00955783"/>
    <w:rsid w:val="009558A6"/>
    <w:rsid w:val="00955E5F"/>
    <w:rsid w:val="009560B0"/>
    <w:rsid w:val="00956722"/>
    <w:rsid w:val="00956F23"/>
    <w:rsid w:val="009576AC"/>
    <w:rsid w:val="00957871"/>
    <w:rsid w:val="00960077"/>
    <w:rsid w:val="00960719"/>
    <w:rsid w:val="00960769"/>
    <w:rsid w:val="00962D2E"/>
    <w:rsid w:val="009632E3"/>
    <w:rsid w:val="00963724"/>
    <w:rsid w:val="00963F41"/>
    <w:rsid w:val="00964498"/>
    <w:rsid w:val="00964AF4"/>
    <w:rsid w:val="0096504D"/>
    <w:rsid w:val="00965795"/>
    <w:rsid w:val="00965830"/>
    <w:rsid w:val="00965A2D"/>
    <w:rsid w:val="009663EB"/>
    <w:rsid w:val="0096650F"/>
    <w:rsid w:val="00967801"/>
    <w:rsid w:val="00967AD2"/>
    <w:rsid w:val="009700DB"/>
    <w:rsid w:val="009714B0"/>
    <w:rsid w:val="00971DC6"/>
    <w:rsid w:val="00972263"/>
    <w:rsid w:val="00972502"/>
    <w:rsid w:val="00972B1B"/>
    <w:rsid w:val="00972D8D"/>
    <w:rsid w:val="00973AAE"/>
    <w:rsid w:val="009743B9"/>
    <w:rsid w:val="0097476C"/>
    <w:rsid w:val="00974923"/>
    <w:rsid w:val="00974A3C"/>
    <w:rsid w:val="00974D48"/>
    <w:rsid w:val="00974D5F"/>
    <w:rsid w:val="00975017"/>
    <w:rsid w:val="009757E6"/>
    <w:rsid w:val="009759DF"/>
    <w:rsid w:val="00977A58"/>
    <w:rsid w:val="00977EAC"/>
    <w:rsid w:val="00980373"/>
    <w:rsid w:val="00980621"/>
    <w:rsid w:val="0098095B"/>
    <w:rsid w:val="0098121F"/>
    <w:rsid w:val="00982072"/>
    <w:rsid w:val="009833FA"/>
    <w:rsid w:val="00983DBB"/>
    <w:rsid w:val="00983ECF"/>
    <w:rsid w:val="00985767"/>
    <w:rsid w:val="00985A99"/>
    <w:rsid w:val="00986375"/>
    <w:rsid w:val="00986745"/>
    <w:rsid w:val="009867BC"/>
    <w:rsid w:val="00987109"/>
    <w:rsid w:val="00987309"/>
    <w:rsid w:val="0099012D"/>
    <w:rsid w:val="00990363"/>
    <w:rsid w:val="00993BE6"/>
    <w:rsid w:val="00993D9C"/>
    <w:rsid w:val="00993F56"/>
    <w:rsid w:val="00994C29"/>
    <w:rsid w:val="009954FF"/>
    <w:rsid w:val="00995E2F"/>
    <w:rsid w:val="00995FEC"/>
    <w:rsid w:val="009961BC"/>
    <w:rsid w:val="00996355"/>
    <w:rsid w:val="00996D79"/>
    <w:rsid w:val="0099788F"/>
    <w:rsid w:val="00997ADD"/>
    <w:rsid w:val="009A1374"/>
    <w:rsid w:val="009A2014"/>
    <w:rsid w:val="009A2030"/>
    <w:rsid w:val="009A3A87"/>
    <w:rsid w:val="009A4E12"/>
    <w:rsid w:val="009A5C68"/>
    <w:rsid w:val="009A5DE2"/>
    <w:rsid w:val="009A6EF7"/>
    <w:rsid w:val="009B04D0"/>
    <w:rsid w:val="009B052C"/>
    <w:rsid w:val="009B093D"/>
    <w:rsid w:val="009B0975"/>
    <w:rsid w:val="009B0B1C"/>
    <w:rsid w:val="009B0EF2"/>
    <w:rsid w:val="009B23A3"/>
    <w:rsid w:val="009B24D3"/>
    <w:rsid w:val="009B2C0E"/>
    <w:rsid w:val="009B4925"/>
    <w:rsid w:val="009B4B41"/>
    <w:rsid w:val="009B4B4B"/>
    <w:rsid w:val="009B4CE3"/>
    <w:rsid w:val="009B6FD3"/>
    <w:rsid w:val="009B70BD"/>
    <w:rsid w:val="009B7B36"/>
    <w:rsid w:val="009C07A5"/>
    <w:rsid w:val="009C24A3"/>
    <w:rsid w:val="009C32EC"/>
    <w:rsid w:val="009C3705"/>
    <w:rsid w:val="009C41EA"/>
    <w:rsid w:val="009C63FE"/>
    <w:rsid w:val="009C7388"/>
    <w:rsid w:val="009C74C2"/>
    <w:rsid w:val="009C76F6"/>
    <w:rsid w:val="009D0CFF"/>
    <w:rsid w:val="009D1551"/>
    <w:rsid w:val="009D1796"/>
    <w:rsid w:val="009D2859"/>
    <w:rsid w:val="009D2958"/>
    <w:rsid w:val="009D36EC"/>
    <w:rsid w:val="009D3CD0"/>
    <w:rsid w:val="009D4173"/>
    <w:rsid w:val="009D51CA"/>
    <w:rsid w:val="009D57D7"/>
    <w:rsid w:val="009D6095"/>
    <w:rsid w:val="009D6306"/>
    <w:rsid w:val="009D6A6F"/>
    <w:rsid w:val="009E048A"/>
    <w:rsid w:val="009E0CB1"/>
    <w:rsid w:val="009E1124"/>
    <w:rsid w:val="009E198E"/>
    <w:rsid w:val="009E1FBA"/>
    <w:rsid w:val="009E22F0"/>
    <w:rsid w:val="009E2C54"/>
    <w:rsid w:val="009E3710"/>
    <w:rsid w:val="009E4826"/>
    <w:rsid w:val="009E6698"/>
    <w:rsid w:val="009E6F65"/>
    <w:rsid w:val="009E7340"/>
    <w:rsid w:val="009E7B1F"/>
    <w:rsid w:val="009F2A39"/>
    <w:rsid w:val="009F346F"/>
    <w:rsid w:val="009F371A"/>
    <w:rsid w:val="009F3F25"/>
    <w:rsid w:val="009F3FC3"/>
    <w:rsid w:val="009F41C4"/>
    <w:rsid w:val="009F458F"/>
    <w:rsid w:val="009F4DA8"/>
    <w:rsid w:val="009F5846"/>
    <w:rsid w:val="009F63D2"/>
    <w:rsid w:val="009F6537"/>
    <w:rsid w:val="009F777A"/>
    <w:rsid w:val="009F7B52"/>
    <w:rsid w:val="009F7D77"/>
    <w:rsid w:val="00A0019E"/>
    <w:rsid w:val="00A00476"/>
    <w:rsid w:val="00A004D2"/>
    <w:rsid w:val="00A015EA"/>
    <w:rsid w:val="00A02257"/>
    <w:rsid w:val="00A03996"/>
    <w:rsid w:val="00A05B91"/>
    <w:rsid w:val="00A10D66"/>
    <w:rsid w:val="00A12BA8"/>
    <w:rsid w:val="00A12F7C"/>
    <w:rsid w:val="00A133F2"/>
    <w:rsid w:val="00A13993"/>
    <w:rsid w:val="00A13BA6"/>
    <w:rsid w:val="00A1420C"/>
    <w:rsid w:val="00A1456C"/>
    <w:rsid w:val="00A14821"/>
    <w:rsid w:val="00A1698D"/>
    <w:rsid w:val="00A17754"/>
    <w:rsid w:val="00A2055B"/>
    <w:rsid w:val="00A20995"/>
    <w:rsid w:val="00A20E22"/>
    <w:rsid w:val="00A2253C"/>
    <w:rsid w:val="00A23545"/>
    <w:rsid w:val="00A23A55"/>
    <w:rsid w:val="00A23DE5"/>
    <w:rsid w:val="00A23E43"/>
    <w:rsid w:val="00A23EF0"/>
    <w:rsid w:val="00A24136"/>
    <w:rsid w:val="00A24F8C"/>
    <w:rsid w:val="00A25F1A"/>
    <w:rsid w:val="00A262BF"/>
    <w:rsid w:val="00A26802"/>
    <w:rsid w:val="00A271AD"/>
    <w:rsid w:val="00A276D5"/>
    <w:rsid w:val="00A30336"/>
    <w:rsid w:val="00A3041C"/>
    <w:rsid w:val="00A30BB5"/>
    <w:rsid w:val="00A3128F"/>
    <w:rsid w:val="00A326D0"/>
    <w:rsid w:val="00A35287"/>
    <w:rsid w:val="00A378F8"/>
    <w:rsid w:val="00A40965"/>
    <w:rsid w:val="00A40B19"/>
    <w:rsid w:val="00A41D07"/>
    <w:rsid w:val="00A42487"/>
    <w:rsid w:val="00A424F8"/>
    <w:rsid w:val="00A42883"/>
    <w:rsid w:val="00A437B7"/>
    <w:rsid w:val="00A43EA2"/>
    <w:rsid w:val="00A457B8"/>
    <w:rsid w:val="00A46A7F"/>
    <w:rsid w:val="00A46C70"/>
    <w:rsid w:val="00A46D48"/>
    <w:rsid w:val="00A46DE0"/>
    <w:rsid w:val="00A4778A"/>
    <w:rsid w:val="00A47C74"/>
    <w:rsid w:val="00A47C94"/>
    <w:rsid w:val="00A504C0"/>
    <w:rsid w:val="00A5067F"/>
    <w:rsid w:val="00A508A2"/>
    <w:rsid w:val="00A5171F"/>
    <w:rsid w:val="00A517C1"/>
    <w:rsid w:val="00A518E0"/>
    <w:rsid w:val="00A537CA"/>
    <w:rsid w:val="00A5408A"/>
    <w:rsid w:val="00A55301"/>
    <w:rsid w:val="00A56DD4"/>
    <w:rsid w:val="00A572FB"/>
    <w:rsid w:val="00A57B3C"/>
    <w:rsid w:val="00A57F1B"/>
    <w:rsid w:val="00A600D2"/>
    <w:rsid w:val="00A6128E"/>
    <w:rsid w:val="00A62CE1"/>
    <w:rsid w:val="00A631FA"/>
    <w:rsid w:val="00A63EE7"/>
    <w:rsid w:val="00A64203"/>
    <w:rsid w:val="00A64348"/>
    <w:rsid w:val="00A644E1"/>
    <w:rsid w:val="00A65E41"/>
    <w:rsid w:val="00A700C4"/>
    <w:rsid w:val="00A711B0"/>
    <w:rsid w:val="00A71279"/>
    <w:rsid w:val="00A718BC"/>
    <w:rsid w:val="00A721FB"/>
    <w:rsid w:val="00A727BA"/>
    <w:rsid w:val="00A72D4B"/>
    <w:rsid w:val="00A730A5"/>
    <w:rsid w:val="00A732AE"/>
    <w:rsid w:val="00A74192"/>
    <w:rsid w:val="00A75837"/>
    <w:rsid w:val="00A75E40"/>
    <w:rsid w:val="00A76B12"/>
    <w:rsid w:val="00A76EF2"/>
    <w:rsid w:val="00A7727E"/>
    <w:rsid w:val="00A77654"/>
    <w:rsid w:val="00A77E9F"/>
    <w:rsid w:val="00A77EB2"/>
    <w:rsid w:val="00A80458"/>
    <w:rsid w:val="00A80E64"/>
    <w:rsid w:val="00A81094"/>
    <w:rsid w:val="00A810BA"/>
    <w:rsid w:val="00A82B66"/>
    <w:rsid w:val="00A83308"/>
    <w:rsid w:val="00A83B58"/>
    <w:rsid w:val="00A84179"/>
    <w:rsid w:val="00A84FAF"/>
    <w:rsid w:val="00A851B6"/>
    <w:rsid w:val="00A85729"/>
    <w:rsid w:val="00A8574B"/>
    <w:rsid w:val="00A857C0"/>
    <w:rsid w:val="00A90343"/>
    <w:rsid w:val="00A91336"/>
    <w:rsid w:val="00A9221C"/>
    <w:rsid w:val="00A92277"/>
    <w:rsid w:val="00A92916"/>
    <w:rsid w:val="00A93106"/>
    <w:rsid w:val="00A94628"/>
    <w:rsid w:val="00A94954"/>
    <w:rsid w:val="00A9497A"/>
    <w:rsid w:val="00A950B5"/>
    <w:rsid w:val="00A96463"/>
    <w:rsid w:val="00A97E3F"/>
    <w:rsid w:val="00AA0243"/>
    <w:rsid w:val="00AA09D3"/>
    <w:rsid w:val="00AA220F"/>
    <w:rsid w:val="00AA23FB"/>
    <w:rsid w:val="00AA29BB"/>
    <w:rsid w:val="00AA34FE"/>
    <w:rsid w:val="00AA42AB"/>
    <w:rsid w:val="00AA5283"/>
    <w:rsid w:val="00AA559A"/>
    <w:rsid w:val="00AA57A4"/>
    <w:rsid w:val="00AA5F10"/>
    <w:rsid w:val="00AB043E"/>
    <w:rsid w:val="00AB0BB9"/>
    <w:rsid w:val="00AB104D"/>
    <w:rsid w:val="00AB1441"/>
    <w:rsid w:val="00AB24E7"/>
    <w:rsid w:val="00AB2797"/>
    <w:rsid w:val="00AB2AF1"/>
    <w:rsid w:val="00AB2EE8"/>
    <w:rsid w:val="00AB2FF7"/>
    <w:rsid w:val="00AB38B7"/>
    <w:rsid w:val="00AB440B"/>
    <w:rsid w:val="00AB47E3"/>
    <w:rsid w:val="00AB6383"/>
    <w:rsid w:val="00AB74C5"/>
    <w:rsid w:val="00AB7BEE"/>
    <w:rsid w:val="00AB7DF2"/>
    <w:rsid w:val="00AC1E3F"/>
    <w:rsid w:val="00AC219A"/>
    <w:rsid w:val="00AC3D02"/>
    <w:rsid w:val="00AC40C2"/>
    <w:rsid w:val="00AC4F18"/>
    <w:rsid w:val="00AC556E"/>
    <w:rsid w:val="00AC7965"/>
    <w:rsid w:val="00AD0B46"/>
    <w:rsid w:val="00AD1094"/>
    <w:rsid w:val="00AD2565"/>
    <w:rsid w:val="00AD2C0A"/>
    <w:rsid w:val="00AD306C"/>
    <w:rsid w:val="00AD3424"/>
    <w:rsid w:val="00AD3E3F"/>
    <w:rsid w:val="00AD4E15"/>
    <w:rsid w:val="00AD4FEF"/>
    <w:rsid w:val="00AD50D1"/>
    <w:rsid w:val="00AD54F4"/>
    <w:rsid w:val="00AD59BB"/>
    <w:rsid w:val="00AD5D68"/>
    <w:rsid w:val="00AD6C73"/>
    <w:rsid w:val="00AD72A6"/>
    <w:rsid w:val="00AD7D49"/>
    <w:rsid w:val="00AE06D0"/>
    <w:rsid w:val="00AE1207"/>
    <w:rsid w:val="00AE1B8A"/>
    <w:rsid w:val="00AE20E2"/>
    <w:rsid w:val="00AE39DC"/>
    <w:rsid w:val="00AE3CDA"/>
    <w:rsid w:val="00AE43C2"/>
    <w:rsid w:val="00AE481D"/>
    <w:rsid w:val="00AE6734"/>
    <w:rsid w:val="00AE76E4"/>
    <w:rsid w:val="00AE7968"/>
    <w:rsid w:val="00AE7B2B"/>
    <w:rsid w:val="00AE7C46"/>
    <w:rsid w:val="00AE7DFF"/>
    <w:rsid w:val="00AF082A"/>
    <w:rsid w:val="00AF0B8E"/>
    <w:rsid w:val="00AF128B"/>
    <w:rsid w:val="00AF1AEA"/>
    <w:rsid w:val="00AF2536"/>
    <w:rsid w:val="00AF2852"/>
    <w:rsid w:val="00AF2B31"/>
    <w:rsid w:val="00AF3225"/>
    <w:rsid w:val="00AF4590"/>
    <w:rsid w:val="00AF4983"/>
    <w:rsid w:val="00AF4FD6"/>
    <w:rsid w:val="00AF518B"/>
    <w:rsid w:val="00AF5275"/>
    <w:rsid w:val="00AF581A"/>
    <w:rsid w:val="00AF5D62"/>
    <w:rsid w:val="00AF6367"/>
    <w:rsid w:val="00AF6684"/>
    <w:rsid w:val="00AF6753"/>
    <w:rsid w:val="00AF6A79"/>
    <w:rsid w:val="00AF724E"/>
    <w:rsid w:val="00AF73A9"/>
    <w:rsid w:val="00B00724"/>
    <w:rsid w:val="00B01436"/>
    <w:rsid w:val="00B019C6"/>
    <w:rsid w:val="00B01C2C"/>
    <w:rsid w:val="00B0231C"/>
    <w:rsid w:val="00B05E75"/>
    <w:rsid w:val="00B07372"/>
    <w:rsid w:val="00B07C2A"/>
    <w:rsid w:val="00B11BEE"/>
    <w:rsid w:val="00B128E5"/>
    <w:rsid w:val="00B12CC1"/>
    <w:rsid w:val="00B13681"/>
    <w:rsid w:val="00B13D32"/>
    <w:rsid w:val="00B153F4"/>
    <w:rsid w:val="00B15DCD"/>
    <w:rsid w:val="00B16F0F"/>
    <w:rsid w:val="00B17E71"/>
    <w:rsid w:val="00B17FDE"/>
    <w:rsid w:val="00B208FC"/>
    <w:rsid w:val="00B209FC"/>
    <w:rsid w:val="00B20C65"/>
    <w:rsid w:val="00B22E17"/>
    <w:rsid w:val="00B243A3"/>
    <w:rsid w:val="00B25567"/>
    <w:rsid w:val="00B266C5"/>
    <w:rsid w:val="00B27293"/>
    <w:rsid w:val="00B278E8"/>
    <w:rsid w:val="00B301BB"/>
    <w:rsid w:val="00B310C4"/>
    <w:rsid w:val="00B321E3"/>
    <w:rsid w:val="00B3229E"/>
    <w:rsid w:val="00B326A9"/>
    <w:rsid w:val="00B32DDB"/>
    <w:rsid w:val="00B337AA"/>
    <w:rsid w:val="00B33D0C"/>
    <w:rsid w:val="00B3447A"/>
    <w:rsid w:val="00B3448C"/>
    <w:rsid w:val="00B34931"/>
    <w:rsid w:val="00B34CCE"/>
    <w:rsid w:val="00B35174"/>
    <w:rsid w:val="00B35BEA"/>
    <w:rsid w:val="00B35F7F"/>
    <w:rsid w:val="00B36817"/>
    <w:rsid w:val="00B37915"/>
    <w:rsid w:val="00B3793D"/>
    <w:rsid w:val="00B41BE6"/>
    <w:rsid w:val="00B42831"/>
    <w:rsid w:val="00B428A4"/>
    <w:rsid w:val="00B42D8A"/>
    <w:rsid w:val="00B4516E"/>
    <w:rsid w:val="00B457E7"/>
    <w:rsid w:val="00B45969"/>
    <w:rsid w:val="00B45D1B"/>
    <w:rsid w:val="00B46D25"/>
    <w:rsid w:val="00B47430"/>
    <w:rsid w:val="00B47AC6"/>
    <w:rsid w:val="00B506BE"/>
    <w:rsid w:val="00B52D2D"/>
    <w:rsid w:val="00B534EF"/>
    <w:rsid w:val="00B53EA6"/>
    <w:rsid w:val="00B54645"/>
    <w:rsid w:val="00B55BA8"/>
    <w:rsid w:val="00B55F15"/>
    <w:rsid w:val="00B561A6"/>
    <w:rsid w:val="00B56FCD"/>
    <w:rsid w:val="00B57CC4"/>
    <w:rsid w:val="00B60062"/>
    <w:rsid w:val="00B62960"/>
    <w:rsid w:val="00B62A47"/>
    <w:rsid w:val="00B63A11"/>
    <w:rsid w:val="00B63FD0"/>
    <w:rsid w:val="00B651EC"/>
    <w:rsid w:val="00B6553E"/>
    <w:rsid w:val="00B65C84"/>
    <w:rsid w:val="00B6608F"/>
    <w:rsid w:val="00B73180"/>
    <w:rsid w:val="00B74317"/>
    <w:rsid w:val="00B74B99"/>
    <w:rsid w:val="00B75700"/>
    <w:rsid w:val="00B75AC6"/>
    <w:rsid w:val="00B760C1"/>
    <w:rsid w:val="00B767DF"/>
    <w:rsid w:val="00B76D1E"/>
    <w:rsid w:val="00B77BC8"/>
    <w:rsid w:val="00B800EB"/>
    <w:rsid w:val="00B80BB5"/>
    <w:rsid w:val="00B822D2"/>
    <w:rsid w:val="00B823F1"/>
    <w:rsid w:val="00B83D46"/>
    <w:rsid w:val="00B84820"/>
    <w:rsid w:val="00B848B8"/>
    <w:rsid w:val="00B84A41"/>
    <w:rsid w:val="00B84D57"/>
    <w:rsid w:val="00B84E5C"/>
    <w:rsid w:val="00B8504B"/>
    <w:rsid w:val="00B853C2"/>
    <w:rsid w:val="00B854A8"/>
    <w:rsid w:val="00B85689"/>
    <w:rsid w:val="00B86748"/>
    <w:rsid w:val="00B907EA"/>
    <w:rsid w:val="00B9167B"/>
    <w:rsid w:val="00B9183E"/>
    <w:rsid w:val="00B91EC9"/>
    <w:rsid w:val="00B924CA"/>
    <w:rsid w:val="00B929A5"/>
    <w:rsid w:val="00B92A4B"/>
    <w:rsid w:val="00B93384"/>
    <w:rsid w:val="00B93616"/>
    <w:rsid w:val="00B9423B"/>
    <w:rsid w:val="00B94417"/>
    <w:rsid w:val="00B95566"/>
    <w:rsid w:val="00B95940"/>
    <w:rsid w:val="00B95EF8"/>
    <w:rsid w:val="00B95F50"/>
    <w:rsid w:val="00B96BD9"/>
    <w:rsid w:val="00B979A0"/>
    <w:rsid w:val="00BA0DED"/>
    <w:rsid w:val="00BA0F99"/>
    <w:rsid w:val="00BB0274"/>
    <w:rsid w:val="00BB0B13"/>
    <w:rsid w:val="00BB1CFD"/>
    <w:rsid w:val="00BB2C53"/>
    <w:rsid w:val="00BB32DA"/>
    <w:rsid w:val="00BB3A54"/>
    <w:rsid w:val="00BB4D26"/>
    <w:rsid w:val="00BB4E21"/>
    <w:rsid w:val="00BB65DD"/>
    <w:rsid w:val="00BB7707"/>
    <w:rsid w:val="00BB7746"/>
    <w:rsid w:val="00BB7AF1"/>
    <w:rsid w:val="00BC00E5"/>
    <w:rsid w:val="00BC1484"/>
    <w:rsid w:val="00BC1D93"/>
    <w:rsid w:val="00BC22EB"/>
    <w:rsid w:val="00BC2E09"/>
    <w:rsid w:val="00BC4B2D"/>
    <w:rsid w:val="00BC4FB2"/>
    <w:rsid w:val="00BC682B"/>
    <w:rsid w:val="00BC68BA"/>
    <w:rsid w:val="00BC6B04"/>
    <w:rsid w:val="00BC6D27"/>
    <w:rsid w:val="00BD059A"/>
    <w:rsid w:val="00BD0BAF"/>
    <w:rsid w:val="00BD0D6D"/>
    <w:rsid w:val="00BD186B"/>
    <w:rsid w:val="00BD1EAC"/>
    <w:rsid w:val="00BD254C"/>
    <w:rsid w:val="00BD2F39"/>
    <w:rsid w:val="00BD3428"/>
    <w:rsid w:val="00BD366B"/>
    <w:rsid w:val="00BD5298"/>
    <w:rsid w:val="00BD534C"/>
    <w:rsid w:val="00BD55A9"/>
    <w:rsid w:val="00BD56BC"/>
    <w:rsid w:val="00BD5BE0"/>
    <w:rsid w:val="00BD5D91"/>
    <w:rsid w:val="00BD6445"/>
    <w:rsid w:val="00BD65BF"/>
    <w:rsid w:val="00BD6615"/>
    <w:rsid w:val="00BD6967"/>
    <w:rsid w:val="00BD6D50"/>
    <w:rsid w:val="00BD7C60"/>
    <w:rsid w:val="00BE0D79"/>
    <w:rsid w:val="00BE0DB0"/>
    <w:rsid w:val="00BE15B9"/>
    <w:rsid w:val="00BE264F"/>
    <w:rsid w:val="00BE2C15"/>
    <w:rsid w:val="00BE3381"/>
    <w:rsid w:val="00BE3F09"/>
    <w:rsid w:val="00BE4A3B"/>
    <w:rsid w:val="00BE670A"/>
    <w:rsid w:val="00BE6906"/>
    <w:rsid w:val="00BE6EA2"/>
    <w:rsid w:val="00BE7AB8"/>
    <w:rsid w:val="00BF18F4"/>
    <w:rsid w:val="00BF1A69"/>
    <w:rsid w:val="00BF3BC8"/>
    <w:rsid w:val="00BF3DF1"/>
    <w:rsid w:val="00BF4BEE"/>
    <w:rsid w:val="00BF4C31"/>
    <w:rsid w:val="00BF4C48"/>
    <w:rsid w:val="00BF4E57"/>
    <w:rsid w:val="00BF53B8"/>
    <w:rsid w:val="00BF786A"/>
    <w:rsid w:val="00BF7CB8"/>
    <w:rsid w:val="00C00831"/>
    <w:rsid w:val="00C00F20"/>
    <w:rsid w:val="00C01354"/>
    <w:rsid w:val="00C01700"/>
    <w:rsid w:val="00C01B84"/>
    <w:rsid w:val="00C034E6"/>
    <w:rsid w:val="00C041FA"/>
    <w:rsid w:val="00C05715"/>
    <w:rsid w:val="00C05926"/>
    <w:rsid w:val="00C05CCD"/>
    <w:rsid w:val="00C0784A"/>
    <w:rsid w:val="00C07DF0"/>
    <w:rsid w:val="00C108CE"/>
    <w:rsid w:val="00C10B28"/>
    <w:rsid w:val="00C10D62"/>
    <w:rsid w:val="00C10EC1"/>
    <w:rsid w:val="00C10FAE"/>
    <w:rsid w:val="00C1135D"/>
    <w:rsid w:val="00C11DAF"/>
    <w:rsid w:val="00C123B4"/>
    <w:rsid w:val="00C12A69"/>
    <w:rsid w:val="00C13150"/>
    <w:rsid w:val="00C132F3"/>
    <w:rsid w:val="00C13737"/>
    <w:rsid w:val="00C13BE8"/>
    <w:rsid w:val="00C14A8D"/>
    <w:rsid w:val="00C14BDD"/>
    <w:rsid w:val="00C150BE"/>
    <w:rsid w:val="00C158B0"/>
    <w:rsid w:val="00C15A0C"/>
    <w:rsid w:val="00C15CEB"/>
    <w:rsid w:val="00C15DCB"/>
    <w:rsid w:val="00C16208"/>
    <w:rsid w:val="00C1711F"/>
    <w:rsid w:val="00C17E38"/>
    <w:rsid w:val="00C20100"/>
    <w:rsid w:val="00C2038A"/>
    <w:rsid w:val="00C20549"/>
    <w:rsid w:val="00C205BF"/>
    <w:rsid w:val="00C20744"/>
    <w:rsid w:val="00C20B1C"/>
    <w:rsid w:val="00C20C4D"/>
    <w:rsid w:val="00C21D46"/>
    <w:rsid w:val="00C21F94"/>
    <w:rsid w:val="00C222A1"/>
    <w:rsid w:val="00C2299F"/>
    <w:rsid w:val="00C22C59"/>
    <w:rsid w:val="00C23371"/>
    <w:rsid w:val="00C23CBD"/>
    <w:rsid w:val="00C23D22"/>
    <w:rsid w:val="00C2463B"/>
    <w:rsid w:val="00C24E77"/>
    <w:rsid w:val="00C250AF"/>
    <w:rsid w:val="00C26D9B"/>
    <w:rsid w:val="00C2732D"/>
    <w:rsid w:val="00C273C6"/>
    <w:rsid w:val="00C27773"/>
    <w:rsid w:val="00C27913"/>
    <w:rsid w:val="00C300C6"/>
    <w:rsid w:val="00C30828"/>
    <w:rsid w:val="00C30924"/>
    <w:rsid w:val="00C31DD8"/>
    <w:rsid w:val="00C3271C"/>
    <w:rsid w:val="00C34E6F"/>
    <w:rsid w:val="00C34FDE"/>
    <w:rsid w:val="00C3543D"/>
    <w:rsid w:val="00C35530"/>
    <w:rsid w:val="00C35C16"/>
    <w:rsid w:val="00C36EA7"/>
    <w:rsid w:val="00C37A94"/>
    <w:rsid w:val="00C40E09"/>
    <w:rsid w:val="00C40F33"/>
    <w:rsid w:val="00C40F81"/>
    <w:rsid w:val="00C41463"/>
    <w:rsid w:val="00C41A72"/>
    <w:rsid w:val="00C4216C"/>
    <w:rsid w:val="00C42714"/>
    <w:rsid w:val="00C42D45"/>
    <w:rsid w:val="00C42F9C"/>
    <w:rsid w:val="00C4341C"/>
    <w:rsid w:val="00C4422D"/>
    <w:rsid w:val="00C44A71"/>
    <w:rsid w:val="00C44B84"/>
    <w:rsid w:val="00C45BA1"/>
    <w:rsid w:val="00C476C5"/>
    <w:rsid w:val="00C4775E"/>
    <w:rsid w:val="00C503B0"/>
    <w:rsid w:val="00C5076B"/>
    <w:rsid w:val="00C511C2"/>
    <w:rsid w:val="00C525A5"/>
    <w:rsid w:val="00C527C6"/>
    <w:rsid w:val="00C53CDB"/>
    <w:rsid w:val="00C53D82"/>
    <w:rsid w:val="00C53EBE"/>
    <w:rsid w:val="00C54748"/>
    <w:rsid w:val="00C55C5D"/>
    <w:rsid w:val="00C564B9"/>
    <w:rsid w:val="00C574CF"/>
    <w:rsid w:val="00C575FB"/>
    <w:rsid w:val="00C60696"/>
    <w:rsid w:val="00C60943"/>
    <w:rsid w:val="00C60EEF"/>
    <w:rsid w:val="00C6121D"/>
    <w:rsid w:val="00C615F1"/>
    <w:rsid w:val="00C61627"/>
    <w:rsid w:val="00C63B1A"/>
    <w:rsid w:val="00C64453"/>
    <w:rsid w:val="00C64E60"/>
    <w:rsid w:val="00C657A4"/>
    <w:rsid w:val="00C66589"/>
    <w:rsid w:val="00C6736C"/>
    <w:rsid w:val="00C70422"/>
    <w:rsid w:val="00C709FD"/>
    <w:rsid w:val="00C7179C"/>
    <w:rsid w:val="00C71A1D"/>
    <w:rsid w:val="00C71EC4"/>
    <w:rsid w:val="00C726EA"/>
    <w:rsid w:val="00C73485"/>
    <w:rsid w:val="00C7410A"/>
    <w:rsid w:val="00C743FD"/>
    <w:rsid w:val="00C74791"/>
    <w:rsid w:val="00C7591E"/>
    <w:rsid w:val="00C75C7E"/>
    <w:rsid w:val="00C75C9B"/>
    <w:rsid w:val="00C75F90"/>
    <w:rsid w:val="00C76D8E"/>
    <w:rsid w:val="00C77833"/>
    <w:rsid w:val="00C77E7B"/>
    <w:rsid w:val="00C80C9B"/>
    <w:rsid w:val="00C81019"/>
    <w:rsid w:val="00C82DEC"/>
    <w:rsid w:val="00C8335E"/>
    <w:rsid w:val="00C83C1A"/>
    <w:rsid w:val="00C83F9C"/>
    <w:rsid w:val="00C84CE3"/>
    <w:rsid w:val="00C85614"/>
    <w:rsid w:val="00C85686"/>
    <w:rsid w:val="00C86127"/>
    <w:rsid w:val="00C9068F"/>
    <w:rsid w:val="00C90975"/>
    <w:rsid w:val="00C90CF4"/>
    <w:rsid w:val="00C91C19"/>
    <w:rsid w:val="00C929A0"/>
    <w:rsid w:val="00C92AE8"/>
    <w:rsid w:val="00C93389"/>
    <w:rsid w:val="00C937DB"/>
    <w:rsid w:val="00C94519"/>
    <w:rsid w:val="00C94847"/>
    <w:rsid w:val="00C94E11"/>
    <w:rsid w:val="00C94E83"/>
    <w:rsid w:val="00C9567E"/>
    <w:rsid w:val="00C97038"/>
    <w:rsid w:val="00C975FC"/>
    <w:rsid w:val="00CA02B2"/>
    <w:rsid w:val="00CA0883"/>
    <w:rsid w:val="00CA1085"/>
    <w:rsid w:val="00CA140F"/>
    <w:rsid w:val="00CA25C2"/>
    <w:rsid w:val="00CA37BB"/>
    <w:rsid w:val="00CA37CA"/>
    <w:rsid w:val="00CA3C24"/>
    <w:rsid w:val="00CA5016"/>
    <w:rsid w:val="00CA5724"/>
    <w:rsid w:val="00CA6508"/>
    <w:rsid w:val="00CA6BA1"/>
    <w:rsid w:val="00CA6CD5"/>
    <w:rsid w:val="00CA6D0B"/>
    <w:rsid w:val="00CA799B"/>
    <w:rsid w:val="00CB09D5"/>
    <w:rsid w:val="00CB0AE1"/>
    <w:rsid w:val="00CB0F6B"/>
    <w:rsid w:val="00CB1910"/>
    <w:rsid w:val="00CB1F9F"/>
    <w:rsid w:val="00CB2150"/>
    <w:rsid w:val="00CB28EE"/>
    <w:rsid w:val="00CB43A7"/>
    <w:rsid w:val="00CB4CD7"/>
    <w:rsid w:val="00CB4DF1"/>
    <w:rsid w:val="00CB55C2"/>
    <w:rsid w:val="00CB5695"/>
    <w:rsid w:val="00CB5996"/>
    <w:rsid w:val="00CB6809"/>
    <w:rsid w:val="00CB6CE5"/>
    <w:rsid w:val="00CB7452"/>
    <w:rsid w:val="00CB76C9"/>
    <w:rsid w:val="00CC0E10"/>
    <w:rsid w:val="00CC1DAF"/>
    <w:rsid w:val="00CC2642"/>
    <w:rsid w:val="00CC2967"/>
    <w:rsid w:val="00CC2A1E"/>
    <w:rsid w:val="00CC2A36"/>
    <w:rsid w:val="00CC2E15"/>
    <w:rsid w:val="00CC3440"/>
    <w:rsid w:val="00CC351B"/>
    <w:rsid w:val="00CC3908"/>
    <w:rsid w:val="00CC41BF"/>
    <w:rsid w:val="00CC44C9"/>
    <w:rsid w:val="00CC4DF5"/>
    <w:rsid w:val="00CC509A"/>
    <w:rsid w:val="00CC62AD"/>
    <w:rsid w:val="00CC67E5"/>
    <w:rsid w:val="00CC6CA2"/>
    <w:rsid w:val="00CC7968"/>
    <w:rsid w:val="00CC7B80"/>
    <w:rsid w:val="00CD2B3C"/>
    <w:rsid w:val="00CD30F6"/>
    <w:rsid w:val="00CD3469"/>
    <w:rsid w:val="00CD4B29"/>
    <w:rsid w:val="00CD5E48"/>
    <w:rsid w:val="00CD67CA"/>
    <w:rsid w:val="00CD6954"/>
    <w:rsid w:val="00CD6DA3"/>
    <w:rsid w:val="00CD6EF1"/>
    <w:rsid w:val="00CD715D"/>
    <w:rsid w:val="00CD7A45"/>
    <w:rsid w:val="00CD7E35"/>
    <w:rsid w:val="00CD7EEE"/>
    <w:rsid w:val="00CE21C7"/>
    <w:rsid w:val="00CE2682"/>
    <w:rsid w:val="00CE2756"/>
    <w:rsid w:val="00CE3F72"/>
    <w:rsid w:val="00CE442A"/>
    <w:rsid w:val="00CE4674"/>
    <w:rsid w:val="00CE57D8"/>
    <w:rsid w:val="00CE5B96"/>
    <w:rsid w:val="00CE5F03"/>
    <w:rsid w:val="00CE617A"/>
    <w:rsid w:val="00CE692E"/>
    <w:rsid w:val="00CE6E3C"/>
    <w:rsid w:val="00CE76A1"/>
    <w:rsid w:val="00CE797F"/>
    <w:rsid w:val="00CF107E"/>
    <w:rsid w:val="00CF15BF"/>
    <w:rsid w:val="00CF25D2"/>
    <w:rsid w:val="00CF28C2"/>
    <w:rsid w:val="00CF294A"/>
    <w:rsid w:val="00CF42BD"/>
    <w:rsid w:val="00CF51EC"/>
    <w:rsid w:val="00CF6A9D"/>
    <w:rsid w:val="00CF6CD7"/>
    <w:rsid w:val="00CF7276"/>
    <w:rsid w:val="00CF75EC"/>
    <w:rsid w:val="00D002DF"/>
    <w:rsid w:val="00D0037A"/>
    <w:rsid w:val="00D0061E"/>
    <w:rsid w:val="00D006AD"/>
    <w:rsid w:val="00D00DAF"/>
    <w:rsid w:val="00D017EC"/>
    <w:rsid w:val="00D01CDA"/>
    <w:rsid w:val="00D020FC"/>
    <w:rsid w:val="00D03866"/>
    <w:rsid w:val="00D040DD"/>
    <w:rsid w:val="00D04E1B"/>
    <w:rsid w:val="00D0547B"/>
    <w:rsid w:val="00D076DB"/>
    <w:rsid w:val="00D07EFF"/>
    <w:rsid w:val="00D1067C"/>
    <w:rsid w:val="00D11329"/>
    <w:rsid w:val="00D11CBB"/>
    <w:rsid w:val="00D136D4"/>
    <w:rsid w:val="00D13830"/>
    <w:rsid w:val="00D13ECF"/>
    <w:rsid w:val="00D141CA"/>
    <w:rsid w:val="00D142E5"/>
    <w:rsid w:val="00D148CD"/>
    <w:rsid w:val="00D1611E"/>
    <w:rsid w:val="00D163CC"/>
    <w:rsid w:val="00D16E69"/>
    <w:rsid w:val="00D177E9"/>
    <w:rsid w:val="00D17F4A"/>
    <w:rsid w:val="00D205A9"/>
    <w:rsid w:val="00D217EE"/>
    <w:rsid w:val="00D24299"/>
    <w:rsid w:val="00D245BA"/>
    <w:rsid w:val="00D25411"/>
    <w:rsid w:val="00D25E9E"/>
    <w:rsid w:val="00D26923"/>
    <w:rsid w:val="00D27856"/>
    <w:rsid w:val="00D27D34"/>
    <w:rsid w:val="00D3006B"/>
    <w:rsid w:val="00D301CA"/>
    <w:rsid w:val="00D30740"/>
    <w:rsid w:val="00D31075"/>
    <w:rsid w:val="00D31445"/>
    <w:rsid w:val="00D31932"/>
    <w:rsid w:val="00D32AE0"/>
    <w:rsid w:val="00D33273"/>
    <w:rsid w:val="00D360DA"/>
    <w:rsid w:val="00D37689"/>
    <w:rsid w:val="00D378CC"/>
    <w:rsid w:val="00D4042C"/>
    <w:rsid w:val="00D40B9E"/>
    <w:rsid w:val="00D41281"/>
    <w:rsid w:val="00D42312"/>
    <w:rsid w:val="00D431F4"/>
    <w:rsid w:val="00D433F5"/>
    <w:rsid w:val="00D43998"/>
    <w:rsid w:val="00D439C2"/>
    <w:rsid w:val="00D451E0"/>
    <w:rsid w:val="00D45A1D"/>
    <w:rsid w:val="00D4615E"/>
    <w:rsid w:val="00D4651F"/>
    <w:rsid w:val="00D478E2"/>
    <w:rsid w:val="00D507A3"/>
    <w:rsid w:val="00D5082E"/>
    <w:rsid w:val="00D50ED8"/>
    <w:rsid w:val="00D5264C"/>
    <w:rsid w:val="00D53987"/>
    <w:rsid w:val="00D547BA"/>
    <w:rsid w:val="00D55626"/>
    <w:rsid w:val="00D556BC"/>
    <w:rsid w:val="00D5626D"/>
    <w:rsid w:val="00D56631"/>
    <w:rsid w:val="00D60277"/>
    <w:rsid w:val="00D60336"/>
    <w:rsid w:val="00D6126B"/>
    <w:rsid w:val="00D61F88"/>
    <w:rsid w:val="00D62688"/>
    <w:rsid w:val="00D62901"/>
    <w:rsid w:val="00D62CB2"/>
    <w:rsid w:val="00D6345E"/>
    <w:rsid w:val="00D6470C"/>
    <w:rsid w:val="00D64853"/>
    <w:rsid w:val="00D64CB5"/>
    <w:rsid w:val="00D66076"/>
    <w:rsid w:val="00D6607C"/>
    <w:rsid w:val="00D661B3"/>
    <w:rsid w:val="00D66D48"/>
    <w:rsid w:val="00D703E1"/>
    <w:rsid w:val="00D7128B"/>
    <w:rsid w:val="00D7162F"/>
    <w:rsid w:val="00D720DB"/>
    <w:rsid w:val="00D72897"/>
    <w:rsid w:val="00D73256"/>
    <w:rsid w:val="00D73A30"/>
    <w:rsid w:val="00D747AA"/>
    <w:rsid w:val="00D74985"/>
    <w:rsid w:val="00D74C65"/>
    <w:rsid w:val="00D74F21"/>
    <w:rsid w:val="00D75240"/>
    <w:rsid w:val="00D756C0"/>
    <w:rsid w:val="00D758D0"/>
    <w:rsid w:val="00D75DC2"/>
    <w:rsid w:val="00D75DC3"/>
    <w:rsid w:val="00D75E60"/>
    <w:rsid w:val="00D75FEA"/>
    <w:rsid w:val="00D766EF"/>
    <w:rsid w:val="00D76C03"/>
    <w:rsid w:val="00D7728D"/>
    <w:rsid w:val="00D77F8D"/>
    <w:rsid w:val="00D80E07"/>
    <w:rsid w:val="00D8119B"/>
    <w:rsid w:val="00D821BF"/>
    <w:rsid w:val="00D82462"/>
    <w:rsid w:val="00D831C6"/>
    <w:rsid w:val="00D831F5"/>
    <w:rsid w:val="00D83EF3"/>
    <w:rsid w:val="00D85886"/>
    <w:rsid w:val="00D868CE"/>
    <w:rsid w:val="00D86DAE"/>
    <w:rsid w:val="00D87732"/>
    <w:rsid w:val="00D8785B"/>
    <w:rsid w:val="00D90116"/>
    <w:rsid w:val="00D909FE"/>
    <w:rsid w:val="00D90C1E"/>
    <w:rsid w:val="00D91B07"/>
    <w:rsid w:val="00D91BDF"/>
    <w:rsid w:val="00D91F2C"/>
    <w:rsid w:val="00D92527"/>
    <w:rsid w:val="00D92B5A"/>
    <w:rsid w:val="00D93F09"/>
    <w:rsid w:val="00D94859"/>
    <w:rsid w:val="00D954C2"/>
    <w:rsid w:val="00D97BB8"/>
    <w:rsid w:val="00DA1318"/>
    <w:rsid w:val="00DA1382"/>
    <w:rsid w:val="00DA28B7"/>
    <w:rsid w:val="00DA2FE8"/>
    <w:rsid w:val="00DA41E0"/>
    <w:rsid w:val="00DA4AF6"/>
    <w:rsid w:val="00DB016E"/>
    <w:rsid w:val="00DB06E9"/>
    <w:rsid w:val="00DB0BF3"/>
    <w:rsid w:val="00DB19BD"/>
    <w:rsid w:val="00DB1D55"/>
    <w:rsid w:val="00DB2692"/>
    <w:rsid w:val="00DB36D7"/>
    <w:rsid w:val="00DB378E"/>
    <w:rsid w:val="00DB3E9D"/>
    <w:rsid w:val="00DB47B9"/>
    <w:rsid w:val="00DB4FB8"/>
    <w:rsid w:val="00DB51D8"/>
    <w:rsid w:val="00DB53CE"/>
    <w:rsid w:val="00DB549D"/>
    <w:rsid w:val="00DB5792"/>
    <w:rsid w:val="00DB63F2"/>
    <w:rsid w:val="00DB6A88"/>
    <w:rsid w:val="00DB6DA6"/>
    <w:rsid w:val="00DB7431"/>
    <w:rsid w:val="00DB74ED"/>
    <w:rsid w:val="00DB7BA4"/>
    <w:rsid w:val="00DC08D7"/>
    <w:rsid w:val="00DC18B6"/>
    <w:rsid w:val="00DC226A"/>
    <w:rsid w:val="00DC257F"/>
    <w:rsid w:val="00DC2A9F"/>
    <w:rsid w:val="00DC2FA9"/>
    <w:rsid w:val="00DC333E"/>
    <w:rsid w:val="00DC350B"/>
    <w:rsid w:val="00DC3790"/>
    <w:rsid w:val="00DC408A"/>
    <w:rsid w:val="00DC436D"/>
    <w:rsid w:val="00DC519B"/>
    <w:rsid w:val="00DC52F9"/>
    <w:rsid w:val="00DC5B3B"/>
    <w:rsid w:val="00DC5BAA"/>
    <w:rsid w:val="00DC6796"/>
    <w:rsid w:val="00DC6AA2"/>
    <w:rsid w:val="00DC6CC6"/>
    <w:rsid w:val="00DC767B"/>
    <w:rsid w:val="00DC78DF"/>
    <w:rsid w:val="00DC7928"/>
    <w:rsid w:val="00DC7D4C"/>
    <w:rsid w:val="00DD003B"/>
    <w:rsid w:val="00DD0365"/>
    <w:rsid w:val="00DD0821"/>
    <w:rsid w:val="00DD093D"/>
    <w:rsid w:val="00DD0E32"/>
    <w:rsid w:val="00DD10F4"/>
    <w:rsid w:val="00DD1878"/>
    <w:rsid w:val="00DD2872"/>
    <w:rsid w:val="00DD2A62"/>
    <w:rsid w:val="00DD2BD0"/>
    <w:rsid w:val="00DD2BFE"/>
    <w:rsid w:val="00DD373E"/>
    <w:rsid w:val="00DD3867"/>
    <w:rsid w:val="00DD57AD"/>
    <w:rsid w:val="00DD57B7"/>
    <w:rsid w:val="00DD7435"/>
    <w:rsid w:val="00DD7C6D"/>
    <w:rsid w:val="00DE009B"/>
    <w:rsid w:val="00DE08F8"/>
    <w:rsid w:val="00DE0C31"/>
    <w:rsid w:val="00DE27CE"/>
    <w:rsid w:val="00DE2ED9"/>
    <w:rsid w:val="00DE319A"/>
    <w:rsid w:val="00DE37C6"/>
    <w:rsid w:val="00DE5ABD"/>
    <w:rsid w:val="00DF046A"/>
    <w:rsid w:val="00DF0615"/>
    <w:rsid w:val="00DF07CE"/>
    <w:rsid w:val="00DF0833"/>
    <w:rsid w:val="00DF0DC3"/>
    <w:rsid w:val="00DF0E38"/>
    <w:rsid w:val="00DF21FD"/>
    <w:rsid w:val="00DF2847"/>
    <w:rsid w:val="00DF2873"/>
    <w:rsid w:val="00DF293C"/>
    <w:rsid w:val="00DF4C74"/>
    <w:rsid w:val="00DF5578"/>
    <w:rsid w:val="00DF6CF8"/>
    <w:rsid w:val="00DF78DD"/>
    <w:rsid w:val="00DF7FEC"/>
    <w:rsid w:val="00E01C0E"/>
    <w:rsid w:val="00E02086"/>
    <w:rsid w:val="00E023BE"/>
    <w:rsid w:val="00E02740"/>
    <w:rsid w:val="00E03B27"/>
    <w:rsid w:val="00E04694"/>
    <w:rsid w:val="00E049F6"/>
    <w:rsid w:val="00E04CA9"/>
    <w:rsid w:val="00E05B2B"/>
    <w:rsid w:val="00E05EAD"/>
    <w:rsid w:val="00E06A2A"/>
    <w:rsid w:val="00E06D4A"/>
    <w:rsid w:val="00E06EC9"/>
    <w:rsid w:val="00E07F05"/>
    <w:rsid w:val="00E1230E"/>
    <w:rsid w:val="00E127E1"/>
    <w:rsid w:val="00E1291F"/>
    <w:rsid w:val="00E12BCE"/>
    <w:rsid w:val="00E144D2"/>
    <w:rsid w:val="00E144D6"/>
    <w:rsid w:val="00E15346"/>
    <w:rsid w:val="00E15B7D"/>
    <w:rsid w:val="00E17233"/>
    <w:rsid w:val="00E17C5F"/>
    <w:rsid w:val="00E17F8F"/>
    <w:rsid w:val="00E202D6"/>
    <w:rsid w:val="00E2097E"/>
    <w:rsid w:val="00E215EA"/>
    <w:rsid w:val="00E2196F"/>
    <w:rsid w:val="00E21CAB"/>
    <w:rsid w:val="00E221FC"/>
    <w:rsid w:val="00E2245C"/>
    <w:rsid w:val="00E22E78"/>
    <w:rsid w:val="00E23DA4"/>
    <w:rsid w:val="00E24619"/>
    <w:rsid w:val="00E25223"/>
    <w:rsid w:val="00E25999"/>
    <w:rsid w:val="00E263A8"/>
    <w:rsid w:val="00E27B33"/>
    <w:rsid w:val="00E30BEA"/>
    <w:rsid w:val="00E3154D"/>
    <w:rsid w:val="00E3167A"/>
    <w:rsid w:val="00E31764"/>
    <w:rsid w:val="00E3288A"/>
    <w:rsid w:val="00E32BC2"/>
    <w:rsid w:val="00E33C0E"/>
    <w:rsid w:val="00E34985"/>
    <w:rsid w:val="00E34E4A"/>
    <w:rsid w:val="00E365B3"/>
    <w:rsid w:val="00E366BB"/>
    <w:rsid w:val="00E372FD"/>
    <w:rsid w:val="00E37C45"/>
    <w:rsid w:val="00E37E7D"/>
    <w:rsid w:val="00E40AAA"/>
    <w:rsid w:val="00E4152B"/>
    <w:rsid w:val="00E41A59"/>
    <w:rsid w:val="00E42444"/>
    <w:rsid w:val="00E42CB0"/>
    <w:rsid w:val="00E43276"/>
    <w:rsid w:val="00E438CF"/>
    <w:rsid w:val="00E43B06"/>
    <w:rsid w:val="00E43C41"/>
    <w:rsid w:val="00E43F01"/>
    <w:rsid w:val="00E4500E"/>
    <w:rsid w:val="00E450CE"/>
    <w:rsid w:val="00E4517F"/>
    <w:rsid w:val="00E45A00"/>
    <w:rsid w:val="00E45CE7"/>
    <w:rsid w:val="00E4631F"/>
    <w:rsid w:val="00E46A4A"/>
    <w:rsid w:val="00E47CB8"/>
    <w:rsid w:val="00E522BB"/>
    <w:rsid w:val="00E525BD"/>
    <w:rsid w:val="00E527A0"/>
    <w:rsid w:val="00E52A3D"/>
    <w:rsid w:val="00E52A9C"/>
    <w:rsid w:val="00E539E4"/>
    <w:rsid w:val="00E53C14"/>
    <w:rsid w:val="00E54D65"/>
    <w:rsid w:val="00E5515D"/>
    <w:rsid w:val="00E55E84"/>
    <w:rsid w:val="00E569C7"/>
    <w:rsid w:val="00E56D2B"/>
    <w:rsid w:val="00E571F2"/>
    <w:rsid w:val="00E57429"/>
    <w:rsid w:val="00E60FCE"/>
    <w:rsid w:val="00E61C31"/>
    <w:rsid w:val="00E61EA8"/>
    <w:rsid w:val="00E63221"/>
    <w:rsid w:val="00E63EC6"/>
    <w:rsid w:val="00E64AE4"/>
    <w:rsid w:val="00E64CFB"/>
    <w:rsid w:val="00E64CFF"/>
    <w:rsid w:val="00E64EA1"/>
    <w:rsid w:val="00E6582D"/>
    <w:rsid w:val="00E6636D"/>
    <w:rsid w:val="00E669C7"/>
    <w:rsid w:val="00E67611"/>
    <w:rsid w:val="00E70510"/>
    <w:rsid w:val="00E71262"/>
    <w:rsid w:val="00E71A58"/>
    <w:rsid w:val="00E724C6"/>
    <w:rsid w:val="00E737F6"/>
    <w:rsid w:val="00E75545"/>
    <w:rsid w:val="00E7568F"/>
    <w:rsid w:val="00E764AE"/>
    <w:rsid w:val="00E7724B"/>
    <w:rsid w:val="00E77435"/>
    <w:rsid w:val="00E80E31"/>
    <w:rsid w:val="00E81543"/>
    <w:rsid w:val="00E83DAB"/>
    <w:rsid w:val="00E84F21"/>
    <w:rsid w:val="00E8618A"/>
    <w:rsid w:val="00E90A4B"/>
    <w:rsid w:val="00E90D67"/>
    <w:rsid w:val="00E90F73"/>
    <w:rsid w:val="00E910A7"/>
    <w:rsid w:val="00E91607"/>
    <w:rsid w:val="00E921C7"/>
    <w:rsid w:val="00E92799"/>
    <w:rsid w:val="00E92995"/>
    <w:rsid w:val="00E9446C"/>
    <w:rsid w:val="00E94612"/>
    <w:rsid w:val="00E95797"/>
    <w:rsid w:val="00E962F3"/>
    <w:rsid w:val="00E9682F"/>
    <w:rsid w:val="00E96A8D"/>
    <w:rsid w:val="00E972BA"/>
    <w:rsid w:val="00E97FA2"/>
    <w:rsid w:val="00EA06CB"/>
    <w:rsid w:val="00EA0AF3"/>
    <w:rsid w:val="00EA0C68"/>
    <w:rsid w:val="00EA19E2"/>
    <w:rsid w:val="00EA2F06"/>
    <w:rsid w:val="00EA3EBE"/>
    <w:rsid w:val="00EA3FAC"/>
    <w:rsid w:val="00EA4153"/>
    <w:rsid w:val="00EA421A"/>
    <w:rsid w:val="00EA5CD6"/>
    <w:rsid w:val="00EA76FD"/>
    <w:rsid w:val="00EA77CA"/>
    <w:rsid w:val="00EA78FE"/>
    <w:rsid w:val="00EA7B7D"/>
    <w:rsid w:val="00EB03D4"/>
    <w:rsid w:val="00EB0555"/>
    <w:rsid w:val="00EB20A0"/>
    <w:rsid w:val="00EB220E"/>
    <w:rsid w:val="00EB30B6"/>
    <w:rsid w:val="00EB4FA4"/>
    <w:rsid w:val="00EB5146"/>
    <w:rsid w:val="00EB522B"/>
    <w:rsid w:val="00EB55E9"/>
    <w:rsid w:val="00EB5641"/>
    <w:rsid w:val="00EB5CA9"/>
    <w:rsid w:val="00EB5ED4"/>
    <w:rsid w:val="00EB6063"/>
    <w:rsid w:val="00EB6537"/>
    <w:rsid w:val="00EB6DD2"/>
    <w:rsid w:val="00EB70E1"/>
    <w:rsid w:val="00EB7EB5"/>
    <w:rsid w:val="00EC0860"/>
    <w:rsid w:val="00EC0C89"/>
    <w:rsid w:val="00EC0EC1"/>
    <w:rsid w:val="00EC4133"/>
    <w:rsid w:val="00EC424C"/>
    <w:rsid w:val="00EC454B"/>
    <w:rsid w:val="00EC4941"/>
    <w:rsid w:val="00EC5626"/>
    <w:rsid w:val="00EC6153"/>
    <w:rsid w:val="00EC7F92"/>
    <w:rsid w:val="00ED00A8"/>
    <w:rsid w:val="00ED0A79"/>
    <w:rsid w:val="00ED229E"/>
    <w:rsid w:val="00ED2989"/>
    <w:rsid w:val="00ED2CA5"/>
    <w:rsid w:val="00ED2D46"/>
    <w:rsid w:val="00ED336F"/>
    <w:rsid w:val="00ED3A94"/>
    <w:rsid w:val="00ED40F0"/>
    <w:rsid w:val="00ED4AC0"/>
    <w:rsid w:val="00ED54D6"/>
    <w:rsid w:val="00ED5726"/>
    <w:rsid w:val="00ED7384"/>
    <w:rsid w:val="00EE0113"/>
    <w:rsid w:val="00EE0298"/>
    <w:rsid w:val="00EE0384"/>
    <w:rsid w:val="00EE043A"/>
    <w:rsid w:val="00EE0473"/>
    <w:rsid w:val="00EE1057"/>
    <w:rsid w:val="00EE10AA"/>
    <w:rsid w:val="00EE1637"/>
    <w:rsid w:val="00EE29C7"/>
    <w:rsid w:val="00EE2A98"/>
    <w:rsid w:val="00EE3547"/>
    <w:rsid w:val="00EE3B7A"/>
    <w:rsid w:val="00EE3E78"/>
    <w:rsid w:val="00EE4534"/>
    <w:rsid w:val="00EE495A"/>
    <w:rsid w:val="00EE4E8F"/>
    <w:rsid w:val="00EE5A5A"/>
    <w:rsid w:val="00EE5E02"/>
    <w:rsid w:val="00EE617D"/>
    <w:rsid w:val="00EE61BF"/>
    <w:rsid w:val="00EE6538"/>
    <w:rsid w:val="00EE6748"/>
    <w:rsid w:val="00EE6C6B"/>
    <w:rsid w:val="00EE7B94"/>
    <w:rsid w:val="00EE7C03"/>
    <w:rsid w:val="00EF0E75"/>
    <w:rsid w:val="00EF1DAA"/>
    <w:rsid w:val="00EF1F5A"/>
    <w:rsid w:val="00EF22F6"/>
    <w:rsid w:val="00EF3486"/>
    <w:rsid w:val="00EF4685"/>
    <w:rsid w:val="00EF5397"/>
    <w:rsid w:val="00EF563D"/>
    <w:rsid w:val="00EF6BE3"/>
    <w:rsid w:val="00EF6DDD"/>
    <w:rsid w:val="00EF7B70"/>
    <w:rsid w:val="00F00071"/>
    <w:rsid w:val="00F00D0E"/>
    <w:rsid w:val="00F00D3C"/>
    <w:rsid w:val="00F04811"/>
    <w:rsid w:val="00F0488C"/>
    <w:rsid w:val="00F0496E"/>
    <w:rsid w:val="00F04D10"/>
    <w:rsid w:val="00F053EA"/>
    <w:rsid w:val="00F0625B"/>
    <w:rsid w:val="00F06944"/>
    <w:rsid w:val="00F06C6F"/>
    <w:rsid w:val="00F06C89"/>
    <w:rsid w:val="00F10033"/>
    <w:rsid w:val="00F101FF"/>
    <w:rsid w:val="00F104DF"/>
    <w:rsid w:val="00F10A33"/>
    <w:rsid w:val="00F10B64"/>
    <w:rsid w:val="00F1186C"/>
    <w:rsid w:val="00F11AD5"/>
    <w:rsid w:val="00F126D0"/>
    <w:rsid w:val="00F12A83"/>
    <w:rsid w:val="00F14ACD"/>
    <w:rsid w:val="00F15309"/>
    <w:rsid w:val="00F15BEF"/>
    <w:rsid w:val="00F164A8"/>
    <w:rsid w:val="00F16807"/>
    <w:rsid w:val="00F16C43"/>
    <w:rsid w:val="00F172BE"/>
    <w:rsid w:val="00F1776C"/>
    <w:rsid w:val="00F2037E"/>
    <w:rsid w:val="00F20786"/>
    <w:rsid w:val="00F20D17"/>
    <w:rsid w:val="00F2103E"/>
    <w:rsid w:val="00F214FC"/>
    <w:rsid w:val="00F21C31"/>
    <w:rsid w:val="00F222AD"/>
    <w:rsid w:val="00F23825"/>
    <w:rsid w:val="00F2389A"/>
    <w:rsid w:val="00F23FFF"/>
    <w:rsid w:val="00F2441D"/>
    <w:rsid w:val="00F24467"/>
    <w:rsid w:val="00F24FAA"/>
    <w:rsid w:val="00F25226"/>
    <w:rsid w:val="00F25B99"/>
    <w:rsid w:val="00F26197"/>
    <w:rsid w:val="00F273D4"/>
    <w:rsid w:val="00F27482"/>
    <w:rsid w:val="00F307DD"/>
    <w:rsid w:val="00F30C2E"/>
    <w:rsid w:val="00F30CB4"/>
    <w:rsid w:val="00F318FC"/>
    <w:rsid w:val="00F31D53"/>
    <w:rsid w:val="00F31F76"/>
    <w:rsid w:val="00F325A3"/>
    <w:rsid w:val="00F3364D"/>
    <w:rsid w:val="00F353AE"/>
    <w:rsid w:val="00F35ACD"/>
    <w:rsid w:val="00F36598"/>
    <w:rsid w:val="00F365BF"/>
    <w:rsid w:val="00F36BF8"/>
    <w:rsid w:val="00F36FB3"/>
    <w:rsid w:val="00F375BA"/>
    <w:rsid w:val="00F37760"/>
    <w:rsid w:val="00F403D1"/>
    <w:rsid w:val="00F43921"/>
    <w:rsid w:val="00F44E1B"/>
    <w:rsid w:val="00F4524F"/>
    <w:rsid w:val="00F45530"/>
    <w:rsid w:val="00F4591F"/>
    <w:rsid w:val="00F47321"/>
    <w:rsid w:val="00F4736B"/>
    <w:rsid w:val="00F47997"/>
    <w:rsid w:val="00F47D05"/>
    <w:rsid w:val="00F50030"/>
    <w:rsid w:val="00F502F5"/>
    <w:rsid w:val="00F50B9D"/>
    <w:rsid w:val="00F51FC9"/>
    <w:rsid w:val="00F52AE1"/>
    <w:rsid w:val="00F53243"/>
    <w:rsid w:val="00F53644"/>
    <w:rsid w:val="00F541ED"/>
    <w:rsid w:val="00F54365"/>
    <w:rsid w:val="00F54641"/>
    <w:rsid w:val="00F54B31"/>
    <w:rsid w:val="00F54FD3"/>
    <w:rsid w:val="00F55605"/>
    <w:rsid w:val="00F568C5"/>
    <w:rsid w:val="00F57CD7"/>
    <w:rsid w:val="00F608FF"/>
    <w:rsid w:val="00F61637"/>
    <w:rsid w:val="00F61BFE"/>
    <w:rsid w:val="00F62F02"/>
    <w:rsid w:val="00F6339F"/>
    <w:rsid w:val="00F63DDE"/>
    <w:rsid w:val="00F63FB7"/>
    <w:rsid w:val="00F64460"/>
    <w:rsid w:val="00F64726"/>
    <w:rsid w:val="00F64F44"/>
    <w:rsid w:val="00F6561A"/>
    <w:rsid w:val="00F66243"/>
    <w:rsid w:val="00F67BDA"/>
    <w:rsid w:val="00F70309"/>
    <w:rsid w:val="00F7078A"/>
    <w:rsid w:val="00F70E45"/>
    <w:rsid w:val="00F72638"/>
    <w:rsid w:val="00F727D5"/>
    <w:rsid w:val="00F72F44"/>
    <w:rsid w:val="00F737AB"/>
    <w:rsid w:val="00F73A0C"/>
    <w:rsid w:val="00F759DC"/>
    <w:rsid w:val="00F76563"/>
    <w:rsid w:val="00F7717C"/>
    <w:rsid w:val="00F771A5"/>
    <w:rsid w:val="00F7738B"/>
    <w:rsid w:val="00F77990"/>
    <w:rsid w:val="00F80826"/>
    <w:rsid w:val="00F80D1E"/>
    <w:rsid w:val="00F817A4"/>
    <w:rsid w:val="00F81C3A"/>
    <w:rsid w:val="00F82727"/>
    <w:rsid w:val="00F835E1"/>
    <w:rsid w:val="00F835FC"/>
    <w:rsid w:val="00F8373A"/>
    <w:rsid w:val="00F83E21"/>
    <w:rsid w:val="00F83FA4"/>
    <w:rsid w:val="00F8473C"/>
    <w:rsid w:val="00F84E18"/>
    <w:rsid w:val="00F84F40"/>
    <w:rsid w:val="00F85024"/>
    <w:rsid w:val="00F852E5"/>
    <w:rsid w:val="00F86767"/>
    <w:rsid w:val="00F8750E"/>
    <w:rsid w:val="00F90350"/>
    <w:rsid w:val="00F90987"/>
    <w:rsid w:val="00F92347"/>
    <w:rsid w:val="00F9310A"/>
    <w:rsid w:val="00F94681"/>
    <w:rsid w:val="00F94C3F"/>
    <w:rsid w:val="00F95117"/>
    <w:rsid w:val="00F959AF"/>
    <w:rsid w:val="00F968ED"/>
    <w:rsid w:val="00F97ED2"/>
    <w:rsid w:val="00FA05D7"/>
    <w:rsid w:val="00FA16BD"/>
    <w:rsid w:val="00FA1992"/>
    <w:rsid w:val="00FA1C6C"/>
    <w:rsid w:val="00FA2447"/>
    <w:rsid w:val="00FA2582"/>
    <w:rsid w:val="00FA2A5B"/>
    <w:rsid w:val="00FA2C2A"/>
    <w:rsid w:val="00FA309A"/>
    <w:rsid w:val="00FA6936"/>
    <w:rsid w:val="00FA6B3F"/>
    <w:rsid w:val="00FA7132"/>
    <w:rsid w:val="00FA7644"/>
    <w:rsid w:val="00FB0A9A"/>
    <w:rsid w:val="00FB16AD"/>
    <w:rsid w:val="00FB1746"/>
    <w:rsid w:val="00FB1F21"/>
    <w:rsid w:val="00FB3D72"/>
    <w:rsid w:val="00FB40EE"/>
    <w:rsid w:val="00FB483B"/>
    <w:rsid w:val="00FB56F1"/>
    <w:rsid w:val="00FB5D61"/>
    <w:rsid w:val="00FB5FD4"/>
    <w:rsid w:val="00FB67F3"/>
    <w:rsid w:val="00FB6AF4"/>
    <w:rsid w:val="00FB6D4A"/>
    <w:rsid w:val="00FC0D8A"/>
    <w:rsid w:val="00FC0E5F"/>
    <w:rsid w:val="00FC135D"/>
    <w:rsid w:val="00FC26FB"/>
    <w:rsid w:val="00FC2AEC"/>
    <w:rsid w:val="00FC2CF4"/>
    <w:rsid w:val="00FC3C84"/>
    <w:rsid w:val="00FC4660"/>
    <w:rsid w:val="00FC56DE"/>
    <w:rsid w:val="00FC5E01"/>
    <w:rsid w:val="00FC6140"/>
    <w:rsid w:val="00FD0F51"/>
    <w:rsid w:val="00FD1261"/>
    <w:rsid w:val="00FD1627"/>
    <w:rsid w:val="00FD1BBD"/>
    <w:rsid w:val="00FD2FF9"/>
    <w:rsid w:val="00FD301F"/>
    <w:rsid w:val="00FD38B2"/>
    <w:rsid w:val="00FD419D"/>
    <w:rsid w:val="00FD43A0"/>
    <w:rsid w:val="00FD45DB"/>
    <w:rsid w:val="00FD473D"/>
    <w:rsid w:val="00FD55BA"/>
    <w:rsid w:val="00FD594D"/>
    <w:rsid w:val="00FD61C8"/>
    <w:rsid w:val="00FD63CE"/>
    <w:rsid w:val="00FD7D49"/>
    <w:rsid w:val="00FE1251"/>
    <w:rsid w:val="00FE16E6"/>
    <w:rsid w:val="00FE2F78"/>
    <w:rsid w:val="00FE3510"/>
    <w:rsid w:val="00FE371D"/>
    <w:rsid w:val="00FE375F"/>
    <w:rsid w:val="00FE3D8B"/>
    <w:rsid w:val="00FE42D4"/>
    <w:rsid w:val="00FE4BD3"/>
    <w:rsid w:val="00FE4FCB"/>
    <w:rsid w:val="00FE5BCA"/>
    <w:rsid w:val="00FE688F"/>
    <w:rsid w:val="00FE705E"/>
    <w:rsid w:val="00FF02EB"/>
    <w:rsid w:val="00FF152D"/>
    <w:rsid w:val="00FF1738"/>
    <w:rsid w:val="00FF1D20"/>
    <w:rsid w:val="00FF28E0"/>
    <w:rsid w:val="00FF2FB4"/>
    <w:rsid w:val="00FF30B3"/>
    <w:rsid w:val="00FF3DF3"/>
    <w:rsid w:val="00FF4027"/>
    <w:rsid w:val="00FF45A2"/>
    <w:rsid w:val="00FF5250"/>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A0039-1042-44E6-8959-06E79C3D9E9F}">
  <ds:schemaRefs>
    <ds:schemaRef ds:uri="http://schemas.openxmlformats.org/officeDocument/2006/bibliography"/>
  </ds:schemaRefs>
</ds:datastoreItem>
</file>

<file path=customXml/itemProps2.xml><?xml version="1.0" encoding="utf-8"?>
<ds:datastoreItem xmlns:ds="http://schemas.openxmlformats.org/officeDocument/2006/customXml" ds:itemID="{A9F34899-31C6-452C-9E58-B8A74E5B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2</TotalTime>
  <Pages>5</Pages>
  <Words>3065</Words>
  <Characters>18085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21108</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2017-03-16T10:07:00Z</cp:lastPrinted>
  <dcterms:created xsi:type="dcterms:W3CDTF">2017-04-24T10:05:00Z</dcterms:created>
  <dcterms:modified xsi:type="dcterms:W3CDTF">2017-04-24T10:07:00Z</dcterms:modified>
</cp:coreProperties>
</file>