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104F" w:rsidRPr="00790AB2" w:rsidRDefault="003D0EC8" w:rsidP="0097104F">
      <w:pPr>
        <w:pStyle w:val="Nadpis1"/>
        <w:rPr>
          <w:lang w:val="en-GB"/>
        </w:rPr>
      </w:pPr>
      <w:bookmarkStart w:id="0" w:name="_GoBack"/>
      <w:bookmarkEnd w:id="0"/>
      <w:r w:rsidRPr="003D0EC8">
        <w:rPr>
          <w:lang w:val="en-GB"/>
        </w:rPr>
        <w:t>YEAR-ON-YEAR PRICE GROWTH SLOWED DOWN</w:t>
      </w:r>
    </w:p>
    <w:p w:rsidR="00CA48C8" w:rsidRPr="00790AB2" w:rsidRDefault="00CA48C8" w:rsidP="0080778F">
      <w:pPr>
        <w:pStyle w:val="Nadpis2"/>
        <w:rPr>
          <w:i/>
          <w:iCs/>
          <w:u w:val="single"/>
          <w:lang w:val="en-GB"/>
        </w:rPr>
      </w:pPr>
      <w:r w:rsidRPr="00790AB2">
        <w:rPr>
          <w:lang w:val="en-GB"/>
        </w:rPr>
        <w:t>Consumer</w:t>
      </w:r>
      <w:r w:rsidR="00D64579" w:rsidRPr="00790AB2">
        <w:rPr>
          <w:lang w:val="en-GB"/>
        </w:rPr>
        <w:t xml:space="preserve"> price indices – inflation – </w:t>
      </w:r>
      <w:r w:rsidR="003D0EC8">
        <w:rPr>
          <w:lang w:val="en-GB"/>
        </w:rPr>
        <w:t>Octo</w:t>
      </w:r>
      <w:r w:rsidR="008D20A0">
        <w:rPr>
          <w:lang w:val="en-GB"/>
        </w:rPr>
        <w:t>ber</w:t>
      </w:r>
      <w:r w:rsidR="00310258" w:rsidRPr="00790AB2">
        <w:rPr>
          <w:lang w:val="en-GB"/>
        </w:rPr>
        <w:t xml:space="preserve"> 2020</w:t>
      </w:r>
    </w:p>
    <w:p w:rsidR="00083E40" w:rsidRPr="003D0EC8" w:rsidRDefault="003D0EC8" w:rsidP="00AB0E8C">
      <w:pPr>
        <w:pStyle w:val="Perex"/>
        <w:rPr>
          <w:b w:val="0"/>
          <w:szCs w:val="20"/>
          <w:lang w:val="en-GB"/>
        </w:rPr>
      </w:pPr>
      <w:r w:rsidRPr="003D0EC8">
        <w:rPr>
          <w:lang w:val="en-GB"/>
        </w:rPr>
        <w:t xml:space="preserve">Consumer prices in October increased by 0.2% compared with September. This development came primarily from price rise in </w:t>
      </w:r>
      <w:r w:rsidRPr="003D0EC8">
        <w:rPr>
          <w:rStyle w:val="tlid-translation"/>
          <w:lang w:val="en-GB"/>
        </w:rPr>
        <w:t xml:space="preserve">'food and non-alcoholic beverages' and in 'clothing and footwear', which was partially offset by price decrease in </w:t>
      </w:r>
      <w:r w:rsidRPr="003D0EC8">
        <w:rPr>
          <w:szCs w:val="20"/>
          <w:lang w:val="en-GB"/>
        </w:rPr>
        <w:t>'housing, water, electricity, gas and other fuels</w:t>
      </w:r>
      <w:r w:rsidRPr="003D0EC8">
        <w:rPr>
          <w:rStyle w:val="tlid-translation"/>
          <w:szCs w:val="20"/>
          <w:lang w:val="en-GB"/>
        </w:rPr>
        <w:t>’</w:t>
      </w:r>
      <w:r w:rsidRPr="003D0EC8">
        <w:rPr>
          <w:lang w:val="en-GB"/>
        </w:rPr>
        <w:t>. The year-on-year growth of consumer prices amounted to 2.9% in October, which was 0.3 percentage points down on September.</w:t>
      </w:r>
    </w:p>
    <w:p w:rsidR="002B00CB" w:rsidRPr="00790AB2" w:rsidRDefault="002B00CB" w:rsidP="002B00CB">
      <w:pPr>
        <w:spacing w:after="0"/>
        <w:jc w:val="both"/>
        <w:rPr>
          <w:szCs w:val="20"/>
          <w:lang w:val="en-GB"/>
        </w:rPr>
      </w:pPr>
      <w:r w:rsidRPr="00790AB2">
        <w:rPr>
          <w:rFonts w:cs="Arial"/>
          <w:b/>
          <w:szCs w:val="20"/>
          <w:lang w:val="en-GB"/>
        </w:rPr>
        <w:t>Month-on-month comparison</w:t>
      </w:r>
    </w:p>
    <w:p w:rsidR="003D0EC8" w:rsidRPr="003D0EC8" w:rsidRDefault="003D0EC8" w:rsidP="003D0EC8">
      <w:pPr>
        <w:pStyle w:val="Zkladntextodsazen2"/>
        <w:spacing w:after="240" w:line="288" w:lineRule="auto"/>
        <w:ind w:left="0"/>
        <w:rPr>
          <w:rFonts w:cs="Arial"/>
          <w:szCs w:val="20"/>
          <w:lang w:val="en-GB"/>
        </w:rPr>
      </w:pPr>
      <w:r w:rsidRPr="003D0EC8">
        <w:rPr>
          <w:rFonts w:cs="Arial"/>
          <w:szCs w:val="20"/>
          <w:lang w:val="en-GB"/>
        </w:rPr>
        <w:t>Price growth in ‘clothing and footwear’ came from higher prices of garments by 2.7% and shoes and other footwear by 3.3%. In</w:t>
      </w:r>
      <w:r w:rsidRPr="003D0EC8">
        <w:rPr>
          <w:rStyle w:val="tlid-translation"/>
          <w:szCs w:val="20"/>
          <w:lang w:val="en-GB"/>
        </w:rPr>
        <w:t xml:space="preserve"> 'food and non-alcoholic beverages', primarily prices of vegetables were higher by 6.6%, </w:t>
      </w:r>
      <w:r w:rsidRPr="003D0EC8">
        <w:rPr>
          <w:rFonts w:cs="Arial"/>
          <w:szCs w:val="20"/>
          <w:lang w:val="en-GB"/>
        </w:rPr>
        <w:t xml:space="preserve">fruit by 1.5%, pork by 1.8% and yoghurts by 3.0%. In </w:t>
      </w:r>
      <w:r w:rsidRPr="003D0EC8">
        <w:rPr>
          <w:rStyle w:val="tlid-translation"/>
          <w:szCs w:val="20"/>
          <w:lang w:val="en-GB"/>
        </w:rPr>
        <w:t>'</w:t>
      </w:r>
      <w:r w:rsidRPr="003D0EC8">
        <w:rPr>
          <w:rFonts w:cs="Arial"/>
          <w:szCs w:val="20"/>
          <w:lang w:val="en-GB"/>
        </w:rPr>
        <w:t>transport</w:t>
      </w:r>
      <w:r w:rsidRPr="003D0EC8">
        <w:rPr>
          <w:rStyle w:val="tlid-translation"/>
          <w:szCs w:val="20"/>
          <w:lang w:val="en-GB"/>
        </w:rPr>
        <w:t>', mainly prices of motor cars went up by 0.9% and prices of automotive fuels and lubricants by 0.4%.</w:t>
      </w:r>
    </w:p>
    <w:p w:rsidR="003D0EC8" w:rsidRPr="003D0EC8" w:rsidRDefault="003D0EC8" w:rsidP="003D0EC8">
      <w:pPr>
        <w:jc w:val="both"/>
        <w:rPr>
          <w:rFonts w:cs="Arial"/>
          <w:szCs w:val="20"/>
          <w:lang w:val="en-GB"/>
        </w:rPr>
      </w:pPr>
      <w:r w:rsidRPr="003D0EC8">
        <w:rPr>
          <w:rFonts w:cs="Arial"/>
          <w:szCs w:val="20"/>
          <w:lang w:val="en-GB"/>
        </w:rPr>
        <w:t>Month-on-month decrease in the overall consumer price level in October came primarily from price drop in 'housing, water, electricity, gas and other fuels</w:t>
      </w:r>
      <w:r w:rsidRPr="003D0EC8">
        <w:rPr>
          <w:rStyle w:val="tlid-translation"/>
          <w:szCs w:val="20"/>
          <w:lang w:val="en-GB"/>
        </w:rPr>
        <w:t>’, where prices of electricity were lower by 2.6% and natural gas by 4.3%. I</w:t>
      </w:r>
      <w:r w:rsidRPr="003D0EC8">
        <w:rPr>
          <w:rFonts w:cs="Arial"/>
          <w:szCs w:val="20"/>
          <w:lang w:val="en-GB"/>
        </w:rPr>
        <w:t xml:space="preserve">n </w:t>
      </w:r>
      <w:r w:rsidRPr="003D0EC8">
        <w:rPr>
          <w:rStyle w:val="tlid-translation"/>
          <w:szCs w:val="20"/>
          <w:lang w:val="en-GB"/>
        </w:rPr>
        <w:t>'</w:t>
      </w:r>
      <w:r w:rsidRPr="003D0EC8">
        <w:rPr>
          <w:rFonts w:cs="Arial"/>
          <w:szCs w:val="20"/>
          <w:lang w:val="en-GB"/>
        </w:rPr>
        <w:t>alcoholic beverages, tobacco</w:t>
      </w:r>
      <w:r w:rsidRPr="003D0EC8">
        <w:rPr>
          <w:rStyle w:val="tlid-translation"/>
          <w:szCs w:val="20"/>
          <w:lang w:val="en-GB"/>
        </w:rPr>
        <w:t>'</w:t>
      </w:r>
      <w:r w:rsidRPr="003D0EC8">
        <w:rPr>
          <w:rFonts w:cs="Arial"/>
          <w:szCs w:val="20"/>
          <w:lang w:val="en-GB"/>
        </w:rPr>
        <w:t xml:space="preserve"> prices of wine decreased by 4.4% and spirits by 2.9%. </w:t>
      </w:r>
      <w:r w:rsidRPr="003D0EC8">
        <w:rPr>
          <w:rStyle w:val="tlid-translation"/>
          <w:szCs w:val="20"/>
          <w:lang w:val="en-GB"/>
        </w:rPr>
        <w:t xml:space="preserve">In </w:t>
      </w:r>
      <w:r w:rsidRPr="003D0EC8">
        <w:rPr>
          <w:rFonts w:cs="Arial"/>
          <w:szCs w:val="20"/>
          <w:lang w:val="en-GB"/>
        </w:rPr>
        <w:t xml:space="preserve">food, mainly prices of sugar </w:t>
      </w:r>
      <w:proofErr w:type="spellStart"/>
      <w:r w:rsidRPr="003D0EC8">
        <w:rPr>
          <w:rFonts w:cs="Arial"/>
          <w:szCs w:val="20"/>
          <w:lang w:val="en-GB"/>
        </w:rPr>
        <w:t>were</w:t>
      </w:r>
      <w:proofErr w:type="spellEnd"/>
      <w:r w:rsidRPr="003D0EC8">
        <w:rPr>
          <w:rFonts w:cs="Arial"/>
          <w:szCs w:val="20"/>
          <w:lang w:val="en-GB"/>
        </w:rPr>
        <w:t xml:space="preserve"> lower by 10.6%, eggs by 3.7%, poultry by 1.1%, smoked meat and sausages by 0.6% and potatoes by 3.5%. Prices of potatoes reached value CZK 12.44 per kg, which was the lowest value since October 2016.</w:t>
      </w:r>
    </w:p>
    <w:p w:rsidR="00790AB2" w:rsidRPr="003D0EC8" w:rsidRDefault="003D0EC8" w:rsidP="003D0EC8">
      <w:pPr>
        <w:pStyle w:val="Poznmkytext"/>
        <w:spacing w:after="240" w:line="288" w:lineRule="auto"/>
        <w:rPr>
          <w:sz w:val="20"/>
          <w:szCs w:val="20"/>
          <w:lang w:val="en-GB"/>
        </w:rPr>
      </w:pPr>
      <w:r w:rsidRPr="003D0EC8">
        <w:rPr>
          <w:sz w:val="20"/>
          <w:szCs w:val="20"/>
          <w:lang w:val="en-GB"/>
        </w:rPr>
        <w:t>Both prices of goods in total and prices of services went up by 0.2%.</w:t>
      </w:r>
    </w:p>
    <w:p w:rsidR="002B00CB" w:rsidRPr="00790AB2" w:rsidRDefault="002B00CB" w:rsidP="00790AB2">
      <w:pPr>
        <w:pStyle w:val="Poznmkytext"/>
        <w:spacing w:line="288" w:lineRule="auto"/>
        <w:rPr>
          <w:b/>
          <w:color w:val="auto"/>
          <w:sz w:val="20"/>
          <w:szCs w:val="20"/>
          <w:lang w:val="en-GB"/>
        </w:rPr>
      </w:pPr>
      <w:r w:rsidRPr="00790AB2">
        <w:rPr>
          <w:b/>
          <w:color w:val="auto"/>
          <w:sz w:val="20"/>
          <w:szCs w:val="20"/>
          <w:lang w:val="en-GB"/>
        </w:rPr>
        <w:t>Year-on-year comparison</w:t>
      </w:r>
    </w:p>
    <w:p w:rsidR="003D0EC8" w:rsidRPr="003D0EC8" w:rsidRDefault="003D0EC8" w:rsidP="003D0EC8">
      <w:pPr>
        <w:jc w:val="both"/>
        <w:rPr>
          <w:rStyle w:val="tlid-translation"/>
          <w:lang w:val="en-GB"/>
        </w:rPr>
      </w:pPr>
      <w:r w:rsidRPr="003D0EC8">
        <w:rPr>
          <w:rFonts w:cs="Arial"/>
          <w:szCs w:val="20"/>
          <w:lang w:val="en-GB"/>
        </w:rPr>
        <w:t xml:space="preserve">Consumer prices </w:t>
      </w:r>
      <w:r w:rsidRPr="003D0EC8">
        <w:rPr>
          <w:rStyle w:val="tlid-translation"/>
          <w:lang w:val="en-GB"/>
        </w:rPr>
        <w:t xml:space="preserve">increased by 2.9% in October, </w:t>
      </w:r>
      <w:r w:rsidRPr="003D0EC8">
        <w:rPr>
          <w:lang w:val="en-GB"/>
        </w:rPr>
        <w:t>i.e. 0.3 percentage points down on September</w:t>
      </w:r>
      <w:r w:rsidRPr="003D0EC8">
        <w:rPr>
          <w:rStyle w:val="tlid-translation"/>
          <w:lang w:val="en-GB"/>
        </w:rPr>
        <w:t xml:space="preserve">. Slowdown in the year-on-year price growth occurred mainly in </w:t>
      </w:r>
      <w:r w:rsidRPr="003D0EC8">
        <w:rPr>
          <w:rFonts w:cs="Arial"/>
          <w:szCs w:val="20"/>
          <w:lang w:val="en-GB"/>
        </w:rPr>
        <w:t>'housing, water, electricity, gas and other fuels</w:t>
      </w:r>
      <w:r w:rsidRPr="003D0EC8">
        <w:rPr>
          <w:rStyle w:val="tlid-translation"/>
          <w:lang w:val="en-GB"/>
        </w:rPr>
        <w:t xml:space="preserve">', where price growth of electricity decelerated to 4.8% (7.6% in September) and prices of natural gas turned from price rise by 0.4% in September into decline by 3.9% in October. In 'food and non-alcoholic beverages', price growth of meat slowed down to 4.7% (5.6% in September), fruit to 13.9% (20.6% in September), prices of sugar turned from rise by 17.4% in September into decline by 0.9% in October. </w:t>
      </w:r>
      <w:r w:rsidRPr="003D0EC8">
        <w:rPr>
          <w:lang w:val="en-GB"/>
        </w:rPr>
        <w:t xml:space="preserve">The price drop of many kinds of food deepened. </w:t>
      </w:r>
      <w:r w:rsidRPr="003D0EC8">
        <w:rPr>
          <w:rStyle w:val="tlid-translation"/>
          <w:lang w:val="en-GB"/>
        </w:rPr>
        <w:t xml:space="preserve">Prices of semi-skimmed UHT milk were lower by 8.2% in October (decrease by 5.5% in September), eggs by 4.4% (decrease by 0.4% in September) and potatoes by 18.5% (decrease by 10.4% in September). </w:t>
      </w:r>
      <w:r w:rsidRPr="003D0EC8">
        <w:rPr>
          <w:rFonts w:cs="Arial"/>
          <w:szCs w:val="20"/>
          <w:lang w:val="en-GB"/>
        </w:rPr>
        <w:t xml:space="preserve">In </w:t>
      </w:r>
      <w:r w:rsidRPr="003D0EC8">
        <w:rPr>
          <w:rStyle w:val="tlid-translation"/>
          <w:lang w:val="en-GB"/>
        </w:rPr>
        <w:t>'alcoholic beverages, tobacco', price rise of spirits slowed down to 5.6% (8.5% in September), wine to 0.1% (2.1% in September) and beer to 4.2% (5.1% in September). Acceleration of year-on-year price rise occurred in 'transport', where prices of motor cars went up by 8.9% (7.7% in September).</w:t>
      </w:r>
    </w:p>
    <w:p w:rsidR="003D0EC8" w:rsidRPr="003D0EC8" w:rsidRDefault="003D0EC8" w:rsidP="003D0EC8">
      <w:pPr>
        <w:tabs>
          <w:tab w:val="left" w:pos="3119"/>
        </w:tabs>
        <w:jc w:val="both"/>
        <w:rPr>
          <w:rStyle w:val="tlid-translation"/>
          <w:lang w:val="en-GB"/>
        </w:rPr>
      </w:pPr>
      <w:r w:rsidRPr="003D0EC8">
        <w:rPr>
          <w:rFonts w:cs="Arial"/>
          <w:szCs w:val="20"/>
          <w:lang w:val="en-GB"/>
        </w:rPr>
        <w:t xml:space="preserve">The biggest influence on the growth of the year-on-year price level in October came, as before, from prices in </w:t>
      </w:r>
      <w:r w:rsidRPr="003D0EC8">
        <w:rPr>
          <w:rStyle w:val="tlid-translation"/>
          <w:lang w:val="en-GB"/>
        </w:rPr>
        <w:t>'</w:t>
      </w:r>
      <w:r w:rsidRPr="003D0EC8">
        <w:rPr>
          <w:rFonts w:cs="Arial"/>
          <w:szCs w:val="20"/>
          <w:lang w:val="en-GB"/>
        </w:rPr>
        <w:t>alcoholic beverages and tobacco</w:t>
      </w:r>
      <w:r w:rsidRPr="003D0EC8">
        <w:rPr>
          <w:rStyle w:val="tlid-translation"/>
          <w:lang w:val="en-GB"/>
        </w:rPr>
        <w:t>', where prices of alcoholic beverages increased by 3.5% and tobacco products by 14.1%. In '</w:t>
      </w:r>
      <w:r w:rsidRPr="003D0EC8">
        <w:rPr>
          <w:rStyle w:val="tlid-translation"/>
          <w:szCs w:val="20"/>
          <w:lang w:val="en-GB"/>
        </w:rPr>
        <w:t>food and non-alcoholic beverages</w:t>
      </w:r>
      <w:r w:rsidRPr="003D0EC8">
        <w:rPr>
          <w:rStyle w:val="tlid-translation"/>
          <w:lang w:val="en-GB"/>
        </w:rPr>
        <w:t>'</w:t>
      </w:r>
      <w:r w:rsidRPr="003D0EC8">
        <w:rPr>
          <w:rFonts w:cs="Arial"/>
          <w:szCs w:val="20"/>
          <w:lang w:val="en-GB"/>
        </w:rPr>
        <w:t xml:space="preserve">, prices of pork went up by 5.1%, smoked </w:t>
      </w:r>
      <w:r w:rsidRPr="003D0EC8">
        <w:rPr>
          <w:rStyle w:val="tlid-translation"/>
          <w:szCs w:val="20"/>
          <w:lang w:val="en-GB"/>
        </w:rPr>
        <w:t>meat and sausages</w:t>
      </w:r>
      <w:r w:rsidRPr="003D0EC8">
        <w:rPr>
          <w:rFonts w:cs="Arial"/>
          <w:szCs w:val="20"/>
          <w:lang w:val="en-GB"/>
        </w:rPr>
        <w:t xml:space="preserve"> by 5.9% and vegetables by 6.4%. In 'housing, water, electricity, gas and other fuels</w:t>
      </w:r>
      <w:r w:rsidRPr="003D0EC8">
        <w:rPr>
          <w:rStyle w:val="tlid-translation"/>
          <w:szCs w:val="20"/>
          <w:lang w:val="en-GB"/>
        </w:rPr>
        <w:t xml:space="preserve">’, prices of actual rentals were higher by 2.0%, water supply by 1.7% and sewage collection by 1.5%. </w:t>
      </w:r>
      <w:r w:rsidRPr="003D0EC8">
        <w:rPr>
          <w:rFonts w:cs="Arial"/>
          <w:szCs w:val="20"/>
          <w:lang w:val="en-GB"/>
        </w:rPr>
        <w:t xml:space="preserve">In </w:t>
      </w:r>
      <w:r w:rsidRPr="003D0EC8">
        <w:rPr>
          <w:rStyle w:val="tlid-translation"/>
          <w:lang w:val="en-GB"/>
        </w:rPr>
        <w:t>'</w:t>
      </w:r>
      <w:r w:rsidRPr="003D0EC8">
        <w:rPr>
          <w:rFonts w:cs="Arial"/>
          <w:szCs w:val="20"/>
          <w:lang w:val="en-GB"/>
        </w:rPr>
        <w:t>restaurants and hotels</w:t>
      </w:r>
      <w:r w:rsidRPr="003D0EC8">
        <w:rPr>
          <w:rStyle w:val="tlid-translation"/>
          <w:lang w:val="en-GB"/>
        </w:rPr>
        <w:t>'</w:t>
      </w:r>
      <w:r w:rsidRPr="003D0EC8">
        <w:rPr>
          <w:rFonts w:cs="Arial"/>
          <w:szCs w:val="20"/>
          <w:lang w:val="en-GB"/>
        </w:rPr>
        <w:t xml:space="preserve">, prices of catering services increased by 5.3%. A reduction in the overall price level in October came again from prices in </w:t>
      </w:r>
      <w:r w:rsidRPr="003D0EC8">
        <w:rPr>
          <w:rStyle w:val="tlid-translation"/>
          <w:lang w:val="en-GB"/>
        </w:rPr>
        <w:t>'communication' (decrease by 3.2%).</w:t>
      </w:r>
    </w:p>
    <w:p w:rsidR="003D0EC8" w:rsidRPr="003D0EC8" w:rsidRDefault="003D0EC8" w:rsidP="003D0EC8">
      <w:pPr>
        <w:jc w:val="both"/>
        <w:rPr>
          <w:rFonts w:cs="Arial"/>
          <w:szCs w:val="20"/>
          <w:lang w:val="en-GB"/>
        </w:rPr>
      </w:pPr>
      <w:r w:rsidRPr="003D0EC8">
        <w:rPr>
          <w:rFonts w:cs="Arial"/>
          <w:szCs w:val="20"/>
          <w:lang w:val="en-GB"/>
        </w:rPr>
        <w:t>Prices of goods in total and services went up (3.1% and 2.7%, respectively). The overall consumer price index excluding imputed rentals for housing was 103.1%, year-on-year.</w:t>
      </w:r>
    </w:p>
    <w:p w:rsidR="008D20A0" w:rsidRPr="003D0EC8" w:rsidRDefault="003D0EC8" w:rsidP="003D0EC8">
      <w:pPr>
        <w:jc w:val="both"/>
        <w:rPr>
          <w:rFonts w:cs="Arial"/>
          <w:szCs w:val="20"/>
          <w:lang w:val="en-GB"/>
        </w:rPr>
      </w:pPr>
      <w:r w:rsidRPr="003D0EC8">
        <w:rPr>
          <w:rFonts w:cs="Arial"/>
          <w:szCs w:val="20"/>
          <w:lang w:val="en-GB"/>
        </w:rPr>
        <w:t>Inflation rate, i.e. the increase in the average consumer price index in the twelve months to October 2020 compared with the average CPI in the previous twelve months, amounted to 3.3%.</w:t>
      </w:r>
    </w:p>
    <w:p w:rsidR="003D0EC8" w:rsidRPr="003D0EC8" w:rsidRDefault="003D0EC8" w:rsidP="003D0EC8">
      <w:pPr>
        <w:spacing w:after="0"/>
        <w:jc w:val="both"/>
        <w:rPr>
          <w:rFonts w:cs="Arial"/>
          <w:b/>
          <w:szCs w:val="20"/>
          <w:lang w:val="en-GB"/>
        </w:rPr>
      </w:pPr>
      <w:r w:rsidRPr="003D0EC8">
        <w:rPr>
          <w:rFonts w:cs="Arial"/>
          <w:b/>
          <w:szCs w:val="20"/>
          <w:lang w:val="en-GB"/>
        </w:rPr>
        <w:lastRenderedPageBreak/>
        <w:t>Harmonized index of consumer prices (HICP)</w:t>
      </w:r>
      <w:r w:rsidRPr="003D0EC8">
        <w:rPr>
          <w:rStyle w:val="Znakapoznpodarou"/>
          <w:rFonts w:cs="Arial"/>
          <w:szCs w:val="20"/>
          <w:lang w:val="en-GB"/>
        </w:rPr>
        <w:footnoteReference w:id="1"/>
      </w:r>
      <w:r w:rsidRPr="003D0EC8">
        <w:rPr>
          <w:rFonts w:cs="Arial"/>
          <w:szCs w:val="20"/>
          <w:vertAlign w:val="superscript"/>
          <w:lang w:val="en-GB"/>
        </w:rPr>
        <w:t>)</w:t>
      </w:r>
    </w:p>
    <w:p w:rsidR="003D0EC8" w:rsidRPr="003D0EC8" w:rsidRDefault="003D0EC8" w:rsidP="003D0EC8">
      <w:pPr>
        <w:jc w:val="both"/>
        <w:rPr>
          <w:rFonts w:cs="Arial"/>
          <w:szCs w:val="20"/>
          <w:lang w:val="en-GB"/>
        </w:rPr>
      </w:pPr>
      <w:r w:rsidRPr="003D0EC8">
        <w:rPr>
          <w:lang w:val="en-GB"/>
        </w:rPr>
        <w:t xml:space="preserve">According to preliminary calculations, the HICP in </w:t>
      </w:r>
      <w:proofErr w:type="spellStart"/>
      <w:r w:rsidRPr="003D0EC8">
        <w:rPr>
          <w:lang w:val="en-GB"/>
        </w:rPr>
        <w:t>Czechia</w:t>
      </w:r>
      <w:proofErr w:type="spellEnd"/>
      <w:r w:rsidRPr="003D0EC8">
        <w:rPr>
          <w:lang w:val="en-GB"/>
        </w:rPr>
        <w:t xml:space="preserve"> </w:t>
      </w:r>
      <w:r w:rsidRPr="003D0EC8">
        <w:rPr>
          <w:b/>
          <w:bCs/>
          <w:lang w:val="en-GB"/>
        </w:rPr>
        <w:t>in October</w:t>
      </w:r>
      <w:r w:rsidRPr="003D0EC8">
        <w:rPr>
          <w:lang w:val="en-GB"/>
        </w:rPr>
        <w:t xml:space="preserve"> went up by 0.1%,</w:t>
      </w:r>
      <w:r w:rsidRPr="003D0EC8">
        <w:rPr>
          <w:b/>
          <w:bCs/>
          <w:lang w:val="en-GB"/>
        </w:rPr>
        <w:t xml:space="preserve"> month-on-month</w:t>
      </w:r>
      <w:r w:rsidRPr="003D0EC8">
        <w:rPr>
          <w:lang w:val="en-GB"/>
        </w:rPr>
        <w:t xml:space="preserve"> and 2.9%, </w:t>
      </w:r>
      <w:r w:rsidRPr="003D0EC8">
        <w:rPr>
          <w:b/>
          <w:bCs/>
          <w:lang w:val="en-GB"/>
        </w:rPr>
        <w:t>year-on-year</w:t>
      </w:r>
      <w:r w:rsidRPr="003D0EC8">
        <w:rPr>
          <w:lang w:val="en-GB"/>
        </w:rPr>
        <w:t xml:space="preserve">. According to flash estimates of Eurostat, the </w:t>
      </w:r>
      <w:r w:rsidRPr="003D0EC8">
        <w:rPr>
          <w:rFonts w:cs="Arial"/>
          <w:szCs w:val="20"/>
          <w:lang w:val="en-GB"/>
        </w:rPr>
        <w:t xml:space="preserve">MUICP (Monetary Union Index of Consumer Prices) </w:t>
      </w:r>
      <w:r w:rsidRPr="003D0EC8">
        <w:rPr>
          <w:rFonts w:cs="Arial"/>
          <w:b/>
          <w:szCs w:val="20"/>
          <w:lang w:val="en-GB"/>
        </w:rPr>
        <w:t xml:space="preserve">in October 2020 </w:t>
      </w:r>
      <w:r w:rsidRPr="003D0EC8">
        <w:rPr>
          <w:rFonts w:cs="Arial"/>
          <w:szCs w:val="20"/>
          <w:lang w:val="en-GB"/>
        </w:rPr>
        <w:t xml:space="preserve">amounted to </w:t>
      </w:r>
      <w:r>
        <w:rPr>
          <w:rFonts w:cs="Arial"/>
          <w:szCs w:val="20"/>
          <w:lang w:val="en-GB"/>
        </w:rPr>
        <w:t>–</w:t>
      </w:r>
      <w:r w:rsidRPr="003D0EC8">
        <w:rPr>
          <w:rFonts w:cs="Arial"/>
          <w:szCs w:val="20"/>
          <w:lang w:val="en-GB"/>
        </w:rPr>
        <w:t xml:space="preserve">0.3% </w:t>
      </w:r>
      <w:r w:rsidRPr="003D0EC8">
        <w:rPr>
          <w:rFonts w:cs="Arial"/>
          <w:b/>
          <w:szCs w:val="20"/>
          <w:lang w:val="en-GB"/>
        </w:rPr>
        <w:t>year-on-year</w:t>
      </w:r>
      <w:r w:rsidRPr="003D0EC8">
        <w:rPr>
          <w:rFonts w:cs="Arial"/>
          <w:szCs w:val="20"/>
          <w:lang w:val="en-GB"/>
        </w:rPr>
        <w:t xml:space="preserve">, in Slovakia, prices were higher by 1.7% in October and on the contrary in Germany, prices were lower by 0.5%. According to preliminary data of Eurostat, the </w:t>
      </w:r>
      <w:r w:rsidRPr="003D0EC8">
        <w:rPr>
          <w:rFonts w:cs="Arial"/>
          <w:b/>
          <w:szCs w:val="20"/>
          <w:lang w:val="en-GB"/>
        </w:rPr>
        <w:t>year-on-year</w:t>
      </w:r>
      <w:r w:rsidRPr="003D0EC8">
        <w:rPr>
          <w:rFonts w:cs="Arial"/>
          <w:szCs w:val="20"/>
          <w:lang w:val="en-GB"/>
        </w:rPr>
        <w:t xml:space="preserve"> change in the average </w:t>
      </w:r>
      <w:r w:rsidRPr="003D0EC8">
        <w:rPr>
          <w:rFonts w:cs="Arial"/>
          <w:b/>
          <w:szCs w:val="20"/>
          <w:lang w:val="en-GB"/>
        </w:rPr>
        <w:t>harmonized index of consumer prices</w:t>
      </w:r>
      <w:r w:rsidRPr="003D0EC8">
        <w:rPr>
          <w:rFonts w:cs="Arial"/>
          <w:szCs w:val="20"/>
          <w:lang w:val="en-GB"/>
        </w:rPr>
        <w:t xml:space="preserve"> (HICP) in the </w:t>
      </w:r>
      <w:r w:rsidRPr="003D0EC8">
        <w:rPr>
          <w:rFonts w:cs="Arial"/>
          <w:b/>
          <w:szCs w:val="20"/>
          <w:lang w:val="en-GB"/>
        </w:rPr>
        <w:t>EU27 member states</w:t>
      </w:r>
      <w:r w:rsidRPr="003D0EC8">
        <w:rPr>
          <w:rFonts w:cs="Arial"/>
          <w:szCs w:val="20"/>
          <w:lang w:val="en-GB"/>
        </w:rPr>
        <w:t xml:space="preserve"> amounted to 0.2% </w:t>
      </w:r>
      <w:r w:rsidRPr="003D0EC8">
        <w:rPr>
          <w:rStyle w:val="tlid-translation"/>
          <w:b/>
          <w:lang w:val="en-GB"/>
        </w:rPr>
        <w:t xml:space="preserve">in September </w:t>
      </w:r>
      <w:r w:rsidRPr="003D0EC8">
        <w:rPr>
          <w:rFonts w:cs="Arial"/>
          <w:szCs w:val="20"/>
          <w:lang w:val="en-GB"/>
        </w:rPr>
        <w:t>(0.2 percentage point down on August)</w:t>
      </w:r>
      <w:r w:rsidRPr="003D0EC8">
        <w:rPr>
          <w:rStyle w:val="tlid-translation"/>
          <w:lang w:val="en-GB"/>
        </w:rPr>
        <w:t xml:space="preserve">. </w:t>
      </w:r>
      <w:r w:rsidRPr="003D0EC8">
        <w:rPr>
          <w:rFonts w:cs="Arial"/>
          <w:szCs w:val="20"/>
          <w:lang w:val="en-GB"/>
        </w:rPr>
        <w:t>The rise in prices was the highest in Poland (3.8%) and the deepest price reduction occurred in Greece (</w:t>
      </w:r>
      <w:r>
        <w:rPr>
          <w:rFonts w:cs="Arial"/>
          <w:szCs w:val="20"/>
          <w:lang w:val="en-GB"/>
        </w:rPr>
        <w:t>–</w:t>
      </w:r>
      <w:r w:rsidRPr="003D0EC8">
        <w:rPr>
          <w:rFonts w:cs="Arial"/>
          <w:szCs w:val="20"/>
          <w:lang w:val="en-GB"/>
        </w:rPr>
        <w:t>2.3%). In Slovakia, prices were higher by 1.4% and in Germany prices decreased by 0.4%.</w:t>
      </w:r>
    </w:p>
    <w:p w:rsidR="00416112" w:rsidRPr="003D0EC8" w:rsidRDefault="003D0EC8" w:rsidP="003D0EC8">
      <w:pPr>
        <w:jc w:val="both"/>
        <w:rPr>
          <w:rFonts w:cs="Arial"/>
          <w:szCs w:val="20"/>
          <w:lang w:val="en-GB"/>
        </w:rPr>
      </w:pPr>
      <w:r w:rsidRPr="003D0EC8">
        <w:rPr>
          <w:rFonts w:cs="Arial"/>
          <w:szCs w:val="20"/>
          <w:lang w:val="en-GB"/>
        </w:rPr>
        <w:t>(</w:t>
      </w:r>
      <w:proofErr w:type="gramStart"/>
      <w:r w:rsidRPr="003D0EC8">
        <w:rPr>
          <w:rFonts w:cs="Arial"/>
          <w:szCs w:val="20"/>
          <w:lang w:val="en-GB"/>
        </w:rPr>
        <w:t>more</w:t>
      </w:r>
      <w:proofErr w:type="gramEnd"/>
      <w:r w:rsidRPr="003D0EC8">
        <w:rPr>
          <w:rFonts w:cs="Arial"/>
          <w:szCs w:val="20"/>
          <w:lang w:val="en-GB"/>
        </w:rPr>
        <w:t xml:space="preserve"> information on the Eurostat’s web pages: </w:t>
      </w:r>
      <w:hyperlink r:id="rId8" w:history="1">
        <w:r w:rsidRPr="003D0EC8">
          <w:rPr>
            <w:rStyle w:val="Hypertextovodkaz"/>
            <w:rFonts w:cs="Arial"/>
            <w:b/>
            <w:szCs w:val="20"/>
            <w:lang w:val="en-GB"/>
          </w:rPr>
          <w:t>HICP</w:t>
        </w:r>
      </w:hyperlink>
      <w:r w:rsidRPr="003D0EC8">
        <w:rPr>
          <w:szCs w:val="20"/>
          <w:lang w:val="en-GB"/>
        </w:rPr>
        <w:t>.</w:t>
      </w:r>
      <w:r w:rsidRPr="003D0EC8">
        <w:rPr>
          <w:rFonts w:cs="Arial"/>
          <w:szCs w:val="20"/>
          <w:lang w:val="en-GB"/>
        </w:rPr>
        <w:t>)</w:t>
      </w:r>
    </w:p>
    <w:sectPr w:rsidR="00416112" w:rsidRPr="003D0EC8" w:rsidSect="00D64579">
      <w:headerReference w:type="even" r:id="rId9"/>
      <w:headerReference w:type="default" r:id="rId10"/>
      <w:footerReference w:type="even" r:id="rId11"/>
      <w:footerReference w:type="default" r:id="rId12"/>
      <w:pgSz w:w="11906" w:h="16838" w:code="9"/>
      <w:pgMar w:top="1134" w:right="1134" w:bottom="1418" w:left="1134" w:header="51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005" w:rsidRDefault="00851005" w:rsidP="00E71A58">
      <w:r>
        <w:separator/>
      </w:r>
    </w:p>
  </w:endnote>
  <w:endnote w:type="continuationSeparator" w:id="0">
    <w:p w:rsidR="00851005" w:rsidRDefault="00851005"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MT">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3EC" w:rsidRPr="00F1639F" w:rsidRDefault="00F943EC" w:rsidP="00A418BC">
    <w:pPr>
      <w:pStyle w:val="Zpat"/>
      <w:rPr>
        <w:szCs w:val="16"/>
      </w:rPr>
    </w:pPr>
    <w:r w:rsidRPr="00F1639F">
      <w:rPr>
        <w:szCs w:val="16"/>
      </w:rPr>
      <w:tab/>
    </w:r>
    <w:r>
      <w:rPr>
        <w:szCs w:val="16"/>
      </w:rPr>
      <w:t>leden 2017</w:t>
    </w:r>
    <w:r w:rsidRPr="00F1639F">
      <w:rPr>
        <w:szCs w:val="16"/>
      </w:rPr>
      <w:t xml:space="preserve"> / </w:t>
    </w:r>
    <w:r>
      <w:rPr>
        <w:i/>
        <w:szCs w:val="16"/>
      </w:rPr>
      <w:t>January 2017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3EC" w:rsidRPr="00F1639F" w:rsidRDefault="00F943EC" w:rsidP="00A418BC">
    <w:pPr>
      <w:pStyle w:val="Zpat"/>
      <w:rPr>
        <w:szCs w:val="16"/>
      </w:rPr>
    </w:pPr>
    <w:r w:rsidRPr="00F1639F">
      <w:rPr>
        <w:szCs w:val="16"/>
      </w:rPr>
      <w:tab/>
    </w:r>
    <w:r w:rsidR="00EB1F23">
      <w:rPr>
        <w:szCs w:val="16"/>
      </w:rPr>
      <w:t>ří</w:t>
    </w:r>
    <w:r w:rsidR="00E4267E">
      <w:rPr>
        <w:szCs w:val="16"/>
      </w:rPr>
      <w:t>jen</w:t>
    </w:r>
    <w:r>
      <w:rPr>
        <w:rStyle w:val="ZpatChar"/>
        <w:szCs w:val="16"/>
      </w:rPr>
      <w:t xml:space="preserve"> 20</w:t>
    </w:r>
    <w:r w:rsidR="00FB3C77">
      <w:rPr>
        <w:rStyle w:val="ZpatChar"/>
        <w:szCs w:val="16"/>
      </w:rPr>
      <w:t>20</w:t>
    </w:r>
    <w:r w:rsidRPr="00F1639F">
      <w:rPr>
        <w:rStyle w:val="ZpatChar"/>
        <w:szCs w:val="16"/>
      </w:rPr>
      <w:t xml:space="preserve"> / </w:t>
    </w:r>
    <w:r w:rsidR="00E4267E">
      <w:rPr>
        <w:rStyle w:val="ZpatChar"/>
        <w:i/>
        <w:szCs w:val="16"/>
      </w:rPr>
      <w:t>Octo</w:t>
    </w:r>
    <w:r w:rsidR="00EB1F23">
      <w:rPr>
        <w:rStyle w:val="ZpatChar"/>
        <w:i/>
        <w:szCs w:val="16"/>
      </w:rPr>
      <w:t>ber</w:t>
    </w:r>
    <w:r w:rsidR="00FB3C77">
      <w:rPr>
        <w:rStyle w:val="ZpatChar"/>
        <w:i/>
        <w:szCs w:val="16"/>
      </w:rPr>
      <w:t xml:space="preserve"> 2020</w:t>
    </w:r>
    <w:r w:rsidRPr="00F1639F">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005" w:rsidRDefault="00851005" w:rsidP="00E71A58">
      <w:r>
        <w:separator/>
      </w:r>
    </w:p>
  </w:footnote>
  <w:footnote w:type="continuationSeparator" w:id="0">
    <w:p w:rsidR="00851005" w:rsidRDefault="00851005" w:rsidP="00E71A58">
      <w:r>
        <w:continuationSeparator/>
      </w:r>
    </w:p>
  </w:footnote>
  <w:footnote w:id="1">
    <w:p w:rsidR="003D0EC8" w:rsidRPr="009A72CC" w:rsidRDefault="003D0EC8" w:rsidP="003D0EC8">
      <w:pPr>
        <w:pStyle w:val="Textpoznpodarou"/>
        <w:rPr>
          <w:lang w:val="cs-CZ"/>
        </w:rPr>
      </w:pPr>
      <w:r w:rsidRPr="00A4331D">
        <w:rPr>
          <w:rStyle w:val="Znakapoznpodarou"/>
          <w:rFonts w:ascii="Arial" w:hAnsi="Arial" w:cs="Arial"/>
          <w:sz w:val="18"/>
          <w:szCs w:val="18"/>
        </w:rPr>
        <w:footnoteRef/>
      </w:r>
      <w:r w:rsidRPr="00A4331D">
        <w:rPr>
          <w:rFonts w:ascii="Arial" w:hAnsi="Arial" w:cs="Arial"/>
          <w:sz w:val="18"/>
          <w:szCs w:val="18"/>
          <w:vertAlign w:val="superscript"/>
        </w:rPr>
        <w:t>)</w:t>
      </w:r>
      <w:r>
        <w:rPr>
          <w:vertAlign w:val="superscript"/>
        </w:rPr>
        <w:t xml:space="preserve"> </w:t>
      </w:r>
      <w:r>
        <w:rPr>
          <w:rFonts w:ascii="Arial" w:hAnsi="Arial" w:cs="Arial"/>
          <w:sz w:val="18"/>
          <w:szCs w:val="18"/>
        </w:rPr>
        <w:t>I</w:t>
      </w:r>
      <w:r w:rsidRPr="009A72CC">
        <w:rPr>
          <w:rFonts w:ascii="Arial" w:hAnsi="Arial" w:cs="Arial"/>
          <w:sz w:val="18"/>
          <w:szCs w:val="18"/>
        </w:rPr>
        <w:t xml:space="preserve">mputed rentals </w:t>
      </w:r>
      <w:r>
        <w:rPr>
          <w:rFonts w:ascii="Arial" w:hAnsi="Arial" w:cs="Arial"/>
          <w:sz w:val="18"/>
          <w:szCs w:val="18"/>
        </w:rPr>
        <w:t>are</w:t>
      </w:r>
      <w:r w:rsidRPr="009A72CC">
        <w:rPr>
          <w:rFonts w:ascii="Arial" w:hAnsi="Arial" w:cs="Arial"/>
          <w:sz w:val="18"/>
          <w:szCs w:val="18"/>
        </w:rPr>
        <w:t xml:space="preserve"> excluded from the</w:t>
      </w:r>
      <w:r w:rsidRPr="00E4317A">
        <w:rPr>
          <w:rFonts w:ascii="Arial" w:hAnsi="Arial" w:cs="Arial"/>
          <w:sz w:val="18"/>
          <w:szCs w:val="18"/>
        </w:rPr>
        <w:t xml:space="preserve"> HICP</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3EC" w:rsidRPr="00937AE2" w:rsidRDefault="00F943EC" w:rsidP="00937AE2">
    <w:pPr>
      <w:pStyle w:val="Zhlav"/>
    </w:pPr>
    <w:r>
      <w:t>Indexy spotřebitelských cen</w:t>
    </w:r>
  </w:p>
  <w:p w:rsidR="00F943EC" w:rsidRPr="00937AE2" w:rsidRDefault="00F943EC" w:rsidP="00937AE2">
    <w:pPr>
      <w:pStyle w:val="Zhlav"/>
      <w:rPr>
        <w:i/>
      </w:rPr>
    </w:pPr>
    <w:proofErr w:type="spellStart"/>
    <w:r>
      <w:rPr>
        <w:i/>
      </w:rPr>
      <w:t>Consumer</w:t>
    </w:r>
    <w:proofErr w:type="spellEnd"/>
    <w:r>
      <w:rPr>
        <w:i/>
      </w:rPr>
      <w:t xml:space="preserve"> </w:t>
    </w:r>
    <w:proofErr w:type="spellStart"/>
    <w:r>
      <w:rPr>
        <w:i/>
      </w:rPr>
      <w:t>Price</w:t>
    </w:r>
    <w:proofErr w:type="spellEnd"/>
    <w:r>
      <w:rPr>
        <w:i/>
      </w:rPr>
      <w:t xml:space="preserve"> </w:t>
    </w:r>
    <w:proofErr w:type="spellStart"/>
    <w:r>
      <w:rPr>
        <w:i/>
      </w:rPr>
      <w:t>Indices</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3EC" w:rsidRPr="00937AE2" w:rsidRDefault="00F943EC" w:rsidP="00937AE2">
    <w:pPr>
      <w:pStyle w:val="Zhlav"/>
    </w:pPr>
    <w:r>
      <w:t>Indexy spotřebitelských cen</w:t>
    </w:r>
  </w:p>
  <w:p w:rsidR="00F943EC" w:rsidRPr="006B050D" w:rsidRDefault="00F943EC" w:rsidP="00937AE2">
    <w:pPr>
      <w:pStyle w:val="Zhlav"/>
      <w:rPr>
        <w:i/>
        <w:lang w:val="en-GB"/>
      </w:rPr>
    </w:pPr>
    <w:r w:rsidRPr="006B050D">
      <w:rPr>
        <w:i/>
        <w:lang w:val="en-GB"/>
      </w:rPr>
      <w:t>Consumer Price Indices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EA40CC4"/>
    <w:multiLevelType w:val="hybridMultilevel"/>
    <w:tmpl w:val="EDD461DA"/>
    <w:lvl w:ilvl="0" w:tplc="2E68B84C">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92012C4"/>
    <w:multiLevelType w:val="hybridMultilevel"/>
    <w:tmpl w:val="51BE5DE0"/>
    <w:lvl w:ilvl="0" w:tplc="D2627E9C">
      <w:start w:val="1"/>
      <w:numFmt w:val="decimal"/>
      <w:lvlText w:val="%1."/>
      <w:lvlJc w:val="left"/>
      <w:pPr>
        <w:tabs>
          <w:tab w:val="num" w:pos="1287"/>
        </w:tabs>
        <w:ind w:left="1287" w:hanging="72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8E70314"/>
    <w:multiLevelType w:val="hybridMultilevel"/>
    <w:tmpl w:val="6E1CADD2"/>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E276D62"/>
    <w:multiLevelType w:val="hybridMultilevel"/>
    <w:tmpl w:val="C748CB34"/>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4"/>
  </w:num>
  <w:num w:numId="14">
    <w:abstractNumId w:val="13"/>
  </w:num>
  <w:num w:numId="15">
    <w:abstractNumId w:val="11"/>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drawingGridHorizontalSpacing w:val="10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2"/>
  </w:compat>
  <w:rsids>
    <w:rsidRoot w:val="0097104F"/>
    <w:rsid w:val="0000209D"/>
    <w:rsid w:val="00004D5A"/>
    <w:rsid w:val="000056D5"/>
    <w:rsid w:val="00005E1E"/>
    <w:rsid w:val="0000767A"/>
    <w:rsid w:val="00010702"/>
    <w:rsid w:val="00010775"/>
    <w:rsid w:val="000234D6"/>
    <w:rsid w:val="00023D29"/>
    <w:rsid w:val="0002623C"/>
    <w:rsid w:val="00026389"/>
    <w:rsid w:val="00031AE0"/>
    <w:rsid w:val="000322EF"/>
    <w:rsid w:val="00033FCD"/>
    <w:rsid w:val="000340E7"/>
    <w:rsid w:val="00041CEC"/>
    <w:rsid w:val="0004694F"/>
    <w:rsid w:val="00046BAE"/>
    <w:rsid w:val="00046D89"/>
    <w:rsid w:val="000522E4"/>
    <w:rsid w:val="00060C86"/>
    <w:rsid w:val="00060C89"/>
    <w:rsid w:val="000610E1"/>
    <w:rsid w:val="00062EC5"/>
    <w:rsid w:val="00062F22"/>
    <w:rsid w:val="00066633"/>
    <w:rsid w:val="000712B3"/>
    <w:rsid w:val="00073FCA"/>
    <w:rsid w:val="00075F84"/>
    <w:rsid w:val="00077D74"/>
    <w:rsid w:val="000816CE"/>
    <w:rsid w:val="0008263E"/>
    <w:rsid w:val="00082C19"/>
    <w:rsid w:val="00083E40"/>
    <w:rsid w:val="00085395"/>
    <w:rsid w:val="00087634"/>
    <w:rsid w:val="00087F2B"/>
    <w:rsid w:val="000965A4"/>
    <w:rsid w:val="00096884"/>
    <w:rsid w:val="000974D1"/>
    <w:rsid w:val="0009799E"/>
    <w:rsid w:val="000A1183"/>
    <w:rsid w:val="000A136C"/>
    <w:rsid w:val="000A256D"/>
    <w:rsid w:val="000A3440"/>
    <w:rsid w:val="000A3A2C"/>
    <w:rsid w:val="000B0433"/>
    <w:rsid w:val="000B2BED"/>
    <w:rsid w:val="000C3408"/>
    <w:rsid w:val="000C55F1"/>
    <w:rsid w:val="000C6AFD"/>
    <w:rsid w:val="000D019F"/>
    <w:rsid w:val="000D0CA3"/>
    <w:rsid w:val="000D468B"/>
    <w:rsid w:val="000D5637"/>
    <w:rsid w:val="000D79A9"/>
    <w:rsid w:val="000E6FBD"/>
    <w:rsid w:val="000F7F50"/>
    <w:rsid w:val="00100F5C"/>
    <w:rsid w:val="00101053"/>
    <w:rsid w:val="00104C4C"/>
    <w:rsid w:val="0010554E"/>
    <w:rsid w:val="001077F9"/>
    <w:rsid w:val="00113783"/>
    <w:rsid w:val="0012192F"/>
    <w:rsid w:val="00122F92"/>
    <w:rsid w:val="00125D69"/>
    <w:rsid w:val="001300F2"/>
    <w:rsid w:val="00131845"/>
    <w:rsid w:val="00140213"/>
    <w:rsid w:val="001405FA"/>
    <w:rsid w:val="001425C3"/>
    <w:rsid w:val="00146371"/>
    <w:rsid w:val="00157546"/>
    <w:rsid w:val="0016256B"/>
    <w:rsid w:val="00163793"/>
    <w:rsid w:val="001637B7"/>
    <w:rsid w:val="001706D6"/>
    <w:rsid w:val="001714F2"/>
    <w:rsid w:val="00180022"/>
    <w:rsid w:val="001827D4"/>
    <w:rsid w:val="001841DE"/>
    <w:rsid w:val="001849F2"/>
    <w:rsid w:val="00184B08"/>
    <w:rsid w:val="00185010"/>
    <w:rsid w:val="001903FE"/>
    <w:rsid w:val="001943F1"/>
    <w:rsid w:val="001A0C41"/>
    <w:rsid w:val="001A552F"/>
    <w:rsid w:val="001B2B92"/>
    <w:rsid w:val="001B2CA9"/>
    <w:rsid w:val="001B3110"/>
    <w:rsid w:val="001B4729"/>
    <w:rsid w:val="001B6C09"/>
    <w:rsid w:val="001C05CD"/>
    <w:rsid w:val="001D68B2"/>
    <w:rsid w:val="001D6A28"/>
    <w:rsid w:val="001E0089"/>
    <w:rsid w:val="001E53BD"/>
    <w:rsid w:val="001E69B2"/>
    <w:rsid w:val="001F4597"/>
    <w:rsid w:val="00202B63"/>
    <w:rsid w:val="00205249"/>
    <w:rsid w:val="002118B9"/>
    <w:rsid w:val="00213083"/>
    <w:rsid w:val="00217C5B"/>
    <w:rsid w:val="0022139E"/>
    <w:rsid w:val="002252E0"/>
    <w:rsid w:val="002255F6"/>
    <w:rsid w:val="00227850"/>
    <w:rsid w:val="002306D3"/>
    <w:rsid w:val="00230C6E"/>
    <w:rsid w:val="00231B76"/>
    <w:rsid w:val="00236443"/>
    <w:rsid w:val="0024086A"/>
    <w:rsid w:val="002436BA"/>
    <w:rsid w:val="00244A15"/>
    <w:rsid w:val="00247319"/>
    <w:rsid w:val="0024799E"/>
    <w:rsid w:val="0025228E"/>
    <w:rsid w:val="00253C0F"/>
    <w:rsid w:val="00253FD1"/>
    <w:rsid w:val="0025546C"/>
    <w:rsid w:val="00263F3B"/>
    <w:rsid w:val="00271338"/>
    <w:rsid w:val="00271465"/>
    <w:rsid w:val="0027243C"/>
    <w:rsid w:val="00276C07"/>
    <w:rsid w:val="002810B2"/>
    <w:rsid w:val="002813A3"/>
    <w:rsid w:val="00285412"/>
    <w:rsid w:val="00286542"/>
    <w:rsid w:val="002A16D4"/>
    <w:rsid w:val="002A230C"/>
    <w:rsid w:val="002B00CB"/>
    <w:rsid w:val="002B3598"/>
    <w:rsid w:val="002B6FD1"/>
    <w:rsid w:val="002C4142"/>
    <w:rsid w:val="002C43BD"/>
    <w:rsid w:val="002C6187"/>
    <w:rsid w:val="002D0E59"/>
    <w:rsid w:val="002D16B7"/>
    <w:rsid w:val="002D46C0"/>
    <w:rsid w:val="002D7124"/>
    <w:rsid w:val="002E02A1"/>
    <w:rsid w:val="002E16B1"/>
    <w:rsid w:val="002E4E4C"/>
    <w:rsid w:val="002E57D3"/>
    <w:rsid w:val="00300DF0"/>
    <w:rsid w:val="00300FF9"/>
    <w:rsid w:val="00301AAE"/>
    <w:rsid w:val="00302FCE"/>
    <w:rsid w:val="00304771"/>
    <w:rsid w:val="003052D4"/>
    <w:rsid w:val="00306C5B"/>
    <w:rsid w:val="00310258"/>
    <w:rsid w:val="003209D6"/>
    <w:rsid w:val="0032656E"/>
    <w:rsid w:val="00332190"/>
    <w:rsid w:val="00344668"/>
    <w:rsid w:val="00344B94"/>
    <w:rsid w:val="003462D9"/>
    <w:rsid w:val="00354FBC"/>
    <w:rsid w:val="00357440"/>
    <w:rsid w:val="00362265"/>
    <w:rsid w:val="003657F3"/>
    <w:rsid w:val="00376EF6"/>
    <w:rsid w:val="003818DC"/>
    <w:rsid w:val="00385D98"/>
    <w:rsid w:val="00390FD1"/>
    <w:rsid w:val="00392993"/>
    <w:rsid w:val="003A2B4D"/>
    <w:rsid w:val="003A478C"/>
    <w:rsid w:val="003A5525"/>
    <w:rsid w:val="003A6B38"/>
    <w:rsid w:val="003B5A32"/>
    <w:rsid w:val="003C3490"/>
    <w:rsid w:val="003C63BD"/>
    <w:rsid w:val="003D0EC8"/>
    <w:rsid w:val="003D323E"/>
    <w:rsid w:val="003D392C"/>
    <w:rsid w:val="003D3BEB"/>
    <w:rsid w:val="003D4440"/>
    <w:rsid w:val="003D6920"/>
    <w:rsid w:val="003E4C91"/>
    <w:rsid w:val="003F00B1"/>
    <w:rsid w:val="003F313C"/>
    <w:rsid w:val="003F551C"/>
    <w:rsid w:val="003F76F8"/>
    <w:rsid w:val="00400B0C"/>
    <w:rsid w:val="00400F14"/>
    <w:rsid w:val="00402F06"/>
    <w:rsid w:val="00407C13"/>
    <w:rsid w:val="00410638"/>
    <w:rsid w:val="00415FA5"/>
    <w:rsid w:val="00416112"/>
    <w:rsid w:val="00422506"/>
    <w:rsid w:val="004228F1"/>
    <w:rsid w:val="004237F1"/>
    <w:rsid w:val="00432A58"/>
    <w:rsid w:val="00434617"/>
    <w:rsid w:val="00440900"/>
    <w:rsid w:val="00441990"/>
    <w:rsid w:val="004441A0"/>
    <w:rsid w:val="00446934"/>
    <w:rsid w:val="00454C5D"/>
    <w:rsid w:val="00463856"/>
    <w:rsid w:val="004678F3"/>
    <w:rsid w:val="00476240"/>
    <w:rsid w:val="00476439"/>
    <w:rsid w:val="0047735C"/>
    <w:rsid w:val="004776BC"/>
    <w:rsid w:val="0048139F"/>
    <w:rsid w:val="00481E40"/>
    <w:rsid w:val="00484ECE"/>
    <w:rsid w:val="004915CB"/>
    <w:rsid w:val="004A031C"/>
    <w:rsid w:val="004A1103"/>
    <w:rsid w:val="004A1719"/>
    <w:rsid w:val="004A3212"/>
    <w:rsid w:val="004A61C5"/>
    <w:rsid w:val="004A629F"/>
    <w:rsid w:val="004A7417"/>
    <w:rsid w:val="004A77DF"/>
    <w:rsid w:val="004B1417"/>
    <w:rsid w:val="004B50E9"/>
    <w:rsid w:val="004B55B7"/>
    <w:rsid w:val="004B6468"/>
    <w:rsid w:val="004C1B7A"/>
    <w:rsid w:val="004C384C"/>
    <w:rsid w:val="004C3867"/>
    <w:rsid w:val="004C4CD0"/>
    <w:rsid w:val="004C70DC"/>
    <w:rsid w:val="004D0211"/>
    <w:rsid w:val="004D0794"/>
    <w:rsid w:val="004D1980"/>
    <w:rsid w:val="004D5332"/>
    <w:rsid w:val="004D5528"/>
    <w:rsid w:val="004D6965"/>
    <w:rsid w:val="004F06F5"/>
    <w:rsid w:val="004F1C34"/>
    <w:rsid w:val="004F33A0"/>
    <w:rsid w:val="00500157"/>
    <w:rsid w:val="005108C0"/>
    <w:rsid w:val="00511873"/>
    <w:rsid w:val="005125A1"/>
    <w:rsid w:val="00512A2F"/>
    <w:rsid w:val="00513B7E"/>
    <w:rsid w:val="00515C74"/>
    <w:rsid w:val="0052007E"/>
    <w:rsid w:val="0052337A"/>
    <w:rsid w:val="0052445C"/>
    <w:rsid w:val="00524776"/>
    <w:rsid w:val="00525137"/>
    <w:rsid w:val="005251DD"/>
    <w:rsid w:val="00532CE7"/>
    <w:rsid w:val="0053324C"/>
    <w:rsid w:val="00534715"/>
    <w:rsid w:val="00534A28"/>
    <w:rsid w:val="00534C67"/>
    <w:rsid w:val="00534F19"/>
    <w:rsid w:val="005412DF"/>
    <w:rsid w:val="00541508"/>
    <w:rsid w:val="00541DB9"/>
    <w:rsid w:val="00544D4C"/>
    <w:rsid w:val="0055599F"/>
    <w:rsid w:val="00556D68"/>
    <w:rsid w:val="005647BF"/>
    <w:rsid w:val="0056590E"/>
    <w:rsid w:val="00566720"/>
    <w:rsid w:val="0057364B"/>
    <w:rsid w:val="00574773"/>
    <w:rsid w:val="00583FFD"/>
    <w:rsid w:val="005911BE"/>
    <w:rsid w:val="00593152"/>
    <w:rsid w:val="005A10F2"/>
    <w:rsid w:val="005A21E0"/>
    <w:rsid w:val="005A28FF"/>
    <w:rsid w:val="005A2B04"/>
    <w:rsid w:val="005A3DF8"/>
    <w:rsid w:val="005A4B79"/>
    <w:rsid w:val="005A5549"/>
    <w:rsid w:val="005B121D"/>
    <w:rsid w:val="005C06ED"/>
    <w:rsid w:val="005C13C9"/>
    <w:rsid w:val="005C43F6"/>
    <w:rsid w:val="005D5802"/>
    <w:rsid w:val="005D7855"/>
    <w:rsid w:val="005D7890"/>
    <w:rsid w:val="005E3DD6"/>
    <w:rsid w:val="005E7C78"/>
    <w:rsid w:val="005F12B6"/>
    <w:rsid w:val="005F369F"/>
    <w:rsid w:val="005F3EB1"/>
    <w:rsid w:val="00600BCE"/>
    <w:rsid w:val="00604307"/>
    <w:rsid w:val="0060487F"/>
    <w:rsid w:val="00604EAD"/>
    <w:rsid w:val="006104FB"/>
    <w:rsid w:val="006120FF"/>
    <w:rsid w:val="00612A2F"/>
    <w:rsid w:val="00616E05"/>
    <w:rsid w:val="00624093"/>
    <w:rsid w:val="00626E24"/>
    <w:rsid w:val="006404A7"/>
    <w:rsid w:val="006451E4"/>
    <w:rsid w:val="00645B33"/>
    <w:rsid w:val="006464AD"/>
    <w:rsid w:val="006516CB"/>
    <w:rsid w:val="00653E2F"/>
    <w:rsid w:val="00657E87"/>
    <w:rsid w:val="00664803"/>
    <w:rsid w:val="00665BA4"/>
    <w:rsid w:val="00667AF2"/>
    <w:rsid w:val="00667BCD"/>
    <w:rsid w:val="006710C9"/>
    <w:rsid w:val="00674D89"/>
    <w:rsid w:val="00675E37"/>
    <w:rsid w:val="006815F3"/>
    <w:rsid w:val="0068174E"/>
    <w:rsid w:val="0068193C"/>
    <w:rsid w:val="00681990"/>
    <w:rsid w:val="00681DCE"/>
    <w:rsid w:val="0068260E"/>
    <w:rsid w:val="00695BEF"/>
    <w:rsid w:val="006977F6"/>
    <w:rsid w:val="00697A13"/>
    <w:rsid w:val="006A109C"/>
    <w:rsid w:val="006A28B3"/>
    <w:rsid w:val="006A6488"/>
    <w:rsid w:val="006B050D"/>
    <w:rsid w:val="006B231D"/>
    <w:rsid w:val="006B344A"/>
    <w:rsid w:val="006B5091"/>
    <w:rsid w:val="006B78D8"/>
    <w:rsid w:val="006C113F"/>
    <w:rsid w:val="006C56D4"/>
    <w:rsid w:val="006C6924"/>
    <w:rsid w:val="006C7CA6"/>
    <w:rsid w:val="006D3E8A"/>
    <w:rsid w:val="006D61F6"/>
    <w:rsid w:val="006E279A"/>
    <w:rsid w:val="006E3036"/>
    <w:rsid w:val="006E313B"/>
    <w:rsid w:val="006E437E"/>
    <w:rsid w:val="006E7FF2"/>
    <w:rsid w:val="006F056C"/>
    <w:rsid w:val="0070581E"/>
    <w:rsid w:val="00706AD4"/>
    <w:rsid w:val="007140BE"/>
    <w:rsid w:val="00720BC3"/>
    <w:rsid w:val="007211F5"/>
    <w:rsid w:val="00725B3F"/>
    <w:rsid w:val="00725BB5"/>
    <w:rsid w:val="00730AE8"/>
    <w:rsid w:val="00734BD0"/>
    <w:rsid w:val="0073571E"/>
    <w:rsid w:val="007408B0"/>
    <w:rsid w:val="00741493"/>
    <w:rsid w:val="00752180"/>
    <w:rsid w:val="00753A54"/>
    <w:rsid w:val="00755202"/>
    <w:rsid w:val="00755D3A"/>
    <w:rsid w:val="007578D3"/>
    <w:rsid w:val="007609C6"/>
    <w:rsid w:val="00761BE2"/>
    <w:rsid w:val="0076521E"/>
    <w:rsid w:val="007661E9"/>
    <w:rsid w:val="007708F6"/>
    <w:rsid w:val="00773E66"/>
    <w:rsid w:val="00774567"/>
    <w:rsid w:val="00776169"/>
    <w:rsid w:val="00776527"/>
    <w:rsid w:val="00780EF1"/>
    <w:rsid w:val="00790764"/>
    <w:rsid w:val="00790AB2"/>
    <w:rsid w:val="00791BC8"/>
    <w:rsid w:val="007925B1"/>
    <w:rsid w:val="0079453C"/>
    <w:rsid w:val="00794677"/>
    <w:rsid w:val="00795A42"/>
    <w:rsid w:val="007A37B4"/>
    <w:rsid w:val="007B6689"/>
    <w:rsid w:val="007C0501"/>
    <w:rsid w:val="007C45E3"/>
    <w:rsid w:val="007D27EB"/>
    <w:rsid w:val="007D40DF"/>
    <w:rsid w:val="007D47D8"/>
    <w:rsid w:val="007E0E10"/>
    <w:rsid w:val="007E156B"/>
    <w:rsid w:val="007E46AE"/>
    <w:rsid w:val="007E6B32"/>
    <w:rsid w:val="007E7E61"/>
    <w:rsid w:val="007F0845"/>
    <w:rsid w:val="007F1192"/>
    <w:rsid w:val="00805BEF"/>
    <w:rsid w:val="0080778F"/>
    <w:rsid w:val="00807C82"/>
    <w:rsid w:val="008133DB"/>
    <w:rsid w:val="0081427B"/>
    <w:rsid w:val="00814BEF"/>
    <w:rsid w:val="00816905"/>
    <w:rsid w:val="00821467"/>
    <w:rsid w:val="00821FF6"/>
    <w:rsid w:val="00824FA1"/>
    <w:rsid w:val="00830829"/>
    <w:rsid w:val="0083143E"/>
    <w:rsid w:val="00831CDE"/>
    <w:rsid w:val="00834304"/>
    <w:rsid w:val="00834FAA"/>
    <w:rsid w:val="00836086"/>
    <w:rsid w:val="008408FE"/>
    <w:rsid w:val="008410D6"/>
    <w:rsid w:val="00846E07"/>
    <w:rsid w:val="0084708F"/>
    <w:rsid w:val="008477C8"/>
    <w:rsid w:val="00851005"/>
    <w:rsid w:val="0085114D"/>
    <w:rsid w:val="00852217"/>
    <w:rsid w:val="00855408"/>
    <w:rsid w:val="00856D65"/>
    <w:rsid w:val="00861B41"/>
    <w:rsid w:val="00863434"/>
    <w:rsid w:val="00865B03"/>
    <w:rsid w:val="00865E4C"/>
    <w:rsid w:val="008701E4"/>
    <w:rsid w:val="00875A32"/>
    <w:rsid w:val="00876086"/>
    <w:rsid w:val="008761E5"/>
    <w:rsid w:val="00881725"/>
    <w:rsid w:val="00884704"/>
    <w:rsid w:val="008873D4"/>
    <w:rsid w:val="00891748"/>
    <w:rsid w:val="0089223D"/>
    <w:rsid w:val="00893E85"/>
    <w:rsid w:val="00894031"/>
    <w:rsid w:val="008B5C6A"/>
    <w:rsid w:val="008B7C02"/>
    <w:rsid w:val="008B7D2B"/>
    <w:rsid w:val="008C0049"/>
    <w:rsid w:val="008C0E88"/>
    <w:rsid w:val="008D0F44"/>
    <w:rsid w:val="008D1E6A"/>
    <w:rsid w:val="008D20A0"/>
    <w:rsid w:val="008D2A16"/>
    <w:rsid w:val="008D4DAD"/>
    <w:rsid w:val="008E2677"/>
    <w:rsid w:val="008E2C57"/>
    <w:rsid w:val="008E2EEA"/>
    <w:rsid w:val="008E31FF"/>
    <w:rsid w:val="008E4E01"/>
    <w:rsid w:val="008E6F06"/>
    <w:rsid w:val="008F029B"/>
    <w:rsid w:val="008F3FC9"/>
    <w:rsid w:val="008F585B"/>
    <w:rsid w:val="009003A8"/>
    <w:rsid w:val="00902500"/>
    <w:rsid w:val="00902EFF"/>
    <w:rsid w:val="009041CE"/>
    <w:rsid w:val="0091155E"/>
    <w:rsid w:val="00912A92"/>
    <w:rsid w:val="00913BC9"/>
    <w:rsid w:val="0091728D"/>
    <w:rsid w:val="009210A4"/>
    <w:rsid w:val="0092180B"/>
    <w:rsid w:val="00921F14"/>
    <w:rsid w:val="00924AC8"/>
    <w:rsid w:val="0092597A"/>
    <w:rsid w:val="00930CFE"/>
    <w:rsid w:val="00937AE2"/>
    <w:rsid w:val="0094427A"/>
    <w:rsid w:val="009508D7"/>
    <w:rsid w:val="00956240"/>
    <w:rsid w:val="00961FFB"/>
    <w:rsid w:val="00967932"/>
    <w:rsid w:val="0097104F"/>
    <w:rsid w:val="00974815"/>
    <w:rsid w:val="00974923"/>
    <w:rsid w:val="0098009E"/>
    <w:rsid w:val="00980D3D"/>
    <w:rsid w:val="00985378"/>
    <w:rsid w:val="0098710D"/>
    <w:rsid w:val="0098736D"/>
    <w:rsid w:val="009905C5"/>
    <w:rsid w:val="00992CF3"/>
    <w:rsid w:val="00996015"/>
    <w:rsid w:val="0099628C"/>
    <w:rsid w:val="009968D6"/>
    <w:rsid w:val="00997BEF"/>
    <w:rsid w:val="009A0583"/>
    <w:rsid w:val="009A1CAB"/>
    <w:rsid w:val="009A1F6E"/>
    <w:rsid w:val="009A60D1"/>
    <w:rsid w:val="009A6544"/>
    <w:rsid w:val="009B0F6E"/>
    <w:rsid w:val="009B6FD3"/>
    <w:rsid w:val="009B6FF6"/>
    <w:rsid w:val="009B7935"/>
    <w:rsid w:val="009C1750"/>
    <w:rsid w:val="009C2E29"/>
    <w:rsid w:val="009C370D"/>
    <w:rsid w:val="009C554B"/>
    <w:rsid w:val="009C6944"/>
    <w:rsid w:val="009C719E"/>
    <w:rsid w:val="009D3ACD"/>
    <w:rsid w:val="009E5DDB"/>
    <w:rsid w:val="009F1DD4"/>
    <w:rsid w:val="009F4CA7"/>
    <w:rsid w:val="00A10D66"/>
    <w:rsid w:val="00A14114"/>
    <w:rsid w:val="00A17F22"/>
    <w:rsid w:val="00A23E43"/>
    <w:rsid w:val="00A30F65"/>
    <w:rsid w:val="00A417BC"/>
    <w:rsid w:val="00A418BC"/>
    <w:rsid w:val="00A4414A"/>
    <w:rsid w:val="00A46DE0"/>
    <w:rsid w:val="00A47A45"/>
    <w:rsid w:val="00A50D73"/>
    <w:rsid w:val="00A51489"/>
    <w:rsid w:val="00A52CAD"/>
    <w:rsid w:val="00A53FC7"/>
    <w:rsid w:val="00A62CE1"/>
    <w:rsid w:val="00A66C37"/>
    <w:rsid w:val="00A6741E"/>
    <w:rsid w:val="00A6784D"/>
    <w:rsid w:val="00A67A17"/>
    <w:rsid w:val="00A72C9A"/>
    <w:rsid w:val="00A74B1D"/>
    <w:rsid w:val="00A74D9B"/>
    <w:rsid w:val="00A75E40"/>
    <w:rsid w:val="00A77D1D"/>
    <w:rsid w:val="00A857C0"/>
    <w:rsid w:val="00A9006E"/>
    <w:rsid w:val="00A93504"/>
    <w:rsid w:val="00A94D1E"/>
    <w:rsid w:val="00A95A08"/>
    <w:rsid w:val="00AA199E"/>
    <w:rsid w:val="00AA1C7B"/>
    <w:rsid w:val="00AA1E7B"/>
    <w:rsid w:val="00AA2996"/>
    <w:rsid w:val="00AA52BF"/>
    <w:rsid w:val="00AA559A"/>
    <w:rsid w:val="00AB0E8C"/>
    <w:rsid w:val="00AB2AF1"/>
    <w:rsid w:val="00AB6F61"/>
    <w:rsid w:val="00AC60E4"/>
    <w:rsid w:val="00AD306C"/>
    <w:rsid w:val="00AD4DDF"/>
    <w:rsid w:val="00AE09B3"/>
    <w:rsid w:val="00AE1A83"/>
    <w:rsid w:val="00AE3771"/>
    <w:rsid w:val="00AF4EF2"/>
    <w:rsid w:val="00AF787C"/>
    <w:rsid w:val="00B00913"/>
    <w:rsid w:val="00B01593"/>
    <w:rsid w:val="00B10A4D"/>
    <w:rsid w:val="00B12EA9"/>
    <w:rsid w:val="00B17E71"/>
    <w:rsid w:val="00B17FDE"/>
    <w:rsid w:val="00B2379C"/>
    <w:rsid w:val="00B2687D"/>
    <w:rsid w:val="00B32DDB"/>
    <w:rsid w:val="00B33390"/>
    <w:rsid w:val="00B34528"/>
    <w:rsid w:val="00B402FC"/>
    <w:rsid w:val="00B46604"/>
    <w:rsid w:val="00B47475"/>
    <w:rsid w:val="00B52C19"/>
    <w:rsid w:val="00B55F5E"/>
    <w:rsid w:val="00B5752E"/>
    <w:rsid w:val="00B63A11"/>
    <w:rsid w:val="00B64C24"/>
    <w:rsid w:val="00B6608F"/>
    <w:rsid w:val="00B679FB"/>
    <w:rsid w:val="00B73521"/>
    <w:rsid w:val="00B76D1E"/>
    <w:rsid w:val="00B80B4A"/>
    <w:rsid w:val="00B80EC6"/>
    <w:rsid w:val="00B84846"/>
    <w:rsid w:val="00B92D1D"/>
    <w:rsid w:val="00B938C5"/>
    <w:rsid w:val="00B95940"/>
    <w:rsid w:val="00BA1978"/>
    <w:rsid w:val="00BB46F3"/>
    <w:rsid w:val="00BB4CB1"/>
    <w:rsid w:val="00BB4F98"/>
    <w:rsid w:val="00BC5773"/>
    <w:rsid w:val="00BC7154"/>
    <w:rsid w:val="00BD17AE"/>
    <w:rsid w:val="00BD366B"/>
    <w:rsid w:val="00BD6D50"/>
    <w:rsid w:val="00BE18B9"/>
    <w:rsid w:val="00BE199D"/>
    <w:rsid w:val="00BE2495"/>
    <w:rsid w:val="00BE3108"/>
    <w:rsid w:val="00BF1578"/>
    <w:rsid w:val="00BF3C14"/>
    <w:rsid w:val="00C03B89"/>
    <w:rsid w:val="00C12762"/>
    <w:rsid w:val="00C21F94"/>
    <w:rsid w:val="00C27913"/>
    <w:rsid w:val="00C33B68"/>
    <w:rsid w:val="00C36A79"/>
    <w:rsid w:val="00C405D4"/>
    <w:rsid w:val="00C40F5E"/>
    <w:rsid w:val="00C4513B"/>
    <w:rsid w:val="00C54697"/>
    <w:rsid w:val="00C57962"/>
    <w:rsid w:val="00C66E99"/>
    <w:rsid w:val="00C73885"/>
    <w:rsid w:val="00C747B1"/>
    <w:rsid w:val="00C82191"/>
    <w:rsid w:val="00C90CF4"/>
    <w:rsid w:val="00C92EB6"/>
    <w:rsid w:val="00C93389"/>
    <w:rsid w:val="00CA3534"/>
    <w:rsid w:val="00CA48C8"/>
    <w:rsid w:val="00CB14C9"/>
    <w:rsid w:val="00CB236C"/>
    <w:rsid w:val="00CB2FF0"/>
    <w:rsid w:val="00CB4930"/>
    <w:rsid w:val="00CB51D1"/>
    <w:rsid w:val="00CB55EE"/>
    <w:rsid w:val="00CC0249"/>
    <w:rsid w:val="00CC2E7D"/>
    <w:rsid w:val="00CD10A5"/>
    <w:rsid w:val="00CD2076"/>
    <w:rsid w:val="00CD2EE6"/>
    <w:rsid w:val="00CD799D"/>
    <w:rsid w:val="00CE1828"/>
    <w:rsid w:val="00CE670B"/>
    <w:rsid w:val="00CF02B5"/>
    <w:rsid w:val="00CF51EC"/>
    <w:rsid w:val="00CF69F2"/>
    <w:rsid w:val="00CF73AE"/>
    <w:rsid w:val="00D040DD"/>
    <w:rsid w:val="00D12A2B"/>
    <w:rsid w:val="00D13986"/>
    <w:rsid w:val="00D21CFD"/>
    <w:rsid w:val="00D23870"/>
    <w:rsid w:val="00D25F28"/>
    <w:rsid w:val="00D27973"/>
    <w:rsid w:val="00D27E8A"/>
    <w:rsid w:val="00D46E46"/>
    <w:rsid w:val="00D50F46"/>
    <w:rsid w:val="00D52DB0"/>
    <w:rsid w:val="00D64579"/>
    <w:rsid w:val="00D66223"/>
    <w:rsid w:val="00D731F5"/>
    <w:rsid w:val="00D8084C"/>
    <w:rsid w:val="00D8576E"/>
    <w:rsid w:val="00D85D18"/>
    <w:rsid w:val="00D85FA0"/>
    <w:rsid w:val="00D95744"/>
    <w:rsid w:val="00DA4E55"/>
    <w:rsid w:val="00DA5E97"/>
    <w:rsid w:val="00DA7C0C"/>
    <w:rsid w:val="00DB2EC8"/>
    <w:rsid w:val="00DB5695"/>
    <w:rsid w:val="00DC35DF"/>
    <w:rsid w:val="00DC5B3B"/>
    <w:rsid w:val="00DD129F"/>
    <w:rsid w:val="00DD1FAB"/>
    <w:rsid w:val="00DD263B"/>
    <w:rsid w:val="00DD59CB"/>
    <w:rsid w:val="00DD685B"/>
    <w:rsid w:val="00DE165D"/>
    <w:rsid w:val="00DE4A68"/>
    <w:rsid w:val="00DF42FF"/>
    <w:rsid w:val="00DF5B53"/>
    <w:rsid w:val="00E00B6F"/>
    <w:rsid w:val="00E01C0E"/>
    <w:rsid w:val="00E03F9A"/>
    <w:rsid w:val="00E04694"/>
    <w:rsid w:val="00E05EF9"/>
    <w:rsid w:val="00E061E4"/>
    <w:rsid w:val="00E068A6"/>
    <w:rsid w:val="00E113AD"/>
    <w:rsid w:val="00E12B1E"/>
    <w:rsid w:val="00E12BB0"/>
    <w:rsid w:val="00E17262"/>
    <w:rsid w:val="00E17D21"/>
    <w:rsid w:val="00E218EB"/>
    <w:rsid w:val="00E21F18"/>
    <w:rsid w:val="00E253A2"/>
    <w:rsid w:val="00E2708E"/>
    <w:rsid w:val="00E3309D"/>
    <w:rsid w:val="00E33851"/>
    <w:rsid w:val="00E4267E"/>
    <w:rsid w:val="00E467FE"/>
    <w:rsid w:val="00E50156"/>
    <w:rsid w:val="00E53470"/>
    <w:rsid w:val="00E539F6"/>
    <w:rsid w:val="00E54924"/>
    <w:rsid w:val="00E6519D"/>
    <w:rsid w:val="00E67696"/>
    <w:rsid w:val="00E71212"/>
    <w:rsid w:val="00E71A58"/>
    <w:rsid w:val="00E72A7A"/>
    <w:rsid w:val="00E75C94"/>
    <w:rsid w:val="00E8012C"/>
    <w:rsid w:val="00E90D7B"/>
    <w:rsid w:val="00E93820"/>
    <w:rsid w:val="00E96E34"/>
    <w:rsid w:val="00EA0C68"/>
    <w:rsid w:val="00EB1F23"/>
    <w:rsid w:val="00EC03D7"/>
    <w:rsid w:val="00EC7F1C"/>
    <w:rsid w:val="00ED62C6"/>
    <w:rsid w:val="00ED64C1"/>
    <w:rsid w:val="00EE2183"/>
    <w:rsid w:val="00EE3446"/>
    <w:rsid w:val="00EE3E78"/>
    <w:rsid w:val="00EE4B1B"/>
    <w:rsid w:val="00EE5F59"/>
    <w:rsid w:val="00EE6A2A"/>
    <w:rsid w:val="00EF0699"/>
    <w:rsid w:val="00EF150D"/>
    <w:rsid w:val="00EF1F5A"/>
    <w:rsid w:val="00F01819"/>
    <w:rsid w:val="00F04811"/>
    <w:rsid w:val="00F0488C"/>
    <w:rsid w:val="00F0585C"/>
    <w:rsid w:val="00F14664"/>
    <w:rsid w:val="00F15AAA"/>
    <w:rsid w:val="00F15BEF"/>
    <w:rsid w:val="00F1639F"/>
    <w:rsid w:val="00F201EE"/>
    <w:rsid w:val="00F20AB8"/>
    <w:rsid w:val="00F24407"/>
    <w:rsid w:val="00F24FAA"/>
    <w:rsid w:val="00F32BBB"/>
    <w:rsid w:val="00F3364D"/>
    <w:rsid w:val="00F4064E"/>
    <w:rsid w:val="00F437CC"/>
    <w:rsid w:val="00F47067"/>
    <w:rsid w:val="00F510D8"/>
    <w:rsid w:val="00F525EB"/>
    <w:rsid w:val="00F571F5"/>
    <w:rsid w:val="00F6341A"/>
    <w:rsid w:val="00F63DDE"/>
    <w:rsid w:val="00F63FB7"/>
    <w:rsid w:val="00F649D2"/>
    <w:rsid w:val="00F6602B"/>
    <w:rsid w:val="00F7312B"/>
    <w:rsid w:val="00F73A0C"/>
    <w:rsid w:val="00F756DB"/>
    <w:rsid w:val="00F85066"/>
    <w:rsid w:val="00F943EC"/>
    <w:rsid w:val="00FA5D4D"/>
    <w:rsid w:val="00FB0E9F"/>
    <w:rsid w:val="00FB32EA"/>
    <w:rsid w:val="00FB3C77"/>
    <w:rsid w:val="00FC0E5F"/>
    <w:rsid w:val="00FC1A95"/>
    <w:rsid w:val="00FC56DE"/>
    <w:rsid w:val="00FC684B"/>
    <w:rsid w:val="00FE2F78"/>
    <w:rsid w:val="00FE3EB9"/>
    <w:rsid w:val="00FE4142"/>
    <w:rsid w:val="00FE5569"/>
    <w:rsid w:val="00FF16A4"/>
    <w:rsid w:val="00FF58F1"/>
    <w:rsid w:val="00FF7B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4:docId w14:val="34BEC129"/>
  <w15:docId w15:val="{02B204CD-B238-444A-8B3A-E295FB498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F42FF"/>
    <w:pPr>
      <w:spacing w:after="240" w:line="288" w:lineRule="auto"/>
    </w:pPr>
    <w:rPr>
      <w:rFonts w:ascii="Arial" w:eastAsia="Times New Roman" w:hAnsi="Arial"/>
      <w:szCs w:val="24"/>
      <w:lang w:eastAsia="cs-CZ"/>
    </w:rPr>
  </w:style>
  <w:style w:type="paragraph" w:styleId="Nadpis1">
    <w:name w:val="heading 1"/>
    <w:next w:val="Normln"/>
    <w:link w:val="Nadpis1Char"/>
    <w:uiPriority w:val="9"/>
    <w:qFormat/>
    <w:rsid w:val="00300FF9"/>
    <w:pPr>
      <w:keepNext/>
      <w:keepLines/>
      <w:spacing w:after="100" w:line="288" w:lineRule="auto"/>
      <w:contextualSpacing/>
      <w:outlineLvl w:val="0"/>
    </w:pPr>
    <w:rPr>
      <w:rFonts w:ascii="Arial" w:eastAsia="MS Gothic" w:hAnsi="Arial"/>
      <w:b/>
      <w:bCs/>
      <w:caps/>
      <w:sz w:val="32"/>
      <w:szCs w:val="28"/>
      <w:lang w:eastAsia="cs-CZ"/>
    </w:rPr>
  </w:style>
  <w:style w:type="paragraph" w:styleId="Nadpis2">
    <w:name w:val="heading 2"/>
    <w:next w:val="Normln"/>
    <w:link w:val="Nadpis2Char"/>
    <w:uiPriority w:val="9"/>
    <w:qFormat/>
    <w:rsid w:val="00BE3108"/>
    <w:pPr>
      <w:keepNext/>
      <w:keepLines/>
      <w:spacing w:line="288" w:lineRule="auto"/>
      <w:outlineLvl w:val="1"/>
    </w:pPr>
    <w:rPr>
      <w:rFonts w:ascii="Arial" w:eastAsia="MS Gothic" w:hAnsi="Arial"/>
      <w:b/>
      <w:bCs/>
      <w:sz w:val="28"/>
      <w:szCs w:val="26"/>
      <w:lang w:eastAsia="cs-CZ"/>
    </w:rPr>
  </w:style>
  <w:style w:type="paragraph" w:styleId="Nadpis3">
    <w:name w:val="heading 3"/>
    <w:next w:val="Normln"/>
    <w:link w:val="Nadpis3Char"/>
    <w:uiPriority w:val="9"/>
    <w:qFormat/>
    <w:rsid w:val="00BE3108"/>
    <w:pPr>
      <w:keepNext/>
      <w:keepLines/>
      <w:spacing w:line="288" w:lineRule="auto"/>
      <w:outlineLvl w:val="2"/>
    </w:pPr>
    <w:rPr>
      <w:rFonts w:ascii="Arial" w:eastAsia="MS Gothic" w:hAnsi="Arial"/>
      <w:b/>
      <w:bCs/>
      <w:sz w:val="24"/>
      <w:szCs w:val="24"/>
      <w:lang w:eastAsia="cs-CZ"/>
    </w:rPr>
  </w:style>
  <w:style w:type="paragraph" w:styleId="Nadpis4">
    <w:name w:val="heading 4"/>
    <w:next w:val="Normln"/>
    <w:link w:val="Nadpis4Char"/>
    <w:uiPriority w:val="9"/>
    <w:qFormat/>
    <w:rsid w:val="00BE3108"/>
    <w:pPr>
      <w:keepNext/>
      <w:keepLines/>
      <w:spacing w:line="288" w:lineRule="auto"/>
      <w:outlineLvl w:val="3"/>
    </w:pPr>
    <w:rPr>
      <w:rFonts w:ascii="Arial" w:eastAsia="MS Gothic" w:hAnsi="Arial"/>
      <w:b/>
      <w:bCs/>
      <w:iCs/>
      <w:szCs w:val="24"/>
      <w:lang w:eastAsia="cs-CZ"/>
    </w:rPr>
  </w:style>
  <w:style w:type="paragraph" w:styleId="Nadpis5">
    <w:name w:val="heading 5"/>
    <w:basedOn w:val="Normln"/>
    <w:next w:val="Normln"/>
    <w:link w:val="Nadpis5Char"/>
    <w:uiPriority w:val="9"/>
    <w:semiHidden/>
    <w:unhideWhenUsed/>
    <w:rsid w:val="0097104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97104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97104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9">
    <w:name w:val="heading 9"/>
    <w:basedOn w:val="Normln"/>
    <w:next w:val="Normln"/>
    <w:link w:val="Nadpis9Char"/>
    <w:uiPriority w:val="9"/>
    <w:semiHidden/>
    <w:unhideWhenUsed/>
    <w:qFormat/>
    <w:rsid w:val="00A30F65"/>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300FF9"/>
    <w:rPr>
      <w:rFonts w:ascii="Arial" w:eastAsia="MS Gothic" w:hAnsi="Arial"/>
      <w:b/>
      <w:bCs/>
      <w:caps/>
      <w:sz w:val="32"/>
      <w:szCs w:val="28"/>
      <w:lang w:eastAsia="cs-CZ"/>
    </w:rPr>
  </w:style>
  <w:style w:type="character" w:customStyle="1" w:styleId="Nadpis2Char">
    <w:name w:val="Nadpis 2 Char"/>
    <w:link w:val="Nadpis2"/>
    <w:uiPriority w:val="9"/>
    <w:rsid w:val="00BE3108"/>
    <w:rPr>
      <w:rFonts w:ascii="Arial" w:eastAsia="MS Gothic" w:hAnsi="Arial"/>
      <w:b/>
      <w:bCs/>
      <w:sz w:val="28"/>
      <w:szCs w:val="26"/>
    </w:rPr>
  </w:style>
  <w:style w:type="character" w:customStyle="1" w:styleId="Nadpis3Char">
    <w:name w:val="Nadpis 3 Char"/>
    <w:link w:val="Nadpis3"/>
    <w:uiPriority w:val="9"/>
    <w:rsid w:val="00BE3108"/>
    <w:rPr>
      <w:rFonts w:ascii="Arial" w:eastAsia="MS Gothic" w:hAnsi="Arial"/>
      <w:b/>
      <w:bCs/>
      <w:sz w:val="24"/>
      <w:szCs w:val="24"/>
    </w:rPr>
  </w:style>
  <w:style w:type="character" w:customStyle="1" w:styleId="Nadpis4Char">
    <w:name w:val="Nadpis 4 Char"/>
    <w:link w:val="Nadpis4"/>
    <w:uiPriority w:val="9"/>
    <w:rsid w:val="00BE3108"/>
    <w:rPr>
      <w:rFonts w:ascii="Arial" w:eastAsia="MS Gothic" w:hAnsi="Arial"/>
      <w:b/>
      <w:bCs/>
      <w:iCs/>
      <w:szCs w:val="24"/>
    </w:rPr>
  </w:style>
  <w:style w:type="character" w:customStyle="1" w:styleId="Nadpis9Char">
    <w:name w:val="Nadpis 9 Char"/>
    <w:link w:val="Nadpis9"/>
    <w:uiPriority w:val="9"/>
    <w:semiHidden/>
    <w:rsid w:val="00A30F65"/>
    <w:rPr>
      <w:rFonts w:ascii="Cambria" w:eastAsia="Times New Roman" w:hAnsi="Cambria" w:cs="Times New Roman"/>
      <w:sz w:val="22"/>
      <w:szCs w:val="22"/>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qFormat/>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2E57D3"/>
    <w:pPr>
      <w:spacing w:after="80" w:line="288" w:lineRule="auto"/>
    </w:pPr>
    <w:rPr>
      <w:rFonts w:ascii="Arial" w:eastAsia="Times New Roman" w:hAnsi="Arial"/>
      <w:b/>
      <w:color w:val="747678"/>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Box1">
    <w:name w:val="Box 1"/>
    <w:next w:val="Normln"/>
    <w:qFormat/>
    <w:rsid w:val="00BE3108"/>
    <w:pPr>
      <w:shd w:val="clear" w:color="auto" w:fill="E3E3E3"/>
      <w:spacing w:before="240" w:after="240" w:line="288" w:lineRule="auto"/>
      <w:ind w:left="709"/>
      <w:contextualSpacing/>
    </w:pPr>
    <w:rPr>
      <w:rFonts w:ascii="Arial" w:hAnsi="Arial" w:cs="Arial"/>
      <w:lang w:eastAsia="cs-CZ"/>
    </w:rPr>
  </w:style>
  <w:style w:type="paragraph" w:customStyle="1" w:styleId="Box2">
    <w:name w:val="Box 2"/>
    <w:qFormat/>
    <w:rsid w:val="00F0585C"/>
    <w:pPr>
      <w:spacing w:before="240" w:after="240" w:line="288" w:lineRule="auto"/>
      <w:ind w:left="709"/>
      <w:contextualSpacing/>
    </w:pPr>
    <w:rPr>
      <w:rFonts w:ascii="Arial" w:hAnsi="Arial" w:cs="Arial"/>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2E57D3"/>
    <w:pPr>
      <w:spacing w:after="40"/>
      <w:contextualSpacing/>
    </w:pPr>
    <w:rPr>
      <w:b/>
      <w:caps/>
      <w:color w:val="747678"/>
      <w:sz w:val="24"/>
    </w:rPr>
  </w:style>
  <w:style w:type="paragraph" w:customStyle="1" w:styleId="TLKontakty">
    <w:name w:val="TL Kontakty"/>
    <w:qFormat/>
    <w:rsid w:val="002E57D3"/>
    <w:pPr>
      <w:spacing w:after="160" w:line="259" w:lineRule="auto"/>
      <w:contextualSpacing/>
    </w:pPr>
    <w:rPr>
      <w:rFonts w:ascii="Arial" w:eastAsia="Times New Roman" w:hAnsi="Arial"/>
      <w:b/>
      <w:lang w:eastAsia="cs-CZ"/>
    </w:rPr>
  </w:style>
  <w:style w:type="paragraph" w:styleId="Nzev">
    <w:name w:val="Title"/>
    <w:aliases w:val="Titulek_"/>
    <w:link w:val="NzevChar"/>
    <w:qFormat/>
    <w:rsid w:val="000E6FBD"/>
    <w:pPr>
      <w:spacing w:line="288" w:lineRule="auto"/>
    </w:pPr>
    <w:rPr>
      <w:rFonts w:ascii="Arial" w:eastAsia="Times New Roman" w:hAnsi="Arial"/>
      <w:b/>
      <w:bCs/>
      <w:caps/>
      <w:kern w:val="28"/>
      <w:sz w:val="56"/>
      <w:szCs w:val="32"/>
      <w:lang w:eastAsia="cs-CZ"/>
    </w:rPr>
  </w:style>
  <w:style w:type="character" w:customStyle="1" w:styleId="NzevChar">
    <w:name w:val="Název Char"/>
    <w:aliases w:val="Titulek_ Char"/>
    <w:link w:val="Nzev"/>
    <w:rsid w:val="000E6FBD"/>
    <w:rPr>
      <w:rFonts w:ascii="Arial" w:eastAsia="Times New Roman" w:hAnsi="Arial"/>
      <w:b/>
      <w:bCs/>
      <w:caps/>
      <w:kern w:val="28"/>
      <w:sz w:val="56"/>
      <w:szCs w:val="32"/>
    </w:rPr>
  </w:style>
  <w:style w:type="paragraph" w:styleId="Podnadpis">
    <w:name w:val="Subtitle"/>
    <w:link w:val="PodnadpisChar"/>
    <w:qFormat/>
    <w:rsid w:val="0012192F"/>
    <w:pPr>
      <w:spacing w:line="288" w:lineRule="auto"/>
    </w:pPr>
    <w:rPr>
      <w:rFonts w:ascii="Arial" w:eastAsia="Times New Roman" w:hAnsi="Arial" w:cs="Arial"/>
      <w:b/>
      <w:sz w:val="28"/>
      <w:szCs w:val="24"/>
      <w:lang w:eastAsia="cs-CZ"/>
    </w:rPr>
  </w:style>
  <w:style w:type="character" w:customStyle="1" w:styleId="PodnadpisChar">
    <w:name w:val="Podnadpis Char"/>
    <w:link w:val="Podnadpis"/>
    <w:rsid w:val="0012192F"/>
    <w:rPr>
      <w:rFonts w:ascii="Arial" w:eastAsia="Times New Roman" w:hAnsi="Arial" w:cs="Arial"/>
      <w:b/>
      <w:sz w:val="28"/>
      <w:szCs w:val="24"/>
    </w:rPr>
  </w:style>
  <w:style w:type="paragraph" w:styleId="Obsah2">
    <w:name w:val="toc 2"/>
    <w:basedOn w:val="Obsahpoloky"/>
    <w:next w:val="Obsahpoloky"/>
    <w:autoRedefine/>
    <w:uiPriority w:val="39"/>
    <w:unhideWhenUsed/>
    <w:qFormat/>
    <w:rsid w:val="00FC1A95"/>
    <w:pPr>
      <w:ind w:left="200"/>
    </w:pPr>
  </w:style>
  <w:style w:type="paragraph" w:styleId="Obsah3">
    <w:name w:val="toc 3"/>
    <w:basedOn w:val="Obsahpoloky"/>
    <w:next w:val="Obsahpoloky"/>
    <w:autoRedefine/>
    <w:uiPriority w:val="39"/>
    <w:unhideWhenUsed/>
    <w:qFormat/>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97104F"/>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97104F"/>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97104F"/>
    <w:rPr>
      <w:rFonts w:asciiTheme="majorHAnsi" w:eastAsiaTheme="majorEastAsia" w:hAnsiTheme="majorHAnsi" w:cstheme="majorBidi"/>
      <w:i/>
      <w:iCs/>
      <w:color w:val="404040" w:themeColor="text1" w:themeTint="BF"/>
      <w:szCs w:val="24"/>
      <w:lang w:eastAsia="cs-CZ"/>
    </w:rPr>
  </w:style>
  <w:style w:type="paragraph" w:styleId="Zkladntext3">
    <w:name w:val="Body Text 3"/>
    <w:basedOn w:val="Normln"/>
    <w:link w:val="Zkladntext3Char"/>
    <w:semiHidden/>
    <w:rsid w:val="0097104F"/>
    <w:pPr>
      <w:spacing w:before="240" w:after="0"/>
      <w:jc w:val="both"/>
    </w:pPr>
    <w:rPr>
      <w:rFonts w:cs="Arial"/>
    </w:rPr>
  </w:style>
  <w:style w:type="character" w:customStyle="1" w:styleId="Zkladntext3Char">
    <w:name w:val="Základní text 3 Char"/>
    <w:basedOn w:val="Standardnpsmoodstavce"/>
    <w:link w:val="Zkladntext3"/>
    <w:semiHidden/>
    <w:rsid w:val="0097104F"/>
    <w:rPr>
      <w:rFonts w:ascii="Arial" w:eastAsia="Times New Roman" w:hAnsi="Arial" w:cs="Arial"/>
      <w:szCs w:val="24"/>
      <w:lang w:eastAsia="cs-CZ"/>
    </w:rPr>
  </w:style>
  <w:style w:type="paragraph" w:styleId="Zkladntext">
    <w:name w:val="Body Text"/>
    <w:basedOn w:val="Normln"/>
    <w:link w:val="ZkladntextChar"/>
    <w:uiPriority w:val="99"/>
    <w:semiHidden/>
    <w:unhideWhenUsed/>
    <w:rsid w:val="0097104F"/>
    <w:pPr>
      <w:spacing w:after="120"/>
    </w:pPr>
  </w:style>
  <w:style w:type="character" w:customStyle="1" w:styleId="ZkladntextChar">
    <w:name w:val="Základní text Char"/>
    <w:basedOn w:val="Standardnpsmoodstavce"/>
    <w:link w:val="Zkladntext"/>
    <w:uiPriority w:val="99"/>
    <w:semiHidden/>
    <w:rsid w:val="0097104F"/>
    <w:rPr>
      <w:rFonts w:ascii="Arial" w:eastAsia="Times New Roman" w:hAnsi="Arial"/>
      <w:szCs w:val="24"/>
      <w:lang w:eastAsia="cs-CZ"/>
    </w:rPr>
  </w:style>
  <w:style w:type="paragraph" w:styleId="Zkladntextodsazen3">
    <w:name w:val="Body Text Indent 3"/>
    <w:basedOn w:val="Normln"/>
    <w:link w:val="Zkladntextodsazen3Char"/>
    <w:uiPriority w:val="99"/>
    <w:unhideWhenUsed/>
    <w:rsid w:val="0097104F"/>
    <w:pPr>
      <w:spacing w:after="120" w:line="300" w:lineRule="exact"/>
      <w:ind w:left="283"/>
      <w:jc w:val="both"/>
    </w:pPr>
    <w:rPr>
      <w:rFonts w:eastAsia="Calibri"/>
      <w:sz w:val="16"/>
      <w:szCs w:val="16"/>
      <w:lang w:eastAsia="en-US"/>
    </w:rPr>
  </w:style>
  <w:style w:type="character" w:customStyle="1" w:styleId="Zkladntextodsazen3Char">
    <w:name w:val="Základní text odsazený 3 Char"/>
    <w:basedOn w:val="Standardnpsmoodstavce"/>
    <w:link w:val="Zkladntextodsazen3"/>
    <w:uiPriority w:val="99"/>
    <w:rsid w:val="0097104F"/>
    <w:rPr>
      <w:rFonts w:ascii="Arial" w:hAnsi="Arial"/>
      <w:sz w:val="16"/>
      <w:szCs w:val="16"/>
    </w:rPr>
  </w:style>
  <w:style w:type="paragraph" w:styleId="Zkladntextodsazen2">
    <w:name w:val="Body Text Indent 2"/>
    <w:basedOn w:val="Normln"/>
    <w:link w:val="Zkladntextodsazen2Char"/>
    <w:uiPriority w:val="99"/>
    <w:unhideWhenUsed/>
    <w:rsid w:val="0097104F"/>
    <w:pPr>
      <w:spacing w:after="120" w:line="480" w:lineRule="auto"/>
      <w:ind w:left="283"/>
      <w:jc w:val="both"/>
    </w:pPr>
    <w:rPr>
      <w:rFonts w:eastAsia="Calibri"/>
      <w:szCs w:val="22"/>
      <w:lang w:eastAsia="en-US"/>
    </w:rPr>
  </w:style>
  <w:style w:type="character" w:customStyle="1" w:styleId="Zkladntextodsazen2Char">
    <w:name w:val="Základní text odsazený 2 Char"/>
    <w:basedOn w:val="Standardnpsmoodstavce"/>
    <w:link w:val="Zkladntextodsazen2"/>
    <w:uiPriority w:val="99"/>
    <w:rsid w:val="0097104F"/>
    <w:rPr>
      <w:rFonts w:ascii="Arial" w:hAnsi="Arial"/>
      <w:szCs w:val="22"/>
    </w:rPr>
  </w:style>
  <w:style w:type="paragraph" w:customStyle="1" w:styleId="Poznamkytexty">
    <w:name w:val="Poznamky texty"/>
    <w:basedOn w:val="Normln"/>
    <w:qFormat/>
    <w:rsid w:val="0097104F"/>
    <w:pPr>
      <w:spacing w:after="0" w:line="240" w:lineRule="exact"/>
      <w:jc w:val="both"/>
    </w:pPr>
    <w:rPr>
      <w:rFonts w:eastAsia="Calibri" w:cs="ArialMT"/>
      <w:i/>
      <w:color w:val="000000"/>
      <w:sz w:val="18"/>
      <w:szCs w:val="18"/>
      <w:lang w:eastAsia="en-US"/>
    </w:rPr>
  </w:style>
  <w:style w:type="character" w:styleId="Znakapoznpodarou">
    <w:name w:val="footnote reference"/>
    <w:basedOn w:val="Standardnpsmoodstavce"/>
    <w:uiPriority w:val="99"/>
    <w:semiHidden/>
    <w:unhideWhenUsed/>
    <w:rsid w:val="0097104F"/>
    <w:rPr>
      <w:vertAlign w:val="superscript"/>
    </w:rPr>
  </w:style>
  <w:style w:type="paragraph" w:customStyle="1" w:styleId="Perex">
    <w:name w:val="Perex_"/>
    <w:next w:val="Normln"/>
    <w:qFormat/>
    <w:rsid w:val="007408B0"/>
    <w:pPr>
      <w:autoSpaceDE w:val="0"/>
      <w:autoSpaceDN w:val="0"/>
      <w:adjustRightInd w:val="0"/>
      <w:spacing w:before="120" w:after="280" w:line="288" w:lineRule="auto"/>
      <w:jc w:val="both"/>
    </w:pPr>
    <w:rPr>
      <w:rFonts w:ascii="Arial" w:hAnsi="Arial" w:cs="Arial"/>
      <w:b/>
      <w:szCs w:val="18"/>
    </w:rPr>
  </w:style>
  <w:style w:type="paragraph" w:customStyle="1" w:styleId="Podtitulek">
    <w:name w:val="Podtitulek_"/>
    <w:next w:val="Normln"/>
    <w:link w:val="PodtitulekChar"/>
    <w:qFormat/>
    <w:rsid w:val="0097104F"/>
    <w:pPr>
      <w:spacing w:before="80" w:after="280" w:line="320" w:lineRule="exact"/>
      <w:outlineLvl w:val="0"/>
    </w:pPr>
    <w:rPr>
      <w:rFonts w:ascii="Arial" w:eastAsia="Times New Roman" w:hAnsi="Arial"/>
      <w:b/>
      <w:bCs/>
      <w:sz w:val="28"/>
      <w:szCs w:val="28"/>
    </w:rPr>
  </w:style>
  <w:style w:type="character" w:customStyle="1" w:styleId="PodtitulekChar">
    <w:name w:val="Podtitulek_ Char"/>
    <w:link w:val="Podtitulek"/>
    <w:rsid w:val="0097104F"/>
    <w:rPr>
      <w:rFonts w:ascii="Arial" w:eastAsia="Times New Roman" w:hAnsi="Arial"/>
      <w:b/>
      <w:bCs/>
      <w:sz w:val="28"/>
      <w:szCs w:val="28"/>
    </w:rPr>
  </w:style>
  <w:style w:type="paragraph" w:styleId="Textpoznpodarou">
    <w:name w:val="footnote text"/>
    <w:basedOn w:val="Normln"/>
    <w:link w:val="TextpoznpodarouChar"/>
    <w:uiPriority w:val="99"/>
    <w:semiHidden/>
    <w:unhideWhenUsed/>
    <w:rsid w:val="0097104F"/>
    <w:pPr>
      <w:spacing w:after="0" w:line="240" w:lineRule="auto"/>
    </w:pPr>
    <w:rPr>
      <w:rFonts w:ascii="Times New Roman" w:hAnsi="Times New Roman"/>
      <w:szCs w:val="20"/>
      <w:lang w:val="en-GB"/>
    </w:rPr>
  </w:style>
  <w:style w:type="character" w:customStyle="1" w:styleId="TextpoznpodarouChar">
    <w:name w:val="Text pozn. pod čarou Char"/>
    <w:basedOn w:val="Standardnpsmoodstavce"/>
    <w:link w:val="Textpoznpodarou"/>
    <w:uiPriority w:val="99"/>
    <w:semiHidden/>
    <w:rsid w:val="0097104F"/>
    <w:rPr>
      <w:rFonts w:ascii="Times New Roman" w:eastAsia="Times New Roman" w:hAnsi="Times New Roman"/>
      <w:lang w:val="en-GB" w:eastAsia="cs-CZ"/>
    </w:rPr>
  </w:style>
  <w:style w:type="paragraph" w:customStyle="1" w:styleId="Poznmkytext">
    <w:name w:val="Poznámky text"/>
    <w:basedOn w:val="Normln"/>
    <w:qFormat/>
    <w:rsid w:val="0097104F"/>
    <w:pPr>
      <w:spacing w:after="0" w:line="240" w:lineRule="exact"/>
      <w:jc w:val="both"/>
    </w:pPr>
    <w:rPr>
      <w:rFonts w:eastAsia="Calibri" w:cs="ArialMT"/>
      <w:color w:val="000000"/>
      <w:sz w:val="18"/>
      <w:szCs w:val="18"/>
      <w:lang w:val="en-US"/>
    </w:rPr>
  </w:style>
  <w:style w:type="character" w:styleId="Nzevknihy">
    <w:name w:val="Book Title"/>
    <w:basedOn w:val="Standardnpsmoodstavce"/>
    <w:uiPriority w:val="33"/>
    <w:qFormat/>
    <w:rsid w:val="0097104F"/>
    <w:rPr>
      <w:b/>
      <w:bCs/>
      <w:smallCaps/>
      <w:spacing w:val="5"/>
    </w:rPr>
  </w:style>
  <w:style w:type="paragraph" w:styleId="Nadpisobsahu">
    <w:name w:val="TOC Heading"/>
    <w:basedOn w:val="Nadpis1"/>
    <w:next w:val="Normln"/>
    <w:uiPriority w:val="39"/>
    <w:semiHidden/>
    <w:unhideWhenUsed/>
    <w:qFormat/>
    <w:rsid w:val="008133DB"/>
    <w:pPr>
      <w:spacing w:before="480" w:after="0" w:line="276" w:lineRule="auto"/>
      <w:contextualSpacing w:val="0"/>
      <w:outlineLvl w:val="9"/>
    </w:pPr>
    <w:rPr>
      <w:rFonts w:asciiTheme="majorHAnsi" w:eastAsiaTheme="majorEastAsia" w:hAnsiTheme="majorHAnsi" w:cstheme="majorBidi"/>
      <w:color w:val="365F91" w:themeColor="accent1" w:themeShade="BF"/>
      <w:sz w:val="28"/>
      <w:lang w:eastAsia="en-US"/>
    </w:rPr>
  </w:style>
  <w:style w:type="character" w:customStyle="1" w:styleId="shorttext">
    <w:name w:val="short_text"/>
    <w:basedOn w:val="Standardnpsmoodstavce"/>
    <w:rsid w:val="00CF69F2"/>
  </w:style>
  <w:style w:type="character" w:customStyle="1" w:styleId="tlid-translation">
    <w:name w:val="tlid-translation"/>
    <w:basedOn w:val="Standardnpsmoodstavce"/>
    <w:rsid w:val="002B00CB"/>
  </w:style>
  <w:style w:type="character" w:customStyle="1" w:styleId="alt-edited">
    <w:name w:val="alt-edited"/>
    <w:basedOn w:val="Standardnpsmoodstavce"/>
    <w:rsid w:val="002B00CB"/>
  </w:style>
  <w:style w:type="character" w:styleId="Sledovanodkaz">
    <w:name w:val="FollowedHyperlink"/>
    <w:basedOn w:val="Standardnpsmoodstavce"/>
    <w:uiPriority w:val="99"/>
    <w:semiHidden/>
    <w:unhideWhenUsed/>
    <w:rsid w:val="00130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39683971">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301467740">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1033917221">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stat/web/hicp/data/main-tab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PUBLIKACE\Ro&#269;n&#237;%20publikace%20012019-2016\Publikace%20&#269;ernob&#237;l&#225;%20&#353;ablon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5C51C-3565-4AA9-B85F-8E881B16D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Publikace černobílá šablona.dotx</Template>
  <TotalTime>328</TotalTime>
  <Pages>2</Pages>
  <Words>684</Words>
  <Characters>4037</Characters>
  <Application>Microsoft Office Word</Application>
  <DocSecurity>0</DocSecurity>
  <Lines>33</Lines>
  <Paragraphs>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Henkrichová</dc:creator>
  <cp:lastModifiedBy>Jana Henkrichová</cp:lastModifiedBy>
  <cp:revision>145</cp:revision>
  <cp:lastPrinted>2017-01-18T13:33:00Z</cp:lastPrinted>
  <dcterms:created xsi:type="dcterms:W3CDTF">2017-02-09T16:31:00Z</dcterms:created>
  <dcterms:modified xsi:type="dcterms:W3CDTF">2020-11-09T14:52:00Z</dcterms:modified>
</cp:coreProperties>
</file>