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DD553" w14:textId="77777777" w:rsidR="0039398D" w:rsidRPr="009110F7" w:rsidRDefault="0039398D" w:rsidP="00783576">
      <w:pPr>
        <w:pStyle w:val="Nadpis1"/>
      </w:pPr>
      <w:bookmarkStart w:id="0" w:name="_Toc66719928"/>
      <w:bookmarkStart w:id="1" w:name="_Toc19090676"/>
      <w:bookmarkStart w:id="2" w:name="_Toc58605372"/>
      <w:bookmarkStart w:id="3" w:name="_Toc74643854"/>
      <w:r w:rsidRPr="0077605B">
        <w:t>2</w:t>
      </w:r>
      <w:r>
        <w:t>.</w:t>
      </w:r>
      <w:r w:rsidR="00152C86">
        <w:t xml:space="preserve"> </w:t>
      </w:r>
      <w:r w:rsidRPr="0077605B">
        <w:t>Souhrnná výkonnost</w:t>
      </w:r>
    </w:p>
    <w:tbl>
      <w:tblPr>
        <w:tblW w:w="9639" w:type="dxa"/>
        <w:tblInd w:w="-2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6"/>
        <w:gridCol w:w="223"/>
        <w:gridCol w:w="7610"/>
      </w:tblGrid>
      <w:tr w:rsidR="0039398D" w:rsidRPr="009110F7" w14:paraId="17C118A4" w14:textId="77777777" w:rsidTr="00AF7277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7E0DC729" w14:textId="77777777" w:rsidR="0039398D" w:rsidRDefault="0039398D" w:rsidP="00AF7277">
            <w:pPr>
              <w:pStyle w:val="Marginlie"/>
            </w:pPr>
            <w:r>
              <w:t>Ve 2. čtvrtletí hrubý domácí produkt výrazně meziročně rostl.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719E7364" w14:textId="77777777" w:rsidR="0039398D" w:rsidRDefault="0039398D" w:rsidP="00AF727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66BDBB23" w14:textId="77777777" w:rsidR="0039398D" w:rsidRPr="00014ED0" w:rsidRDefault="0039398D" w:rsidP="00AF7277">
            <w:pPr>
              <w:rPr>
                <w:spacing w:val="-2"/>
              </w:rPr>
            </w:pPr>
            <w:r>
              <w:rPr>
                <w:spacing w:val="-2"/>
              </w:rPr>
              <w:t>V průběhu 2. čtvrtletí 2021 byla uvolněna protiepidemická opatření, která omezovala obchod a služby a byla důvodem útlumu domácí spotřeby v uplynulém roce. Hrubý domácí produkt tak vzrostl proti 1. čtvrtletí o 1,0 %</w:t>
            </w:r>
            <w:r w:rsidRPr="00014ED0">
              <w:rPr>
                <w:rStyle w:val="Znakapoznpodarou"/>
                <w:rFonts w:cs="Arial"/>
                <w:spacing w:val="-2"/>
              </w:rPr>
              <w:footnoteReference w:id="1"/>
            </w:r>
            <w:r>
              <w:rPr>
                <w:spacing w:val="-2"/>
              </w:rPr>
              <w:t>. K nárůstu přispěla zejména domácí spotřeba a také investiční aktivita. Naopak zahraniční poptávka působila negativně. Přírůstek tak zaostával za průměrem EU a také za tržním očekáváním, což bylo způsobeno zejména překážkami, které průmyslu kladl nedostatek některých komponent. Ve srovnání s loňským 2. kvartálem, který byl zasažen nejhlubším propadem HDP v historii samostatné ČR, byl HDP letos vyšší o 8,2 %. K tomu přispěly všechny výdajové složky v čele se zahraniční poptávkou, která právě v loňském 2. čtvrtletí utrpěla mimořádný šok. Rostla i domácí spotřeba (domácností i vládních institucí) a investice. Velkou část silného přírůstku lze přičíst slabé základně – srovnání s údaji v cenách roku 2015 ukazuje, že HDP v letošním 2. čtvrtletí ještě mírně zaostával za předkrizovým 2. čtvrtletím 2019, a dokonce za stejným obdobím roku 2018.</w:t>
            </w:r>
          </w:p>
        </w:tc>
      </w:tr>
      <w:tr w:rsidR="0039398D" w:rsidRPr="009110F7" w14:paraId="1EF56BC3" w14:textId="77777777" w:rsidTr="00AF7277">
        <w:trPr>
          <w:trHeight w:val="170"/>
        </w:trPr>
        <w:tc>
          <w:tcPr>
            <w:tcW w:w="1806" w:type="dxa"/>
            <w:vMerge w:val="restart"/>
            <w:shd w:val="clear" w:color="auto" w:fill="auto"/>
            <w:tcMar>
              <w:left w:w="0" w:type="dxa"/>
            </w:tcMar>
          </w:tcPr>
          <w:p w14:paraId="65DB06C5" w14:textId="77777777" w:rsidR="0039398D" w:rsidRDefault="0039398D" w:rsidP="00AF7277">
            <w:pPr>
              <w:pStyle w:val="Marginlie"/>
            </w:pPr>
          </w:p>
        </w:tc>
        <w:tc>
          <w:tcPr>
            <w:tcW w:w="223" w:type="dxa"/>
            <w:vMerge w:val="restart"/>
            <w:shd w:val="clear" w:color="auto" w:fill="auto"/>
            <w:tcMar>
              <w:left w:w="0" w:type="dxa"/>
            </w:tcMar>
          </w:tcPr>
          <w:p w14:paraId="1E9FA071" w14:textId="77777777" w:rsidR="0039398D" w:rsidRDefault="0039398D" w:rsidP="00AF727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6CDABF9A" w14:textId="77777777" w:rsidR="0039398D" w:rsidRPr="00D721B4" w:rsidRDefault="0039398D" w:rsidP="00AF7277">
            <w:pPr>
              <w:spacing w:after="0"/>
              <w:rPr>
                <w:b/>
                <w:szCs w:val="20"/>
              </w:rPr>
            </w:pPr>
            <w:r w:rsidRPr="00D721B4">
              <w:rPr>
                <w:rFonts w:cs="Arial"/>
                <w:b/>
                <w:bCs/>
                <w:color w:val="000000"/>
                <w:szCs w:val="20"/>
              </w:rPr>
              <w:t>Graf č. 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D721B4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D721B4">
              <w:rPr>
                <w:rFonts w:cs="Arial"/>
                <w:b/>
                <w:szCs w:val="20"/>
                <w:lang w:eastAsia="en-US"/>
              </w:rPr>
              <w:t xml:space="preserve">HDP </w:t>
            </w:r>
            <w:r w:rsidRPr="00D721B4">
              <w:rPr>
                <w:rFonts w:cs="Arial"/>
                <w:bCs/>
                <w:szCs w:val="20"/>
                <w:lang w:eastAsia="en-US"/>
              </w:rPr>
              <w:t>(objemové indexy, očištěno o sezónní a kalendářní vlivy, v %)</w:t>
            </w:r>
          </w:p>
        </w:tc>
      </w:tr>
      <w:tr w:rsidR="0039398D" w:rsidRPr="009110F7" w14:paraId="45374ED6" w14:textId="77777777" w:rsidTr="00AF7277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6" w:type="dxa"/>
            <w:vMerge/>
            <w:shd w:val="clear" w:color="auto" w:fill="auto"/>
          </w:tcPr>
          <w:p w14:paraId="4833D235" w14:textId="77777777" w:rsidR="0039398D" w:rsidRPr="009110F7" w:rsidRDefault="0039398D" w:rsidP="00AF7277">
            <w:pPr>
              <w:pStyle w:val="Marginlie"/>
            </w:pPr>
          </w:p>
        </w:tc>
        <w:tc>
          <w:tcPr>
            <w:tcW w:w="223" w:type="dxa"/>
            <w:vMerge/>
            <w:shd w:val="clear" w:color="auto" w:fill="auto"/>
          </w:tcPr>
          <w:p w14:paraId="07142834" w14:textId="77777777" w:rsidR="0039398D" w:rsidRPr="009110F7" w:rsidRDefault="0039398D" w:rsidP="00AF727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</w:tcPr>
          <w:p w14:paraId="2B570A6A" w14:textId="77777777" w:rsidR="0039398D" w:rsidRPr="009110F7" w:rsidRDefault="0039398D" w:rsidP="00AF7277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1B53A4FB" wp14:editId="72ECE93A">
                  <wp:extent cx="4737600" cy="3553200"/>
                  <wp:effectExtent l="0" t="0" r="6350" b="0"/>
                  <wp:docPr id="6" name="Graf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39398D" w:rsidRPr="009110F7" w14:paraId="5D15BEB7" w14:textId="77777777" w:rsidTr="00AF7277">
        <w:trPr>
          <w:trHeight w:val="170"/>
        </w:trPr>
        <w:tc>
          <w:tcPr>
            <w:tcW w:w="1806" w:type="dxa"/>
            <w:vMerge/>
            <w:shd w:val="clear" w:color="auto" w:fill="auto"/>
            <w:tcMar>
              <w:left w:w="0" w:type="dxa"/>
            </w:tcMar>
          </w:tcPr>
          <w:p w14:paraId="75D848C5" w14:textId="77777777" w:rsidR="0039398D" w:rsidRPr="009110F7" w:rsidRDefault="0039398D" w:rsidP="00AF7277">
            <w:pPr>
              <w:pStyle w:val="Marginlie"/>
            </w:pPr>
          </w:p>
        </w:tc>
        <w:tc>
          <w:tcPr>
            <w:tcW w:w="223" w:type="dxa"/>
            <w:vMerge/>
            <w:shd w:val="clear" w:color="auto" w:fill="auto"/>
            <w:tcMar>
              <w:left w:w="0" w:type="dxa"/>
            </w:tcMar>
          </w:tcPr>
          <w:p w14:paraId="056CB664" w14:textId="77777777" w:rsidR="0039398D" w:rsidRPr="009110F7" w:rsidRDefault="0039398D" w:rsidP="00AF727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369DC184" w14:textId="77777777" w:rsidR="0039398D" w:rsidRPr="009110F7" w:rsidRDefault="0039398D" w:rsidP="00AF7277">
            <w:pPr>
              <w:spacing w:after="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Zdroj: ČSÚ, Eurostat</w:t>
            </w:r>
          </w:p>
        </w:tc>
      </w:tr>
      <w:tr w:rsidR="0039398D" w:rsidRPr="009110F7" w14:paraId="1F17E810" w14:textId="77777777" w:rsidTr="00AF7277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2642638D" w14:textId="77777777" w:rsidR="0039398D" w:rsidRDefault="0039398D" w:rsidP="00AF7277">
            <w:pPr>
              <w:pStyle w:val="Marginlie"/>
            </w:pPr>
            <w:r>
              <w:t>Postupně se zotavují i evropské ekonomiky.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5BF1CF5E" w14:textId="77777777" w:rsidR="0039398D" w:rsidRDefault="0039398D" w:rsidP="00AF727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66AD3D5C" w14:textId="77777777" w:rsidR="0039398D" w:rsidRDefault="0039398D" w:rsidP="00F5615B">
            <w:r w:rsidRPr="00253A53">
              <w:t>Oproti 1.</w:t>
            </w:r>
            <w:r>
              <w:t> kvartál</w:t>
            </w:r>
            <w:r w:rsidRPr="00253A53">
              <w:t>u se HDP v</w:t>
            </w:r>
            <w:r>
              <w:t> </w:t>
            </w:r>
            <w:r w:rsidRPr="00253A53">
              <w:t>EU zvýšil o</w:t>
            </w:r>
            <w:r>
              <w:t> </w:t>
            </w:r>
            <w:r w:rsidRPr="00253A53">
              <w:t>1,9</w:t>
            </w:r>
            <w:r>
              <w:t> %</w:t>
            </w:r>
            <w:r>
              <w:rPr>
                <w:rStyle w:val="Znakapoznpodarou"/>
              </w:rPr>
              <w:footnoteReference w:id="2"/>
            </w:r>
            <w:r w:rsidRPr="00253A53">
              <w:t>. Mezičtvrtletní přírůstek následoval po dvou čtvrtletích poklesů a</w:t>
            </w:r>
            <w:r>
              <w:t> </w:t>
            </w:r>
            <w:r w:rsidRPr="00253A53">
              <w:t xml:space="preserve">ovlivnila jej zejména sílící domácí poptávka. </w:t>
            </w:r>
            <w:r>
              <w:t xml:space="preserve">S výjimkou Malty a Chorvatska mezičtvrtletně rostl HDP ve všech zemích EU. Nejsilněji </w:t>
            </w:r>
            <w:r w:rsidR="00F5615B">
              <w:t>rostly</w:t>
            </w:r>
            <w:r>
              <w:t xml:space="preserve"> ekonomiky Portugalska (4,9 %), Lotyšska (4,4 %) a Estonska (4,3 %). Příznivý byl ale také vývoj sousedního Rakouska, nadprůměrně se zlepšovala i polská a slovenská ekonomika. K zemím s nižším mezičtvrtletním přírůstkem patřilo Česko (1,0 %) i velké ekonomiky Francie (1,1 %) a Německa (1,6 %). </w:t>
            </w:r>
            <w:r w:rsidRPr="00253A53">
              <w:t>Celkově byl HDP v</w:t>
            </w:r>
            <w:r>
              <w:t> </w:t>
            </w:r>
            <w:r w:rsidRPr="00253A53">
              <w:t xml:space="preserve">Evropské </w:t>
            </w:r>
            <w:r>
              <w:t>u</w:t>
            </w:r>
            <w:r w:rsidRPr="00253A53">
              <w:t>nii ve 2.</w:t>
            </w:r>
            <w:r>
              <w:t> čtvrtlet</w:t>
            </w:r>
            <w:r w:rsidRPr="00253A53">
              <w:t>í meziročně vyšší o</w:t>
            </w:r>
            <w:r>
              <w:t> </w:t>
            </w:r>
            <w:r w:rsidRPr="00253A53">
              <w:t>13,2</w:t>
            </w:r>
            <w:r>
              <w:t> %</w:t>
            </w:r>
            <w:r w:rsidRPr="00253A53">
              <w:t>, na čemž se samozřejmě stejně jako v</w:t>
            </w:r>
            <w:r>
              <w:t> </w:t>
            </w:r>
            <w:r w:rsidRPr="00253A53">
              <w:t xml:space="preserve">samotném Česku </w:t>
            </w:r>
            <w:r>
              <w:t>z velké části</w:t>
            </w:r>
            <w:r w:rsidRPr="00253A53">
              <w:t xml:space="preserve"> podílela nízká základna loňského 2.</w:t>
            </w:r>
            <w:r>
              <w:t> kvartál</w:t>
            </w:r>
            <w:r w:rsidRPr="00253A53">
              <w:t>u.</w:t>
            </w:r>
            <w:r>
              <w:t xml:space="preserve"> </w:t>
            </w:r>
            <w:r w:rsidRPr="00253A53">
              <w:t>Všechny země EU tak meziročně ekonomicky rostly.</w:t>
            </w:r>
            <w:r>
              <w:t xml:space="preserve"> Pohled na předkrizové období ale ukazuje, že reálně </w:t>
            </w:r>
            <w:r>
              <w:lastRenderedPageBreak/>
              <w:t>HDP v EU zaostává za úrovní roku 2019 o 2,3 %</w:t>
            </w:r>
            <w:r>
              <w:rPr>
                <w:rStyle w:val="Znakapoznpodarou"/>
              </w:rPr>
              <w:footnoteReference w:id="3"/>
            </w:r>
            <w:r>
              <w:t>. Ve většině zemí byl HDP reálně nižší než ve 2. čtvrtletí 2019, přičemž nejvíce zaostáva</w:t>
            </w:r>
            <w:r w:rsidR="006D26CE">
              <w:t xml:space="preserve">ly Španělsko (–6,1 %) a Itálie </w:t>
            </w:r>
            <w:r>
              <w:t xml:space="preserve">(–4,0 %). Na předních příčkách tohoto srovnání ale bylo </w:t>
            </w:r>
            <w:r w:rsidRPr="006D26CE">
              <w:rPr>
                <w:spacing w:val="-4"/>
              </w:rPr>
              <w:t>i Česko (–3,7 %) a nadprůměrně se oproti 2. kvartálu 2019 propadaly i Francie (</w:t>
            </w:r>
            <w:r w:rsidR="00C706D2" w:rsidRPr="006D26CE">
              <w:rPr>
                <w:spacing w:val="-4"/>
              </w:rPr>
              <w:t>–</w:t>
            </w:r>
            <w:r w:rsidR="006D26CE" w:rsidRPr="006D26CE">
              <w:rPr>
                <w:spacing w:val="-4"/>
              </w:rPr>
              <w:t>3,4 %),</w:t>
            </w:r>
            <w:r w:rsidR="006D26CE">
              <w:t xml:space="preserve"> Německo </w:t>
            </w:r>
            <w:r>
              <w:t>(–2,9 %) nebo Rakousko (</w:t>
            </w:r>
            <w:r w:rsidR="00C706D2">
              <w:t>–</w:t>
            </w:r>
            <w:r>
              <w:t>2,7 %), často země se silným automobilovým průmyslem. Mezi země, kterým se daří vracet k předkrizové úrovni, patřily státy Pobaltí, Irsko, Rumunsko, Slovinsko, Polsko, Maďarsko, Dánsko a Švédsko.</w:t>
            </w:r>
          </w:p>
        </w:tc>
      </w:tr>
      <w:tr w:rsidR="0039398D" w:rsidRPr="009110F7" w14:paraId="22E9244C" w14:textId="77777777" w:rsidTr="00AF7277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732E6807" w14:textId="77777777" w:rsidR="0039398D" w:rsidRDefault="0039398D" w:rsidP="00AF7277">
            <w:pPr>
              <w:pStyle w:val="Marginlie"/>
            </w:pPr>
            <w:r>
              <w:lastRenderedPageBreak/>
              <w:t>Objem vyplacených mezd a platů se ve 2. čtvrtletí prudce zvýšil.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5659D9EA" w14:textId="77777777" w:rsidR="0039398D" w:rsidRDefault="0039398D" w:rsidP="00AF727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5009CC22" w14:textId="77777777" w:rsidR="0039398D" w:rsidRPr="00014ED0" w:rsidRDefault="0039398D" w:rsidP="00AF7277">
            <w:pPr>
              <w:rPr>
                <w:spacing w:val="-2"/>
              </w:rPr>
            </w:pPr>
            <w:r>
              <w:rPr>
                <w:spacing w:val="-2"/>
              </w:rPr>
              <w:t>Objem vyplacených mezd a platů ve 2. čtvrtletí meziročně narostl o 17,7 %. Oproti 1. čtvrtletí objem vyplacených mezd a platů vzrostl o 7,4 %. Mimořádně vysoký meziroční přírůstek byl ovlivněn nízkou základnou loňského 2. kvartálu. Ta souvisela s výrazně nižším počtem odpracovaných hodin. V letošním 2. čtvrtletí bylo navíc oproti loňsku vypláceno více odměn. Reálně se mzdy a platy meziročně zvýšily o 15,3 %</w:t>
            </w:r>
            <w:r>
              <w:rPr>
                <w:rStyle w:val="Znakapoznpodarou"/>
                <w:spacing w:val="-2"/>
              </w:rPr>
              <w:footnoteReference w:id="4"/>
            </w:r>
            <w:r>
              <w:rPr>
                <w:spacing w:val="-2"/>
              </w:rPr>
              <w:t>. Nejvíce se objem mezd a platů zvyšoval v činnostech v oblasti nemovitostí (25,4 %), v odvětvích s převahou sektoru vládních institucí</w:t>
            </w:r>
            <w:r>
              <w:rPr>
                <w:rStyle w:val="Znakapoznpodarou"/>
                <w:spacing w:val="-2"/>
              </w:rPr>
              <w:footnoteReference w:id="5"/>
            </w:r>
            <w:r>
              <w:rPr>
                <w:spacing w:val="-2"/>
              </w:rPr>
              <w:t xml:space="preserve"> (23,1 %), ve zpracovatelském průmyslu (21,6 %), v ostatních činnostech a v uskupení obchod, doprava, ubytování a pohostinství (17,3 %). Silná tempa ale vykázalo i stavebnictví (11,3 %) a informační a komunikační činnosti (8,0 %), kde růst podpořilo z velké části navýšení zaměstnanosti, a rovněž zemědělství, lesnictví a rybářství (7,0 %). Jediným odvětvím, kde došlo k poklesu, bylo peněžnictví a pojišťovnictví (–2,7 %).</w:t>
            </w:r>
          </w:p>
        </w:tc>
      </w:tr>
      <w:tr w:rsidR="0039398D" w:rsidRPr="009110F7" w14:paraId="7F46C9A0" w14:textId="77777777" w:rsidTr="00AF7277">
        <w:trPr>
          <w:trHeight w:val="170"/>
        </w:trPr>
        <w:tc>
          <w:tcPr>
            <w:tcW w:w="1806" w:type="dxa"/>
            <w:vMerge w:val="restart"/>
            <w:shd w:val="clear" w:color="auto" w:fill="auto"/>
            <w:tcMar>
              <w:left w:w="0" w:type="dxa"/>
            </w:tcMar>
          </w:tcPr>
          <w:p w14:paraId="65223952" w14:textId="77777777" w:rsidR="0039398D" w:rsidRDefault="0039398D" w:rsidP="00AF7277">
            <w:pPr>
              <w:pStyle w:val="Marginlie"/>
            </w:pPr>
          </w:p>
        </w:tc>
        <w:tc>
          <w:tcPr>
            <w:tcW w:w="223" w:type="dxa"/>
            <w:vMerge w:val="restart"/>
            <w:shd w:val="clear" w:color="auto" w:fill="auto"/>
            <w:tcMar>
              <w:left w:w="0" w:type="dxa"/>
            </w:tcMar>
          </w:tcPr>
          <w:p w14:paraId="6CFDE417" w14:textId="77777777" w:rsidR="0039398D" w:rsidRDefault="0039398D" w:rsidP="00AF727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6324365F" w14:textId="77777777" w:rsidR="0039398D" w:rsidRPr="00D721B4" w:rsidRDefault="0039398D" w:rsidP="00AF7277">
            <w:pPr>
              <w:spacing w:after="0"/>
              <w:rPr>
                <w:szCs w:val="20"/>
              </w:rPr>
            </w:pPr>
            <w:r w:rsidRPr="00D721B4">
              <w:rPr>
                <w:b/>
                <w:szCs w:val="20"/>
              </w:rPr>
              <w:t>Graf č. 2</w:t>
            </w:r>
            <w:r>
              <w:rPr>
                <w:b/>
                <w:szCs w:val="20"/>
              </w:rPr>
              <w:t xml:space="preserve"> </w:t>
            </w:r>
            <w:r w:rsidRPr="00D721B4">
              <w:rPr>
                <w:b/>
                <w:szCs w:val="20"/>
              </w:rPr>
              <w:t xml:space="preserve"> </w:t>
            </w:r>
            <w:r w:rsidRPr="00D721B4">
              <w:rPr>
                <w:rFonts w:cs="Arial"/>
                <w:b/>
                <w:szCs w:val="20"/>
                <w:lang w:eastAsia="en-US"/>
              </w:rPr>
              <w:t xml:space="preserve">Příspěvky výdajových složek k reálné změně HDP* </w:t>
            </w:r>
            <w:r w:rsidRPr="00D721B4">
              <w:rPr>
                <w:rFonts w:cs="Arial"/>
                <w:bCs/>
                <w:szCs w:val="20"/>
                <w:lang w:eastAsia="en-US"/>
              </w:rPr>
              <w:t>(objemové indexy, meziroční růst, příspěvky v p. b., HDP v %)</w:t>
            </w:r>
          </w:p>
        </w:tc>
      </w:tr>
      <w:tr w:rsidR="0039398D" w:rsidRPr="009110F7" w14:paraId="5AD982C0" w14:textId="77777777" w:rsidTr="00AF7277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6" w:type="dxa"/>
            <w:vMerge/>
            <w:shd w:val="clear" w:color="auto" w:fill="auto"/>
          </w:tcPr>
          <w:p w14:paraId="59B20DA3" w14:textId="77777777" w:rsidR="0039398D" w:rsidRDefault="0039398D" w:rsidP="00AF7277">
            <w:pPr>
              <w:pStyle w:val="Marginlie"/>
            </w:pPr>
          </w:p>
        </w:tc>
        <w:tc>
          <w:tcPr>
            <w:tcW w:w="223" w:type="dxa"/>
            <w:vMerge/>
            <w:shd w:val="clear" w:color="auto" w:fill="auto"/>
          </w:tcPr>
          <w:p w14:paraId="1EC212A3" w14:textId="77777777" w:rsidR="0039398D" w:rsidRDefault="0039398D" w:rsidP="00AF727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</w:tcPr>
          <w:p w14:paraId="1651CAB0" w14:textId="77777777" w:rsidR="0039398D" w:rsidRDefault="0039398D" w:rsidP="00AF7277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05BC512E" wp14:editId="248315F9">
                  <wp:extent cx="4737600" cy="3553200"/>
                  <wp:effectExtent l="0" t="0" r="6350" b="0"/>
                  <wp:docPr id="7" name="Graf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39398D" w:rsidRPr="009110F7" w14:paraId="3A0E057C" w14:textId="77777777" w:rsidTr="00AF7277">
        <w:trPr>
          <w:trHeight w:val="170"/>
        </w:trPr>
        <w:tc>
          <w:tcPr>
            <w:tcW w:w="1806" w:type="dxa"/>
            <w:vMerge/>
            <w:shd w:val="clear" w:color="auto" w:fill="auto"/>
            <w:tcMar>
              <w:left w:w="0" w:type="dxa"/>
            </w:tcMar>
          </w:tcPr>
          <w:p w14:paraId="6579DE28" w14:textId="77777777" w:rsidR="0039398D" w:rsidRDefault="0039398D" w:rsidP="00AF7277">
            <w:pPr>
              <w:pStyle w:val="Marginlie"/>
            </w:pPr>
          </w:p>
        </w:tc>
        <w:tc>
          <w:tcPr>
            <w:tcW w:w="223" w:type="dxa"/>
            <w:vMerge/>
            <w:shd w:val="clear" w:color="auto" w:fill="auto"/>
            <w:tcMar>
              <w:left w:w="0" w:type="dxa"/>
            </w:tcMar>
          </w:tcPr>
          <w:p w14:paraId="0F4C9FA4" w14:textId="77777777" w:rsidR="0039398D" w:rsidRDefault="0039398D" w:rsidP="00AF727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09951AC4" w14:textId="77777777" w:rsidR="0039398D" w:rsidRDefault="0039398D" w:rsidP="00AF7277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Zdroj: ČSÚ</w:t>
            </w:r>
          </w:p>
          <w:p w14:paraId="38308FEB" w14:textId="77777777" w:rsidR="0039398D" w:rsidRDefault="0039398D" w:rsidP="00AF7277">
            <w:r>
              <w:rPr>
                <w:sz w:val="14"/>
                <w:szCs w:val="14"/>
              </w:rPr>
              <w:t>* po vyloučení dovozu pro konečné užití</w:t>
            </w:r>
          </w:p>
        </w:tc>
      </w:tr>
      <w:tr w:rsidR="0039398D" w:rsidRPr="009110F7" w14:paraId="4BE5C60E" w14:textId="77777777" w:rsidTr="00AF7277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46F53B17" w14:textId="77777777" w:rsidR="0039398D" w:rsidRDefault="0039398D" w:rsidP="00AF7277">
            <w:pPr>
              <w:pStyle w:val="Marginlie"/>
            </w:pPr>
            <w:r>
              <w:t>Domácí spotřeba díky uvolnění restrikcí začala růst.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48E8C16A" w14:textId="77777777" w:rsidR="0039398D" w:rsidRDefault="0039398D" w:rsidP="00AF727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2450D41B" w14:textId="77777777" w:rsidR="0039398D" w:rsidRDefault="0039398D" w:rsidP="00F5615B">
            <w:r>
              <w:rPr>
                <w:spacing w:val="-2"/>
              </w:rPr>
              <w:t>Domácí spotřeba ve 2. čtvrtletí mezi</w:t>
            </w:r>
            <w:r w:rsidR="00F5615B">
              <w:rPr>
                <w:spacing w:val="-2"/>
              </w:rPr>
              <w:t>kvartálně</w:t>
            </w:r>
            <w:r>
              <w:rPr>
                <w:spacing w:val="-2"/>
              </w:rPr>
              <w:t xml:space="preserve"> vzrostla o 4,2 %. Narůstala především spotřeba domácností (6,5 %), kterým se ve srovnání s 1. čtvrtletím otevřelo více nákupních příležitostí. Přírůstek byl přitom silnější než ve 3. čtvrtletí minulého roku, během kterého byly také uvolněny restrikce. Aktuální vývoj ale ukazuje na realizaci </w:t>
            </w:r>
            <w:r>
              <w:rPr>
                <w:spacing w:val="-2"/>
              </w:rPr>
              <w:lastRenderedPageBreak/>
              <w:t>odložené spotřeby domácností. Naopak spotřeba vládních institucí stagnovala (</w:t>
            </w:r>
            <w:r w:rsidR="00C706D2">
              <w:t>–</w:t>
            </w:r>
            <w:r>
              <w:rPr>
                <w:spacing w:val="-2"/>
              </w:rPr>
              <w:t>0,2 %). Meziročně spotřeba vzrostla o 6,0 % a k nárůstu HDP přispěla 1,8 p. b.</w:t>
            </w:r>
            <w:r w:rsidRPr="00014ED0">
              <w:rPr>
                <w:rStyle w:val="Znakapoznpodarou"/>
                <w:spacing w:val="-2"/>
              </w:rPr>
              <w:footnoteReference w:id="6"/>
            </w:r>
            <w:r>
              <w:rPr>
                <w:spacing w:val="-2"/>
              </w:rPr>
              <w:t xml:space="preserve"> Výrazný byl opět přírůstek spotřeby domácností (7,4 %), v případě vládních institucí dosáhl 3,0 %. Výrazný růstový impulz samozřejmě získaly v předchozích kvartálech zaostávající segmenty trvanlivého zboží a služeb – spotřeba statků střednědobé trvanlivosti</w:t>
            </w:r>
            <w:r>
              <w:rPr>
                <w:rStyle w:val="Znakapoznpodarou"/>
                <w:spacing w:val="-2"/>
              </w:rPr>
              <w:footnoteReference w:id="7"/>
            </w:r>
            <w:r>
              <w:rPr>
                <w:spacing w:val="-2"/>
              </w:rPr>
              <w:t xml:space="preserve"> vzrostla mezičtvrtletně o 26,5 %</w:t>
            </w:r>
            <w:r>
              <w:rPr>
                <w:rStyle w:val="Znakapoznpodarou"/>
              </w:rPr>
              <w:footnoteReference w:id="8"/>
            </w:r>
            <w:r>
              <w:rPr>
                <w:spacing w:val="-2"/>
              </w:rPr>
              <w:t>, statků dlouhodobé trvanlivosti o 6,4 % a služeb o 7,6 %. Také spotřeba netrvanlivého zboží silně mezičtvrtletně rostla (4,3 %).</w:t>
            </w:r>
          </w:p>
        </w:tc>
      </w:tr>
      <w:tr w:rsidR="0039398D" w:rsidRPr="009110F7" w14:paraId="635A3CF2" w14:textId="77777777" w:rsidTr="00AF7277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48EBF468" w14:textId="77777777" w:rsidR="0039398D" w:rsidRDefault="0039398D" w:rsidP="00AF7277">
            <w:pPr>
              <w:pStyle w:val="Marginlie"/>
            </w:pPr>
            <w:r>
              <w:lastRenderedPageBreak/>
              <w:t>Investiční výdaje zaznamenaly výrazné oživení.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1F0C1426" w14:textId="77777777" w:rsidR="0039398D" w:rsidRDefault="0039398D" w:rsidP="00AF727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2D6DAB88" w14:textId="77777777" w:rsidR="0039398D" w:rsidRDefault="0039398D" w:rsidP="00F5615B">
            <w:r>
              <w:t>Výdaje na tvorbu hrubého kapitálu ve 2. čtvrtletí mezi</w:t>
            </w:r>
            <w:r w:rsidR="00F5615B">
              <w:t>kvartálně</w:t>
            </w:r>
            <w:r>
              <w:t xml:space="preserve"> vzrostly o 4,3 % a meziročně o 13,0 %. Příspěvek tvorby hrubého kapitálu k meziročnímu růstu HDP dosáhl 1,6 p. b. Především v meziročním srovnání hrála velkou roli změna zásob. Nárůst zásob nedokončené produkce a hotových výrobků průmyslových podniků tak výrazně přispěl k meziročnímu navýšení tvorby hrubého kapitálu</w:t>
            </w:r>
            <w:r>
              <w:rPr>
                <w:rStyle w:val="Znakapoznpodarou"/>
              </w:rPr>
              <w:footnoteReference w:id="9"/>
            </w:r>
            <w:r>
              <w:t>. Výdaje na tvorbu hrubého fixního kapitálu mezičtvrtletně narostly o 4,2 % a meziroční navýšení dosáhlo 1,5 %. Investice přitom meziročně vzrostly poprvé od 4. čtvrtletí 2019. Srovnání údajů očištěných o cenové vlivy ukazuje, že investice v letošním 2. čtvrtletí zatím zaostávají za obdobím před příchodem pandemie. Věcné členění tvorby hrubého kapitálu nepřímo dokládá oživení investic nefinančních podniků – mezičtvrtletně se silně zvyšovaly výdaje na dopravní prostředky a zařízení (10,2 %) a zrychlil i přírůstek investic do ICT a ostatních strojů a zařízení (4,8 %). O 1,0 % se zvýšily investice do produktů duševního vlastnictví. Velmi silný byl i přírůstek investic do obydlí, kterým dominují domácnosti (9,9 %). Mírně se mezičtvrtletně navýšily také investice do ostatních budov a staveb (0,3 %). Ve srovnání s loňským 2. čtvrtletím ale nadále zaostávaly investice do ostatních budov a staveb (–4,2 %) i produktů duševního vlastnictví (–0,5 %). Naopak výdaje na obydlí byly vyšší o 9,7 %, na ICT a ostatní stroje a zařízení o 2,7 % a na dopravní prostředky a zařízení o 1,9 %.</w:t>
            </w:r>
          </w:p>
        </w:tc>
      </w:tr>
      <w:tr w:rsidR="0039398D" w:rsidRPr="009110F7" w14:paraId="471E63DB" w14:textId="77777777" w:rsidTr="00AF7277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17E10721" w14:textId="77777777" w:rsidR="0039398D" w:rsidRDefault="0039398D" w:rsidP="00AF7277">
            <w:pPr>
              <w:pStyle w:val="Marginlie"/>
            </w:pPr>
            <w:r>
              <w:t>Bilance zahraničního obchodu přispěla k meziročnímu růstu HDP, její přebytek ale patřil k nejnižším za poslední roky.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2EDB3017" w14:textId="77777777" w:rsidR="0039398D" w:rsidRDefault="0039398D" w:rsidP="00AF727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29D0B78D" w14:textId="77777777" w:rsidR="0039398D" w:rsidRDefault="0039398D" w:rsidP="00AF7277">
            <w:r>
              <w:t>V průběhu podzimní a zimní vlny epidemie už nedošlo k omezení průmyslu a potažmo zahraničního obchodu. Mezičtvrtletní reálný přírůstek vývozu zboží a služeb tak činil 0,6 %</w:t>
            </w:r>
            <w:r w:rsidRPr="009110F7">
              <w:rPr>
                <w:rStyle w:val="Znakapoznpodarou"/>
              </w:rPr>
              <w:footnoteReference w:id="10"/>
            </w:r>
            <w:r>
              <w:t xml:space="preserve">. Z toho export zboží klesl o 0,7 %, zatímco export služeb narostl o 8,7 %. Naopak dovoz se mezičtvrtletně zvedl o výrazná 4,9 % a lze předpokládat, že část z tohoto nárůstu souvisí i se zvýšenou investiční aktivitou podniků. Tento výrazný rozdíl mezi dynamikou vývozu a dovozu vyústil v mezičtvrtletní zhoršení bilance zahraničního obchodu, čímž se zahraniční poptávka stala jediným faktorem působícím ve směru mezičtvrtletního poklesu HDP. Meziročně se vývoz reálně zvýšil o 30,6 %, což je ale ovlivněno slabým srovnávacím obdobím, a dovoz obdobně narostl o 31,3 %. Bilance zahraničního obchodu ve 2. čtvrtletí dosáhla přebytku 56,3 mld. korun, což je meziročně o 15,0 mld. lepší výsledek, takže výsledný příspěvek zahraniční poptávky k meziročnímu růstu HDP dosáhl 4,8 p. b. S výjimkou loňského 2. kvartálu jde ale o nejslabší přebytek od 2. čtvrtletí 2015. Zlepšil se přebytek obchodu se zbožím (+10,8 mld. korun) i službami (+4,2 mld.), ale hodnota 30,2 mld. pro bilanci obchodu se zbožím byla </w:t>
            </w:r>
            <w:r w:rsidR="00C706D2">
              <w:t xml:space="preserve">s výjimkou loňského 2. kvartálu </w:t>
            </w:r>
            <w:r>
              <w:t>nejhorší od 4. čtvrtletí 2012.</w:t>
            </w:r>
          </w:p>
        </w:tc>
      </w:tr>
      <w:tr w:rsidR="0039398D" w:rsidRPr="009110F7" w14:paraId="710C72D5" w14:textId="77777777" w:rsidTr="00AF7277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73E994E8" w14:textId="77777777" w:rsidR="0039398D" w:rsidRDefault="0039398D" w:rsidP="00AF7277">
            <w:pPr>
              <w:pStyle w:val="Marginlie"/>
            </w:pPr>
            <w:r>
              <w:t>Mezičtvrtletní růst hrubé přidané hodnoty podpořilo uvolnění restrikcí v obchodě a službách.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63028C01" w14:textId="77777777" w:rsidR="0039398D" w:rsidRDefault="0039398D" w:rsidP="00AF727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73C1E8CA" w14:textId="77777777" w:rsidR="0039398D" w:rsidRPr="00F93F2C" w:rsidRDefault="0039398D" w:rsidP="00AF7277">
            <w:r>
              <w:t xml:space="preserve">Hrubá přidaná hodnota (HPH) se ve 2. čtvrtletí mezičtvrtletně zvýšila o 0,7 %. Ve srovnání s 1. kvartálem se zlepšil výkon většiny odvětví s výjimkou zemědělství </w:t>
            </w:r>
            <w:r>
              <w:br/>
              <w:t xml:space="preserve">(–3,1 %), peněžnictví a pojišťovnictví (–2,2 %) a činností v oblasti nemovitostí </w:t>
            </w:r>
            <w:r>
              <w:br/>
              <w:t xml:space="preserve">(–1,2 %). Výrazné mezičtvrtletní oživení naopak vykázalo uskupení obchod, doprava, ubytování a pohostinství (3,5 %), které výrazně těžily z uvolnění protiepidemických restrikcí. U ostatních odvětví služeb byly přírůstky mírnější – shodně o 0,8 % vzrostly </w:t>
            </w:r>
            <w:r>
              <w:lastRenderedPageBreak/>
              <w:t>profesní, vědecké, technické a administrativní činnosti a odvětví s převahou vládního sektoru, mírně rostly informační a komunikační činnosti (0,3 %) a stagnovaly ostatní činnosti (0,1 %). Zpracovatelský průmysl, který čelil problémům souvisejícím s narušením dodavatelských řetězců, nakonec vzrostl o 1,1 %. Mírně rostla i HPH ve stavebnictví (0,5 %).</w:t>
            </w:r>
          </w:p>
        </w:tc>
      </w:tr>
      <w:tr w:rsidR="0039398D" w:rsidRPr="009110F7" w14:paraId="3CDDF3B9" w14:textId="77777777" w:rsidTr="00AF7277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059E537D" w14:textId="77777777" w:rsidR="0039398D" w:rsidRDefault="0039398D" w:rsidP="00AF7277">
            <w:pPr>
              <w:pStyle w:val="Marginlie"/>
            </w:pPr>
            <w:r>
              <w:lastRenderedPageBreak/>
              <w:t>Meziroční navýšení HPH ovlivnila hlavně nízká srovnávací základna loňského roku.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25F58A80" w14:textId="77777777" w:rsidR="0039398D" w:rsidRDefault="0039398D" w:rsidP="00AF727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57CF0ACB" w14:textId="77777777" w:rsidR="0039398D" w:rsidRDefault="0039398D" w:rsidP="00AF7277">
            <w:r>
              <w:t>Meziročně byla hrubá přidaná hodnota vyšší o 8,4 %. Silné navýšení bylo samozřejmě ovlivněno nízkou srovnávací základnou a platilo to také o jednotlivých odvětvích. Meziroční navýšení HPH ve zpracovatelském průmyslu o 23,2 % tak z velké části souvisí s loňským pozastavením provozu v části průmyslu, zatím ale odvětví zaostává například za úrovní 2. kvartálu 2019. Podobně je tomu u uskupení obchod, doprava, ubytování a pohostinství, jehož HPH byla meziročně o 9,4 % vyšší. Solidní meziroční přírůstky měla HPH také v peněžnictví a pojišťovnictví (6,6 %), ostatních činnostech (4,8 %), informačních a komunikačních činnostech (4,3 %), veřejné správě a obraně, vzdělávání, zdravotní a sociální péči (4,2 %) a zemědělství (4,1 %). Naopak jen mírně překonaly úroveň loňského roku činnosti v oblasti nemovitostí (0,7 %), stavebnictví (0,4 %) a profesní, vědecké, technické a administrativní činnosti (0,2 %).</w:t>
            </w:r>
          </w:p>
        </w:tc>
      </w:tr>
      <w:tr w:rsidR="0039398D" w:rsidRPr="009110F7" w14:paraId="19340417" w14:textId="77777777" w:rsidTr="00AF7277">
        <w:trPr>
          <w:trHeight w:val="170"/>
        </w:trPr>
        <w:tc>
          <w:tcPr>
            <w:tcW w:w="1806" w:type="dxa"/>
            <w:vMerge w:val="restart"/>
            <w:shd w:val="clear" w:color="auto" w:fill="auto"/>
            <w:tcMar>
              <w:left w:w="0" w:type="dxa"/>
            </w:tcMar>
          </w:tcPr>
          <w:p w14:paraId="29DBE237" w14:textId="77777777" w:rsidR="0039398D" w:rsidRDefault="0039398D" w:rsidP="00AF7277">
            <w:pPr>
              <w:pStyle w:val="Marginlie"/>
            </w:pPr>
          </w:p>
        </w:tc>
        <w:tc>
          <w:tcPr>
            <w:tcW w:w="223" w:type="dxa"/>
            <w:vMerge w:val="restart"/>
            <w:shd w:val="clear" w:color="auto" w:fill="auto"/>
            <w:tcMar>
              <w:left w:w="0" w:type="dxa"/>
            </w:tcMar>
          </w:tcPr>
          <w:p w14:paraId="738221EF" w14:textId="77777777" w:rsidR="0039398D" w:rsidRDefault="0039398D" w:rsidP="00AF727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625CB260" w14:textId="77777777" w:rsidR="0039398D" w:rsidRPr="00D721B4" w:rsidRDefault="0039398D" w:rsidP="00AF7277">
            <w:pPr>
              <w:spacing w:after="0"/>
              <w:rPr>
                <w:szCs w:val="20"/>
              </w:rPr>
            </w:pPr>
            <w:r w:rsidRPr="00D721B4">
              <w:rPr>
                <w:b/>
                <w:szCs w:val="20"/>
              </w:rPr>
              <w:t>Graf č. 3</w:t>
            </w:r>
            <w:r>
              <w:rPr>
                <w:b/>
                <w:szCs w:val="20"/>
              </w:rPr>
              <w:t xml:space="preserve"> </w:t>
            </w:r>
            <w:r w:rsidRPr="00D721B4">
              <w:rPr>
                <w:b/>
                <w:szCs w:val="20"/>
              </w:rPr>
              <w:t xml:space="preserve"> </w:t>
            </w:r>
            <w:r w:rsidRPr="00D721B4">
              <w:rPr>
                <w:rFonts w:cs="Arial"/>
                <w:b/>
                <w:szCs w:val="20"/>
                <w:lang w:eastAsia="en-US"/>
              </w:rPr>
              <w:t xml:space="preserve">Příspěvky odvětví k reálné změně HPH </w:t>
            </w:r>
            <w:r w:rsidRPr="00D721B4">
              <w:rPr>
                <w:rFonts w:cs="Arial"/>
                <w:bCs/>
                <w:szCs w:val="20"/>
                <w:lang w:eastAsia="en-US"/>
              </w:rPr>
              <w:t>(objemové indexy, meziroční příspěvky v p. b., HPH v %)</w:t>
            </w:r>
          </w:p>
        </w:tc>
      </w:tr>
      <w:tr w:rsidR="0039398D" w:rsidRPr="009110F7" w14:paraId="1633F39F" w14:textId="77777777" w:rsidTr="00AF7277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6" w:type="dxa"/>
            <w:vMerge/>
            <w:shd w:val="clear" w:color="auto" w:fill="auto"/>
          </w:tcPr>
          <w:p w14:paraId="7B8D9974" w14:textId="77777777" w:rsidR="0039398D" w:rsidRPr="009110F7" w:rsidRDefault="0039398D" w:rsidP="00AF7277">
            <w:pPr>
              <w:pStyle w:val="Marginlie"/>
            </w:pPr>
          </w:p>
        </w:tc>
        <w:tc>
          <w:tcPr>
            <w:tcW w:w="223" w:type="dxa"/>
            <w:vMerge/>
            <w:shd w:val="clear" w:color="auto" w:fill="auto"/>
          </w:tcPr>
          <w:p w14:paraId="0244F2B4" w14:textId="77777777" w:rsidR="0039398D" w:rsidRPr="009110F7" w:rsidRDefault="0039398D" w:rsidP="00AF727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</w:tcPr>
          <w:p w14:paraId="2A1F84BC" w14:textId="77777777" w:rsidR="0039398D" w:rsidRPr="009110F7" w:rsidRDefault="0039398D" w:rsidP="00AF7277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53EEB724" wp14:editId="07F4B713">
                  <wp:extent cx="4737600" cy="3486525"/>
                  <wp:effectExtent l="0" t="0" r="6350" b="0"/>
                  <wp:docPr id="8" name="Graf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39398D" w:rsidRPr="009110F7" w14:paraId="7C22976A" w14:textId="77777777" w:rsidTr="00AF7277">
        <w:trPr>
          <w:trHeight w:val="170"/>
        </w:trPr>
        <w:tc>
          <w:tcPr>
            <w:tcW w:w="1806" w:type="dxa"/>
            <w:vMerge/>
            <w:shd w:val="clear" w:color="auto" w:fill="auto"/>
            <w:tcMar>
              <w:left w:w="0" w:type="dxa"/>
            </w:tcMar>
          </w:tcPr>
          <w:p w14:paraId="6215E4A4" w14:textId="77777777" w:rsidR="0039398D" w:rsidRPr="009110F7" w:rsidRDefault="0039398D" w:rsidP="00AF7277">
            <w:pPr>
              <w:pStyle w:val="Marginlie"/>
            </w:pPr>
          </w:p>
        </w:tc>
        <w:tc>
          <w:tcPr>
            <w:tcW w:w="223" w:type="dxa"/>
            <w:vMerge/>
            <w:shd w:val="clear" w:color="auto" w:fill="auto"/>
            <w:tcMar>
              <w:left w:w="0" w:type="dxa"/>
            </w:tcMar>
          </w:tcPr>
          <w:p w14:paraId="7CF14529" w14:textId="77777777" w:rsidR="0039398D" w:rsidRPr="009110F7" w:rsidRDefault="0039398D" w:rsidP="00AF727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4EF73113" w14:textId="77777777" w:rsidR="0039398D" w:rsidRPr="009110F7" w:rsidRDefault="0039398D" w:rsidP="00AF7277">
            <w:pPr>
              <w:rPr>
                <w:sz w:val="14"/>
                <w:szCs w:val="14"/>
              </w:rPr>
            </w:pPr>
            <w:r w:rsidRPr="00A85DE1">
              <w:rPr>
                <w:sz w:val="14"/>
                <w:szCs w:val="14"/>
              </w:rPr>
              <w:t>Zdroj: ČSÚ</w:t>
            </w:r>
          </w:p>
        </w:tc>
      </w:tr>
    </w:tbl>
    <w:p w14:paraId="5617C4D4" w14:textId="77777777" w:rsidR="0039398D" w:rsidRPr="00C41D54" w:rsidRDefault="0039398D" w:rsidP="0039398D">
      <w:pPr>
        <w:pStyle w:val="Nadpis11"/>
        <w:rPr>
          <w:b w:val="0"/>
          <w:sz w:val="2"/>
          <w:szCs w:val="2"/>
          <w:highlight w:val="yellow"/>
        </w:rPr>
      </w:pPr>
    </w:p>
    <w:p w14:paraId="68E6D4A7" w14:textId="77777777" w:rsidR="0039398D" w:rsidRPr="00DA3ADF" w:rsidRDefault="0039398D" w:rsidP="0039398D">
      <w:pPr>
        <w:spacing w:after="0" w:line="240" w:lineRule="auto"/>
        <w:jc w:val="left"/>
        <w:rPr>
          <w:rFonts w:eastAsia="MS Gothic"/>
          <w:bCs/>
          <w:color w:val="71818C"/>
          <w:sz w:val="2"/>
          <w:szCs w:val="2"/>
          <w:highlight w:val="yellow"/>
        </w:rPr>
      </w:pPr>
    </w:p>
    <w:p w14:paraId="7A78EA20" w14:textId="77777777" w:rsidR="0039398D" w:rsidRDefault="0039398D" w:rsidP="0039398D">
      <w:pPr>
        <w:spacing w:after="0" w:line="240" w:lineRule="auto"/>
        <w:jc w:val="left"/>
        <w:rPr>
          <w:b/>
          <w:sz w:val="2"/>
          <w:szCs w:val="2"/>
          <w:highlight w:val="yellow"/>
        </w:rPr>
      </w:pPr>
    </w:p>
    <w:p w14:paraId="0BBAB734" w14:textId="77777777" w:rsidR="0039398D" w:rsidRPr="00E42054" w:rsidRDefault="0039398D" w:rsidP="0039398D">
      <w:pPr>
        <w:pStyle w:val="Nadpis11"/>
        <w:spacing w:after="0"/>
        <w:rPr>
          <w:b w:val="0"/>
          <w:sz w:val="2"/>
          <w:szCs w:val="2"/>
        </w:rPr>
      </w:pPr>
    </w:p>
    <w:p w14:paraId="1512F6D2" w14:textId="77777777" w:rsidR="0039398D" w:rsidRDefault="0039398D" w:rsidP="0039398D">
      <w:pPr>
        <w:spacing w:after="0" w:line="240" w:lineRule="auto"/>
        <w:jc w:val="left"/>
        <w:rPr>
          <w:b/>
          <w:sz w:val="2"/>
          <w:szCs w:val="2"/>
          <w:highlight w:val="yellow"/>
        </w:rPr>
      </w:pPr>
    </w:p>
    <w:p w14:paraId="1393A138" w14:textId="77777777" w:rsidR="0039398D" w:rsidRPr="000F45E7" w:rsidRDefault="0039398D" w:rsidP="0039398D">
      <w:pPr>
        <w:pStyle w:val="Nadpis11"/>
        <w:spacing w:after="0"/>
        <w:rPr>
          <w:b w:val="0"/>
          <w:sz w:val="2"/>
          <w:szCs w:val="2"/>
        </w:rPr>
      </w:pPr>
    </w:p>
    <w:p w14:paraId="219CAD66" w14:textId="77777777" w:rsidR="0039398D" w:rsidRPr="00E42054" w:rsidRDefault="0039398D" w:rsidP="0039398D">
      <w:pPr>
        <w:pStyle w:val="Nadpis11"/>
        <w:rPr>
          <w:b w:val="0"/>
          <w:sz w:val="2"/>
          <w:szCs w:val="2"/>
        </w:rPr>
      </w:pPr>
    </w:p>
    <w:p w14:paraId="6D3C85BB" w14:textId="77777777" w:rsidR="002E1F8A" w:rsidRPr="000F45E7" w:rsidRDefault="002E1F8A" w:rsidP="002E1F8A">
      <w:pPr>
        <w:pStyle w:val="Nadpis11"/>
        <w:spacing w:after="0"/>
        <w:rPr>
          <w:b w:val="0"/>
          <w:sz w:val="2"/>
          <w:szCs w:val="2"/>
        </w:rPr>
      </w:pPr>
      <w:bookmarkStart w:id="4" w:name="_GoBack"/>
      <w:bookmarkEnd w:id="0"/>
      <w:bookmarkEnd w:id="1"/>
      <w:bookmarkEnd w:id="2"/>
      <w:bookmarkEnd w:id="3"/>
      <w:bookmarkEnd w:id="4"/>
    </w:p>
    <w:p w14:paraId="45E33EB6" w14:textId="77777777" w:rsidR="00AB3BA7" w:rsidRPr="000F45E7" w:rsidRDefault="00AB3BA7" w:rsidP="00AB3BA7">
      <w:pPr>
        <w:pStyle w:val="Nadpis11"/>
        <w:spacing w:after="0"/>
        <w:rPr>
          <w:b w:val="0"/>
          <w:sz w:val="2"/>
          <w:szCs w:val="2"/>
        </w:rPr>
      </w:pPr>
    </w:p>
    <w:p w14:paraId="39E9959F" w14:textId="77777777" w:rsidR="000663F0" w:rsidRPr="00E42054" w:rsidRDefault="000663F0" w:rsidP="00AB3BA7">
      <w:pPr>
        <w:pStyle w:val="Nadpis11"/>
        <w:rPr>
          <w:b w:val="0"/>
          <w:sz w:val="2"/>
          <w:szCs w:val="2"/>
        </w:rPr>
      </w:pPr>
    </w:p>
    <w:sectPr w:rsidR="000663F0" w:rsidRPr="00E42054" w:rsidSect="00B23998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134" w:right="1134" w:bottom="1418" w:left="1134" w:header="680" w:footer="737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82ECC" w14:textId="77777777" w:rsidR="00F9433C" w:rsidRDefault="00F9433C" w:rsidP="00E71A58">
      <w:r>
        <w:separator/>
      </w:r>
    </w:p>
  </w:endnote>
  <w:endnote w:type="continuationSeparator" w:id="0">
    <w:p w14:paraId="0DD7B318" w14:textId="77777777" w:rsidR="00F9433C" w:rsidRDefault="00F9433C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4B6C8" w14:textId="2451F682" w:rsidR="00C872AA" w:rsidRPr="00932443" w:rsidRDefault="00C872AA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5009AFEB" wp14:editId="1EAEA9AF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B23998">
      <w:rPr>
        <w:szCs w:val="16"/>
      </w:rPr>
      <w:t>8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1. pololetí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FAFAF" w14:textId="350DD222" w:rsidR="00C872AA" w:rsidRPr="00932443" w:rsidRDefault="00C872AA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>1. pololetí 2021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2DB053DA" wp14:editId="608D8B4A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B23998">
      <w:rPr>
        <w:rStyle w:val="ZpatChar"/>
        <w:szCs w:val="16"/>
      </w:rPr>
      <w:t>7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D7C98" w14:textId="77777777" w:rsidR="00F9433C" w:rsidRDefault="00F9433C" w:rsidP="00A21B4D">
      <w:pPr>
        <w:spacing w:after="0"/>
      </w:pPr>
      <w:r>
        <w:separator/>
      </w:r>
    </w:p>
  </w:footnote>
  <w:footnote w:type="continuationSeparator" w:id="0">
    <w:p w14:paraId="6B4F9837" w14:textId="77777777" w:rsidR="00F9433C" w:rsidRDefault="00F9433C" w:rsidP="00E71A58">
      <w:r>
        <w:continuationSeparator/>
      </w:r>
    </w:p>
  </w:footnote>
  <w:footnote w:id="1">
    <w:p w14:paraId="0145BCCC" w14:textId="77777777" w:rsidR="00C872AA" w:rsidRPr="000348AF" w:rsidRDefault="00C872AA" w:rsidP="0039398D">
      <w:pPr>
        <w:pStyle w:val="Textpoznpodarou"/>
        <w:rPr>
          <w:sz w:val="16"/>
          <w:szCs w:val="16"/>
        </w:rPr>
      </w:pPr>
      <w:r w:rsidRPr="000348AF">
        <w:rPr>
          <w:rStyle w:val="Znakapoznpodarou"/>
          <w:sz w:val="16"/>
          <w:szCs w:val="16"/>
        </w:rPr>
        <w:footnoteRef/>
      </w:r>
      <w:r w:rsidRPr="000348AF">
        <w:rPr>
          <w:sz w:val="16"/>
          <w:szCs w:val="16"/>
        </w:rPr>
        <w:t xml:space="preserve"> Vývoj HDP, hrubé přidané hodnoty a jejich složek je vyjádřen prostřednictvím objemových indexů (tj. očištěn o vliv cen) a po očištění o sezónní a kalendářní vlivy. Údaje jsou platné k </w:t>
      </w:r>
      <w:r>
        <w:rPr>
          <w:sz w:val="16"/>
          <w:szCs w:val="16"/>
        </w:rPr>
        <w:t>31</w:t>
      </w:r>
      <w:r w:rsidRPr="000348AF">
        <w:rPr>
          <w:sz w:val="16"/>
          <w:szCs w:val="16"/>
        </w:rPr>
        <w:t>. </w:t>
      </w:r>
      <w:r>
        <w:rPr>
          <w:sz w:val="16"/>
          <w:szCs w:val="16"/>
        </w:rPr>
        <w:t>8</w:t>
      </w:r>
      <w:r w:rsidRPr="000348AF">
        <w:rPr>
          <w:sz w:val="16"/>
          <w:szCs w:val="16"/>
        </w:rPr>
        <w:t>. 2021.</w:t>
      </w:r>
    </w:p>
  </w:footnote>
  <w:footnote w:id="2">
    <w:p w14:paraId="6B689F5F" w14:textId="77777777" w:rsidR="00C872AA" w:rsidRPr="001E74E3" w:rsidRDefault="00C872AA" w:rsidP="0039398D">
      <w:pPr>
        <w:pStyle w:val="Textpoznpodarou"/>
        <w:rPr>
          <w:sz w:val="16"/>
          <w:szCs w:val="16"/>
        </w:rPr>
      </w:pPr>
      <w:r w:rsidRPr="001E74E3">
        <w:rPr>
          <w:rStyle w:val="Znakapoznpodarou"/>
          <w:sz w:val="16"/>
          <w:szCs w:val="16"/>
        </w:rPr>
        <w:footnoteRef/>
      </w:r>
      <w:r w:rsidRPr="001E74E3">
        <w:rPr>
          <w:sz w:val="16"/>
          <w:szCs w:val="16"/>
        </w:rPr>
        <w:t xml:space="preserve"> Data za Bulharsko, Irsko, Lucembursko a</w:t>
      </w:r>
      <w:r>
        <w:rPr>
          <w:sz w:val="16"/>
          <w:szCs w:val="16"/>
        </w:rPr>
        <w:t> </w:t>
      </w:r>
      <w:r w:rsidRPr="001E74E3">
        <w:rPr>
          <w:sz w:val="16"/>
          <w:szCs w:val="16"/>
        </w:rPr>
        <w:t>Řecko nebyla dostupná.</w:t>
      </w:r>
    </w:p>
  </w:footnote>
  <w:footnote w:id="3">
    <w:p w14:paraId="27B6E15F" w14:textId="77777777" w:rsidR="00C872AA" w:rsidRPr="001E74E3" w:rsidRDefault="00C872AA" w:rsidP="0039398D">
      <w:pPr>
        <w:pStyle w:val="Textpoznpodarou"/>
        <w:rPr>
          <w:sz w:val="16"/>
          <w:szCs w:val="16"/>
        </w:rPr>
      </w:pPr>
      <w:r w:rsidRPr="001E74E3">
        <w:rPr>
          <w:rStyle w:val="Znakapoznpodarou"/>
          <w:sz w:val="16"/>
          <w:szCs w:val="16"/>
        </w:rPr>
        <w:footnoteRef/>
      </w:r>
      <w:r w:rsidRPr="001E74E3">
        <w:rPr>
          <w:sz w:val="16"/>
          <w:szCs w:val="16"/>
        </w:rPr>
        <w:t xml:space="preserve"> Srovnání HDP v cenách roku 2015.</w:t>
      </w:r>
    </w:p>
  </w:footnote>
  <w:footnote w:id="4">
    <w:p w14:paraId="2DF0C112" w14:textId="77777777" w:rsidR="00C872AA" w:rsidRPr="005F75B1" w:rsidRDefault="00C872AA" w:rsidP="0039398D">
      <w:pPr>
        <w:pStyle w:val="Textpoznpodarou"/>
        <w:rPr>
          <w:sz w:val="16"/>
          <w:szCs w:val="16"/>
        </w:rPr>
      </w:pPr>
      <w:r w:rsidRPr="005F75B1">
        <w:rPr>
          <w:rStyle w:val="Znakapoznpodarou"/>
          <w:sz w:val="16"/>
          <w:szCs w:val="16"/>
        </w:rPr>
        <w:footnoteRef/>
      </w:r>
      <w:r w:rsidRPr="005F75B1">
        <w:rPr>
          <w:sz w:val="16"/>
          <w:szCs w:val="16"/>
        </w:rPr>
        <w:t xml:space="preserve"> Do reálného vyjádření převedeno s pomocí deflátoru spotřeby domácností.</w:t>
      </w:r>
    </w:p>
  </w:footnote>
  <w:footnote w:id="5">
    <w:p w14:paraId="082B94ED" w14:textId="77777777" w:rsidR="00C872AA" w:rsidRPr="00771972" w:rsidRDefault="00C872AA" w:rsidP="0039398D">
      <w:pPr>
        <w:pStyle w:val="Textpoznpodarou"/>
        <w:rPr>
          <w:sz w:val="16"/>
          <w:szCs w:val="16"/>
        </w:rPr>
      </w:pPr>
      <w:r w:rsidRPr="00771972">
        <w:rPr>
          <w:rStyle w:val="Znakapoznpodarou"/>
          <w:sz w:val="16"/>
          <w:szCs w:val="16"/>
        </w:rPr>
        <w:footnoteRef/>
      </w:r>
      <w:r w:rsidRPr="00771972">
        <w:rPr>
          <w:sz w:val="16"/>
          <w:szCs w:val="16"/>
        </w:rPr>
        <w:t xml:space="preserve"> Veřejná správa a</w:t>
      </w:r>
      <w:r>
        <w:rPr>
          <w:sz w:val="16"/>
          <w:szCs w:val="16"/>
        </w:rPr>
        <w:t> </w:t>
      </w:r>
      <w:r w:rsidRPr="00771972">
        <w:rPr>
          <w:sz w:val="16"/>
          <w:szCs w:val="16"/>
        </w:rPr>
        <w:t>obrana, vzdělávání, zdravotní a</w:t>
      </w:r>
      <w:r>
        <w:rPr>
          <w:sz w:val="16"/>
          <w:szCs w:val="16"/>
        </w:rPr>
        <w:t> </w:t>
      </w:r>
      <w:r w:rsidRPr="00771972">
        <w:rPr>
          <w:sz w:val="16"/>
          <w:szCs w:val="16"/>
        </w:rPr>
        <w:t>sociální péče.</w:t>
      </w:r>
    </w:p>
  </w:footnote>
  <w:footnote w:id="6">
    <w:p w14:paraId="0AFD0338" w14:textId="77777777" w:rsidR="00C872AA" w:rsidRPr="009C6EA8" w:rsidRDefault="00C872AA" w:rsidP="0039398D">
      <w:pPr>
        <w:pStyle w:val="Textpoznpodarou"/>
        <w:rPr>
          <w:sz w:val="16"/>
          <w:szCs w:val="16"/>
        </w:rPr>
      </w:pPr>
      <w:r w:rsidRPr="009C6EA8">
        <w:rPr>
          <w:rStyle w:val="Znakapoznpodarou"/>
          <w:sz w:val="16"/>
          <w:szCs w:val="16"/>
        </w:rPr>
        <w:footnoteRef/>
      </w:r>
      <w:r w:rsidRPr="009C6EA8">
        <w:rPr>
          <w:sz w:val="16"/>
          <w:szCs w:val="16"/>
        </w:rPr>
        <w:t xml:space="preserve"> Příspěvky ke změně HDP po vyloučení dovozu pro konečné užití.</w:t>
      </w:r>
    </w:p>
  </w:footnote>
  <w:footnote w:id="7">
    <w:p w14:paraId="27713AE3" w14:textId="77777777" w:rsidR="00C872AA" w:rsidRPr="00AA3676" w:rsidRDefault="00C872AA" w:rsidP="0039398D">
      <w:pPr>
        <w:pStyle w:val="Textpoznpodarou"/>
        <w:rPr>
          <w:sz w:val="16"/>
          <w:szCs w:val="16"/>
        </w:rPr>
      </w:pPr>
      <w:r w:rsidRPr="00AA3676">
        <w:rPr>
          <w:rStyle w:val="Znakapoznpodarou"/>
          <w:sz w:val="16"/>
          <w:szCs w:val="16"/>
        </w:rPr>
        <w:footnoteRef/>
      </w:r>
      <w:r w:rsidRPr="00AA3676">
        <w:rPr>
          <w:sz w:val="16"/>
          <w:szCs w:val="16"/>
        </w:rPr>
        <w:t xml:space="preserve"> </w:t>
      </w:r>
      <w:r>
        <w:rPr>
          <w:sz w:val="16"/>
          <w:szCs w:val="16"/>
        </w:rPr>
        <w:t>D</w:t>
      </w:r>
      <w:r w:rsidRPr="00AA3676">
        <w:rPr>
          <w:spacing w:val="-2"/>
          <w:sz w:val="16"/>
          <w:szCs w:val="16"/>
        </w:rPr>
        <w:t>o</w:t>
      </w:r>
      <w:r>
        <w:rPr>
          <w:spacing w:val="-2"/>
          <w:sz w:val="16"/>
          <w:szCs w:val="16"/>
        </w:rPr>
        <w:t xml:space="preserve"> střednědobé</w:t>
      </w:r>
      <w:r w:rsidRPr="00AA3676">
        <w:rPr>
          <w:spacing w:val="-2"/>
          <w:sz w:val="16"/>
          <w:szCs w:val="16"/>
        </w:rPr>
        <w:t xml:space="preserve"> kategorie spadá velká část omezeného maloobchodu</w:t>
      </w:r>
      <w:r>
        <w:rPr>
          <w:spacing w:val="-2"/>
          <w:sz w:val="16"/>
          <w:szCs w:val="16"/>
        </w:rPr>
        <w:t> </w:t>
      </w:r>
      <w:r w:rsidRPr="00AA3676">
        <w:rPr>
          <w:spacing w:val="-2"/>
          <w:sz w:val="16"/>
          <w:szCs w:val="16"/>
        </w:rPr>
        <w:t>– oděvy, rekreační a</w:t>
      </w:r>
      <w:r>
        <w:rPr>
          <w:spacing w:val="-2"/>
          <w:sz w:val="16"/>
          <w:szCs w:val="16"/>
        </w:rPr>
        <w:t> </w:t>
      </w:r>
      <w:r w:rsidRPr="00AA3676">
        <w:rPr>
          <w:spacing w:val="-2"/>
          <w:sz w:val="16"/>
          <w:szCs w:val="16"/>
        </w:rPr>
        <w:t>sportovní potřeby apod.</w:t>
      </w:r>
    </w:p>
  </w:footnote>
  <w:footnote w:id="8">
    <w:p w14:paraId="3DECCB24" w14:textId="77777777" w:rsidR="00C872AA" w:rsidRPr="00954992" w:rsidRDefault="00C872AA" w:rsidP="0039398D">
      <w:pPr>
        <w:pStyle w:val="Textpoznpodarou"/>
        <w:rPr>
          <w:sz w:val="16"/>
          <w:szCs w:val="16"/>
        </w:rPr>
      </w:pPr>
      <w:r w:rsidRPr="00954992">
        <w:rPr>
          <w:rStyle w:val="Znakapoznpodarou"/>
          <w:sz w:val="16"/>
          <w:szCs w:val="16"/>
        </w:rPr>
        <w:footnoteRef/>
      </w:r>
      <w:r w:rsidRPr="00954992">
        <w:rPr>
          <w:sz w:val="16"/>
          <w:szCs w:val="16"/>
        </w:rPr>
        <w:t xml:space="preserve"> Údaje o</w:t>
      </w:r>
      <w:r>
        <w:rPr>
          <w:sz w:val="16"/>
          <w:szCs w:val="16"/>
        </w:rPr>
        <w:t> </w:t>
      </w:r>
      <w:r w:rsidRPr="00954992">
        <w:rPr>
          <w:sz w:val="16"/>
          <w:szCs w:val="16"/>
        </w:rPr>
        <w:t>spotřebě dle trvanlivosti jsou v domácím pojetí</w:t>
      </w:r>
      <w:r>
        <w:rPr>
          <w:sz w:val="16"/>
          <w:szCs w:val="16"/>
        </w:rPr>
        <w:t>.</w:t>
      </w:r>
    </w:p>
  </w:footnote>
  <w:footnote w:id="9">
    <w:p w14:paraId="4039F227" w14:textId="77777777" w:rsidR="00C872AA" w:rsidRPr="004831F6" w:rsidRDefault="00C872AA" w:rsidP="0039398D">
      <w:pPr>
        <w:pStyle w:val="Textpoznpodarou"/>
        <w:rPr>
          <w:sz w:val="16"/>
          <w:szCs w:val="16"/>
        </w:rPr>
      </w:pPr>
      <w:r w:rsidRPr="004831F6">
        <w:rPr>
          <w:rStyle w:val="Znakapoznpodarou"/>
          <w:sz w:val="16"/>
          <w:szCs w:val="16"/>
        </w:rPr>
        <w:footnoteRef/>
      </w:r>
      <w:r w:rsidRPr="004831F6">
        <w:rPr>
          <w:sz w:val="16"/>
          <w:szCs w:val="16"/>
        </w:rPr>
        <w:t xml:space="preserve"> Změna zásob (v</w:t>
      </w:r>
      <w:r>
        <w:rPr>
          <w:sz w:val="16"/>
          <w:szCs w:val="16"/>
        </w:rPr>
        <w:t> </w:t>
      </w:r>
      <w:r w:rsidRPr="004831F6">
        <w:rPr>
          <w:sz w:val="16"/>
          <w:szCs w:val="16"/>
        </w:rPr>
        <w:t>běžných cenách a</w:t>
      </w:r>
      <w:r>
        <w:rPr>
          <w:sz w:val="16"/>
          <w:szCs w:val="16"/>
        </w:rPr>
        <w:t> </w:t>
      </w:r>
      <w:r w:rsidRPr="004831F6">
        <w:rPr>
          <w:sz w:val="16"/>
          <w:szCs w:val="16"/>
        </w:rPr>
        <w:t>sezónně neočištěná) dosáhla ve 2.</w:t>
      </w:r>
      <w:r>
        <w:rPr>
          <w:sz w:val="16"/>
          <w:szCs w:val="16"/>
        </w:rPr>
        <w:t> čtvrtlet</w:t>
      </w:r>
      <w:r w:rsidRPr="004831F6">
        <w:rPr>
          <w:sz w:val="16"/>
          <w:szCs w:val="16"/>
        </w:rPr>
        <w:t>í +58,9</w:t>
      </w:r>
      <w:r>
        <w:rPr>
          <w:sz w:val="16"/>
          <w:szCs w:val="16"/>
        </w:rPr>
        <w:t> mld.</w:t>
      </w:r>
      <w:r w:rsidRPr="004831F6">
        <w:rPr>
          <w:sz w:val="16"/>
          <w:szCs w:val="16"/>
        </w:rPr>
        <w:t xml:space="preserve"> korun.</w:t>
      </w:r>
    </w:p>
  </w:footnote>
  <w:footnote w:id="10">
    <w:p w14:paraId="0A0BA65A" w14:textId="77777777" w:rsidR="00C872AA" w:rsidRPr="00167B30" w:rsidRDefault="00C872AA" w:rsidP="0039398D">
      <w:pPr>
        <w:pStyle w:val="Textpoznpodarou"/>
        <w:rPr>
          <w:sz w:val="16"/>
          <w:szCs w:val="16"/>
        </w:rPr>
      </w:pPr>
      <w:r w:rsidRPr="00167B30">
        <w:rPr>
          <w:rStyle w:val="Znakapoznpodarou"/>
          <w:sz w:val="16"/>
          <w:szCs w:val="16"/>
        </w:rPr>
        <w:footnoteRef/>
      </w:r>
      <w:r w:rsidRPr="00167B30">
        <w:rPr>
          <w:sz w:val="16"/>
          <w:szCs w:val="16"/>
        </w:rPr>
        <w:t xml:space="preserve"> Podle metodiky čtvrtletních národních účtů (vývoz a</w:t>
      </w:r>
      <w:r>
        <w:rPr>
          <w:sz w:val="16"/>
          <w:szCs w:val="16"/>
        </w:rPr>
        <w:t> </w:t>
      </w:r>
      <w:r w:rsidRPr="00167B30">
        <w:rPr>
          <w:sz w:val="16"/>
          <w:szCs w:val="16"/>
        </w:rPr>
        <w:t>dovoz v ocenění FOB/FOB)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94A67" w14:textId="77777777" w:rsidR="00C872AA" w:rsidRDefault="00C872AA" w:rsidP="00937AE2">
    <w:pPr>
      <w:pStyle w:val="Zhlav"/>
    </w:pPr>
    <w:r>
      <w:t>Vývoj ekonomiky České republiky</w:t>
    </w:r>
  </w:p>
  <w:p w14:paraId="3E881AB3" w14:textId="77777777" w:rsidR="00C872AA" w:rsidRPr="006F5416" w:rsidRDefault="00C872AA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2D3DB" w14:textId="77777777" w:rsidR="00C872AA" w:rsidRDefault="00C872AA" w:rsidP="00937AE2">
    <w:pPr>
      <w:pStyle w:val="Zhlav"/>
    </w:pPr>
    <w:r>
      <w:t>Vývoj ekonomiky České republiky</w:t>
    </w:r>
  </w:p>
  <w:p w14:paraId="57266714" w14:textId="77777777" w:rsidR="00C872AA" w:rsidRPr="006F5416" w:rsidRDefault="00C872AA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55121"/>
    <w:multiLevelType w:val="hybridMultilevel"/>
    <w:tmpl w:val="338E2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2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B1D16"/>
    <w:multiLevelType w:val="hybridMultilevel"/>
    <w:tmpl w:val="CA44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E301A"/>
    <w:multiLevelType w:val="hybridMultilevel"/>
    <w:tmpl w:val="1A92D7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26"/>
  </w:num>
  <w:num w:numId="14">
    <w:abstractNumId w:val="13"/>
  </w:num>
  <w:num w:numId="15">
    <w:abstractNumId w:val="19"/>
  </w:num>
  <w:num w:numId="16">
    <w:abstractNumId w:val="15"/>
  </w:num>
  <w:num w:numId="17">
    <w:abstractNumId w:val="27"/>
  </w:num>
  <w:num w:numId="18">
    <w:abstractNumId w:val="20"/>
  </w:num>
  <w:num w:numId="19">
    <w:abstractNumId w:val="28"/>
  </w:num>
  <w:num w:numId="20">
    <w:abstractNumId w:val="29"/>
  </w:num>
  <w:num w:numId="21">
    <w:abstractNumId w:val="25"/>
  </w:num>
  <w:num w:numId="22">
    <w:abstractNumId w:val="18"/>
  </w:num>
  <w:num w:numId="23">
    <w:abstractNumId w:val="16"/>
  </w:num>
  <w:num w:numId="24">
    <w:abstractNumId w:val="17"/>
  </w:num>
  <w:num w:numId="25">
    <w:abstractNumId w:val="12"/>
  </w:num>
  <w:num w:numId="26">
    <w:abstractNumId w:val="22"/>
  </w:num>
  <w:num w:numId="27">
    <w:abstractNumId w:val="21"/>
  </w:num>
  <w:num w:numId="28">
    <w:abstractNumId w:val="10"/>
  </w:num>
  <w:num w:numId="29">
    <w:abstractNumId w:val="29"/>
  </w:num>
  <w:num w:numId="30">
    <w:abstractNumId w:val="23"/>
  </w:num>
  <w:num w:numId="31">
    <w:abstractNumId w:val="1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28"/>
    <w:rsid w:val="000005AF"/>
    <w:rsid w:val="00000B55"/>
    <w:rsid w:val="0000209D"/>
    <w:rsid w:val="00002566"/>
    <w:rsid w:val="0000370A"/>
    <w:rsid w:val="00003849"/>
    <w:rsid w:val="00003F5C"/>
    <w:rsid w:val="00004D5A"/>
    <w:rsid w:val="000056D5"/>
    <w:rsid w:val="00005D9E"/>
    <w:rsid w:val="000063D5"/>
    <w:rsid w:val="00006625"/>
    <w:rsid w:val="00006ABD"/>
    <w:rsid w:val="00006B67"/>
    <w:rsid w:val="00006C0B"/>
    <w:rsid w:val="000073A0"/>
    <w:rsid w:val="0000767A"/>
    <w:rsid w:val="00007ABE"/>
    <w:rsid w:val="00010256"/>
    <w:rsid w:val="00010702"/>
    <w:rsid w:val="0001128E"/>
    <w:rsid w:val="00011912"/>
    <w:rsid w:val="000129B7"/>
    <w:rsid w:val="0001387D"/>
    <w:rsid w:val="00014ED0"/>
    <w:rsid w:val="00016420"/>
    <w:rsid w:val="00016BDB"/>
    <w:rsid w:val="00017B01"/>
    <w:rsid w:val="000205D1"/>
    <w:rsid w:val="00020F22"/>
    <w:rsid w:val="0002195D"/>
    <w:rsid w:val="00021F9B"/>
    <w:rsid w:val="000228AE"/>
    <w:rsid w:val="000233D1"/>
    <w:rsid w:val="000234D6"/>
    <w:rsid w:val="00023D29"/>
    <w:rsid w:val="00024348"/>
    <w:rsid w:val="00026389"/>
    <w:rsid w:val="0002669F"/>
    <w:rsid w:val="000279E5"/>
    <w:rsid w:val="000305E0"/>
    <w:rsid w:val="00031AE0"/>
    <w:rsid w:val="00031BB2"/>
    <w:rsid w:val="000322EF"/>
    <w:rsid w:val="00033FCD"/>
    <w:rsid w:val="000348AF"/>
    <w:rsid w:val="00034DF7"/>
    <w:rsid w:val="00034E68"/>
    <w:rsid w:val="000350C8"/>
    <w:rsid w:val="00036195"/>
    <w:rsid w:val="000374B2"/>
    <w:rsid w:val="000376C0"/>
    <w:rsid w:val="000403A7"/>
    <w:rsid w:val="00040632"/>
    <w:rsid w:val="00041AFC"/>
    <w:rsid w:val="00041CEC"/>
    <w:rsid w:val="00042596"/>
    <w:rsid w:val="00044183"/>
    <w:rsid w:val="0004431D"/>
    <w:rsid w:val="0004694F"/>
    <w:rsid w:val="00046F2F"/>
    <w:rsid w:val="00047AD4"/>
    <w:rsid w:val="00047D54"/>
    <w:rsid w:val="0005054A"/>
    <w:rsid w:val="00051506"/>
    <w:rsid w:val="000522E4"/>
    <w:rsid w:val="00053713"/>
    <w:rsid w:val="0005434E"/>
    <w:rsid w:val="00055CB6"/>
    <w:rsid w:val="000572DD"/>
    <w:rsid w:val="00057B1E"/>
    <w:rsid w:val="0006033F"/>
    <w:rsid w:val="000610E1"/>
    <w:rsid w:val="000616AD"/>
    <w:rsid w:val="000622A6"/>
    <w:rsid w:val="00062EC5"/>
    <w:rsid w:val="00062F22"/>
    <w:rsid w:val="00063975"/>
    <w:rsid w:val="00063CEA"/>
    <w:rsid w:val="0006444D"/>
    <w:rsid w:val="000645FC"/>
    <w:rsid w:val="0006533F"/>
    <w:rsid w:val="00065348"/>
    <w:rsid w:val="0006551C"/>
    <w:rsid w:val="00065A75"/>
    <w:rsid w:val="000663F0"/>
    <w:rsid w:val="00066558"/>
    <w:rsid w:val="00067982"/>
    <w:rsid w:val="00070A87"/>
    <w:rsid w:val="000712B3"/>
    <w:rsid w:val="00071A7C"/>
    <w:rsid w:val="00071E38"/>
    <w:rsid w:val="00072FF5"/>
    <w:rsid w:val="00073A5A"/>
    <w:rsid w:val="0007474E"/>
    <w:rsid w:val="00074988"/>
    <w:rsid w:val="0007512B"/>
    <w:rsid w:val="00075551"/>
    <w:rsid w:val="000767F5"/>
    <w:rsid w:val="00076D90"/>
    <w:rsid w:val="00077FF0"/>
    <w:rsid w:val="00081A55"/>
    <w:rsid w:val="0008263E"/>
    <w:rsid w:val="00082C19"/>
    <w:rsid w:val="00082F89"/>
    <w:rsid w:val="000837CD"/>
    <w:rsid w:val="00084BFF"/>
    <w:rsid w:val="00085395"/>
    <w:rsid w:val="00086896"/>
    <w:rsid w:val="00086AC1"/>
    <w:rsid w:val="00086D19"/>
    <w:rsid w:val="00087634"/>
    <w:rsid w:val="00087F2B"/>
    <w:rsid w:val="00090694"/>
    <w:rsid w:val="00090EE2"/>
    <w:rsid w:val="00090FC6"/>
    <w:rsid w:val="000913B1"/>
    <w:rsid w:val="0009290F"/>
    <w:rsid w:val="00093241"/>
    <w:rsid w:val="00093868"/>
    <w:rsid w:val="00094A84"/>
    <w:rsid w:val="00095025"/>
    <w:rsid w:val="00095135"/>
    <w:rsid w:val="0009626E"/>
    <w:rsid w:val="0009644D"/>
    <w:rsid w:val="00097191"/>
    <w:rsid w:val="000974D1"/>
    <w:rsid w:val="00097784"/>
    <w:rsid w:val="0009799E"/>
    <w:rsid w:val="000A07CB"/>
    <w:rsid w:val="000A0BC0"/>
    <w:rsid w:val="000A1183"/>
    <w:rsid w:val="000A12ED"/>
    <w:rsid w:val="000A1D49"/>
    <w:rsid w:val="000A212B"/>
    <w:rsid w:val="000A242D"/>
    <w:rsid w:val="000A256D"/>
    <w:rsid w:val="000A2643"/>
    <w:rsid w:val="000A2E5F"/>
    <w:rsid w:val="000A3A2C"/>
    <w:rsid w:val="000A3D9E"/>
    <w:rsid w:val="000A4A54"/>
    <w:rsid w:val="000A4ED9"/>
    <w:rsid w:val="000A5DB7"/>
    <w:rsid w:val="000A6D94"/>
    <w:rsid w:val="000A7377"/>
    <w:rsid w:val="000A74A4"/>
    <w:rsid w:val="000A775A"/>
    <w:rsid w:val="000A7FF4"/>
    <w:rsid w:val="000B03CC"/>
    <w:rsid w:val="000B4212"/>
    <w:rsid w:val="000B67B7"/>
    <w:rsid w:val="000C0CA6"/>
    <w:rsid w:val="000C0EA8"/>
    <w:rsid w:val="000C13A2"/>
    <w:rsid w:val="000C21E7"/>
    <w:rsid w:val="000C23EC"/>
    <w:rsid w:val="000C290E"/>
    <w:rsid w:val="000C30C3"/>
    <w:rsid w:val="000C3408"/>
    <w:rsid w:val="000C35AB"/>
    <w:rsid w:val="000C3F7B"/>
    <w:rsid w:val="000C4769"/>
    <w:rsid w:val="000C4D56"/>
    <w:rsid w:val="000C5DFA"/>
    <w:rsid w:val="000C6AFD"/>
    <w:rsid w:val="000C6C90"/>
    <w:rsid w:val="000C72B7"/>
    <w:rsid w:val="000D0A26"/>
    <w:rsid w:val="000D2196"/>
    <w:rsid w:val="000D3058"/>
    <w:rsid w:val="000D310A"/>
    <w:rsid w:val="000D3EF4"/>
    <w:rsid w:val="000D4DC0"/>
    <w:rsid w:val="000D55BA"/>
    <w:rsid w:val="000D5637"/>
    <w:rsid w:val="000D5A03"/>
    <w:rsid w:val="000D5ED3"/>
    <w:rsid w:val="000D6F4E"/>
    <w:rsid w:val="000D73BB"/>
    <w:rsid w:val="000E0E96"/>
    <w:rsid w:val="000E298B"/>
    <w:rsid w:val="000E2C7D"/>
    <w:rsid w:val="000E3E56"/>
    <w:rsid w:val="000E440D"/>
    <w:rsid w:val="000E4AC5"/>
    <w:rsid w:val="000E6253"/>
    <w:rsid w:val="000E6AC4"/>
    <w:rsid w:val="000E6E4D"/>
    <w:rsid w:val="000E6FBD"/>
    <w:rsid w:val="000E6FCB"/>
    <w:rsid w:val="000F090B"/>
    <w:rsid w:val="000F3F3B"/>
    <w:rsid w:val="000F4721"/>
    <w:rsid w:val="000F47E8"/>
    <w:rsid w:val="000F70E4"/>
    <w:rsid w:val="000F76EA"/>
    <w:rsid w:val="00100A8B"/>
    <w:rsid w:val="00100F5C"/>
    <w:rsid w:val="00101CDA"/>
    <w:rsid w:val="00102037"/>
    <w:rsid w:val="00103DCB"/>
    <w:rsid w:val="00104C4C"/>
    <w:rsid w:val="00105015"/>
    <w:rsid w:val="001055D2"/>
    <w:rsid w:val="001057C2"/>
    <w:rsid w:val="0011038E"/>
    <w:rsid w:val="001125EF"/>
    <w:rsid w:val="00112CAB"/>
    <w:rsid w:val="0011440C"/>
    <w:rsid w:val="00114C33"/>
    <w:rsid w:val="00116D3F"/>
    <w:rsid w:val="00117474"/>
    <w:rsid w:val="00117623"/>
    <w:rsid w:val="00117FEA"/>
    <w:rsid w:val="001200CF"/>
    <w:rsid w:val="001208E3"/>
    <w:rsid w:val="00121609"/>
    <w:rsid w:val="0012192F"/>
    <w:rsid w:val="00122994"/>
    <w:rsid w:val="00123204"/>
    <w:rsid w:val="00124B46"/>
    <w:rsid w:val="001257E0"/>
    <w:rsid w:val="00125D69"/>
    <w:rsid w:val="0012799C"/>
    <w:rsid w:val="00127BC2"/>
    <w:rsid w:val="00127E15"/>
    <w:rsid w:val="00130ADC"/>
    <w:rsid w:val="00130D9F"/>
    <w:rsid w:val="00132C4D"/>
    <w:rsid w:val="00133FC1"/>
    <w:rsid w:val="00134659"/>
    <w:rsid w:val="00136A6F"/>
    <w:rsid w:val="001405FA"/>
    <w:rsid w:val="00140D1A"/>
    <w:rsid w:val="00141184"/>
    <w:rsid w:val="00141315"/>
    <w:rsid w:val="00141AA0"/>
    <w:rsid w:val="001425C3"/>
    <w:rsid w:val="0014262D"/>
    <w:rsid w:val="00142B29"/>
    <w:rsid w:val="00144588"/>
    <w:rsid w:val="001447DD"/>
    <w:rsid w:val="00145358"/>
    <w:rsid w:val="001459BC"/>
    <w:rsid w:val="00152C86"/>
    <w:rsid w:val="00152F4F"/>
    <w:rsid w:val="001544A1"/>
    <w:rsid w:val="001553B8"/>
    <w:rsid w:val="001554C2"/>
    <w:rsid w:val="001571C0"/>
    <w:rsid w:val="0015753D"/>
    <w:rsid w:val="00157CC9"/>
    <w:rsid w:val="00160C21"/>
    <w:rsid w:val="001612F4"/>
    <w:rsid w:val="00161553"/>
    <w:rsid w:val="0016216F"/>
    <w:rsid w:val="0016256B"/>
    <w:rsid w:val="00162F81"/>
    <w:rsid w:val="00163793"/>
    <w:rsid w:val="00164CA1"/>
    <w:rsid w:val="00165313"/>
    <w:rsid w:val="00167485"/>
    <w:rsid w:val="001679F5"/>
    <w:rsid w:val="00167B92"/>
    <w:rsid w:val="00167CB9"/>
    <w:rsid w:val="00167DD8"/>
    <w:rsid w:val="001705AD"/>
    <w:rsid w:val="001706D6"/>
    <w:rsid w:val="001714F2"/>
    <w:rsid w:val="00171FEA"/>
    <w:rsid w:val="00173622"/>
    <w:rsid w:val="00175B9F"/>
    <w:rsid w:val="001762F4"/>
    <w:rsid w:val="00181029"/>
    <w:rsid w:val="00181BBC"/>
    <w:rsid w:val="0018385F"/>
    <w:rsid w:val="00183BCF"/>
    <w:rsid w:val="00184017"/>
    <w:rsid w:val="001847BB"/>
    <w:rsid w:val="00184B08"/>
    <w:rsid w:val="00185010"/>
    <w:rsid w:val="00185C22"/>
    <w:rsid w:val="00186BA9"/>
    <w:rsid w:val="00187D50"/>
    <w:rsid w:val="0019196C"/>
    <w:rsid w:val="001926A9"/>
    <w:rsid w:val="00192F05"/>
    <w:rsid w:val="00194729"/>
    <w:rsid w:val="00194850"/>
    <w:rsid w:val="00195234"/>
    <w:rsid w:val="00196016"/>
    <w:rsid w:val="00196117"/>
    <w:rsid w:val="00197A70"/>
    <w:rsid w:val="00197C0F"/>
    <w:rsid w:val="00197D0E"/>
    <w:rsid w:val="001A0487"/>
    <w:rsid w:val="001A0675"/>
    <w:rsid w:val="001A0A37"/>
    <w:rsid w:val="001A1F68"/>
    <w:rsid w:val="001A21FA"/>
    <w:rsid w:val="001A4D7C"/>
    <w:rsid w:val="001A4EF0"/>
    <w:rsid w:val="001A552F"/>
    <w:rsid w:val="001A70B1"/>
    <w:rsid w:val="001B0738"/>
    <w:rsid w:val="001B1235"/>
    <w:rsid w:val="001B2CA9"/>
    <w:rsid w:val="001B3110"/>
    <w:rsid w:val="001B3E38"/>
    <w:rsid w:val="001B40F5"/>
    <w:rsid w:val="001B4729"/>
    <w:rsid w:val="001B4F0E"/>
    <w:rsid w:val="001B5F40"/>
    <w:rsid w:val="001B6310"/>
    <w:rsid w:val="001B6C09"/>
    <w:rsid w:val="001B6E12"/>
    <w:rsid w:val="001C05CD"/>
    <w:rsid w:val="001C082B"/>
    <w:rsid w:val="001C0F17"/>
    <w:rsid w:val="001C1B24"/>
    <w:rsid w:val="001C1B66"/>
    <w:rsid w:val="001C31A2"/>
    <w:rsid w:val="001C351D"/>
    <w:rsid w:val="001C4B8F"/>
    <w:rsid w:val="001C4BB8"/>
    <w:rsid w:val="001C4FD0"/>
    <w:rsid w:val="001C5E46"/>
    <w:rsid w:val="001C6B3B"/>
    <w:rsid w:val="001C7A26"/>
    <w:rsid w:val="001C7E3F"/>
    <w:rsid w:val="001D0EF1"/>
    <w:rsid w:val="001D22C2"/>
    <w:rsid w:val="001D2C99"/>
    <w:rsid w:val="001D452E"/>
    <w:rsid w:val="001D54C1"/>
    <w:rsid w:val="001D556E"/>
    <w:rsid w:val="001D5DF2"/>
    <w:rsid w:val="001D68B2"/>
    <w:rsid w:val="001D7EFD"/>
    <w:rsid w:val="001D7F60"/>
    <w:rsid w:val="001E085B"/>
    <w:rsid w:val="001E149B"/>
    <w:rsid w:val="001E15CB"/>
    <w:rsid w:val="001E3306"/>
    <w:rsid w:val="001E504C"/>
    <w:rsid w:val="001E5A17"/>
    <w:rsid w:val="001E74C5"/>
    <w:rsid w:val="001F1236"/>
    <w:rsid w:val="001F2F90"/>
    <w:rsid w:val="001F4597"/>
    <w:rsid w:val="001F4826"/>
    <w:rsid w:val="001F59C8"/>
    <w:rsid w:val="001F6CD3"/>
    <w:rsid w:val="001F75DA"/>
    <w:rsid w:val="001F7CE0"/>
    <w:rsid w:val="00200085"/>
    <w:rsid w:val="00203332"/>
    <w:rsid w:val="00203CD5"/>
    <w:rsid w:val="00203D8F"/>
    <w:rsid w:val="00203DA4"/>
    <w:rsid w:val="00204EA6"/>
    <w:rsid w:val="00205186"/>
    <w:rsid w:val="00206516"/>
    <w:rsid w:val="002070CF"/>
    <w:rsid w:val="002071D5"/>
    <w:rsid w:val="002111E5"/>
    <w:rsid w:val="0021149E"/>
    <w:rsid w:val="002118B9"/>
    <w:rsid w:val="00213691"/>
    <w:rsid w:val="002142C0"/>
    <w:rsid w:val="00217C5B"/>
    <w:rsid w:val="00220A43"/>
    <w:rsid w:val="0022139E"/>
    <w:rsid w:val="00222729"/>
    <w:rsid w:val="0022287B"/>
    <w:rsid w:val="002228DB"/>
    <w:rsid w:val="00223185"/>
    <w:rsid w:val="00223264"/>
    <w:rsid w:val="002233D6"/>
    <w:rsid w:val="0022441D"/>
    <w:rsid w:val="00224574"/>
    <w:rsid w:val="00224E3F"/>
    <w:rsid w:val="002252E0"/>
    <w:rsid w:val="002255F6"/>
    <w:rsid w:val="00226032"/>
    <w:rsid w:val="0022738D"/>
    <w:rsid w:val="00227605"/>
    <w:rsid w:val="00227850"/>
    <w:rsid w:val="00227A53"/>
    <w:rsid w:val="00227E2E"/>
    <w:rsid w:val="00227F53"/>
    <w:rsid w:val="00230C6E"/>
    <w:rsid w:val="00230E21"/>
    <w:rsid w:val="00231066"/>
    <w:rsid w:val="002316A8"/>
    <w:rsid w:val="00231859"/>
    <w:rsid w:val="002320C9"/>
    <w:rsid w:val="0023288F"/>
    <w:rsid w:val="0023359B"/>
    <w:rsid w:val="00233603"/>
    <w:rsid w:val="002340EF"/>
    <w:rsid w:val="00234B82"/>
    <w:rsid w:val="00236443"/>
    <w:rsid w:val="00236700"/>
    <w:rsid w:val="00237C8B"/>
    <w:rsid w:val="00240391"/>
    <w:rsid w:val="00240AF3"/>
    <w:rsid w:val="002418D5"/>
    <w:rsid w:val="00241A9F"/>
    <w:rsid w:val="00241B06"/>
    <w:rsid w:val="0024343A"/>
    <w:rsid w:val="002436BA"/>
    <w:rsid w:val="00244652"/>
    <w:rsid w:val="00244A15"/>
    <w:rsid w:val="002452D9"/>
    <w:rsid w:val="00247319"/>
    <w:rsid w:val="0024799E"/>
    <w:rsid w:val="00247E60"/>
    <w:rsid w:val="00251496"/>
    <w:rsid w:val="00251B08"/>
    <w:rsid w:val="00251C53"/>
    <w:rsid w:val="00252AB9"/>
    <w:rsid w:val="002532B1"/>
    <w:rsid w:val="00253C0F"/>
    <w:rsid w:val="002558C1"/>
    <w:rsid w:val="00256207"/>
    <w:rsid w:val="002575F3"/>
    <w:rsid w:val="002603E1"/>
    <w:rsid w:val="002605FE"/>
    <w:rsid w:val="0026120E"/>
    <w:rsid w:val="002617EE"/>
    <w:rsid w:val="00262582"/>
    <w:rsid w:val="0026291D"/>
    <w:rsid w:val="00262CF3"/>
    <w:rsid w:val="00264309"/>
    <w:rsid w:val="00264992"/>
    <w:rsid w:val="00264B4F"/>
    <w:rsid w:val="0026564B"/>
    <w:rsid w:val="00265C83"/>
    <w:rsid w:val="00265E85"/>
    <w:rsid w:val="00267B49"/>
    <w:rsid w:val="00267C51"/>
    <w:rsid w:val="002700D9"/>
    <w:rsid w:val="0027025F"/>
    <w:rsid w:val="002709CC"/>
    <w:rsid w:val="00270D25"/>
    <w:rsid w:val="00271022"/>
    <w:rsid w:val="00271465"/>
    <w:rsid w:val="00271A07"/>
    <w:rsid w:val="00271E47"/>
    <w:rsid w:val="002721F5"/>
    <w:rsid w:val="00272DF4"/>
    <w:rsid w:val="00275062"/>
    <w:rsid w:val="00275758"/>
    <w:rsid w:val="0027583D"/>
    <w:rsid w:val="00275DEF"/>
    <w:rsid w:val="002763A2"/>
    <w:rsid w:val="00276B33"/>
    <w:rsid w:val="00277669"/>
    <w:rsid w:val="002803A5"/>
    <w:rsid w:val="00280ACB"/>
    <w:rsid w:val="002812E3"/>
    <w:rsid w:val="00282AD4"/>
    <w:rsid w:val="0028341F"/>
    <w:rsid w:val="002837AE"/>
    <w:rsid w:val="00283C13"/>
    <w:rsid w:val="00283F7B"/>
    <w:rsid w:val="0028431A"/>
    <w:rsid w:val="002853FA"/>
    <w:rsid w:val="00285412"/>
    <w:rsid w:val="00286220"/>
    <w:rsid w:val="00291640"/>
    <w:rsid w:val="0029237E"/>
    <w:rsid w:val="00292997"/>
    <w:rsid w:val="00293D24"/>
    <w:rsid w:val="0029509B"/>
    <w:rsid w:val="0029588F"/>
    <w:rsid w:val="00295E96"/>
    <w:rsid w:val="00297256"/>
    <w:rsid w:val="00297A5C"/>
    <w:rsid w:val="00297D51"/>
    <w:rsid w:val="002A0122"/>
    <w:rsid w:val="002A016B"/>
    <w:rsid w:val="002A16D4"/>
    <w:rsid w:val="002A1E4F"/>
    <w:rsid w:val="002A230C"/>
    <w:rsid w:val="002A2AF7"/>
    <w:rsid w:val="002A3209"/>
    <w:rsid w:val="002A38F3"/>
    <w:rsid w:val="002A3EA2"/>
    <w:rsid w:val="002A51AC"/>
    <w:rsid w:val="002A532A"/>
    <w:rsid w:val="002A5846"/>
    <w:rsid w:val="002A5D97"/>
    <w:rsid w:val="002A603E"/>
    <w:rsid w:val="002A63B9"/>
    <w:rsid w:val="002A7089"/>
    <w:rsid w:val="002B1619"/>
    <w:rsid w:val="002B3EF4"/>
    <w:rsid w:val="002B4845"/>
    <w:rsid w:val="002B5567"/>
    <w:rsid w:val="002B5812"/>
    <w:rsid w:val="002B72AA"/>
    <w:rsid w:val="002C1110"/>
    <w:rsid w:val="002C1BC2"/>
    <w:rsid w:val="002C1F09"/>
    <w:rsid w:val="002C22A4"/>
    <w:rsid w:val="002C260B"/>
    <w:rsid w:val="002C27A6"/>
    <w:rsid w:val="002C31E4"/>
    <w:rsid w:val="002C398D"/>
    <w:rsid w:val="002C40D2"/>
    <w:rsid w:val="002C43BD"/>
    <w:rsid w:val="002C5245"/>
    <w:rsid w:val="002C564A"/>
    <w:rsid w:val="002C59D8"/>
    <w:rsid w:val="002C5FEB"/>
    <w:rsid w:val="002C6494"/>
    <w:rsid w:val="002D05CB"/>
    <w:rsid w:val="002D0E59"/>
    <w:rsid w:val="002D2C4F"/>
    <w:rsid w:val="002D3EBB"/>
    <w:rsid w:val="002D455C"/>
    <w:rsid w:val="002D6066"/>
    <w:rsid w:val="002D6A4C"/>
    <w:rsid w:val="002E02A1"/>
    <w:rsid w:val="002E196A"/>
    <w:rsid w:val="002E1F8A"/>
    <w:rsid w:val="002E20C7"/>
    <w:rsid w:val="002E20CD"/>
    <w:rsid w:val="002E222E"/>
    <w:rsid w:val="002E28D8"/>
    <w:rsid w:val="002E3638"/>
    <w:rsid w:val="002E37D1"/>
    <w:rsid w:val="002E3BEE"/>
    <w:rsid w:val="002E4E4C"/>
    <w:rsid w:val="002E4EA7"/>
    <w:rsid w:val="002E5846"/>
    <w:rsid w:val="002E792B"/>
    <w:rsid w:val="002E7AEB"/>
    <w:rsid w:val="002E7B79"/>
    <w:rsid w:val="002F1B09"/>
    <w:rsid w:val="002F1D56"/>
    <w:rsid w:val="002F1DCB"/>
    <w:rsid w:val="002F1DE4"/>
    <w:rsid w:val="002F333D"/>
    <w:rsid w:val="002F351A"/>
    <w:rsid w:val="002F46D6"/>
    <w:rsid w:val="002F498A"/>
    <w:rsid w:val="002F4AD8"/>
    <w:rsid w:val="002F5285"/>
    <w:rsid w:val="002F5820"/>
    <w:rsid w:val="002F64BB"/>
    <w:rsid w:val="002F7D9B"/>
    <w:rsid w:val="00300C31"/>
    <w:rsid w:val="003017EC"/>
    <w:rsid w:val="00302165"/>
    <w:rsid w:val="00303BB4"/>
    <w:rsid w:val="00304771"/>
    <w:rsid w:val="003052D4"/>
    <w:rsid w:val="003060E9"/>
    <w:rsid w:val="00306C5B"/>
    <w:rsid w:val="00307529"/>
    <w:rsid w:val="00307DB3"/>
    <w:rsid w:val="00307ED2"/>
    <w:rsid w:val="0031076D"/>
    <w:rsid w:val="0031169A"/>
    <w:rsid w:val="00311AA6"/>
    <w:rsid w:val="00311C4D"/>
    <w:rsid w:val="003121AB"/>
    <w:rsid w:val="00315169"/>
    <w:rsid w:val="003153C8"/>
    <w:rsid w:val="00315524"/>
    <w:rsid w:val="00315561"/>
    <w:rsid w:val="00316B3D"/>
    <w:rsid w:val="0032058C"/>
    <w:rsid w:val="003208D0"/>
    <w:rsid w:val="003209D6"/>
    <w:rsid w:val="003217B9"/>
    <w:rsid w:val="00321924"/>
    <w:rsid w:val="00321AF1"/>
    <w:rsid w:val="00321EB6"/>
    <w:rsid w:val="003220A5"/>
    <w:rsid w:val="003238E0"/>
    <w:rsid w:val="00323A1C"/>
    <w:rsid w:val="003247E1"/>
    <w:rsid w:val="00324B59"/>
    <w:rsid w:val="0032656E"/>
    <w:rsid w:val="0032788F"/>
    <w:rsid w:val="00332190"/>
    <w:rsid w:val="00332A98"/>
    <w:rsid w:val="003334BD"/>
    <w:rsid w:val="00333973"/>
    <w:rsid w:val="00333CD0"/>
    <w:rsid w:val="0033448D"/>
    <w:rsid w:val="00334AD2"/>
    <w:rsid w:val="00334CB6"/>
    <w:rsid w:val="0033709C"/>
    <w:rsid w:val="003370C5"/>
    <w:rsid w:val="003373C6"/>
    <w:rsid w:val="0033753A"/>
    <w:rsid w:val="00340BF3"/>
    <w:rsid w:val="00341D26"/>
    <w:rsid w:val="00341F05"/>
    <w:rsid w:val="0034335E"/>
    <w:rsid w:val="00344668"/>
    <w:rsid w:val="00344940"/>
    <w:rsid w:val="00346234"/>
    <w:rsid w:val="003462D9"/>
    <w:rsid w:val="0034723F"/>
    <w:rsid w:val="00347247"/>
    <w:rsid w:val="003474B6"/>
    <w:rsid w:val="00347DD4"/>
    <w:rsid w:val="00352B43"/>
    <w:rsid w:val="00352C28"/>
    <w:rsid w:val="00354F89"/>
    <w:rsid w:val="0035506D"/>
    <w:rsid w:val="0036077F"/>
    <w:rsid w:val="00360C86"/>
    <w:rsid w:val="00360F7A"/>
    <w:rsid w:val="00360FBC"/>
    <w:rsid w:val="00361537"/>
    <w:rsid w:val="00361FB7"/>
    <w:rsid w:val="0036242A"/>
    <w:rsid w:val="00362C23"/>
    <w:rsid w:val="00362DCA"/>
    <w:rsid w:val="00362E90"/>
    <w:rsid w:val="00364FA0"/>
    <w:rsid w:val="003657F3"/>
    <w:rsid w:val="00365844"/>
    <w:rsid w:val="0036624C"/>
    <w:rsid w:val="00367F84"/>
    <w:rsid w:val="003712BC"/>
    <w:rsid w:val="00372164"/>
    <w:rsid w:val="003738BD"/>
    <w:rsid w:val="00374263"/>
    <w:rsid w:val="003746F0"/>
    <w:rsid w:val="00374A20"/>
    <w:rsid w:val="00374E21"/>
    <w:rsid w:val="0037537A"/>
    <w:rsid w:val="00377B2E"/>
    <w:rsid w:val="003810F0"/>
    <w:rsid w:val="003815D4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109D"/>
    <w:rsid w:val="00391989"/>
    <w:rsid w:val="00391A6C"/>
    <w:rsid w:val="003927F6"/>
    <w:rsid w:val="0039398D"/>
    <w:rsid w:val="00393B3F"/>
    <w:rsid w:val="00396739"/>
    <w:rsid w:val="003978B1"/>
    <w:rsid w:val="003A04F6"/>
    <w:rsid w:val="003A0837"/>
    <w:rsid w:val="003A2B4D"/>
    <w:rsid w:val="003A2D12"/>
    <w:rsid w:val="003A2EBA"/>
    <w:rsid w:val="003A45E3"/>
    <w:rsid w:val="003A46B8"/>
    <w:rsid w:val="003A478C"/>
    <w:rsid w:val="003A4A38"/>
    <w:rsid w:val="003A5525"/>
    <w:rsid w:val="003A5889"/>
    <w:rsid w:val="003A6B38"/>
    <w:rsid w:val="003A6B83"/>
    <w:rsid w:val="003A6C97"/>
    <w:rsid w:val="003A722F"/>
    <w:rsid w:val="003A7373"/>
    <w:rsid w:val="003A7D09"/>
    <w:rsid w:val="003B039F"/>
    <w:rsid w:val="003B0DF4"/>
    <w:rsid w:val="003B1F9D"/>
    <w:rsid w:val="003B2A8D"/>
    <w:rsid w:val="003B2AD1"/>
    <w:rsid w:val="003B2D2E"/>
    <w:rsid w:val="003B376A"/>
    <w:rsid w:val="003B461F"/>
    <w:rsid w:val="003B483F"/>
    <w:rsid w:val="003B4998"/>
    <w:rsid w:val="003B5A32"/>
    <w:rsid w:val="003B5B59"/>
    <w:rsid w:val="003B7B50"/>
    <w:rsid w:val="003C0B07"/>
    <w:rsid w:val="003C2CE7"/>
    <w:rsid w:val="003C2DB8"/>
    <w:rsid w:val="003C3490"/>
    <w:rsid w:val="003C3608"/>
    <w:rsid w:val="003C3AE8"/>
    <w:rsid w:val="003C3D2C"/>
    <w:rsid w:val="003C4E13"/>
    <w:rsid w:val="003C6221"/>
    <w:rsid w:val="003C63D7"/>
    <w:rsid w:val="003C68CC"/>
    <w:rsid w:val="003C7E62"/>
    <w:rsid w:val="003D12B9"/>
    <w:rsid w:val="003D1E7A"/>
    <w:rsid w:val="003D242B"/>
    <w:rsid w:val="003D2492"/>
    <w:rsid w:val="003D29AA"/>
    <w:rsid w:val="003D2A99"/>
    <w:rsid w:val="003D6920"/>
    <w:rsid w:val="003E0249"/>
    <w:rsid w:val="003E08A4"/>
    <w:rsid w:val="003E1EF8"/>
    <w:rsid w:val="003E2DFB"/>
    <w:rsid w:val="003E4466"/>
    <w:rsid w:val="003E4C91"/>
    <w:rsid w:val="003E52D8"/>
    <w:rsid w:val="003E62F1"/>
    <w:rsid w:val="003E6F84"/>
    <w:rsid w:val="003F313C"/>
    <w:rsid w:val="003F33B9"/>
    <w:rsid w:val="003F37FC"/>
    <w:rsid w:val="003F4318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6CB"/>
    <w:rsid w:val="00401B23"/>
    <w:rsid w:val="00402ADB"/>
    <w:rsid w:val="0040368D"/>
    <w:rsid w:val="00403D1D"/>
    <w:rsid w:val="00403F57"/>
    <w:rsid w:val="004046BD"/>
    <w:rsid w:val="00404BAB"/>
    <w:rsid w:val="00405318"/>
    <w:rsid w:val="004059D2"/>
    <w:rsid w:val="004060C9"/>
    <w:rsid w:val="004066D0"/>
    <w:rsid w:val="00406C2E"/>
    <w:rsid w:val="00406CDA"/>
    <w:rsid w:val="00406EB0"/>
    <w:rsid w:val="00407711"/>
    <w:rsid w:val="00407C13"/>
    <w:rsid w:val="004103F6"/>
    <w:rsid w:val="00410638"/>
    <w:rsid w:val="00412511"/>
    <w:rsid w:val="004125C2"/>
    <w:rsid w:val="00412DFA"/>
    <w:rsid w:val="00413465"/>
    <w:rsid w:val="004149AC"/>
    <w:rsid w:val="0041501E"/>
    <w:rsid w:val="00415452"/>
    <w:rsid w:val="004159C3"/>
    <w:rsid w:val="00415A57"/>
    <w:rsid w:val="00416DAC"/>
    <w:rsid w:val="00420880"/>
    <w:rsid w:val="00421179"/>
    <w:rsid w:val="00423623"/>
    <w:rsid w:val="0042470E"/>
    <w:rsid w:val="00430C96"/>
    <w:rsid w:val="0043174F"/>
    <w:rsid w:val="00431BFF"/>
    <w:rsid w:val="00432199"/>
    <w:rsid w:val="00432A58"/>
    <w:rsid w:val="004331C3"/>
    <w:rsid w:val="00433C17"/>
    <w:rsid w:val="00434617"/>
    <w:rsid w:val="00435051"/>
    <w:rsid w:val="00435C69"/>
    <w:rsid w:val="004360FB"/>
    <w:rsid w:val="00437CED"/>
    <w:rsid w:val="004407BF"/>
    <w:rsid w:val="00440900"/>
    <w:rsid w:val="0044121D"/>
    <w:rsid w:val="00441BF6"/>
    <w:rsid w:val="00441D2B"/>
    <w:rsid w:val="00441F8B"/>
    <w:rsid w:val="00442085"/>
    <w:rsid w:val="0044279E"/>
    <w:rsid w:val="004441A0"/>
    <w:rsid w:val="00445861"/>
    <w:rsid w:val="00445A8E"/>
    <w:rsid w:val="00446D44"/>
    <w:rsid w:val="0045078A"/>
    <w:rsid w:val="0045086D"/>
    <w:rsid w:val="00450DAB"/>
    <w:rsid w:val="0045125B"/>
    <w:rsid w:val="00451EF1"/>
    <w:rsid w:val="00452E60"/>
    <w:rsid w:val="0045321B"/>
    <w:rsid w:val="00456FE5"/>
    <w:rsid w:val="00457490"/>
    <w:rsid w:val="0045786C"/>
    <w:rsid w:val="00457953"/>
    <w:rsid w:val="004604D8"/>
    <w:rsid w:val="00460656"/>
    <w:rsid w:val="00460FB3"/>
    <w:rsid w:val="00463D3C"/>
    <w:rsid w:val="00464851"/>
    <w:rsid w:val="00466595"/>
    <w:rsid w:val="00466B3E"/>
    <w:rsid w:val="0046746A"/>
    <w:rsid w:val="00467B14"/>
    <w:rsid w:val="004707FE"/>
    <w:rsid w:val="00470EDC"/>
    <w:rsid w:val="00472418"/>
    <w:rsid w:val="0047276D"/>
    <w:rsid w:val="00472AF6"/>
    <w:rsid w:val="00473482"/>
    <w:rsid w:val="00474646"/>
    <w:rsid w:val="00474A04"/>
    <w:rsid w:val="00476240"/>
    <w:rsid w:val="00476439"/>
    <w:rsid w:val="00476450"/>
    <w:rsid w:val="004769BF"/>
    <w:rsid w:val="004769E1"/>
    <w:rsid w:val="0047735C"/>
    <w:rsid w:val="004776BC"/>
    <w:rsid w:val="00477820"/>
    <w:rsid w:val="00477B96"/>
    <w:rsid w:val="00480BAE"/>
    <w:rsid w:val="00480D7F"/>
    <w:rsid w:val="0048139F"/>
    <w:rsid w:val="00481E40"/>
    <w:rsid w:val="00482405"/>
    <w:rsid w:val="004826A7"/>
    <w:rsid w:val="0048368C"/>
    <w:rsid w:val="0048372F"/>
    <w:rsid w:val="00483A0C"/>
    <w:rsid w:val="004841CC"/>
    <w:rsid w:val="00484ECE"/>
    <w:rsid w:val="00485E82"/>
    <w:rsid w:val="00486132"/>
    <w:rsid w:val="0048686D"/>
    <w:rsid w:val="00486A4D"/>
    <w:rsid w:val="004915CB"/>
    <w:rsid w:val="004924DC"/>
    <w:rsid w:val="00492879"/>
    <w:rsid w:val="00493E85"/>
    <w:rsid w:val="00495145"/>
    <w:rsid w:val="0049531F"/>
    <w:rsid w:val="004979A5"/>
    <w:rsid w:val="004A0144"/>
    <w:rsid w:val="004A036E"/>
    <w:rsid w:val="004A0498"/>
    <w:rsid w:val="004A06B0"/>
    <w:rsid w:val="004A0D0E"/>
    <w:rsid w:val="004A14E4"/>
    <w:rsid w:val="004A204E"/>
    <w:rsid w:val="004A26A5"/>
    <w:rsid w:val="004A27F0"/>
    <w:rsid w:val="004A3212"/>
    <w:rsid w:val="004A37CD"/>
    <w:rsid w:val="004A40D9"/>
    <w:rsid w:val="004A49A5"/>
    <w:rsid w:val="004A4F8A"/>
    <w:rsid w:val="004A52AB"/>
    <w:rsid w:val="004A5494"/>
    <w:rsid w:val="004A5D4E"/>
    <w:rsid w:val="004A61C5"/>
    <w:rsid w:val="004A62A0"/>
    <w:rsid w:val="004A77DF"/>
    <w:rsid w:val="004B1417"/>
    <w:rsid w:val="004B305C"/>
    <w:rsid w:val="004B31B8"/>
    <w:rsid w:val="004B339A"/>
    <w:rsid w:val="004B4C83"/>
    <w:rsid w:val="004B55B7"/>
    <w:rsid w:val="004B5BFA"/>
    <w:rsid w:val="004B619E"/>
    <w:rsid w:val="004B6468"/>
    <w:rsid w:val="004B6EF8"/>
    <w:rsid w:val="004B7125"/>
    <w:rsid w:val="004B756A"/>
    <w:rsid w:val="004B7FB1"/>
    <w:rsid w:val="004C0B3F"/>
    <w:rsid w:val="004C0F87"/>
    <w:rsid w:val="004C2794"/>
    <w:rsid w:val="004C2BB6"/>
    <w:rsid w:val="004C2C2D"/>
    <w:rsid w:val="004C3027"/>
    <w:rsid w:val="004C384C"/>
    <w:rsid w:val="004C3867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2E03"/>
    <w:rsid w:val="004D3296"/>
    <w:rsid w:val="004D4056"/>
    <w:rsid w:val="004D4CB0"/>
    <w:rsid w:val="004D5B0F"/>
    <w:rsid w:val="004D7626"/>
    <w:rsid w:val="004E186A"/>
    <w:rsid w:val="004E1A40"/>
    <w:rsid w:val="004E200A"/>
    <w:rsid w:val="004E23FC"/>
    <w:rsid w:val="004E2409"/>
    <w:rsid w:val="004E261D"/>
    <w:rsid w:val="004E3927"/>
    <w:rsid w:val="004E3B7F"/>
    <w:rsid w:val="004E57BF"/>
    <w:rsid w:val="004E5F41"/>
    <w:rsid w:val="004E6011"/>
    <w:rsid w:val="004E6DE6"/>
    <w:rsid w:val="004E765E"/>
    <w:rsid w:val="004E7815"/>
    <w:rsid w:val="004F06F5"/>
    <w:rsid w:val="004F12A4"/>
    <w:rsid w:val="004F253F"/>
    <w:rsid w:val="004F33A0"/>
    <w:rsid w:val="004F3873"/>
    <w:rsid w:val="004F3BD2"/>
    <w:rsid w:val="004F46ED"/>
    <w:rsid w:val="004F49A3"/>
    <w:rsid w:val="004F4C99"/>
    <w:rsid w:val="004F5358"/>
    <w:rsid w:val="004F6484"/>
    <w:rsid w:val="004F6539"/>
    <w:rsid w:val="00503D54"/>
    <w:rsid w:val="005048E2"/>
    <w:rsid w:val="00505FC8"/>
    <w:rsid w:val="00506603"/>
    <w:rsid w:val="0050689D"/>
    <w:rsid w:val="005077F5"/>
    <w:rsid w:val="005108C0"/>
    <w:rsid w:val="0051094F"/>
    <w:rsid w:val="00511217"/>
    <w:rsid w:val="00511873"/>
    <w:rsid w:val="00512461"/>
    <w:rsid w:val="00512585"/>
    <w:rsid w:val="00512A2F"/>
    <w:rsid w:val="00513B7E"/>
    <w:rsid w:val="00513E9D"/>
    <w:rsid w:val="0051475D"/>
    <w:rsid w:val="00514B11"/>
    <w:rsid w:val="00515485"/>
    <w:rsid w:val="00515BE9"/>
    <w:rsid w:val="00515C74"/>
    <w:rsid w:val="0051630F"/>
    <w:rsid w:val="00517113"/>
    <w:rsid w:val="0052007E"/>
    <w:rsid w:val="00521CAD"/>
    <w:rsid w:val="0052200D"/>
    <w:rsid w:val="00522425"/>
    <w:rsid w:val="00522E01"/>
    <w:rsid w:val="0052337A"/>
    <w:rsid w:val="00524385"/>
    <w:rsid w:val="005246BE"/>
    <w:rsid w:val="00525137"/>
    <w:rsid w:val="005251DD"/>
    <w:rsid w:val="0052762C"/>
    <w:rsid w:val="0053012B"/>
    <w:rsid w:val="005301A6"/>
    <w:rsid w:val="00530A68"/>
    <w:rsid w:val="00530AD4"/>
    <w:rsid w:val="0053129F"/>
    <w:rsid w:val="00531C5A"/>
    <w:rsid w:val="00532CE7"/>
    <w:rsid w:val="00532D8B"/>
    <w:rsid w:val="0053324C"/>
    <w:rsid w:val="00533A8D"/>
    <w:rsid w:val="00534A28"/>
    <w:rsid w:val="00535018"/>
    <w:rsid w:val="0053595E"/>
    <w:rsid w:val="00537571"/>
    <w:rsid w:val="00540056"/>
    <w:rsid w:val="005410E2"/>
    <w:rsid w:val="00541508"/>
    <w:rsid w:val="00541AE3"/>
    <w:rsid w:val="00543498"/>
    <w:rsid w:val="00544011"/>
    <w:rsid w:val="00544BE5"/>
    <w:rsid w:val="005453A3"/>
    <w:rsid w:val="005455F6"/>
    <w:rsid w:val="0054582F"/>
    <w:rsid w:val="00546FC7"/>
    <w:rsid w:val="005500F9"/>
    <w:rsid w:val="00550160"/>
    <w:rsid w:val="005519E2"/>
    <w:rsid w:val="005523A8"/>
    <w:rsid w:val="00552F2C"/>
    <w:rsid w:val="00553A25"/>
    <w:rsid w:val="005547EB"/>
    <w:rsid w:val="00554863"/>
    <w:rsid w:val="005555E0"/>
    <w:rsid w:val="0055599F"/>
    <w:rsid w:val="00556D68"/>
    <w:rsid w:val="0055707B"/>
    <w:rsid w:val="005570D6"/>
    <w:rsid w:val="00557E0E"/>
    <w:rsid w:val="00557E45"/>
    <w:rsid w:val="00560C41"/>
    <w:rsid w:val="00560CAC"/>
    <w:rsid w:val="00561F44"/>
    <w:rsid w:val="00562B4D"/>
    <w:rsid w:val="00562DB1"/>
    <w:rsid w:val="00563EB8"/>
    <w:rsid w:val="005647BF"/>
    <w:rsid w:val="00564AF1"/>
    <w:rsid w:val="005655DB"/>
    <w:rsid w:val="00565E88"/>
    <w:rsid w:val="00567339"/>
    <w:rsid w:val="005678EE"/>
    <w:rsid w:val="00567910"/>
    <w:rsid w:val="00570270"/>
    <w:rsid w:val="00570464"/>
    <w:rsid w:val="00570BC3"/>
    <w:rsid w:val="0057182A"/>
    <w:rsid w:val="00571E59"/>
    <w:rsid w:val="00572079"/>
    <w:rsid w:val="00572900"/>
    <w:rsid w:val="00573602"/>
    <w:rsid w:val="0057364B"/>
    <w:rsid w:val="00574773"/>
    <w:rsid w:val="005761EC"/>
    <w:rsid w:val="00577C07"/>
    <w:rsid w:val="00577DB1"/>
    <w:rsid w:val="00580AD3"/>
    <w:rsid w:val="00580DE7"/>
    <w:rsid w:val="005810E1"/>
    <w:rsid w:val="005820CD"/>
    <w:rsid w:val="00583BDD"/>
    <w:rsid w:val="00583E52"/>
    <w:rsid w:val="00583FFD"/>
    <w:rsid w:val="00584252"/>
    <w:rsid w:val="005848DD"/>
    <w:rsid w:val="0058519A"/>
    <w:rsid w:val="005856BD"/>
    <w:rsid w:val="00585983"/>
    <w:rsid w:val="00586BCA"/>
    <w:rsid w:val="00587038"/>
    <w:rsid w:val="00590B28"/>
    <w:rsid w:val="005911BE"/>
    <w:rsid w:val="00591273"/>
    <w:rsid w:val="00591E9E"/>
    <w:rsid w:val="005927A4"/>
    <w:rsid w:val="00593152"/>
    <w:rsid w:val="00593389"/>
    <w:rsid w:val="00593FE6"/>
    <w:rsid w:val="005956A3"/>
    <w:rsid w:val="00595958"/>
    <w:rsid w:val="00595CAB"/>
    <w:rsid w:val="0059622E"/>
    <w:rsid w:val="00597671"/>
    <w:rsid w:val="00597BBF"/>
    <w:rsid w:val="005A0463"/>
    <w:rsid w:val="005A0948"/>
    <w:rsid w:val="005A0A03"/>
    <w:rsid w:val="005A10F2"/>
    <w:rsid w:val="005A16C0"/>
    <w:rsid w:val="005A21E0"/>
    <w:rsid w:val="005A28FF"/>
    <w:rsid w:val="005A2C09"/>
    <w:rsid w:val="005A3778"/>
    <w:rsid w:val="005A37B0"/>
    <w:rsid w:val="005A3DF8"/>
    <w:rsid w:val="005A5549"/>
    <w:rsid w:val="005A566A"/>
    <w:rsid w:val="005A7CF8"/>
    <w:rsid w:val="005B0EDA"/>
    <w:rsid w:val="005B121D"/>
    <w:rsid w:val="005B26B0"/>
    <w:rsid w:val="005B41C9"/>
    <w:rsid w:val="005B44E6"/>
    <w:rsid w:val="005B4853"/>
    <w:rsid w:val="005B6CA1"/>
    <w:rsid w:val="005B770C"/>
    <w:rsid w:val="005C06ED"/>
    <w:rsid w:val="005C0CE1"/>
    <w:rsid w:val="005C11B8"/>
    <w:rsid w:val="005C216C"/>
    <w:rsid w:val="005C2609"/>
    <w:rsid w:val="005C2B30"/>
    <w:rsid w:val="005C412B"/>
    <w:rsid w:val="005C43EC"/>
    <w:rsid w:val="005C45DD"/>
    <w:rsid w:val="005C4704"/>
    <w:rsid w:val="005C4CB1"/>
    <w:rsid w:val="005D3F06"/>
    <w:rsid w:val="005D4B73"/>
    <w:rsid w:val="005D5645"/>
    <w:rsid w:val="005D5802"/>
    <w:rsid w:val="005D5AA9"/>
    <w:rsid w:val="005D66E6"/>
    <w:rsid w:val="005D7119"/>
    <w:rsid w:val="005D76C8"/>
    <w:rsid w:val="005D7890"/>
    <w:rsid w:val="005E19C1"/>
    <w:rsid w:val="005E2194"/>
    <w:rsid w:val="005E24F0"/>
    <w:rsid w:val="005E3113"/>
    <w:rsid w:val="005E36FE"/>
    <w:rsid w:val="005E3F66"/>
    <w:rsid w:val="005E490F"/>
    <w:rsid w:val="005E4BC9"/>
    <w:rsid w:val="005E5314"/>
    <w:rsid w:val="005E7C78"/>
    <w:rsid w:val="005F04A7"/>
    <w:rsid w:val="005F114F"/>
    <w:rsid w:val="005F18C5"/>
    <w:rsid w:val="005F2A08"/>
    <w:rsid w:val="005F36CC"/>
    <w:rsid w:val="005F3EB1"/>
    <w:rsid w:val="005F413E"/>
    <w:rsid w:val="005F466B"/>
    <w:rsid w:val="005F46D8"/>
    <w:rsid w:val="005F480F"/>
    <w:rsid w:val="005F5469"/>
    <w:rsid w:val="005F63F3"/>
    <w:rsid w:val="005F66F0"/>
    <w:rsid w:val="005F6D7F"/>
    <w:rsid w:val="005F7174"/>
    <w:rsid w:val="0060120D"/>
    <w:rsid w:val="00601ADE"/>
    <w:rsid w:val="00601EEF"/>
    <w:rsid w:val="0060255A"/>
    <w:rsid w:val="00602EB3"/>
    <w:rsid w:val="00604307"/>
    <w:rsid w:val="0060487F"/>
    <w:rsid w:val="00604EAD"/>
    <w:rsid w:val="0060513F"/>
    <w:rsid w:val="006065E2"/>
    <w:rsid w:val="0060694B"/>
    <w:rsid w:val="006104FB"/>
    <w:rsid w:val="0061176D"/>
    <w:rsid w:val="0061200F"/>
    <w:rsid w:val="00612756"/>
    <w:rsid w:val="00612A2F"/>
    <w:rsid w:val="00612AAE"/>
    <w:rsid w:val="00612B07"/>
    <w:rsid w:val="00612FD9"/>
    <w:rsid w:val="006139E0"/>
    <w:rsid w:val="00614D35"/>
    <w:rsid w:val="006156B4"/>
    <w:rsid w:val="00615DAF"/>
    <w:rsid w:val="0061672A"/>
    <w:rsid w:val="00616E05"/>
    <w:rsid w:val="00617985"/>
    <w:rsid w:val="00620B77"/>
    <w:rsid w:val="0062131B"/>
    <w:rsid w:val="00621E26"/>
    <w:rsid w:val="006224EA"/>
    <w:rsid w:val="0062263A"/>
    <w:rsid w:val="006227DF"/>
    <w:rsid w:val="006236C8"/>
    <w:rsid w:val="00624093"/>
    <w:rsid w:val="00625A84"/>
    <w:rsid w:val="00626079"/>
    <w:rsid w:val="00631698"/>
    <w:rsid w:val="00631E44"/>
    <w:rsid w:val="00634C57"/>
    <w:rsid w:val="00634CE7"/>
    <w:rsid w:val="006350D5"/>
    <w:rsid w:val="0063642C"/>
    <w:rsid w:val="006376B3"/>
    <w:rsid w:val="00637858"/>
    <w:rsid w:val="006404A7"/>
    <w:rsid w:val="00640A38"/>
    <w:rsid w:val="00640E6B"/>
    <w:rsid w:val="00641787"/>
    <w:rsid w:val="0064179B"/>
    <w:rsid w:val="00642489"/>
    <w:rsid w:val="00644055"/>
    <w:rsid w:val="00644137"/>
    <w:rsid w:val="0064478C"/>
    <w:rsid w:val="00645160"/>
    <w:rsid w:val="006451E4"/>
    <w:rsid w:val="0064574B"/>
    <w:rsid w:val="00645B33"/>
    <w:rsid w:val="006516CB"/>
    <w:rsid w:val="00652E30"/>
    <w:rsid w:val="00653BD0"/>
    <w:rsid w:val="00654110"/>
    <w:rsid w:val="00656C5D"/>
    <w:rsid w:val="00656CFB"/>
    <w:rsid w:val="00656D25"/>
    <w:rsid w:val="00657E87"/>
    <w:rsid w:val="00660D2D"/>
    <w:rsid w:val="00661C41"/>
    <w:rsid w:val="00661EC9"/>
    <w:rsid w:val="00662469"/>
    <w:rsid w:val="0066411C"/>
    <w:rsid w:val="00664205"/>
    <w:rsid w:val="00664647"/>
    <w:rsid w:val="00664803"/>
    <w:rsid w:val="0066502F"/>
    <w:rsid w:val="006653CC"/>
    <w:rsid w:val="00665982"/>
    <w:rsid w:val="00665BA4"/>
    <w:rsid w:val="00666BF3"/>
    <w:rsid w:val="00667856"/>
    <w:rsid w:val="00667AF2"/>
    <w:rsid w:val="00670489"/>
    <w:rsid w:val="006710C9"/>
    <w:rsid w:val="00671D85"/>
    <w:rsid w:val="00672586"/>
    <w:rsid w:val="006741CD"/>
    <w:rsid w:val="00674D89"/>
    <w:rsid w:val="0067514E"/>
    <w:rsid w:val="00675E37"/>
    <w:rsid w:val="00676736"/>
    <w:rsid w:val="006769A4"/>
    <w:rsid w:val="006769C6"/>
    <w:rsid w:val="00676D76"/>
    <w:rsid w:val="00676F9F"/>
    <w:rsid w:val="00677519"/>
    <w:rsid w:val="00677591"/>
    <w:rsid w:val="00677594"/>
    <w:rsid w:val="00677FA3"/>
    <w:rsid w:val="0068032F"/>
    <w:rsid w:val="00680D37"/>
    <w:rsid w:val="0068174E"/>
    <w:rsid w:val="00681DCE"/>
    <w:rsid w:val="00682110"/>
    <w:rsid w:val="0068260E"/>
    <w:rsid w:val="006846B3"/>
    <w:rsid w:val="00684B9B"/>
    <w:rsid w:val="00684D59"/>
    <w:rsid w:val="00684E25"/>
    <w:rsid w:val="006858A4"/>
    <w:rsid w:val="00685C08"/>
    <w:rsid w:val="00686718"/>
    <w:rsid w:val="00686BFA"/>
    <w:rsid w:val="00686DED"/>
    <w:rsid w:val="006875A0"/>
    <w:rsid w:val="006878C6"/>
    <w:rsid w:val="00687D27"/>
    <w:rsid w:val="00691943"/>
    <w:rsid w:val="00693550"/>
    <w:rsid w:val="00695065"/>
    <w:rsid w:val="00695BEF"/>
    <w:rsid w:val="00696251"/>
    <w:rsid w:val="006966C7"/>
    <w:rsid w:val="006968C1"/>
    <w:rsid w:val="006977F6"/>
    <w:rsid w:val="00697A13"/>
    <w:rsid w:val="006A0DD4"/>
    <w:rsid w:val="006A109C"/>
    <w:rsid w:val="006A5F4B"/>
    <w:rsid w:val="006A6114"/>
    <w:rsid w:val="006A6565"/>
    <w:rsid w:val="006A7691"/>
    <w:rsid w:val="006A7EE2"/>
    <w:rsid w:val="006B0514"/>
    <w:rsid w:val="006B0F92"/>
    <w:rsid w:val="006B2785"/>
    <w:rsid w:val="006B27C7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1DDC"/>
    <w:rsid w:val="006C28CA"/>
    <w:rsid w:val="006C2BBF"/>
    <w:rsid w:val="006C2FBD"/>
    <w:rsid w:val="006C3495"/>
    <w:rsid w:val="006C4355"/>
    <w:rsid w:val="006C4587"/>
    <w:rsid w:val="006C469D"/>
    <w:rsid w:val="006C46B5"/>
    <w:rsid w:val="006C484F"/>
    <w:rsid w:val="006C52EC"/>
    <w:rsid w:val="006C5506"/>
    <w:rsid w:val="006C56D4"/>
    <w:rsid w:val="006C6681"/>
    <w:rsid w:val="006C683C"/>
    <w:rsid w:val="006C6924"/>
    <w:rsid w:val="006C6C1E"/>
    <w:rsid w:val="006C7076"/>
    <w:rsid w:val="006C7AEC"/>
    <w:rsid w:val="006C7CA6"/>
    <w:rsid w:val="006D18B3"/>
    <w:rsid w:val="006D1E89"/>
    <w:rsid w:val="006D26CE"/>
    <w:rsid w:val="006D317E"/>
    <w:rsid w:val="006D3E8A"/>
    <w:rsid w:val="006D61F6"/>
    <w:rsid w:val="006E1081"/>
    <w:rsid w:val="006E1332"/>
    <w:rsid w:val="006E19CB"/>
    <w:rsid w:val="006E279A"/>
    <w:rsid w:val="006E313B"/>
    <w:rsid w:val="006E34B2"/>
    <w:rsid w:val="006E3A45"/>
    <w:rsid w:val="006E4078"/>
    <w:rsid w:val="006E51C4"/>
    <w:rsid w:val="006E53AD"/>
    <w:rsid w:val="006E58CB"/>
    <w:rsid w:val="006E6A93"/>
    <w:rsid w:val="006E7227"/>
    <w:rsid w:val="006E761A"/>
    <w:rsid w:val="006F0646"/>
    <w:rsid w:val="006F0741"/>
    <w:rsid w:val="006F1C27"/>
    <w:rsid w:val="006F2A65"/>
    <w:rsid w:val="006F3DD6"/>
    <w:rsid w:val="006F40DF"/>
    <w:rsid w:val="006F42BB"/>
    <w:rsid w:val="006F438E"/>
    <w:rsid w:val="006F440B"/>
    <w:rsid w:val="006F48A3"/>
    <w:rsid w:val="006F4DA4"/>
    <w:rsid w:val="006F5416"/>
    <w:rsid w:val="006F624B"/>
    <w:rsid w:val="006F6D87"/>
    <w:rsid w:val="006F6FF2"/>
    <w:rsid w:val="006F79FB"/>
    <w:rsid w:val="007008A9"/>
    <w:rsid w:val="0070398A"/>
    <w:rsid w:val="00705242"/>
    <w:rsid w:val="007055E0"/>
    <w:rsid w:val="007056ED"/>
    <w:rsid w:val="00705F4E"/>
    <w:rsid w:val="0070658E"/>
    <w:rsid w:val="007065C5"/>
    <w:rsid w:val="007068E1"/>
    <w:rsid w:val="00706AA0"/>
    <w:rsid w:val="00706AD4"/>
    <w:rsid w:val="00707150"/>
    <w:rsid w:val="007124D7"/>
    <w:rsid w:val="00712C20"/>
    <w:rsid w:val="00713549"/>
    <w:rsid w:val="007140BE"/>
    <w:rsid w:val="007147AB"/>
    <w:rsid w:val="00715502"/>
    <w:rsid w:val="00715D01"/>
    <w:rsid w:val="00715E4D"/>
    <w:rsid w:val="00715F12"/>
    <w:rsid w:val="0071677A"/>
    <w:rsid w:val="00716F48"/>
    <w:rsid w:val="007170FB"/>
    <w:rsid w:val="00717114"/>
    <w:rsid w:val="0071779F"/>
    <w:rsid w:val="00720310"/>
    <w:rsid w:val="007211F5"/>
    <w:rsid w:val="00721601"/>
    <w:rsid w:val="00722777"/>
    <w:rsid w:val="00723435"/>
    <w:rsid w:val="00723436"/>
    <w:rsid w:val="007240E2"/>
    <w:rsid w:val="0072454C"/>
    <w:rsid w:val="0072583E"/>
    <w:rsid w:val="00725BB5"/>
    <w:rsid w:val="00727C02"/>
    <w:rsid w:val="0073008E"/>
    <w:rsid w:val="00730A8B"/>
    <w:rsid w:val="00730AE8"/>
    <w:rsid w:val="00730F1B"/>
    <w:rsid w:val="0073186D"/>
    <w:rsid w:val="0073333D"/>
    <w:rsid w:val="007343D9"/>
    <w:rsid w:val="00734F71"/>
    <w:rsid w:val="00735448"/>
    <w:rsid w:val="00736F07"/>
    <w:rsid w:val="007377BD"/>
    <w:rsid w:val="00737DEC"/>
    <w:rsid w:val="0074004D"/>
    <w:rsid w:val="00741493"/>
    <w:rsid w:val="007434E5"/>
    <w:rsid w:val="0074499B"/>
    <w:rsid w:val="007450BF"/>
    <w:rsid w:val="007471A1"/>
    <w:rsid w:val="007477BD"/>
    <w:rsid w:val="007477DA"/>
    <w:rsid w:val="00747EE9"/>
    <w:rsid w:val="007520B6"/>
    <w:rsid w:val="00752180"/>
    <w:rsid w:val="00752323"/>
    <w:rsid w:val="007532B7"/>
    <w:rsid w:val="00753CAB"/>
    <w:rsid w:val="00754A70"/>
    <w:rsid w:val="00754BC9"/>
    <w:rsid w:val="00755202"/>
    <w:rsid w:val="00755D3A"/>
    <w:rsid w:val="00757241"/>
    <w:rsid w:val="0075751D"/>
    <w:rsid w:val="0075763E"/>
    <w:rsid w:val="007578D3"/>
    <w:rsid w:val="007602CF"/>
    <w:rsid w:val="00760391"/>
    <w:rsid w:val="007609C6"/>
    <w:rsid w:val="007615F3"/>
    <w:rsid w:val="0076175D"/>
    <w:rsid w:val="00761CB5"/>
    <w:rsid w:val="007629D5"/>
    <w:rsid w:val="007635F8"/>
    <w:rsid w:val="00763B85"/>
    <w:rsid w:val="00764974"/>
    <w:rsid w:val="00764D18"/>
    <w:rsid w:val="0076521E"/>
    <w:rsid w:val="00765BCC"/>
    <w:rsid w:val="0076600D"/>
    <w:rsid w:val="007661E9"/>
    <w:rsid w:val="00766460"/>
    <w:rsid w:val="00767062"/>
    <w:rsid w:val="00767601"/>
    <w:rsid w:val="00767777"/>
    <w:rsid w:val="00770CFC"/>
    <w:rsid w:val="0077130E"/>
    <w:rsid w:val="007715EE"/>
    <w:rsid w:val="00771972"/>
    <w:rsid w:val="00772279"/>
    <w:rsid w:val="00772DAB"/>
    <w:rsid w:val="00772FF9"/>
    <w:rsid w:val="007743DB"/>
    <w:rsid w:val="00774D2C"/>
    <w:rsid w:val="0077605B"/>
    <w:rsid w:val="00776169"/>
    <w:rsid w:val="00776527"/>
    <w:rsid w:val="00777040"/>
    <w:rsid w:val="00777CE6"/>
    <w:rsid w:val="00777D57"/>
    <w:rsid w:val="00780EF1"/>
    <w:rsid w:val="00781A91"/>
    <w:rsid w:val="00781AD3"/>
    <w:rsid w:val="00781F36"/>
    <w:rsid w:val="00783576"/>
    <w:rsid w:val="00785778"/>
    <w:rsid w:val="00786C87"/>
    <w:rsid w:val="0078755E"/>
    <w:rsid w:val="007877C9"/>
    <w:rsid w:val="00790764"/>
    <w:rsid w:val="0079085F"/>
    <w:rsid w:val="00790E96"/>
    <w:rsid w:val="00791005"/>
    <w:rsid w:val="00793D78"/>
    <w:rsid w:val="0079420B"/>
    <w:rsid w:val="0079453C"/>
    <w:rsid w:val="00794677"/>
    <w:rsid w:val="00795759"/>
    <w:rsid w:val="007A170B"/>
    <w:rsid w:val="007A20EB"/>
    <w:rsid w:val="007A282C"/>
    <w:rsid w:val="007A293C"/>
    <w:rsid w:val="007A2A3A"/>
    <w:rsid w:val="007A33E2"/>
    <w:rsid w:val="007A3CAF"/>
    <w:rsid w:val="007A4664"/>
    <w:rsid w:val="007A4782"/>
    <w:rsid w:val="007A516D"/>
    <w:rsid w:val="007A5E65"/>
    <w:rsid w:val="007A65E1"/>
    <w:rsid w:val="007A6AAA"/>
    <w:rsid w:val="007A7033"/>
    <w:rsid w:val="007A775D"/>
    <w:rsid w:val="007B04B0"/>
    <w:rsid w:val="007B0834"/>
    <w:rsid w:val="007B0E83"/>
    <w:rsid w:val="007B11FA"/>
    <w:rsid w:val="007B1396"/>
    <w:rsid w:val="007B16D6"/>
    <w:rsid w:val="007B2011"/>
    <w:rsid w:val="007B2CFE"/>
    <w:rsid w:val="007B309B"/>
    <w:rsid w:val="007B3D5E"/>
    <w:rsid w:val="007B3DCB"/>
    <w:rsid w:val="007B5725"/>
    <w:rsid w:val="007B5C1F"/>
    <w:rsid w:val="007B6689"/>
    <w:rsid w:val="007B6747"/>
    <w:rsid w:val="007B6F72"/>
    <w:rsid w:val="007B74AA"/>
    <w:rsid w:val="007C10BD"/>
    <w:rsid w:val="007C162D"/>
    <w:rsid w:val="007C1F0C"/>
    <w:rsid w:val="007C1FFB"/>
    <w:rsid w:val="007C2D94"/>
    <w:rsid w:val="007C4A6B"/>
    <w:rsid w:val="007C5F92"/>
    <w:rsid w:val="007C6227"/>
    <w:rsid w:val="007C6BBD"/>
    <w:rsid w:val="007C6D89"/>
    <w:rsid w:val="007C6F5E"/>
    <w:rsid w:val="007D0382"/>
    <w:rsid w:val="007D14FE"/>
    <w:rsid w:val="007D1A1F"/>
    <w:rsid w:val="007D213B"/>
    <w:rsid w:val="007D2E18"/>
    <w:rsid w:val="007D40DF"/>
    <w:rsid w:val="007D42E5"/>
    <w:rsid w:val="007D4458"/>
    <w:rsid w:val="007D6AF9"/>
    <w:rsid w:val="007E0535"/>
    <w:rsid w:val="007E07F2"/>
    <w:rsid w:val="007E0D4A"/>
    <w:rsid w:val="007E1788"/>
    <w:rsid w:val="007E1EE3"/>
    <w:rsid w:val="007E29B4"/>
    <w:rsid w:val="007E2F12"/>
    <w:rsid w:val="007E435A"/>
    <w:rsid w:val="007E445C"/>
    <w:rsid w:val="007E49F7"/>
    <w:rsid w:val="007E4C70"/>
    <w:rsid w:val="007E5B5F"/>
    <w:rsid w:val="007E69C6"/>
    <w:rsid w:val="007E78B6"/>
    <w:rsid w:val="007E7E61"/>
    <w:rsid w:val="007F0845"/>
    <w:rsid w:val="007F0873"/>
    <w:rsid w:val="007F20F3"/>
    <w:rsid w:val="007F2353"/>
    <w:rsid w:val="007F2390"/>
    <w:rsid w:val="007F2CAC"/>
    <w:rsid w:val="007F4740"/>
    <w:rsid w:val="007F595A"/>
    <w:rsid w:val="007F5C38"/>
    <w:rsid w:val="007F708D"/>
    <w:rsid w:val="007F7E3F"/>
    <w:rsid w:val="008006B3"/>
    <w:rsid w:val="00800B63"/>
    <w:rsid w:val="0080158A"/>
    <w:rsid w:val="00801E13"/>
    <w:rsid w:val="00803008"/>
    <w:rsid w:val="00803069"/>
    <w:rsid w:val="0080346B"/>
    <w:rsid w:val="00804155"/>
    <w:rsid w:val="00804C9F"/>
    <w:rsid w:val="0080559E"/>
    <w:rsid w:val="00805AF3"/>
    <w:rsid w:val="00806C9C"/>
    <w:rsid w:val="0080734C"/>
    <w:rsid w:val="00807C82"/>
    <w:rsid w:val="008117CC"/>
    <w:rsid w:val="00811FF8"/>
    <w:rsid w:val="00813D58"/>
    <w:rsid w:val="00813DCA"/>
    <w:rsid w:val="008161A6"/>
    <w:rsid w:val="008165B8"/>
    <w:rsid w:val="00816905"/>
    <w:rsid w:val="00816D98"/>
    <w:rsid w:val="00816E42"/>
    <w:rsid w:val="00817040"/>
    <w:rsid w:val="00817A17"/>
    <w:rsid w:val="00817EC1"/>
    <w:rsid w:val="0082112D"/>
    <w:rsid w:val="00821FF6"/>
    <w:rsid w:val="00822574"/>
    <w:rsid w:val="00822980"/>
    <w:rsid w:val="00822F08"/>
    <w:rsid w:val="00824BA6"/>
    <w:rsid w:val="00825C4D"/>
    <w:rsid w:val="00826A08"/>
    <w:rsid w:val="00826AC0"/>
    <w:rsid w:val="00827186"/>
    <w:rsid w:val="00827C8E"/>
    <w:rsid w:val="00830569"/>
    <w:rsid w:val="00830AEA"/>
    <w:rsid w:val="00830E86"/>
    <w:rsid w:val="0083143E"/>
    <w:rsid w:val="008315B8"/>
    <w:rsid w:val="008315D5"/>
    <w:rsid w:val="00831CDE"/>
    <w:rsid w:val="00831F2B"/>
    <w:rsid w:val="008320CF"/>
    <w:rsid w:val="008324A3"/>
    <w:rsid w:val="00832F77"/>
    <w:rsid w:val="00834304"/>
    <w:rsid w:val="00834FAA"/>
    <w:rsid w:val="008354FB"/>
    <w:rsid w:val="00835FF1"/>
    <w:rsid w:val="00836086"/>
    <w:rsid w:val="0083630F"/>
    <w:rsid w:val="00836A06"/>
    <w:rsid w:val="008374BC"/>
    <w:rsid w:val="008379D6"/>
    <w:rsid w:val="00837E48"/>
    <w:rsid w:val="00840293"/>
    <w:rsid w:val="008402AD"/>
    <w:rsid w:val="008408D4"/>
    <w:rsid w:val="008417B5"/>
    <w:rsid w:val="00841901"/>
    <w:rsid w:val="008458BD"/>
    <w:rsid w:val="00846121"/>
    <w:rsid w:val="008461C2"/>
    <w:rsid w:val="008462F1"/>
    <w:rsid w:val="008466C6"/>
    <w:rsid w:val="0084708F"/>
    <w:rsid w:val="008477C8"/>
    <w:rsid w:val="008478A6"/>
    <w:rsid w:val="008502F6"/>
    <w:rsid w:val="0085036C"/>
    <w:rsid w:val="00850E83"/>
    <w:rsid w:val="0085114D"/>
    <w:rsid w:val="008520A8"/>
    <w:rsid w:val="00852217"/>
    <w:rsid w:val="00853282"/>
    <w:rsid w:val="0085334C"/>
    <w:rsid w:val="00854291"/>
    <w:rsid w:val="00855408"/>
    <w:rsid w:val="00855D03"/>
    <w:rsid w:val="00856D65"/>
    <w:rsid w:val="00856FA4"/>
    <w:rsid w:val="00860D79"/>
    <w:rsid w:val="00861B41"/>
    <w:rsid w:val="00861B9F"/>
    <w:rsid w:val="00861BE3"/>
    <w:rsid w:val="008625D3"/>
    <w:rsid w:val="00862C0A"/>
    <w:rsid w:val="00863434"/>
    <w:rsid w:val="0086344F"/>
    <w:rsid w:val="008641AC"/>
    <w:rsid w:val="00865E4C"/>
    <w:rsid w:val="00866074"/>
    <w:rsid w:val="00867546"/>
    <w:rsid w:val="0086796D"/>
    <w:rsid w:val="00867DAB"/>
    <w:rsid w:val="0087000B"/>
    <w:rsid w:val="008701E4"/>
    <w:rsid w:val="008704E9"/>
    <w:rsid w:val="00870ECD"/>
    <w:rsid w:val="0087347C"/>
    <w:rsid w:val="008734E7"/>
    <w:rsid w:val="0087368D"/>
    <w:rsid w:val="008740CC"/>
    <w:rsid w:val="0087442A"/>
    <w:rsid w:val="00874FE8"/>
    <w:rsid w:val="00875A32"/>
    <w:rsid w:val="00876086"/>
    <w:rsid w:val="00876651"/>
    <w:rsid w:val="00876E83"/>
    <w:rsid w:val="008772BC"/>
    <w:rsid w:val="00880A0E"/>
    <w:rsid w:val="008817FE"/>
    <w:rsid w:val="00881CD7"/>
    <w:rsid w:val="00882911"/>
    <w:rsid w:val="00882F6E"/>
    <w:rsid w:val="00883202"/>
    <w:rsid w:val="00884E02"/>
    <w:rsid w:val="00885D40"/>
    <w:rsid w:val="008873D4"/>
    <w:rsid w:val="00890CB1"/>
    <w:rsid w:val="00891EDF"/>
    <w:rsid w:val="00892872"/>
    <w:rsid w:val="0089296D"/>
    <w:rsid w:val="00893E85"/>
    <w:rsid w:val="00893EBE"/>
    <w:rsid w:val="00894031"/>
    <w:rsid w:val="00894C5D"/>
    <w:rsid w:val="00895508"/>
    <w:rsid w:val="008967E9"/>
    <w:rsid w:val="00896A5C"/>
    <w:rsid w:val="008972D2"/>
    <w:rsid w:val="0089754C"/>
    <w:rsid w:val="008A0659"/>
    <w:rsid w:val="008A0ADD"/>
    <w:rsid w:val="008A0D27"/>
    <w:rsid w:val="008A1C59"/>
    <w:rsid w:val="008A37E2"/>
    <w:rsid w:val="008A388E"/>
    <w:rsid w:val="008A394E"/>
    <w:rsid w:val="008A3CBA"/>
    <w:rsid w:val="008A4B59"/>
    <w:rsid w:val="008A63E1"/>
    <w:rsid w:val="008A66B7"/>
    <w:rsid w:val="008A68BB"/>
    <w:rsid w:val="008A6AA5"/>
    <w:rsid w:val="008A7127"/>
    <w:rsid w:val="008B0CBA"/>
    <w:rsid w:val="008B2639"/>
    <w:rsid w:val="008B3537"/>
    <w:rsid w:val="008B3690"/>
    <w:rsid w:val="008B3A80"/>
    <w:rsid w:val="008B3AEC"/>
    <w:rsid w:val="008B3C07"/>
    <w:rsid w:val="008B3F7B"/>
    <w:rsid w:val="008B5324"/>
    <w:rsid w:val="008B5C99"/>
    <w:rsid w:val="008B6106"/>
    <w:rsid w:val="008B7C02"/>
    <w:rsid w:val="008B7D2B"/>
    <w:rsid w:val="008B7EF9"/>
    <w:rsid w:val="008C0049"/>
    <w:rsid w:val="008C0314"/>
    <w:rsid w:val="008C0E88"/>
    <w:rsid w:val="008C1717"/>
    <w:rsid w:val="008C17F0"/>
    <w:rsid w:val="008C3B05"/>
    <w:rsid w:val="008C4B50"/>
    <w:rsid w:val="008C5A37"/>
    <w:rsid w:val="008C7569"/>
    <w:rsid w:val="008C79C3"/>
    <w:rsid w:val="008D006F"/>
    <w:rsid w:val="008D033D"/>
    <w:rsid w:val="008D0DBD"/>
    <w:rsid w:val="008D117E"/>
    <w:rsid w:val="008D127E"/>
    <w:rsid w:val="008D1CA8"/>
    <w:rsid w:val="008D1E0A"/>
    <w:rsid w:val="008D1E6A"/>
    <w:rsid w:val="008D2407"/>
    <w:rsid w:val="008D2A16"/>
    <w:rsid w:val="008D2AEC"/>
    <w:rsid w:val="008D3295"/>
    <w:rsid w:val="008D33F5"/>
    <w:rsid w:val="008D35E4"/>
    <w:rsid w:val="008D3ACD"/>
    <w:rsid w:val="008D6C3A"/>
    <w:rsid w:val="008D70E2"/>
    <w:rsid w:val="008E0001"/>
    <w:rsid w:val="008E292B"/>
    <w:rsid w:val="008E2C57"/>
    <w:rsid w:val="008E31FF"/>
    <w:rsid w:val="008E3287"/>
    <w:rsid w:val="008E38E4"/>
    <w:rsid w:val="008E51EB"/>
    <w:rsid w:val="008E6DCB"/>
    <w:rsid w:val="008E6F06"/>
    <w:rsid w:val="008E7000"/>
    <w:rsid w:val="008E7B8E"/>
    <w:rsid w:val="008E7FC9"/>
    <w:rsid w:val="008F0107"/>
    <w:rsid w:val="008F029B"/>
    <w:rsid w:val="008F0589"/>
    <w:rsid w:val="008F2A5D"/>
    <w:rsid w:val="008F2BC7"/>
    <w:rsid w:val="008F3636"/>
    <w:rsid w:val="008F3FC9"/>
    <w:rsid w:val="008F509F"/>
    <w:rsid w:val="008F5383"/>
    <w:rsid w:val="008F585B"/>
    <w:rsid w:val="008F7FB0"/>
    <w:rsid w:val="009003A8"/>
    <w:rsid w:val="009005E4"/>
    <w:rsid w:val="00900977"/>
    <w:rsid w:val="009021DA"/>
    <w:rsid w:val="00902500"/>
    <w:rsid w:val="00902EFF"/>
    <w:rsid w:val="00903A8E"/>
    <w:rsid w:val="0090432C"/>
    <w:rsid w:val="00904F96"/>
    <w:rsid w:val="009052A3"/>
    <w:rsid w:val="00905314"/>
    <w:rsid w:val="009056D7"/>
    <w:rsid w:val="00905B8D"/>
    <w:rsid w:val="00906401"/>
    <w:rsid w:val="009065CB"/>
    <w:rsid w:val="009067EA"/>
    <w:rsid w:val="00906B79"/>
    <w:rsid w:val="0090786F"/>
    <w:rsid w:val="0091001E"/>
    <w:rsid w:val="00910C18"/>
    <w:rsid w:val="009110F7"/>
    <w:rsid w:val="0091155E"/>
    <w:rsid w:val="00912437"/>
    <w:rsid w:val="00912A92"/>
    <w:rsid w:val="0091476D"/>
    <w:rsid w:val="00915D07"/>
    <w:rsid w:val="009162AE"/>
    <w:rsid w:val="00917251"/>
    <w:rsid w:val="0091728D"/>
    <w:rsid w:val="0092036B"/>
    <w:rsid w:val="009203CC"/>
    <w:rsid w:val="00920EC4"/>
    <w:rsid w:val="0092180B"/>
    <w:rsid w:val="00921F14"/>
    <w:rsid w:val="0092292F"/>
    <w:rsid w:val="00922D28"/>
    <w:rsid w:val="00923CB0"/>
    <w:rsid w:val="00923D8C"/>
    <w:rsid w:val="00924871"/>
    <w:rsid w:val="00924AC8"/>
    <w:rsid w:val="00925429"/>
    <w:rsid w:val="00925615"/>
    <w:rsid w:val="0092597A"/>
    <w:rsid w:val="00926520"/>
    <w:rsid w:val="00926CF0"/>
    <w:rsid w:val="009273A9"/>
    <w:rsid w:val="00930251"/>
    <w:rsid w:val="0093033E"/>
    <w:rsid w:val="009305FC"/>
    <w:rsid w:val="00930FB1"/>
    <w:rsid w:val="0093139F"/>
    <w:rsid w:val="00932443"/>
    <w:rsid w:val="00932B32"/>
    <w:rsid w:val="0093305E"/>
    <w:rsid w:val="00933F4A"/>
    <w:rsid w:val="009341F1"/>
    <w:rsid w:val="00934FF2"/>
    <w:rsid w:val="009358D7"/>
    <w:rsid w:val="00935BD4"/>
    <w:rsid w:val="00935DFE"/>
    <w:rsid w:val="00935F70"/>
    <w:rsid w:val="0093648B"/>
    <w:rsid w:val="009373B2"/>
    <w:rsid w:val="00937AE2"/>
    <w:rsid w:val="0094061F"/>
    <w:rsid w:val="00940F0F"/>
    <w:rsid w:val="00941912"/>
    <w:rsid w:val="0094416B"/>
    <w:rsid w:val="0094427A"/>
    <w:rsid w:val="00944C7C"/>
    <w:rsid w:val="00945245"/>
    <w:rsid w:val="00945523"/>
    <w:rsid w:val="00950921"/>
    <w:rsid w:val="00951D68"/>
    <w:rsid w:val="00951E5B"/>
    <w:rsid w:val="00952050"/>
    <w:rsid w:val="00952315"/>
    <w:rsid w:val="009523D9"/>
    <w:rsid w:val="00952B7B"/>
    <w:rsid w:val="0095357B"/>
    <w:rsid w:val="009538B3"/>
    <w:rsid w:val="00954F39"/>
    <w:rsid w:val="009555FD"/>
    <w:rsid w:val="0095664B"/>
    <w:rsid w:val="009568DC"/>
    <w:rsid w:val="00957140"/>
    <w:rsid w:val="00957445"/>
    <w:rsid w:val="0095759C"/>
    <w:rsid w:val="009618EE"/>
    <w:rsid w:val="00961DDD"/>
    <w:rsid w:val="009624D2"/>
    <w:rsid w:val="009628D9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797"/>
    <w:rsid w:val="00965A10"/>
    <w:rsid w:val="00965AD0"/>
    <w:rsid w:val="009670A3"/>
    <w:rsid w:val="009674BE"/>
    <w:rsid w:val="00970FB5"/>
    <w:rsid w:val="00971710"/>
    <w:rsid w:val="00971B87"/>
    <w:rsid w:val="00971C77"/>
    <w:rsid w:val="0097203A"/>
    <w:rsid w:val="00972FCD"/>
    <w:rsid w:val="00973324"/>
    <w:rsid w:val="009736DF"/>
    <w:rsid w:val="009741AE"/>
    <w:rsid w:val="009741FC"/>
    <w:rsid w:val="00974782"/>
    <w:rsid w:val="00974923"/>
    <w:rsid w:val="00975909"/>
    <w:rsid w:val="00977C3D"/>
    <w:rsid w:val="00980D3D"/>
    <w:rsid w:val="0098103E"/>
    <w:rsid w:val="0098157D"/>
    <w:rsid w:val="00983101"/>
    <w:rsid w:val="00983E41"/>
    <w:rsid w:val="009845E1"/>
    <w:rsid w:val="00984D1B"/>
    <w:rsid w:val="00986246"/>
    <w:rsid w:val="00987A30"/>
    <w:rsid w:val="00990312"/>
    <w:rsid w:val="0099182E"/>
    <w:rsid w:val="00992BB3"/>
    <w:rsid w:val="00992CF3"/>
    <w:rsid w:val="00993194"/>
    <w:rsid w:val="0099321E"/>
    <w:rsid w:val="00994171"/>
    <w:rsid w:val="00994868"/>
    <w:rsid w:val="00994976"/>
    <w:rsid w:val="00994D28"/>
    <w:rsid w:val="00994F2C"/>
    <w:rsid w:val="00995720"/>
    <w:rsid w:val="009957CC"/>
    <w:rsid w:val="009968D6"/>
    <w:rsid w:val="00997953"/>
    <w:rsid w:val="00997D55"/>
    <w:rsid w:val="009A0BFF"/>
    <w:rsid w:val="009A10A0"/>
    <w:rsid w:val="009A1CAB"/>
    <w:rsid w:val="009A2359"/>
    <w:rsid w:val="009A24F1"/>
    <w:rsid w:val="009A27E0"/>
    <w:rsid w:val="009A4D57"/>
    <w:rsid w:val="009A51A5"/>
    <w:rsid w:val="009A60D1"/>
    <w:rsid w:val="009A6225"/>
    <w:rsid w:val="009A64F5"/>
    <w:rsid w:val="009B00D2"/>
    <w:rsid w:val="009B05B3"/>
    <w:rsid w:val="009B0CAF"/>
    <w:rsid w:val="009B1324"/>
    <w:rsid w:val="009B2558"/>
    <w:rsid w:val="009B284F"/>
    <w:rsid w:val="009B3764"/>
    <w:rsid w:val="009B3840"/>
    <w:rsid w:val="009B52AC"/>
    <w:rsid w:val="009B59EA"/>
    <w:rsid w:val="009B66CE"/>
    <w:rsid w:val="009B6FD3"/>
    <w:rsid w:val="009B72BE"/>
    <w:rsid w:val="009B78A4"/>
    <w:rsid w:val="009B7DB2"/>
    <w:rsid w:val="009C03DB"/>
    <w:rsid w:val="009C15AF"/>
    <w:rsid w:val="009C1750"/>
    <w:rsid w:val="009C2E29"/>
    <w:rsid w:val="009C3E8F"/>
    <w:rsid w:val="009C554B"/>
    <w:rsid w:val="009C5E83"/>
    <w:rsid w:val="009C7126"/>
    <w:rsid w:val="009C719E"/>
    <w:rsid w:val="009C7799"/>
    <w:rsid w:val="009D07A9"/>
    <w:rsid w:val="009D0AE2"/>
    <w:rsid w:val="009D0D9F"/>
    <w:rsid w:val="009D0EBB"/>
    <w:rsid w:val="009D2C46"/>
    <w:rsid w:val="009D3ACD"/>
    <w:rsid w:val="009D4254"/>
    <w:rsid w:val="009D4F21"/>
    <w:rsid w:val="009D587D"/>
    <w:rsid w:val="009D7731"/>
    <w:rsid w:val="009E1120"/>
    <w:rsid w:val="009E1393"/>
    <w:rsid w:val="009E1922"/>
    <w:rsid w:val="009E1A3D"/>
    <w:rsid w:val="009E4715"/>
    <w:rsid w:val="009E4A58"/>
    <w:rsid w:val="009E5273"/>
    <w:rsid w:val="009E57A8"/>
    <w:rsid w:val="009E5B85"/>
    <w:rsid w:val="009E5DDB"/>
    <w:rsid w:val="009F2921"/>
    <w:rsid w:val="009F42CF"/>
    <w:rsid w:val="009F4982"/>
    <w:rsid w:val="009F4CA7"/>
    <w:rsid w:val="009F4F6A"/>
    <w:rsid w:val="009F55BA"/>
    <w:rsid w:val="009F7D36"/>
    <w:rsid w:val="009F7D61"/>
    <w:rsid w:val="00A00E71"/>
    <w:rsid w:val="00A0306F"/>
    <w:rsid w:val="00A03511"/>
    <w:rsid w:val="00A03B10"/>
    <w:rsid w:val="00A03E2E"/>
    <w:rsid w:val="00A04616"/>
    <w:rsid w:val="00A04717"/>
    <w:rsid w:val="00A05D8F"/>
    <w:rsid w:val="00A05EE4"/>
    <w:rsid w:val="00A06F99"/>
    <w:rsid w:val="00A1053B"/>
    <w:rsid w:val="00A10D66"/>
    <w:rsid w:val="00A113A4"/>
    <w:rsid w:val="00A14114"/>
    <w:rsid w:val="00A16413"/>
    <w:rsid w:val="00A16545"/>
    <w:rsid w:val="00A16A1A"/>
    <w:rsid w:val="00A16AED"/>
    <w:rsid w:val="00A16BD3"/>
    <w:rsid w:val="00A16C37"/>
    <w:rsid w:val="00A16E1D"/>
    <w:rsid w:val="00A171D5"/>
    <w:rsid w:val="00A17A15"/>
    <w:rsid w:val="00A17A37"/>
    <w:rsid w:val="00A17D5B"/>
    <w:rsid w:val="00A2016A"/>
    <w:rsid w:val="00A201E1"/>
    <w:rsid w:val="00A20FE1"/>
    <w:rsid w:val="00A21B4D"/>
    <w:rsid w:val="00A22073"/>
    <w:rsid w:val="00A223E0"/>
    <w:rsid w:val="00A22959"/>
    <w:rsid w:val="00A23158"/>
    <w:rsid w:val="00A232D7"/>
    <w:rsid w:val="00A23847"/>
    <w:rsid w:val="00A23E43"/>
    <w:rsid w:val="00A24726"/>
    <w:rsid w:val="00A24DEB"/>
    <w:rsid w:val="00A24ED9"/>
    <w:rsid w:val="00A251DB"/>
    <w:rsid w:val="00A25216"/>
    <w:rsid w:val="00A2597D"/>
    <w:rsid w:val="00A2628E"/>
    <w:rsid w:val="00A266BF"/>
    <w:rsid w:val="00A2731E"/>
    <w:rsid w:val="00A309AC"/>
    <w:rsid w:val="00A30F65"/>
    <w:rsid w:val="00A3279E"/>
    <w:rsid w:val="00A33DB1"/>
    <w:rsid w:val="00A33EEB"/>
    <w:rsid w:val="00A35900"/>
    <w:rsid w:val="00A40EAC"/>
    <w:rsid w:val="00A418BC"/>
    <w:rsid w:val="00A419FF"/>
    <w:rsid w:val="00A41FCF"/>
    <w:rsid w:val="00A42936"/>
    <w:rsid w:val="00A43CF8"/>
    <w:rsid w:val="00A43DF2"/>
    <w:rsid w:val="00A445A8"/>
    <w:rsid w:val="00A44B0D"/>
    <w:rsid w:val="00A44D21"/>
    <w:rsid w:val="00A45087"/>
    <w:rsid w:val="00A45489"/>
    <w:rsid w:val="00A45858"/>
    <w:rsid w:val="00A45CED"/>
    <w:rsid w:val="00A465E9"/>
    <w:rsid w:val="00A468E7"/>
    <w:rsid w:val="00A46DE0"/>
    <w:rsid w:val="00A478BA"/>
    <w:rsid w:val="00A50D73"/>
    <w:rsid w:val="00A518BB"/>
    <w:rsid w:val="00A52A88"/>
    <w:rsid w:val="00A52CAD"/>
    <w:rsid w:val="00A53FC7"/>
    <w:rsid w:val="00A55569"/>
    <w:rsid w:val="00A566A0"/>
    <w:rsid w:val="00A601E7"/>
    <w:rsid w:val="00A60AC1"/>
    <w:rsid w:val="00A626FF"/>
    <w:rsid w:val="00A62CE1"/>
    <w:rsid w:val="00A65469"/>
    <w:rsid w:val="00A65528"/>
    <w:rsid w:val="00A655D3"/>
    <w:rsid w:val="00A662D9"/>
    <w:rsid w:val="00A6630C"/>
    <w:rsid w:val="00A6741E"/>
    <w:rsid w:val="00A67E29"/>
    <w:rsid w:val="00A7016A"/>
    <w:rsid w:val="00A7018D"/>
    <w:rsid w:val="00A7191D"/>
    <w:rsid w:val="00A722F9"/>
    <w:rsid w:val="00A72D42"/>
    <w:rsid w:val="00A746C9"/>
    <w:rsid w:val="00A74C2A"/>
    <w:rsid w:val="00A75E40"/>
    <w:rsid w:val="00A76818"/>
    <w:rsid w:val="00A77D1D"/>
    <w:rsid w:val="00A81652"/>
    <w:rsid w:val="00A82BF0"/>
    <w:rsid w:val="00A82C91"/>
    <w:rsid w:val="00A83150"/>
    <w:rsid w:val="00A83398"/>
    <w:rsid w:val="00A83D6E"/>
    <w:rsid w:val="00A83FD5"/>
    <w:rsid w:val="00A8521A"/>
    <w:rsid w:val="00A857C0"/>
    <w:rsid w:val="00A85ACB"/>
    <w:rsid w:val="00A9092B"/>
    <w:rsid w:val="00A90F2C"/>
    <w:rsid w:val="00A90FED"/>
    <w:rsid w:val="00A91482"/>
    <w:rsid w:val="00A9189D"/>
    <w:rsid w:val="00A91E71"/>
    <w:rsid w:val="00A925B1"/>
    <w:rsid w:val="00A92A3E"/>
    <w:rsid w:val="00A934F9"/>
    <w:rsid w:val="00A940E3"/>
    <w:rsid w:val="00A94983"/>
    <w:rsid w:val="00A9532C"/>
    <w:rsid w:val="00A95F1A"/>
    <w:rsid w:val="00A96116"/>
    <w:rsid w:val="00A9614E"/>
    <w:rsid w:val="00A96422"/>
    <w:rsid w:val="00A96C0F"/>
    <w:rsid w:val="00A97075"/>
    <w:rsid w:val="00AA0E80"/>
    <w:rsid w:val="00AA17CD"/>
    <w:rsid w:val="00AA1D85"/>
    <w:rsid w:val="00AA212B"/>
    <w:rsid w:val="00AA212F"/>
    <w:rsid w:val="00AA26A9"/>
    <w:rsid w:val="00AA2996"/>
    <w:rsid w:val="00AA2AF4"/>
    <w:rsid w:val="00AA4282"/>
    <w:rsid w:val="00AA43F2"/>
    <w:rsid w:val="00AA4790"/>
    <w:rsid w:val="00AA52BF"/>
    <w:rsid w:val="00AA559A"/>
    <w:rsid w:val="00AA6C31"/>
    <w:rsid w:val="00AA7752"/>
    <w:rsid w:val="00AA7CE8"/>
    <w:rsid w:val="00AB1457"/>
    <w:rsid w:val="00AB2AF1"/>
    <w:rsid w:val="00AB32CB"/>
    <w:rsid w:val="00AB3BA7"/>
    <w:rsid w:val="00AB3EC7"/>
    <w:rsid w:val="00AB5A64"/>
    <w:rsid w:val="00AB5CA1"/>
    <w:rsid w:val="00AB6456"/>
    <w:rsid w:val="00AB75C5"/>
    <w:rsid w:val="00AC044E"/>
    <w:rsid w:val="00AC2118"/>
    <w:rsid w:val="00AC2395"/>
    <w:rsid w:val="00AC2960"/>
    <w:rsid w:val="00AC2AC4"/>
    <w:rsid w:val="00AC4284"/>
    <w:rsid w:val="00AC45BD"/>
    <w:rsid w:val="00AC50BB"/>
    <w:rsid w:val="00AD0B22"/>
    <w:rsid w:val="00AD0EE7"/>
    <w:rsid w:val="00AD168E"/>
    <w:rsid w:val="00AD306C"/>
    <w:rsid w:val="00AD44CD"/>
    <w:rsid w:val="00AD5AD2"/>
    <w:rsid w:val="00AD6462"/>
    <w:rsid w:val="00AD66C5"/>
    <w:rsid w:val="00AD68C4"/>
    <w:rsid w:val="00AD71F9"/>
    <w:rsid w:val="00AE09B3"/>
    <w:rsid w:val="00AE1A83"/>
    <w:rsid w:val="00AE30BE"/>
    <w:rsid w:val="00AE3E6A"/>
    <w:rsid w:val="00AE417E"/>
    <w:rsid w:val="00AE6414"/>
    <w:rsid w:val="00AE7269"/>
    <w:rsid w:val="00AE797C"/>
    <w:rsid w:val="00AE7CE7"/>
    <w:rsid w:val="00AE7FAB"/>
    <w:rsid w:val="00AF0DE4"/>
    <w:rsid w:val="00AF12A0"/>
    <w:rsid w:val="00AF1E87"/>
    <w:rsid w:val="00AF436B"/>
    <w:rsid w:val="00AF5179"/>
    <w:rsid w:val="00AF5CC2"/>
    <w:rsid w:val="00AF6776"/>
    <w:rsid w:val="00AF6F98"/>
    <w:rsid w:val="00AF7277"/>
    <w:rsid w:val="00B00550"/>
    <w:rsid w:val="00B00913"/>
    <w:rsid w:val="00B01593"/>
    <w:rsid w:val="00B01FF9"/>
    <w:rsid w:val="00B023F2"/>
    <w:rsid w:val="00B026FE"/>
    <w:rsid w:val="00B0271F"/>
    <w:rsid w:val="00B038CA"/>
    <w:rsid w:val="00B05F00"/>
    <w:rsid w:val="00B06DB4"/>
    <w:rsid w:val="00B0750D"/>
    <w:rsid w:val="00B07850"/>
    <w:rsid w:val="00B0799C"/>
    <w:rsid w:val="00B102CE"/>
    <w:rsid w:val="00B10A4D"/>
    <w:rsid w:val="00B10C90"/>
    <w:rsid w:val="00B11002"/>
    <w:rsid w:val="00B1114F"/>
    <w:rsid w:val="00B121B2"/>
    <w:rsid w:val="00B131B1"/>
    <w:rsid w:val="00B141B6"/>
    <w:rsid w:val="00B14BC1"/>
    <w:rsid w:val="00B154DE"/>
    <w:rsid w:val="00B162C3"/>
    <w:rsid w:val="00B16DD1"/>
    <w:rsid w:val="00B16EB8"/>
    <w:rsid w:val="00B1700A"/>
    <w:rsid w:val="00B17E71"/>
    <w:rsid w:val="00B17FDE"/>
    <w:rsid w:val="00B20632"/>
    <w:rsid w:val="00B2379C"/>
    <w:rsid w:val="00B23998"/>
    <w:rsid w:val="00B23D5D"/>
    <w:rsid w:val="00B23E6E"/>
    <w:rsid w:val="00B2450C"/>
    <w:rsid w:val="00B2687D"/>
    <w:rsid w:val="00B3108D"/>
    <w:rsid w:val="00B32DDB"/>
    <w:rsid w:val="00B32F57"/>
    <w:rsid w:val="00B3345C"/>
    <w:rsid w:val="00B34528"/>
    <w:rsid w:val="00B34CC9"/>
    <w:rsid w:val="00B34CDA"/>
    <w:rsid w:val="00B3563B"/>
    <w:rsid w:val="00B36BDC"/>
    <w:rsid w:val="00B37D3A"/>
    <w:rsid w:val="00B37D96"/>
    <w:rsid w:val="00B402FC"/>
    <w:rsid w:val="00B422E2"/>
    <w:rsid w:val="00B42D5F"/>
    <w:rsid w:val="00B43216"/>
    <w:rsid w:val="00B439DA"/>
    <w:rsid w:val="00B4411A"/>
    <w:rsid w:val="00B45FE8"/>
    <w:rsid w:val="00B46604"/>
    <w:rsid w:val="00B47089"/>
    <w:rsid w:val="00B47587"/>
    <w:rsid w:val="00B5150A"/>
    <w:rsid w:val="00B52151"/>
    <w:rsid w:val="00B530CD"/>
    <w:rsid w:val="00B53639"/>
    <w:rsid w:val="00B53C7D"/>
    <w:rsid w:val="00B53E56"/>
    <w:rsid w:val="00B55A97"/>
    <w:rsid w:val="00B55F5E"/>
    <w:rsid w:val="00B5601B"/>
    <w:rsid w:val="00B5642C"/>
    <w:rsid w:val="00B5658D"/>
    <w:rsid w:val="00B56B6F"/>
    <w:rsid w:val="00B5752E"/>
    <w:rsid w:val="00B60AC1"/>
    <w:rsid w:val="00B61FF6"/>
    <w:rsid w:val="00B62316"/>
    <w:rsid w:val="00B63A11"/>
    <w:rsid w:val="00B64425"/>
    <w:rsid w:val="00B64C24"/>
    <w:rsid w:val="00B65CEF"/>
    <w:rsid w:val="00B6608F"/>
    <w:rsid w:val="00B67749"/>
    <w:rsid w:val="00B679FB"/>
    <w:rsid w:val="00B71FBF"/>
    <w:rsid w:val="00B734A0"/>
    <w:rsid w:val="00B73A14"/>
    <w:rsid w:val="00B748BD"/>
    <w:rsid w:val="00B7680F"/>
    <w:rsid w:val="00B76B48"/>
    <w:rsid w:val="00B76D1E"/>
    <w:rsid w:val="00B77543"/>
    <w:rsid w:val="00B77584"/>
    <w:rsid w:val="00B77E34"/>
    <w:rsid w:val="00B80D89"/>
    <w:rsid w:val="00B80EC6"/>
    <w:rsid w:val="00B81288"/>
    <w:rsid w:val="00B81D70"/>
    <w:rsid w:val="00B833B9"/>
    <w:rsid w:val="00B83AAF"/>
    <w:rsid w:val="00B83E07"/>
    <w:rsid w:val="00B84CF6"/>
    <w:rsid w:val="00B85016"/>
    <w:rsid w:val="00B8561A"/>
    <w:rsid w:val="00B86628"/>
    <w:rsid w:val="00B86643"/>
    <w:rsid w:val="00B868F7"/>
    <w:rsid w:val="00B90131"/>
    <w:rsid w:val="00B92951"/>
    <w:rsid w:val="00B92D1D"/>
    <w:rsid w:val="00B92D7E"/>
    <w:rsid w:val="00B930CE"/>
    <w:rsid w:val="00B938C5"/>
    <w:rsid w:val="00B940A8"/>
    <w:rsid w:val="00B9554A"/>
    <w:rsid w:val="00B95940"/>
    <w:rsid w:val="00B95ACA"/>
    <w:rsid w:val="00B96D74"/>
    <w:rsid w:val="00B9720E"/>
    <w:rsid w:val="00B97ACC"/>
    <w:rsid w:val="00B97FE2"/>
    <w:rsid w:val="00BA0E0B"/>
    <w:rsid w:val="00BA201A"/>
    <w:rsid w:val="00BA21DF"/>
    <w:rsid w:val="00BA361D"/>
    <w:rsid w:val="00BA3787"/>
    <w:rsid w:val="00BA403A"/>
    <w:rsid w:val="00BA46E8"/>
    <w:rsid w:val="00BA4AE9"/>
    <w:rsid w:val="00BA4E19"/>
    <w:rsid w:val="00BA6436"/>
    <w:rsid w:val="00BA64F2"/>
    <w:rsid w:val="00BA684E"/>
    <w:rsid w:val="00BA6C2B"/>
    <w:rsid w:val="00BA7B64"/>
    <w:rsid w:val="00BB02A3"/>
    <w:rsid w:val="00BB0351"/>
    <w:rsid w:val="00BB15C3"/>
    <w:rsid w:val="00BB1AF4"/>
    <w:rsid w:val="00BB2202"/>
    <w:rsid w:val="00BB3C6B"/>
    <w:rsid w:val="00BB3FD6"/>
    <w:rsid w:val="00BB453F"/>
    <w:rsid w:val="00BB46F3"/>
    <w:rsid w:val="00BB4A71"/>
    <w:rsid w:val="00BB4CB1"/>
    <w:rsid w:val="00BB4F98"/>
    <w:rsid w:val="00BB50C0"/>
    <w:rsid w:val="00BB5AB2"/>
    <w:rsid w:val="00BB5ABF"/>
    <w:rsid w:val="00BB6EA2"/>
    <w:rsid w:val="00BB76F3"/>
    <w:rsid w:val="00BB7B5B"/>
    <w:rsid w:val="00BB7EB1"/>
    <w:rsid w:val="00BC003F"/>
    <w:rsid w:val="00BC0930"/>
    <w:rsid w:val="00BC327F"/>
    <w:rsid w:val="00BC3512"/>
    <w:rsid w:val="00BC4B35"/>
    <w:rsid w:val="00BC50BE"/>
    <w:rsid w:val="00BC5332"/>
    <w:rsid w:val="00BC5715"/>
    <w:rsid w:val="00BC5C12"/>
    <w:rsid w:val="00BC641B"/>
    <w:rsid w:val="00BC7154"/>
    <w:rsid w:val="00BC731E"/>
    <w:rsid w:val="00BC7614"/>
    <w:rsid w:val="00BD041B"/>
    <w:rsid w:val="00BD25BB"/>
    <w:rsid w:val="00BD2AF8"/>
    <w:rsid w:val="00BD366B"/>
    <w:rsid w:val="00BD3C09"/>
    <w:rsid w:val="00BD410B"/>
    <w:rsid w:val="00BD4A73"/>
    <w:rsid w:val="00BD4EF4"/>
    <w:rsid w:val="00BD6659"/>
    <w:rsid w:val="00BD6C75"/>
    <w:rsid w:val="00BD6D50"/>
    <w:rsid w:val="00BD73D2"/>
    <w:rsid w:val="00BE0AD1"/>
    <w:rsid w:val="00BE0EF9"/>
    <w:rsid w:val="00BE10A1"/>
    <w:rsid w:val="00BE18B9"/>
    <w:rsid w:val="00BE190A"/>
    <w:rsid w:val="00BE2495"/>
    <w:rsid w:val="00BE24DD"/>
    <w:rsid w:val="00BE386D"/>
    <w:rsid w:val="00BE4DA9"/>
    <w:rsid w:val="00BE54BF"/>
    <w:rsid w:val="00BE557B"/>
    <w:rsid w:val="00BE7F5F"/>
    <w:rsid w:val="00BF02C8"/>
    <w:rsid w:val="00BF1578"/>
    <w:rsid w:val="00BF15CA"/>
    <w:rsid w:val="00BF1D12"/>
    <w:rsid w:val="00BF1D3A"/>
    <w:rsid w:val="00BF2B5B"/>
    <w:rsid w:val="00BF2D41"/>
    <w:rsid w:val="00BF3274"/>
    <w:rsid w:val="00BF32DC"/>
    <w:rsid w:val="00BF35C9"/>
    <w:rsid w:val="00BF4329"/>
    <w:rsid w:val="00BF4E43"/>
    <w:rsid w:val="00BF5C4C"/>
    <w:rsid w:val="00BF77FC"/>
    <w:rsid w:val="00C006D6"/>
    <w:rsid w:val="00C00BD7"/>
    <w:rsid w:val="00C01410"/>
    <w:rsid w:val="00C02D23"/>
    <w:rsid w:val="00C03D4D"/>
    <w:rsid w:val="00C044F4"/>
    <w:rsid w:val="00C04B78"/>
    <w:rsid w:val="00C052AA"/>
    <w:rsid w:val="00C06EE3"/>
    <w:rsid w:val="00C07279"/>
    <w:rsid w:val="00C07749"/>
    <w:rsid w:val="00C07C67"/>
    <w:rsid w:val="00C11244"/>
    <w:rsid w:val="00C11D48"/>
    <w:rsid w:val="00C12304"/>
    <w:rsid w:val="00C12316"/>
    <w:rsid w:val="00C1246C"/>
    <w:rsid w:val="00C1493E"/>
    <w:rsid w:val="00C15DBD"/>
    <w:rsid w:val="00C161C5"/>
    <w:rsid w:val="00C172F7"/>
    <w:rsid w:val="00C2010D"/>
    <w:rsid w:val="00C20CB5"/>
    <w:rsid w:val="00C21430"/>
    <w:rsid w:val="00C216DF"/>
    <w:rsid w:val="00C21E61"/>
    <w:rsid w:val="00C21F94"/>
    <w:rsid w:val="00C224BD"/>
    <w:rsid w:val="00C234DB"/>
    <w:rsid w:val="00C23C5C"/>
    <w:rsid w:val="00C2479A"/>
    <w:rsid w:val="00C24903"/>
    <w:rsid w:val="00C2590D"/>
    <w:rsid w:val="00C25D9C"/>
    <w:rsid w:val="00C27913"/>
    <w:rsid w:val="00C27FA7"/>
    <w:rsid w:val="00C300E2"/>
    <w:rsid w:val="00C31F21"/>
    <w:rsid w:val="00C32631"/>
    <w:rsid w:val="00C33301"/>
    <w:rsid w:val="00C33311"/>
    <w:rsid w:val="00C33B68"/>
    <w:rsid w:val="00C34AD4"/>
    <w:rsid w:val="00C35570"/>
    <w:rsid w:val="00C35A2A"/>
    <w:rsid w:val="00C36A79"/>
    <w:rsid w:val="00C401A9"/>
    <w:rsid w:val="00C401D2"/>
    <w:rsid w:val="00C4031A"/>
    <w:rsid w:val="00C405D4"/>
    <w:rsid w:val="00C419D5"/>
    <w:rsid w:val="00C41D54"/>
    <w:rsid w:val="00C42EBB"/>
    <w:rsid w:val="00C4513B"/>
    <w:rsid w:val="00C475E8"/>
    <w:rsid w:val="00C50E79"/>
    <w:rsid w:val="00C5197D"/>
    <w:rsid w:val="00C525FB"/>
    <w:rsid w:val="00C5390B"/>
    <w:rsid w:val="00C54257"/>
    <w:rsid w:val="00C54697"/>
    <w:rsid w:val="00C550CE"/>
    <w:rsid w:val="00C553A5"/>
    <w:rsid w:val="00C55402"/>
    <w:rsid w:val="00C5603B"/>
    <w:rsid w:val="00C60AE3"/>
    <w:rsid w:val="00C61F47"/>
    <w:rsid w:val="00C62828"/>
    <w:rsid w:val="00C706D2"/>
    <w:rsid w:val="00C715CC"/>
    <w:rsid w:val="00C719A3"/>
    <w:rsid w:val="00C71D2F"/>
    <w:rsid w:val="00C72984"/>
    <w:rsid w:val="00C73885"/>
    <w:rsid w:val="00C73C93"/>
    <w:rsid w:val="00C7435A"/>
    <w:rsid w:val="00C747B1"/>
    <w:rsid w:val="00C75510"/>
    <w:rsid w:val="00C755F9"/>
    <w:rsid w:val="00C75752"/>
    <w:rsid w:val="00C75B60"/>
    <w:rsid w:val="00C761EC"/>
    <w:rsid w:val="00C770C9"/>
    <w:rsid w:val="00C81070"/>
    <w:rsid w:val="00C8174E"/>
    <w:rsid w:val="00C82191"/>
    <w:rsid w:val="00C83134"/>
    <w:rsid w:val="00C831E7"/>
    <w:rsid w:val="00C832F3"/>
    <w:rsid w:val="00C84307"/>
    <w:rsid w:val="00C845A4"/>
    <w:rsid w:val="00C85545"/>
    <w:rsid w:val="00C855B5"/>
    <w:rsid w:val="00C85F0E"/>
    <w:rsid w:val="00C872AA"/>
    <w:rsid w:val="00C90CF4"/>
    <w:rsid w:val="00C91C20"/>
    <w:rsid w:val="00C922DE"/>
    <w:rsid w:val="00C92843"/>
    <w:rsid w:val="00C92EB6"/>
    <w:rsid w:val="00C93389"/>
    <w:rsid w:val="00C948E6"/>
    <w:rsid w:val="00C94CDD"/>
    <w:rsid w:val="00C97588"/>
    <w:rsid w:val="00CA0346"/>
    <w:rsid w:val="00CA0DA1"/>
    <w:rsid w:val="00CA1BD6"/>
    <w:rsid w:val="00CA37FF"/>
    <w:rsid w:val="00CA423A"/>
    <w:rsid w:val="00CA47BC"/>
    <w:rsid w:val="00CA5EAD"/>
    <w:rsid w:val="00CA6AB4"/>
    <w:rsid w:val="00CA7255"/>
    <w:rsid w:val="00CB1BEE"/>
    <w:rsid w:val="00CB2351"/>
    <w:rsid w:val="00CB4022"/>
    <w:rsid w:val="00CB4930"/>
    <w:rsid w:val="00CB4BA9"/>
    <w:rsid w:val="00CB4C63"/>
    <w:rsid w:val="00CB5A48"/>
    <w:rsid w:val="00CB5E10"/>
    <w:rsid w:val="00CB613B"/>
    <w:rsid w:val="00CB6152"/>
    <w:rsid w:val="00CB64E1"/>
    <w:rsid w:val="00CB6E4D"/>
    <w:rsid w:val="00CC009B"/>
    <w:rsid w:val="00CC0834"/>
    <w:rsid w:val="00CC0AEA"/>
    <w:rsid w:val="00CC20FE"/>
    <w:rsid w:val="00CC225C"/>
    <w:rsid w:val="00CC2E7D"/>
    <w:rsid w:val="00CC5BE8"/>
    <w:rsid w:val="00CC612B"/>
    <w:rsid w:val="00CC655F"/>
    <w:rsid w:val="00CC66F9"/>
    <w:rsid w:val="00CC6C2A"/>
    <w:rsid w:val="00CC6FE5"/>
    <w:rsid w:val="00CC7458"/>
    <w:rsid w:val="00CC76BD"/>
    <w:rsid w:val="00CC7A87"/>
    <w:rsid w:val="00CD0D6B"/>
    <w:rsid w:val="00CD1060"/>
    <w:rsid w:val="00CD10A5"/>
    <w:rsid w:val="00CD1129"/>
    <w:rsid w:val="00CD1A80"/>
    <w:rsid w:val="00CD1CB5"/>
    <w:rsid w:val="00CD2076"/>
    <w:rsid w:val="00CD24CE"/>
    <w:rsid w:val="00CD29B5"/>
    <w:rsid w:val="00CD2B78"/>
    <w:rsid w:val="00CD3FAB"/>
    <w:rsid w:val="00CD5456"/>
    <w:rsid w:val="00CD5C3E"/>
    <w:rsid w:val="00CD5C57"/>
    <w:rsid w:val="00CD6331"/>
    <w:rsid w:val="00CE14BE"/>
    <w:rsid w:val="00CE17A4"/>
    <w:rsid w:val="00CE1BA9"/>
    <w:rsid w:val="00CE2D8F"/>
    <w:rsid w:val="00CE3532"/>
    <w:rsid w:val="00CE3E48"/>
    <w:rsid w:val="00CE46C0"/>
    <w:rsid w:val="00CE47B8"/>
    <w:rsid w:val="00CE54FD"/>
    <w:rsid w:val="00CE62FA"/>
    <w:rsid w:val="00CE670B"/>
    <w:rsid w:val="00CE6833"/>
    <w:rsid w:val="00CF020B"/>
    <w:rsid w:val="00CF15BF"/>
    <w:rsid w:val="00CF2E4D"/>
    <w:rsid w:val="00CF4205"/>
    <w:rsid w:val="00CF4908"/>
    <w:rsid w:val="00CF51EC"/>
    <w:rsid w:val="00CF545D"/>
    <w:rsid w:val="00CF5873"/>
    <w:rsid w:val="00CF6AB7"/>
    <w:rsid w:val="00CF73AE"/>
    <w:rsid w:val="00CF7777"/>
    <w:rsid w:val="00D0085A"/>
    <w:rsid w:val="00D0197F"/>
    <w:rsid w:val="00D01B31"/>
    <w:rsid w:val="00D0242D"/>
    <w:rsid w:val="00D02716"/>
    <w:rsid w:val="00D03A72"/>
    <w:rsid w:val="00D040DD"/>
    <w:rsid w:val="00D04134"/>
    <w:rsid w:val="00D05C65"/>
    <w:rsid w:val="00D06B56"/>
    <w:rsid w:val="00D06D68"/>
    <w:rsid w:val="00D075BE"/>
    <w:rsid w:val="00D07AFF"/>
    <w:rsid w:val="00D10C15"/>
    <w:rsid w:val="00D11011"/>
    <w:rsid w:val="00D11476"/>
    <w:rsid w:val="00D12C25"/>
    <w:rsid w:val="00D133B4"/>
    <w:rsid w:val="00D13986"/>
    <w:rsid w:val="00D14C5B"/>
    <w:rsid w:val="00D15FED"/>
    <w:rsid w:val="00D16712"/>
    <w:rsid w:val="00D214EF"/>
    <w:rsid w:val="00D215B0"/>
    <w:rsid w:val="00D21D6D"/>
    <w:rsid w:val="00D21D83"/>
    <w:rsid w:val="00D22A47"/>
    <w:rsid w:val="00D235B7"/>
    <w:rsid w:val="00D23FAE"/>
    <w:rsid w:val="00D25F28"/>
    <w:rsid w:val="00D26071"/>
    <w:rsid w:val="00D260C7"/>
    <w:rsid w:val="00D269B9"/>
    <w:rsid w:val="00D27973"/>
    <w:rsid w:val="00D27F3A"/>
    <w:rsid w:val="00D31537"/>
    <w:rsid w:val="00D31E1E"/>
    <w:rsid w:val="00D322A0"/>
    <w:rsid w:val="00D32824"/>
    <w:rsid w:val="00D334E2"/>
    <w:rsid w:val="00D350B1"/>
    <w:rsid w:val="00D35AD6"/>
    <w:rsid w:val="00D35BBB"/>
    <w:rsid w:val="00D35E1A"/>
    <w:rsid w:val="00D36B0A"/>
    <w:rsid w:val="00D36DFB"/>
    <w:rsid w:val="00D36E1C"/>
    <w:rsid w:val="00D373AF"/>
    <w:rsid w:val="00D40556"/>
    <w:rsid w:val="00D41F74"/>
    <w:rsid w:val="00D428C8"/>
    <w:rsid w:val="00D43034"/>
    <w:rsid w:val="00D43ED2"/>
    <w:rsid w:val="00D50F46"/>
    <w:rsid w:val="00D5384E"/>
    <w:rsid w:val="00D544E7"/>
    <w:rsid w:val="00D5499F"/>
    <w:rsid w:val="00D5560A"/>
    <w:rsid w:val="00D56FBF"/>
    <w:rsid w:val="00D57677"/>
    <w:rsid w:val="00D5781F"/>
    <w:rsid w:val="00D60415"/>
    <w:rsid w:val="00D60E3C"/>
    <w:rsid w:val="00D61FAB"/>
    <w:rsid w:val="00D63BE5"/>
    <w:rsid w:val="00D6475F"/>
    <w:rsid w:val="00D655D4"/>
    <w:rsid w:val="00D66223"/>
    <w:rsid w:val="00D667B8"/>
    <w:rsid w:val="00D67D55"/>
    <w:rsid w:val="00D70289"/>
    <w:rsid w:val="00D70822"/>
    <w:rsid w:val="00D72076"/>
    <w:rsid w:val="00D721B4"/>
    <w:rsid w:val="00D726A9"/>
    <w:rsid w:val="00D72DBA"/>
    <w:rsid w:val="00D743E0"/>
    <w:rsid w:val="00D7490C"/>
    <w:rsid w:val="00D75AC1"/>
    <w:rsid w:val="00D77252"/>
    <w:rsid w:val="00D8084C"/>
    <w:rsid w:val="00D81809"/>
    <w:rsid w:val="00D82EF1"/>
    <w:rsid w:val="00D84CC9"/>
    <w:rsid w:val="00D84F43"/>
    <w:rsid w:val="00D85114"/>
    <w:rsid w:val="00D85821"/>
    <w:rsid w:val="00D8598C"/>
    <w:rsid w:val="00D87C06"/>
    <w:rsid w:val="00D915EA"/>
    <w:rsid w:val="00D919ED"/>
    <w:rsid w:val="00D922A1"/>
    <w:rsid w:val="00D928BE"/>
    <w:rsid w:val="00D932B8"/>
    <w:rsid w:val="00D95302"/>
    <w:rsid w:val="00D95889"/>
    <w:rsid w:val="00D95C5D"/>
    <w:rsid w:val="00D97D00"/>
    <w:rsid w:val="00DA096C"/>
    <w:rsid w:val="00DA1AB6"/>
    <w:rsid w:val="00DA2E65"/>
    <w:rsid w:val="00DA3ADF"/>
    <w:rsid w:val="00DA4174"/>
    <w:rsid w:val="00DA544C"/>
    <w:rsid w:val="00DA5F8E"/>
    <w:rsid w:val="00DA6364"/>
    <w:rsid w:val="00DA7114"/>
    <w:rsid w:val="00DA7C0C"/>
    <w:rsid w:val="00DB03DD"/>
    <w:rsid w:val="00DB08A9"/>
    <w:rsid w:val="00DB0B33"/>
    <w:rsid w:val="00DB0FD9"/>
    <w:rsid w:val="00DB2DFA"/>
    <w:rsid w:val="00DB2EC8"/>
    <w:rsid w:val="00DB321D"/>
    <w:rsid w:val="00DB459B"/>
    <w:rsid w:val="00DB47FD"/>
    <w:rsid w:val="00DB5E3A"/>
    <w:rsid w:val="00DB5E9A"/>
    <w:rsid w:val="00DB613B"/>
    <w:rsid w:val="00DB657E"/>
    <w:rsid w:val="00DB7342"/>
    <w:rsid w:val="00DB7489"/>
    <w:rsid w:val="00DC17D0"/>
    <w:rsid w:val="00DC1E5D"/>
    <w:rsid w:val="00DC2B41"/>
    <w:rsid w:val="00DC3128"/>
    <w:rsid w:val="00DC435B"/>
    <w:rsid w:val="00DC53D8"/>
    <w:rsid w:val="00DC56FE"/>
    <w:rsid w:val="00DC5B3B"/>
    <w:rsid w:val="00DC6C2D"/>
    <w:rsid w:val="00DC7B1A"/>
    <w:rsid w:val="00DD04B0"/>
    <w:rsid w:val="00DD129F"/>
    <w:rsid w:val="00DD13FC"/>
    <w:rsid w:val="00DD1A3F"/>
    <w:rsid w:val="00DD29B5"/>
    <w:rsid w:val="00DD32DD"/>
    <w:rsid w:val="00DD33E8"/>
    <w:rsid w:val="00DD5287"/>
    <w:rsid w:val="00DD5B36"/>
    <w:rsid w:val="00DD7849"/>
    <w:rsid w:val="00DE03DE"/>
    <w:rsid w:val="00DE0D8B"/>
    <w:rsid w:val="00DE1237"/>
    <w:rsid w:val="00DE140F"/>
    <w:rsid w:val="00DE17E9"/>
    <w:rsid w:val="00DE2491"/>
    <w:rsid w:val="00DE450F"/>
    <w:rsid w:val="00DE5CA6"/>
    <w:rsid w:val="00DE7AC8"/>
    <w:rsid w:val="00DF0830"/>
    <w:rsid w:val="00DF2C5D"/>
    <w:rsid w:val="00DF3643"/>
    <w:rsid w:val="00DF42FF"/>
    <w:rsid w:val="00DF4369"/>
    <w:rsid w:val="00DF4423"/>
    <w:rsid w:val="00DF4ADF"/>
    <w:rsid w:val="00DF57D6"/>
    <w:rsid w:val="00DF5D1E"/>
    <w:rsid w:val="00DF77E4"/>
    <w:rsid w:val="00DF7F88"/>
    <w:rsid w:val="00E00B88"/>
    <w:rsid w:val="00E01C0E"/>
    <w:rsid w:val="00E0368F"/>
    <w:rsid w:val="00E03D73"/>
    <w:rsid w:val="00E03F9A"/>
    <w:rsid w:val="00E040DA"/>
    <w:rsid w:val="00E04694"/>
    <w:rsid w:val="00E1168B"/>
    <w:rsid w:val="00E12191"/>
    <w:rsid w:val="00E129E7"/>
    <w:rsid w:val="00E12ABE"/>
    <w:rsid w:val="00E12B1E"/>
    <w:rsid w:val="00E135EB"/>
    <w:rsid w:val="00E13995"/>
    <w:rsid w:val="00E1444C"/>
    <w:rsid w:val="00E17262"/>
    <w:rsid w:val="00E17F36"/>
    <w:rsid w:val="00E20016"/>
    <w:rsid w:val="00E2009B"/>
    <w:rsid w:val="00E20BB9"/>
    <w:rsid w:val="00E20BCC"/>
    <w:rsid w:val="00E2251C"/>
    <w:rsid w:val="00E2363D"/>
    <w:rsid w:val="00E23C6A"/>
    <w:rsid w:val="00E2484B"/>
    <w:rsid w:val="00E253A2"/>
    <w:rsid w:val="00E260F6"/>
    <w:rsid w:val="00E27127"/>
    <w:rsid w:val="00E27233"/>
    <w:rsid w:val="00E274BB"/>
    <w:rsid w:val="00E30F15"/>
    <w:rsid w:val="00E31771"/>
    <w:rsid w:val="00E3186D"/>
    <w:rsid w:val="00E31A3E"/>
    <w:rsid w:val="00E32080"/>
    <w:rsid w:val="00E32778"/>
    <w:rsid w:val="00E3309D"/>
    <w:rsid w:val="00E34E3F"/>
    <w:rsid w:val="00E350B1"/>
    <w:rsid w:val="00E35A53"/>
    <w:rsid w:val="00E3634A"/>
    <w:rsid w:val="00E3656B"/>
    <w:rsid w:val="00E3712B"/>
    <w:rsid w:val="00E3724A"/>
    <w:rsid w:val="00E378B1"/>
    <w:rsid w:val="00E417BE"/>
    <w:rsid w:val="00E41CD5"/>
    <w:rsid w:val="00E42054"/>
    <w:rsid w:val="00E4372D"/>
    <w:rsid w:val="00E43A9E"/>
    <w:rsid w:val="00E44243"/>
    <w:rsid w:val="00E453F9"/>
    <w:rsid w:val="00E45D7D"/>
    <w:rsid w:val="00E4623F"/>
    <w:rsid w:val="00E4665D"/>
    <w:rsid w:val="00E47854"/>
    <w:rsid w:val="00E47EBA"/>
    <w:rsid w:val="00E50156"/>
    <w:rsid w:val="00E504EB"/>
    <w:rsid w:val="00E5076C"/>
    <w:rsid w:val="00E50D2E"/>
    <w:rsid w:val="00E50D7D"/>
    <w:rsid w:val="00E51EF0"/>
    <w:rsid w:val="00E53470"/>
    <w:rsid w:val="00E5368D"/>
    <w:rsid w:val="00E539F6"/>
    <w:rsid w:val="00E54698"/>
    <w:rsid w:val="00E54FB4"/>
    <w:rsid w:val="00E5539A"/>
    <w:rsid w:val="00E55791"/>
    <w:rsid w:val="00E55E1A"/>
    <w:rsid w:val="00E578A2"/>
    <w:rsid w:val="00E579ED"/>
    <w:rsid w:val="00E60043"/>
    <w:rsid w:val="00E61740"/>
    <w:rsid w:val="00E61EB5"/>
    <w:rsid w:val="00E6324D"/>
    <w:rsid w:val="00E65084"/>
    <w:rsid w:val="00E6519D"/>
    <w:rsid w:val="00E66062"/>
    <w:rsid w:val="00E6660E"/>
    <w:rsid w:val="00E66768"/>
    <w:rsid w:val="00E67305"/>
    <w:rsid w:val="00E67696"/>
    <w:rsid w:val="00E70C5F"/>
    <w:rsid w:val="00E71A58"/>
    <w:rsid w:val="00E728D7"/>
    <w:rsid w:val="00E72A26"/>
    <w:rsid w:val="00E72A7A"/>
    <w:rsid w:val="00E7335A"/>
    <w:rsid w:val="00E7467D"/>
    <w:rsid w:val="00E747DC"/>
    <w:rsid w:val="00E74A2D"/>
    <w:rsid w:val="00E75C94"/>
    <w:rsid w:val="00E76A08"/>
    <w:rsid w:val="00E76B9B"/>
    <w:rsid w:val="00E76E61"/>
    <w:rsid w:val="00E77CC0"/>
    <w:rsid w:val="00E80B3D"/>
    <w:rsid w:val="00E80CA3"/>
    <w:rsid w:val="00E82618"/>
    <w:rsid w:val="00E84E09"/>
    <w:rsid w:val="00E87CE2"/>
    <w:rsid w:val="00E90CA8"/>
    <w:rsid w:val="00E911C6"/>
    <w:rsid w:val="00E930A1"/>
    <w:rsid w:val="00E93820"/>
    <w:rsid w:val="00E94A86"/>
    <w:rsid w:val="00E951AB"/>
    <w:rsid w:val="00E953F6"/>
    <w:rsid w:val="00E96143"/>
    <w:rsid w:val="00E96833"/>
    <w:rsid w:val="00E97506"/>
    <w:rsid w:val="00E97BB5"/>
    <w:rsid w:val="00E97F14"/>
    <w:rsid w:val="00EA0C68"/>
    <w:rsid w:val="00EA0E39"/>
    <w:rsid w:val="00EA1D0E"/>
    <w:rsid w:val="00EA2072"/>
    <w:rsid w:val="00EA2841"/>
    <w:rsid w:val="00EA32BC"/>
    <w:rsid w:val="00EA35A7"/>
    <w:rsid w:val="00EA3B32"/>
    <w:rsid w:val="00EA3CEB"/>
    <w:rsid w:val="00EA3D05"/>
    <w:rsid w:val="00EA4402"/>
    <w:rsid w:val="00EA4B8D"/>
    <w:rsid w:val="00EA513E"/>
    <w:rsid w:val="00EA7419"/>
    <w:rsid w:val="00EB0E32"/>
    <w:rsid w:val="00EB3E60"/>
    <w:rsid w:val="00EB4511"/>
    <w:rsid w:val="00EB48D7"/>
    <w:rsid w:val="00EB49F1"/>
    <w:rsid w:val="00EB4A8E"/>
    <w:rsid w:val="00EB4BC5"/>
    <w:rsid w:val="00EB5BF7"/>
    <w:rsid w:val="00EB5E79"/>
    <w:rsid w:val="00EB6FAC"/>
    <w:rsid w:val="00EB7BAC"/>
    <w:rsid w:val="00EB7CC9"/>
    <w:rsid w:val="00EC03D7"/>
    <w:rsid w:val="00EC13A7"/>
    <w:rsid w:val="00EC2EB6"/>
    <w:rsid w:val="00EC4FFF"/>
    <w:rsid w:val="00EC6E8C"/>
    <w:rsid w:val="00ED0EF0"/>
    <w:rsid w:val="00ED12B9"/>
    <w:rsid w:val="00ED16B8"/>
    <w:rsid w:val="00ED1959"/>
    <w:rsid w:val="00ED1A00"/>
    <w:rsid w:val="00ED1DF0"/>
    <w:rsid w:val="00ED2386"/>
    <w:rsid w:val="00ED2EA1"/>
    <w:rsid w:val="00ED3851"/>
    <w:rsid w:val="00ED3E51"/>
    <w:rsid w:val="00ED3F10"/>
    <w:rsid w:val="00ED3F9B"/>
    <w:rsid w:val="00ED4D04"/>
    <w:rsid w:val="00ED566D"/>
    <w:rsid w:val="00ED5907"/>
    <w:rsid w:val="00ED5F5B"/>
    <w:rsid w:val="00ED62C6"/>
    <w:rsid w:val="00ED64C1"/>
    <w:rsid w:val="00ED781F"/>
    <w:rsid w:val="00EE0E7E"/>
    <w:rsid w:val="00EE249F"/>
    <w:rsid w:val="00EE2EB4"/>
    <w:rsid w:val="00EE3446"/>
    <w:rsid w:val="00EE3E78"/>
    <w:rsid w:val="00EE41FD"/>
    <w:rsid w:val="00EE460E"/>
    <w:rsid w:val="00EE4B1B"/>
    <w:rsid w:val="00EE5FBA"/>
    <w:rsid w:val="00EE6E06"/>
    <w:rsid w:val="00EE7179"/>
    <w:rsid w:val="00EF0D90"/>
    <w:rsid w:val="00EF150D"/>
    <w:rsid w:val="00EF1F5A"/>
    <w:rsid w:val="00EF23B5"/>
    <w:rsid w:val="00EF326A"/>
    <w:rsid w:val="00EF3898"/>
    <w:rsid w:val="00EF47BF"/>
    <w:rsid w:val="00EF52F7"/>
    <w:rsid w:val="00EF59B1"/>
    <w:rsid w:val="00EF5A13"/>
    <w:rsid w:val="00EF5FF9"/>
    <w:rsid w:val="00EF77D4"/>
    <w:rsid w:val="00EF7CC7"/>
    <w:rsid w:val="00F00853"/>
    <w:rsid w:val="00F00866"/>
    <w:rsid w:val="00F00EC8"/>
    <w:rsid w:val="00F0160B"/>
    <w:rsid w:val="00F0193E"/>
    <w:rsid w:val="00F03E2F"/>
    <w:rsid w:val="00F03F8D"/>
    <w:rsid w:val="00F04811"/>
    <w:rsid w:val="00F0488C"/>
    <w:rsid w:val="00F073ED"/>
    <w:rsid w:val="00F07C4C"/>
    <w:rsid w:val="00F10F11"/>
    <w:rsid w:val="00F11159"/>
    <w:rsid w:val="00F115E4"/>
    <w:rsid w:val="00F11AC4"/>
    <w:rsid w:val="00F120A5"/>
    <w:rsid w:val="00F12CFB"/>
    <w:rsid w:val="00F13E60"/>
    <w:rsid w:val="00F13FDB"/>
    <w:rsid w:val="00F15AAA"/>
    <w:rsid w:val="00F15BEF"/>
    <w:rsid w:val="00F17898"/>
    <w:rsid w:val="00F204BF"/>
    <w:rsid w:val="00F207C2"/>
    <w:rsid w:val="00F21337"/>
    <w:rsid w:val="00F219A1"/>
    <w:rsid w:val="00F23E20"/>
    <w:rsid w:val="00F24407"/>
    <w:rsid w:val="00F24FAA"/>
    <w:rsid w:val="00F25040"/>
    <w:rsid w:val="00F27071"/>
    <w:rsid w:val="00F27331"/>
    <w:rsid w:val="00F276D3"/>
    <w:rsid w:val="00F27EE5"/>
    <w:rsid w:val="00F27FB1"/>
    <w:rsid w:val="00F27FD6"/>
    <w:rsid w:val="00F307CB"/>
    <w:rsid w:val="00F30C65"/>
    <w:rsid w:val="00F321D2"/>
    <w:rsid w:val="00F32649"/>
    <w:rsid w:val="00F33523"/>
    <w:rsid w:val="00F3364D"/>
    <w:rsid w:val="00F33914"/>
    <w:rsid w:val="00F349BF"/>
    <w:rsid w:val="00F34DDC"/>
    <w:rsid w:val="00F36191"/>
    <w:rsid w:val="00F3629F"/>
    <w:rsid w:val="00F36DF3"/>
    <w:rsid w:val="00F37EDC"/>
    <w:rsid w:val="00F437CC"/>
    <w:rsid w:val="00F44537"/>
    <w:rsid w:val="00F46185"/>
    <w:rsid w:val="00F46423"/>
    <w:rsid w:val="00F4696A"/>
    <w:rsid w:val="00F47067"/>
    <w:rsid w:val="00F47234"/>
    <w:rsid w:val="00F51ADD"/>
    <w:rsid w:val="00F525AB"/>
    <w:rsid w:val="00F525EB"/>
    <w:rsid w:val="00F52CB5"/>
    <w:rsid w:val="00F53378"/>
    <w:rsid w:val="00F53A68"/>
    <w:rsid w:val="00F54934"/>
    <w:rsid w:val="00F55A92"/>
    <w:rsid w:val="00F5615B"/>
    <w:rsid w:val="00F575D3"/>
    <w:rsid w:val="00F57D57"/>
    <w:rsid w:val="00F62BFF"/>
    <w:rsid w:val="00F63092"/>
    <w:rsid w:val="00F63AAE"/>
    <w:rsid w:val="00F63DDE"/>
    <w:rsid w:val="00F63FB7"/>
    <w:rsid w:val="00F6421B"/>
    <w:rsid w:val="00F647F1"/>
    <w:rsid w:val="00F649D2"/>
    <w:rsid w:val="00F64D5A"/>
    <w:rsid w:val="00F6602B"/>
    <w:rsid w:val="00F6799D"/>
    <w:rsid w:val="00F7150B"/>
    <w:rsid w:val="00F717E4"/>
    <w:rsid w:val="00F71DE6"/>
    <w:rsid w:val="00F72D71"/>
    <w:rsid w:val="00F7381C"/>
    <w:rsid w:val="00F73A0C"/>
    <w:rsid w:val="00F752DC"/>
    <w:rsid w:val="00F7549F"/>
    <w:rsid w:val="00F756DB"/>
    <w:rsid w:val="00F766BE"/>
    <w:rsid w:val="00F767A8"/>
    <w:rsid w:val="00F77590"/>
    <w:rsid w:val="00F82D14"/>
    <w:rsid w:val="00F84E7D"/>
    <w:rsid w:val="00F85066"/>
    <w:rsid w:val="00F87A4D"/>
    <w:rsid w:val="00F93688"/>
    <w:rsid w:val="00F939F3"/>
    <w:rsid w:val="00F93C6E"/>
    <w:rsid w:val="00F93F2C"/>
    <w:rsid w:val="00F9433C"/>
    <w:rsid w:val="00F962AD"/>
    <w:rsid w:val="00F9644E"/>
    <w:rsid w:val="00FA0105"/>
    <w:rsid w:val="00FA05A0"/>
    <w:rsid w:val="00FA0AEF"/>
    <w:rsid w:val="00FA17CC"/>
    <w:rsid w:val="00FA1CFE"/>
    <w:rsid w:val="00FA1F01"/>
    <w:rsid w:val="00FA26DF"/>
    <w:rsid w:val="00FA32BC"/>
    <w:rsid w:val="00FA3FA8"/>
    <w:rsid w:val="00FA4059"/>
    <w:rsid w:val="00FA4574"/>
    <w:rsid w:val="00FA48A4"/>
    <w:rsid w:val="00FA4CB7"/>
    <w:rsid w:val="00FA5112"/>
    <w:rsid w:val="00FA5526"/>
    <w:rsid w:val="00FA5D4D"/>
    <w:rsid w:val="00FA6CB6"/>
    <w:rsid w:val="00FA70D3"/>
    <w:rsid w:val="00FA7AEC"/>
    <w:rsid w:val="00FB0AEA"/>
    <w:rsid w:val="00FB0EE2"/>
    <w:rsid w:val="00FB1A79"/>
    <w:rsid w:val="00FB208B"/>
    <w:rsid w:val="00FB2B2D"/>
    <w:rsid w:val="00FB542E"/>
    <w:rsid w:val="00FB5580"/>
    <w:rsid w:val="00FB564F"/>
    <w:rsid w:val="00FB7DBB"/>
    <w:rsid w:val="00FC05F8"/>
    <w:rsid w:val="00FC077B"/>
    <w:rsid w:val="00FC0E5F"/>
    <w:rsid w:val="00FC1266"/>
    <w:rsid w:val="00FC1A95"/>
    <w:rsid w:val="00FC1ED4"/>
    <w:rsid w:val="00FC3BEC"/>
    <w:rsid w:val="00FC440B"/>
    <w:rsid w:val="00FC56DE"/>
    <w:rsid w:val="00FC63D9"/>
    <w:rsid w:val="00FC64DE"/>
    <w:rsid w:val="00FC6785"/>
    <w:rsid w:val="00FC684B"/>
    <w:rsid w:val="00FC7D98"/>
    <w:rsid w:val="00FD1135"/>
    <w:rsid w:val="00FD3265"/>
    <w:rsid w:val="00FD3CF7"/>
    <w:rsid w:val="00FD4916"/>
    <w:rsid w:val="00FD4D12"/>
    <w:rsid w:val="00FD4F73"/>
    <w:rsid w:val="00FD595E"/>
    <w:rsid w:val="00FD7802"/>
    <w:rsid w:val="00FE27C7"/>
    <w:rsid w:val="00FE2C7E"/>
    <w:rsid w:val="00FE2F78"/>
    <w:rsid w:val="00FE3137"/>
    <w:rsid w:val="00FE346B"/>
    <w:rsid w:val="00FE346F"/>
    <w:rsid w:val="00FE48E4"/>
    <w:rsid w:val="00FE634C"/>
    <w:rsid w:val="00FE6E69"/>
    <w:rsid w:val="00FE6F59"/>
    <w:rsid w:val="00FF01B6"/>
    <w:rsid w:val="00FF1136"/>
    <w:rsid w:val="00FF3D76"/>
    <w:rsid w:val="00FF5B8C"/>
    <w:rsid w:val="00FF63E6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D395025"/>
  <w15:docId w15:val="{65A7C2A9-88C6-491F-A56E-5229398B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  <w:style w:type="paragraph" w:customStyle="1" w:styleId="Default">
    <w:name w:val="Default"/>
    <w:rsid w:val="00100A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zabojnikova31519\Documents\Anal&#253;za\Q\2021Q2\Makroanal&#253;za%20graf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zabojnikova31519\Documents\Anal&#253;za\Q\2021Q2\Makroanal&#253;za%20graf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zabojnikova31519\Documents\Anal&#253;za\Q\2021Q2\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324257007767645E-2"/>
          <c:y val="2.3046636085626952E-2"/>
          <c:w val="0.92008633063154344"/>
          <c:h val="0.741928402566716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'souhrnná výkonnost 1'!$C$4</c:f>
              <c:strCache>
                <c:ptCount val="1"/>
                <c:pt idx="0">
                  <c:v>ČR meziroční změna</c:v>
                </c:pt>
              </c:strCache>
            </c:strRef>
          </c:tx>
          <c:spPr>
            <a:solidFill>
              <a:srgbClr val="A6A6A6"/>
            </a:solidFill>
            <a:ln>
              <a:noFill/>
            </a:ln>
          </c:spPr>
          <c:invertIfNegative val="0"/>
          <c:cat>
            <c:multiLvlStrRef>
              <c:f>'souhrnná výkonnost 1'!$A$21:$B$42</c:f>
              <c:multiLvlStrCache>
                <c:ptCount val="2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</c:lvl>
              </c:multiLvlStrCache>
            </c:multiLvlStrRef>
          </c:cat>
          <c:val>
            <c:numRef>
              <c:f>'souhrnná výkonnost 1'!$C$21:$C$42</c:f>
              <c:numCache>
                <c:formatCode>#\ ##0.0</c:formatCode>
                <c:ptCount val="22"/>
                <c:pt idx="0">
                  <c:v>3.3935679863989208</c:v>
                </c:pt>
                <c:pt idx="1">
                  <c:v>2.2554525211863137</c:v>
                </c:pt>
                <c:pt idx="2">
                  <c:v>1.9595698850867365</c:v>
                </c:pt>
                <c:pt idx="3">
                  <c:v>2.1706116744660449</c:v>
                </c:pt>
                <c:pt idx="4">
                  <c:v>3.5703667972288571</c:v>
                </c:pt>
                <c:pt idx="5">
                  <c:v>6.1313858438531526</c:v>
                </c:pt>
                <c:pt idx="6">
                  <c:v>5.8793571478929323</c:v>
                </c:pt>
                <c:pt idx="7">
                  <c:v>5.8948576142013849</c:v>
                </c:pt>
                <c:pt idx="8">
                  <c:v>4.8045186709861412</c:v>
                </c:pt>
                <c:pt idx="9" formatCode="General">
                  <c:v>2.6817351351516834</c:v>
                </c:pt>
                <c:pt idx="10" formatCode="General">
                  <c:v>2.7294466842677565</c:v>
                </c:pt>
                <c:pt idx="11">
                  <c:v>2.5583350179001485</c:v>
                </c:pt>
                <c:pt idx="12">
                  <c:v>2.9671766091530287</c:v>
                </c:pt>
                <c:pt idx="13" formatCode="General">
                  <c:v>3.0195090485548093</c:v>
                </c:pt>
                <c:pt idx="14" formatCode="General">
                  <c:v>2.9551051697276307</c:v>
                </c:pt>
                <c:pt idx="15" formatCode="General">
                  <c:v>2.8845218371908743</c:v>
                </c:pt>
                <c:pt idx="16" formatCode="General">
                  <c:v>-1.4626768956389213</c:v>
                </c:pt>
                <c:pt idx="17" formatCode="General">
                  <c:v>-10.942094363882291</c:v>
                </c:pt>
                <c:pt idx="18" formatCode="General">
                  <c:v>-5.4470154857909989</c:v>
                </c:pt>
                <c:pt idx="19" formatCode="General">
                  <c:v>-5.3453232021546739</c:v>
                </c:pt>
                <c:pt idx="20" formatCode="General">
                  <c:v>-2.4562086187757615</c:v>
                </c:pt>
                <c:pt idx="21" formatCode="General">
                  <c:v>8.1818276699518577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2A-4C46-AA59-306802C6FB9A}"/>
            </c:ext>
          </c:extLst>
        </c:ser>
        <c:ser>
          <c:idx val="1"/>
          <c:order val="1"/>
          <c:tx>
            <c:strRef>
              <c:f>'souhrnná výkonnost 1'!$D$4</c:f>
              <c:strCache>
                <c:ptCount val="1"/>
                <c:pt idx="0">
                  <c:v>EU27 meziroční změna</c:v>
                </c:pt>
              </c:strCache>
            </c:strRef>
          </c:tx>
          <c:spPr>
            <a:solidFill>
              <a:srgbClr val="808080"/>
            </a:solidFill>
            <a:ln>
              <a:noFill/>
            </a:ln>
          </c:spPr>
          <c:invertIfNegative val="0"/>
          <c:cat>
            <c:multiLvlStrRef>
              <c:f>'souhrnná výkonnost 1'!$A$21:$B$42</c:f>
              <c:multiLvlStrCache>
                <c:ptCount val="2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</c:lvl>
              </c:multiLvlStrCache>
            </c:multiLvlStrRef>
          </c:cat>
          <c:val>
            <c:numRef>
              <c:f>'souhrnná výkonnost 1'!$D$21:$D$42</c:f>
              <c:numCache>
                <c:formatCode>#\ ##0.0</c:formatCode>
                <c:ptCount val="22"/>
                <c:pt idx="0">
                  <c:v>2</c:v>
                </c:pt>
                <c:pt idx="1">
                  <c:v>1.9</c:v>
                </c:pt>
                <c:pt idx="2">
                  <c:v>1.8</c:v>
                </c:pt>
                <c:pt idx="3">
                  <c:v>2.2000000000000002</c:v>
                </c:pt>
                <c:pt idx="4">
                  <c:v>2.4</c:v>
                </c:pt>
                <c:pt idx="5">
                  <c:v>2.9</c:v>
                </c:pt>
                <c:pt idx="6">
                  <c:v>3.2</c:v>
                </c:pt>
                <c:pt idx="7">
                  <c:v>3.2</c:v>
                </c:pt>
                <c:pt idx="8">
                  <c:v>2.7</c:v>
                </c:pt>
                <c:pt idx="9">
                  <c:v>2.4</c:v>
                </c:pt>
                <c:pt idx="10">
                  <c:v>1.9</c:v>
                </c:pt>
                <c:pt idx="11">
                  <c:v>1.5</c:v>
                </c:pt>
                <c:pt idx="12">
                  <c:v>2</c:v>
                </c:pt>
                <c:pt idx="13">
                  <c:v>1.7</c:v>
                </c:pt>
                <c:pt idx="14">
                  <c:v>1.8</c:v>
                </c:pt>
                <c:pt idx="15">
                  <c:v>1.2</c:v>
                </c:pt>
                <c:pt idx="16">
                  <c:v>-2.6</c:v>
                </c:pt>
                <c:pt idx="17">
                  <c:v>-13.6</c:v>
                </c:pt>
                <c:pt idx="18">
                  <c:v>-3.9</c:v>
                </c:pt>
                <c:pt idx="19">
                  <c:v>-4.3</c:v>
                </c:pt>
                <c:pt idx="20">
                  <c:v>-1.3</c:v>
                </c:pt>
                <c:pt idx="21">
                  <c:v>13.2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2A-4C46-AA59-306802C6FB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91538944"/>
        <c:axId val="91540864"/>
      </c:barChart>
      <c:lineChart>
        <c:grouping val="standard"/>
        <c:varyColors val="0"/>
        <c:ser>
          <c:idx val="2"/>
          <c:order val="2"/>
          <c:tx>
            <c:strRef>
              <c:f>'souhrnná výkonnost 1'!$E$4</c:f>
              <c:strCache>
                <c:ptCount val="1"/>
                <c:pt idx="0">
                  <c:v>ČR mezičtvrtletní změna</c:v>
                </c:pt>
              </c:strCache>
            </c:strRef>
          </c:tx>
          <c:spPr>
            <a:ln w="19050">
              <a:noFill/>
            </a:ln>
          </c:spPr>
          <c:marker>
            <c:symbol val="dash"/>
            <c:size val="8"/>
            <c:spPr>
              <a:solidFill>
                <a:srgbClr val="0071BC"/>
              </a:solidFill>
              <a:ln>
                <a:noFill/>
              </a:ln>
            </c:spPr>
          </c:marker>
          <c:cat>
            <c:multiLvlStrRef>
              <c:f>'souhrnná výkonnost 1'!$A$21:$B$42</c:f>
              <c:multiLvlStrCache>
                <c:ptCount val="2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</c:lvl>
              </c:multiLvlStrCache>
            </c:multiLvlStrRef>
          </c:cat>
          <c:val>
            <c:numRef>
              <c:f>'souhrnná výkonnost 1'!$E$21:$E$42</c:f>
              <c:numCache>
                <c:formatCode>#\ ##0.0</c:formatCode>
                <c:ptCount val="22"/>
                <c:pt idx="0">
                  <c:v>0.16332296495187393</c:v>
                </c:pt>
                <c:pt idx="1">
                  <c:v>0.33620140081080763</c:v>
                </c:pt>
                <c:pt idx="2">
                  <c:v>0.80409486945227115</c:v>
                </c:pt>
                <c:pt idx="3">
                  <c:v>0.85128584892957804</c:v>
                </c:pt>
                <c:pt idx="4">
                  <c:v>1.5355778838110723</c:v>
                </c:pt>
                <c:pt idx="5">
                  <c:v>2.8172481596437962</c:v>
                </c:pt>
                <c:pt idx="6">
                  <c:v>0.56471681577477284</c:v>
                </c:pt>
                <c:pt idx="7">
                  <c:v>0.86605021849675268</c:v>
                </c:pt>
                <c:pt idx="8">
                  <c:v>0.49012395731429592</c:v>
                </c:pt>
                <c:pt idx="9">
                  <c:v>0.73471618143510398</c:v>
                </c:pt>
                <c:pt idx="10">
                  <c:v>0.61144468241420213</c:v>
                </c:pt>
                <c:pt idx="11">
                  <c:v>0.69804232504577612</c:v>
                </c:pt>
                <c:pt idx="12">
                  <c:v>0.89072077059854848</c:v>
                </c:pt>
                <c:pt idx="13" formatCode="General">
                  <c:v>0.78591398644272203</c:v>
                </c:pt>
                <c:pt idx="14" formatCode="General">
                  <c:v>0.54854623384075296</c:v>
                </c:pt>
                <c:pt idx="15" formatCode="General">
                  <c:v>0.62900637587634378</c:v>
                </c:pt>
                <c:pt idx="16" formatCode="General">
                  <c:v>-3.3722335169499615</c:v>
                </c:pt>
                <c:pt idx="17" formatCode="General">
                  <c:v>-8.9098208224286566</c:v>
                </c:pt>
                <c:pt idx="18" formatCode="General">
                  <c:v>6.7526242287794531</c:v>
                </c:pt>
                <c:pt idx="19" formatCode="General">
                  <c:v>0.73723345629051096</c:v>
                </c:pt>
                <c:pt idx="20" formatCode="General">
                  <c:v>-0.42289494489256185</c:v>
                </c:pt>
                <c:pt idx="21" formatCode="General">
                  <c:v>1.0243904473644392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62A-4C46-AA59-306802C6FB9A}"/>
            </c:ext>
          </c:extLst>
        </c:ser>
        <c:ser>
          <c:idx val="3"/>
          <c:order val="3"/>
          <c:tx>
            <c:strRef>
              <c:f>'souhrnná výkonnost 1'!$F$4</c:f>
              <c:strCache>
                <c:ptCount val="1"/>
                <c:pt idx="0">
                  <c:v>EU27 mezičtvrtletní změna</c:v>
                </c:pt>
              </c:strCache>
            </c:strRef>
          </c:tx>
          <c:spPr>
            <a:ln w="19050">
              <a:noFill/>
            </a:ln>
          </c:spPr>
          <c:marker>
            <c:symbol val="dash"/>
            <c:size val="8"/>
            <c:spPr>
              <a:solidFill>
                <a:srgbClr val="BD1B21"/>
              </a:solidFill>
              <a:ln>
                <a:noFill/>
              </a:ln>
            </c:spPr>
          </c:marker>
          <c:cat>
            <c:multiLvlStrRef>
              <c:f>'souhrnná výkonnost 1'!$A$21:$B$42</c:f>
              <c:multiLvlStrCache>
                <c:ptCount val="2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</c:lvl>
              </c:multiLvlStrCache>
            </c:multiLvlStrRef>
          </c:cat>
          <c:val>
            <c:numRef>
              <c:f>'souhrnná výkonnost 1'!$F$21:$F$42</c:f>
              <c:numCache>
                <c:formatCode>#\ ##0.0</c:formatCode>
                <c:ptCount val="22"/>
                <c:pt idx="0">
                  <c:v>0.5</c:v>
                </c:pt>
                <c:pt idx="1">
                  <c:v>0.4</c:v>
                </c:pt>
                <c:pt idx="2">
                  <c:v>0.4</c:v>
                </c:pt>
                <c:pt idx="3">
                  <c:v>0.9</c:v>
                </c:pt>
                <c:pt idx="4">
                  <c:v>0.7</c:v>
                </c:pt>
                <c:pt idx="5">
                  <c:v>0.9</c:v>
                </c:pt>
                <c:pt idx="6">
                  <c:v>0.7</c:v>
                </c:pt>
                <c:pt idx="7">
                  <c:v>0.9</c:v>
                </c:pt>
                <c:pt idx="8">
                  <c:v>0.2</c:v>
                </c:pt>
                <c:pt idx="9">
                  <c:v>0.6</c:v>
                </c:pt>
                <c:pt idx="10">
                  <c:v>0.2</c:v>
                </c:pt>
                <c:pt idx="11">
                  <c:v>0.6</c:v>
                </c:pt>
                <c:pt idx="12">
                  <c:v>0.6</c:v>
                </c:pt>
                <c:pt idx="13">
                  <c:v>0.3</c:v>
                </c:pt>
                <c:pt idx="14">
                  <c:v>0.3</c:v>
                </c:pt>
                <c:pt idx="15">
                  <c:v>0.1</c:v>
                </c:pt>
                <c:pt idx="16">
                  <c:v>-3.2</c:v>
                </c:pt>
                <c:pt idx="17">
                  <c:v>-11.1</c:v>
                </c:pt>
                <c:pt idx="18">
                  <c:v>11.6</c:v>
                </c:pt>
                <c:pt idx="19">
                  <c:v>-0.4</c:v>
                </c:pt>
                <c:pt idx="20">
                  <c:v>-0.1</c:v>
                </c:pt>
                <c:pt idx="21">
                  <c:v>1.9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62A-4C46-AA59-306802C6FB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538944"/>
        <c:axId val="91540864"/>
      </c:lineChart>
      <c:catAx>
        <c:axId val="91538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91540864"/>
        <c:crosses val="autoZero"/>
        <c:auto val="1"/>
        <c:lblAlgn val="ctr"/>
        <c:lblOffset val="100"/>
        <c:noMultiLvlLbl val="0"/>
      </c:catAx>
      <c:valAx>
        <c:axId val="91540864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91538944"/>
        <c:crosses val="autoZero"/>
        <c:crossBetween val="between"/>
        <c:majorUnit val="3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8431906450523471E-2"/>
          <c:y val="0.89437255125717996"/>
          <c:w val="0.91838441404930771"/>
          <c:h val="9.0301755758791014E-2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629137115839245E-2"/>
          <c:y val="2.8458510079622041E-2"/>
          <c:w val="0.93688386524822698"/>
          <c:h val="0.67119461273775094"/>
        </c:manualLayout>
      </c:layout>
      <c:barChart>
        <c:barDir val="col"/>
        <c:grouping val="stacked"/>
        <c:varyColors val="0"/>
        <c:ser>
          <c:idx val="5"/>
          <c:order val="1"/>
          <c:tx>
            <c:strRef>
              <c:f>'souhrnná výkonnost 3'!$D$5</c:f>
              <c:strCache>
                <c:ptCount val="1"/>
                <c:pt idx="0">
                  <c:v>Výdaje na konečnou spotřebu domácností (vč. nezisk. inst.)</c:v>
                </c:pt>
              </c:strCache>
            </c:strRef>
          </c:tx>
          <c:spPr>
            <a:solidFill>
              <a:srgbClr val="0071BC"/>
            </a:solidFill>
            <a:ln>
              <a:noFill/>
            </a:ln>
          </c:spPr>
          <c:invertIfNegative val="0"/>
          <c:val>
            <c:numRef>
              <c:f>'souhrnná výkonnost 3'!$D$22:$D$43</c:f>
              <c:numCache>
                <c:formatCode>#\ ##0.0</c:formatCode>
                <c:ptCount val="22"/>
                <c:pt idx="0">
                  <c:v>0.93618616091517504</c:v>
                </c:pt>
                <c:pt idx="1">
                  <c:v>0.87008623065588986</c:v>
                </c:pt>
                <c:pt idx="2">
                  <c:v>1.088831374618116</c:v>
                </c:pt>
                <c:pt idx="3">
                  <c:v>0.98663697427429853</c:v>
                </c:pt>
                <c:pt idx="4">
                  <c:v>1.1317605173808631</c:v>
                </c:pt>
                <c:pt idx="5">
                  <c:v>1.4117084709383003</c:v>
                </c:pt>
                <c:pt idx="6">
                  <c:v>1.3280225164734749</c:v>
                </c:pt>
                <c:pt idx="7">
                  <c:v>1.0794473419672266</c:v>
                </c:pt>
                <c:pt idx="8">
                  <c:v>1.580542821710847</c:v>
                </c:pt>
                <c:pt idx="9">
                  <c:v>1.2036281398321482</c:v>
                </c:pt>
                <c:pt idx="10">
                  <c:v>0.99314647332669792</c:v>
                </c:pt>
                <c:pt idx="11">
                  <c:v>0.88688082354953479</c:v>
                </c:pt>
                <c:pt idx="12">
                  <c:v>0.92742283153358485</c:v>
                </c:pt>
                <c:pt idx="13">
                  <c:v>1.2648435786040815</c:v>
                </c:pt>
                <c:pt idx="14">
                  <c:v>1.0200882664173805</c:v>
                </c:pt>
                <c:pt idx="15">
                  <c:v>1.1768223210480195</c:v>
                </c:pt>
                <c:pt idx="16">
                  <c:v>-0.95160085945739037</c:v>
                </c:pt>
                <c:pt idx="17">
                  <c:v>-3.3386088539954577</c:v>
                </c:pt>
                <c:pt idx="18">
                  <c:v>-2.0623300718590203</c:v>
                </c:pt>
                <c:pt idx="19">
                  <c:v>-4.5307141342269546</c:v>
                </c:pt>
                <c:pt idx="20">
                  <c:v>-3.2272095782230288</c:v>
                </c:pt>
                <c:pt idx="21">
                  <c:v>1.1624591892831664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47-4A78-9BE3-B7839E5B4B8A}"/>
            </c:ext>
          </c:extLst>
        </c:ser>
        <c:ser>
          <c:idx val="4"/>
          <c:order val="2"/>
          <c:tx>
            <c:strRef>
              <c:f>'souhrnná výkonnost 3'!$E$5</c:f>
              <c:strCache>
                <c:ptCount val="1"/>
                <c:pt idx="0">
                  <c:v>Výdaje na konečnou spotřebu vládních institucí</c:v>
                </c:pt>
              </c:strCache>
            </c:strRef>
          </c:tx>
          <c:spPr>
            <a:solidFill>
              <a:srgbClr val="A6CDE8"/>
            </a:solidFill>
            <a:ln>
              <a:noFill/>
            </a:ln>
          </c:spPr>
          <c:invertIfNegative val="0"/>
          <c:val>
            <c:numRef>
              <c:f>'souhrnná výkonnost 3'!$E$22:$E$43</c:f>
              <c:numCache>
                <c:formatCode>#\ ##0.0</c:formatCode>
                <c:ptCount val="22"/>
                <c:pt idx="0">
                  <c:v>0.42019916860676243</c:v>
                </c:pt>
                <c:pt idx="1">
                  <c:v>0.46376177295031862</c:v>
                </c:pt>
                <c:pt idx="2">
                  <c:v>0.44114936351097495</c:v>
                </c:pt>
                <c:pt idx="3">
                  <c:v>0.47675559244176158</c:v>
                </c:pt>
                <c:pt idx="4">
                  <c:v>0.44404461559069486</c:v>
                </c:pt>
                <c:pt idx="5">
                  <c:v>0.37751399613724029</c:v>
                </c:pt>
                <c:pt idx="6">
                  <c:v>0.21407569926635237</c:v>
                </c:pt>
                <c:pt idx="7">
                  <c:v>0.2341267263946423</c:v>
                </c:pt>
                <c:pt idx="8">
                  <c:v>0.57862841580255708</c:v>
                </c:pt>
                <c:pt idx="9">
                  <c:v>0.55642773333565732</c:v>
                </c:pt>
                <c:pt idx="10">
                  <c:v>0.89021022766775593</c:v>
                </c:pt>
                <c:pt idx="11">
                  <c:v>0.75191010842186412</c:v>
                </c:pt>
                <c:pt idx="12">
                  <c:v>0.41419150368088392</c:v>
                </c:pt>
                <c:pt idx="13">
                  <c:v>0.52913615091977828</c:v>
                </c:pt>
                <c:pt idx="14">
                  <c:v>0.42716769248184294</c:v>
                </c:pt>
                <c:pt idx="15">
                  <c:v>0.3389878995673522</c:v>
                </c:pt>
                <c:pt idx="16">
                  <c:v>0.69736075453620827</c:v>
                </c:pt>
                <c:pt idx="17">
                  <c:v>0.62242994402829654</c:v>
                </c:pt>
                <c:pt idx="18">
                  <c:v>0.43330470629342294</c:v>
                </c:pt>
                <c:pt idx="19">
                  <c:v>1.139349452193801</c:v>
                </c:pt>
                <c:pt idx="20">
                  <c:v>0.7088216658376213</c:v>
                </c:pt>
                <c:pt idx="21">
                  <c:v>0.56498977099965397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47-4A78-9BE3-B7839E5B4B8A}"/>
            </c:ext>
          </c:extLst>
        </c:ser>
        <c:ser>
          <c:idx val="3"/>
          <c:order val="3"/>
          <c:tx>
            <c:strRef>
              <c:f>'souhrnná výkonnost 3'!$G$5</c:f>
              <c:strCache>
                <c:ptCount val="1"/>
                <c:pt idx="0">
                  <c:v>Tvorba hrubého kapitálu</c:v>
                </c:pt>
              </c:strCache>
            </c:strRef>
          </c:tx>
          <c:spPr>
            <a:solidFill>
              <a:srgbClr val="BD1B21"/>
            </a:solidFill>
            <a:ln>
              <a:noFill/>
            </a:ln>
          </c:spPr>
          <c:invertIfNegative val="0"/>
          <c:val>
            <c:numRef>
              <c:f>'souhrnná výkonnost 3'!$G$22:$G$43</c:f>
              <c:numCache>
                <c:formatCode>#\ ##0.0</c:formatCode>
                <c:ptCount val="22"/>
                <c:pt idx="0">
                  <c:v>0.16571758684643292</c:v>
                </c:pt>
                <c:pt idx="1">
                  <c:v>-1.6231279926014353</c:v>
                </c:pt>
                <c:pt idx="2">
                  <c:v>-0.9230024021929123</c:v>
                </c:pt>
                <c:pt idx="3">
                  <c:v>-0.55002076148293633</c:v>
                </c:pt>
                <c:pt idx="4">
                  <c:v>-1.2630660286446516</c:v>
                </c:pt>
                <c:pt idx="5">
                  <c:v>0.84009326563270514</c:v>
                </c:pt>
                <c:pt idx="6">
                  <c:v>1.6097758497475534</c:v>
                </c:pt>
                <c:pt idx="7">
                  <c:v>2.3721301843681739</c:v>
                </c:pt>
                <c:pt idx="8">
                  <c:v>2.8713468902027719</c:v>
                </c:pt>
                <c:pt idx="9">
                  <c:v>1.5905888817549036</c:v>
                </c:pt>
                <c:pt idx="10">
                  <c:v>1.9208851743389141</c:v>
                </c:pt>
                <c:pt idx="11">
                  <c:v>0.56073143718343366</c:v>
                </c:pt>
                <c:pt idx="12">
                  <c:v>1.5826437930914861</c:v>
                </c:pt>
                <c:pt idx="13">
                  <c:v>-0.15800458401897696</c:v>
                </c:pt>
                <c:pt idx="14">
                  <c:v>5.6924086841567925E-2</c:v>
                </c:pt>
                <c:pt idx="15">
                  <c:v>2.5116661705287227</c:v>
                </c:pt>
                <c:pt idx="16">
                  <c:v>-0.56428697696015839</c:v>
                </c:pt>
                <c:pt idx="17">
                  <c:v>-8.245764306033404E-2</c:v>
                </c:pt>
                <c:pt idx="18">
                  <c:v>-3.8102892591409159</c:v>
                </c:pt>
                <c:pt idx="19">
                  <c:v>-5.3123935717685367</c:v>
                </c:pt>
                <c:pt idx="20">
                  <c:v>9.7915337099825916E-2</c:v>
                </c:pt>
                <c:pt idx="21">
                  <c:v>1.566564830524585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B47-4A78-9BE3-B7839E5B4B8A}"/>
            </c:ext>
          </c:extLst>
        </c:ser>
        <c:ser>
          <c:idx val="1"/>
          <c:order val="4"/>
          <c:tx>
            <c:strRef>
              <c:f>'souhrnná výkonnost 3'!$F$5</c:f>
              <c:strCache>
                <c:ptCount val="1"/>
                <c:pt idx="0">
                  <c:v>Bilance zahraničního obchodu</c:v>
                </c:pt>
              </c:strCache>
            </c:strRef>
          </c:tx>
          <c:spPr>
            <a:solidFill>
              <a:srgbClr val="7DBB2D"/>
            </a:solidFill>
            <a:ln>
              <a:noFill/>
            </a:ln>
          </c:spPr>
          <c:invertIfNegative val="0"/>
          <c:val>
            <c:numRef>
              <c:f>'souhrnná výkonnost 3'!$F$22:$F$43</c:f>
              <c:numCache>
                <c:formatCode>#\ ##0.0</c:formatCode>
                <c:ptCount val="22"/>
                <c:pt idx="0">
                  <c:v>1.8167152604552226</c:v>
                </c:pt>
                <c:pt idx="1">
                  <c:v>2.4919364052715784</c:v>
                </c:pt>
                <c:pt idx="2">
                  <c:v>1.2934583130738089</c:v>
                </c:pt>
                <c:pt idx="3">
                  <c:v>1.1926166397447078</c:v>
                </c:pt>
                <c:pt idx="4">
                  <c:v>3.1780322387555695</c:v>
                </c:pt>
                <c:pt idx="5">
                  <c:v>3.4186500578903547</c:v>
                </c:pt>
                <c:pt idx="6">
                  <c:v>2.6451757604214197</c:v>
                </c:pt>
                <c:pt idx="7">
                  <c:v>2.134600536374907</c:v>
                </c:pt>
                <c:pt idx="8">
                  <c:v>-0.34846185861429246</c:v>
                </c:pt>
                <c:pt idx="9">
                  <c:v>-0.77956175506757264</c:v>
                </c:pt>
                <c:pt idx="10">
                  <c:v>-1.1814783274089611</c:v>
                </c:pt>
                <c:pt idx="11">
                  <c:v>0.25173122797348579</c:v>
                </c:pt>
                <c:pt idx="12">
                  <c:v>4.8271345411210476E-4</c:v>
                </c:pt>
                <c:pt idx="13">
                  <c:v>1.3310256349867293</c:v>
                </c:pt>
                <c:pt idx="14">
                  <c:v>1.3927593162025209</c:v>
                </c:pt>
                <c:pt idx="15">
                  <c:v>-1.1986582855082308</c:v>
                </c:pt>
                <c:pt idx="16">
                  <c:v>-0.71023464620906629</c:v>
                </c:pt>
                <c:pt idx="17">
                  <c:v>-8.1886210333748206</c:v>
                </c:pt>
                <c:pt idx="18">
                  <c:v>-3.9700810334303505E-2</c:v>
                </c:pt>
                <c:pt idx="19">
                  <c:v>3.3165688255399948</c:v>
                </c:pt>
                <c:pt idx="20">
                  <c:v>-5.7481486059446141E-2</c:v>
                </c:pt>
                <c:pt idx="21">
                  <c:v>4.8353112064280328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B47-4A78-9BE3-B7839E5B4B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overlap val="100"/>
        <c:axId val="91844608"/>
        <c:axId val="91846144"/>
      </c:barChart>
      <c:lineChart>
        <c:grouping val="standard"/>
        <c:varyColors val="0"/>
        <c:ser>
          <c:idx val="0"/>
          <c:order val="0"/>
          <c:tx>
            <c:strRef>
              <c:f>'souhrnná výkonnost 3'!$C$5</c:f>
              <c:strCache>
                <c:ptCount val="1"/>
                <c:pt idx="0">
                  <c:v>HDP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marker>
            <c:symbol val="none"/>
          </c:marker>
          <c:cat>
            <c:multiLvlStrRef>
              <c:f>'souhrnná výkonnost 3'!$A$22:$B$43</c:f>
              <c:multiLvlStrCache>
                <c:ptCount val="2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</c:lvl>
              </c:multiLvlStrCache>
            </c:multiLvlStrRef>
          </c:cat>
          <c:val>
            <c:numRef>
              <c:f>'souhrnná výkonnost 3'!$C$22:$C$43</c:f>
              <c:numCache>
                <c:formatCode>#\ ##0.0</c:formatCode>
                <c:ptCount val="22"/>
                <c:pt idx="0">
                  <c:v>3.3935594356915999</c:v>
                </c:pt>
                <c:pt idx="1">
                  <c:v>2.2554753959572764</c:v>
                </c:pt>
                <c:pt idx="2">
                  <c:v>1.9595326225544341</c:v>
                </c:pt>
                <c:pt idx="3">
                  <c:v>2.1706344977514362</c:v>
                </c:pt>
                <c:pt idx="4">
                  <c:v>3.5703737623319967</c:v>
                </c:pt>
                <c:pt idx="5">
                  <c:v>6.1313612268321123</c:v>
                </c:pt>
                <c:pt idx="6">
                  <c:v>5.8793927561599588</c:v>
                </c:pt>
                <c:pt idx="7">
                  <c:v>5.8948496206722893</c:v>
                </c:pt>
                <c:pt idx="8">
                  <c:v>4.8044975547299202</c:v>
                </c:pt>
                <c:pt idx="9">
                  <c:v>2.6817571455975582</c:v>
                </c:pt>
                <c:pt idx="10">
                  <c:v>2.7294056681603536</c:v>
                </c:pt>
                <c:pt idx="11">
                  <c:v>2.5583059250702433</c:v>
                </c:pt>
                <c:pt idx="12">
                  <c:v>2.9672187450501895</c:v>
                </c:pt>
                <c:pt idx="13">
                  <c:v>3.0195256065361349</c:v>
                </c:pt>
                <c:pt idx="14">
                  <c:v>2.9551413626175673</c:v>
                </c:pt>
                <c:pt idx="15">
                  <c:v>2.8845629323214155</c:v>
                </c:pt>
                <c:pt idx="16">
                  <c:v>-1.4626739052791606</c:v>
                </c:pt>
                <c:pt idx="17">
                  <c:v>-10.94212682938624</c:v>
                </c:pt>
                <c:pt idx="18">
                  <c:v>-5.44703894048574</c:v>
                </c:pt>
                <c:pt idx="19">
                  <c:v>-5.345334491331073</c:v>
                </c:pt>
                <c:pt idx="20">
                  <c:v>-2.4562265830767416</c:v>
                </c:pt>
                <c:pt idx="21">
                  <c:v>8.1818320652136975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B47-4A78-9BE3-B7839E5B4B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844608"/>
        <c:axId val="91846144"/>
      </c:lineChart>
      <c:catAx>
        <c:axId val="91844608"/>
        <c:scaling>
          <c:orientation val="minMax"/>
        </c:scaling>
        <c:delete val="0"/>
        <c:axPos val="b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91846144"/>
        <c:crosses val="autoZero"/>
        <c:auto val="1"/>
        <c:lblAlgn val="ctr"/>
        <c:lblOffset val="100"/>
        <c:noMultiLvlLbl val="0"/>
      </c:catAx>
      <c:valAx>
        <c:axId val="91846144"/>
        <c:scaling>
          <c:orientation val="minMax"/>
          <c:max val="9"/>
          <c:min val="-12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#,##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91844608"/>
        <c:crosses val="autoZero"/>
        <c:crossBetween val="between"/>
        <c:majorUnit val="3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4.7571766295170556E-2"/>
          <c:y val="0.81446229408991433"/>
          <c:w val="0.93781598277608913"/>
          <c:h val="0.168695615460936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126857480580882E-2"/>
          <c:y val="3.7154479717354444E-2"/>
          <c:w val="0.9260266801756164"/>
          <c:h val="0.63445260610154264"/>
        </c:manualLayout>
      </c:layout>
      <c:barChart>
        <c:barDir val="col"/>
        <c:grouping val="stacked"/>
        <c:varyColors val="0"/>
        <c:ser>
          <c:idx val="4"/>
          <c:order val="0"/>
          <c:tx>
            <c:strRef>
              <c:f>'souhrnná výkonnost 4'!$C$5</c:f>
              <c:strCache>
                <c:ptCount val="1"/>
                <c:pt idx="0">
                  <c:v>Zemědělství, lesnictví a rybářství</c:v>
                </c:pt>
              </c:strCache>
            </c:strRef>
          </c:tx>
          <c:spPr>
            <a:solidFill>
              <a:srgbClr val="0071BC"/>
            </a:solidFill>
            <a:ln>
              <a:noFill/>
            </a:ln>
          </c:spPr>
          <c:invertIfNegative val="0"/>
          <c:val>
            <c:numRef>
              <c:f>'souhrnná výkonnost 4'!$C$22:$C$43</c:f>
              <c:numCache>
                <c:formatCode>#\ ##0.0</c:formatCode>
                <c:ptCount val="22"/>
                <c:pt idx="0">
                  <c:v>9.4765725889982E-2</c:v>
                </c:pt>
                <c:pt idx="1">
                  <c:v>0.15637528256042468</c:v>
                </c:pt>
                <c:pt idx="2">
                  <c:v>0.1869741986923065</c:v>
                </c:pt>
                <c:pt idx="3">
                  <c:v>7.7625901535376199E-2</c:v>
                </c:pt>
                <c:pt idx="4">
                  <c:v>-1.3383627512345413E-2</c:v>
                </c:pt>
                <c:pt idx="5">
                  <c:v>-0.10833526835550926</c:v>
                </c:pt>
                <c:pt idx="6">
                  <c:v>-0.17417145567790579</c:v>
                </c:pt>
                <c:pt idx="7">
                  <c:v>-5.6339788104083438E-2</c:v>
                </c:pt>
                <c:pt idx="8">
                  <c:v>3.3108455773835969E-2</c:v>
                </c:pt>
                <c:pt idx="9">
                  <c:v>6.7464623058102177E-2</c:v>
                </c:pt>
                <c:pt idx="10">
                  <c:v>0.13279889414520776</c:v>
                </c:pt>
                <c:pt idx="11">
                  <c:v>0.13730282461152749</c:v>
                </c:pt>
                <c:pt idx="12">
                  <c:v>8.2716288855485917E-2</c:v>
                </c:pt>
                <c:pt idx="13">
                  <c:v>9.2139384026042048E-2</c:v>
                </c:pt>
                <c:pt idx="14">
                  <c:v>0.10854763671027451</c:v>
                </c:pt>
                <c:pt idx="15">
                  <c:v>0.11881072235188453</c:v>
                </c:pt>
                <c:pt idx="16">
                  <c:v>0.14184046318480331</c:v>
                </c:pt>
                <c:pt idx="17">
                  <c:v>0.11212507120139492</c:v>
                </c:pt>
                <c:pt idx="18">
                  <c:v>0.13937941427353459</c:v>
                </c:pt>
                <c:pt idx="19">
                  <c:v>0.13855826563016213</c:v>
                </c:pt>
                <c:pt idx="20">
                  <c:v>0.15652352073482564</c:v>
                </c:pt>
                <c:pt idx="21">
                  <c:v>8.1599472114331523E-2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97-4CD4-9D85-1D26B0E3F5F6}"/>
            </c:ext>
          </c:extLst>
        </c:ser>
        <c:ser>
          <c:idx val="3"/>
          <c:order val="1"/>
          <c:tx>
            <c:strRef>
              <c:f>'souhrnná výkonnost 4'!$D$5</c:f>
              <c:strCache>
                <c:ptCount val="1"/>
                <c:pt idx="0">
                  <c:v>Zpracovatelský průmysl (CZ-NACE C)</c:v>
                </c:pt>
              </c:strCache>
            </c:strRef>
          </c:tx>
          <c:spPr>
            <a:solidFill>
              <a:srgbClr val="A6CDE8"/>
            </a:solidFill>
            <a:ln>
              <a:noFill/>
            </a:ln>
          </c:spPr>
          <c:invertIfNegative val="0"/>
          <c:val>
            <c:numRef>
              <c:f>'souhrnná výkonnost 4'!$D$22:$D$43</c:f>
              <c:numCache>
                <c:formatCode>#\ ##0.0</c:formatCode>
                <c:ptCount val="22"/>
                <c:pt idx="0">
                  <c:v>1.6106591209137211</c:v>
                </c:pt>
                <c:pt idx="1">
                  <c:v>0.76053941356552957</c:v>
                </c:pt>
                <c:pt idx="2">
                  <c:v>0.94570363726203222</c:v>
                </c:pt>
                <c:pt idx="3">
                  <c:v>1.2222885842881583</c:v>
                </c:pt>
                <c:pt idx="4">
                  <c:v>1.3672331304188452</c:v>
                </c:pt>
                <c:pt idx="5">
                  <c:v>3.1345037144202608</c:v>
                </c:pt>
                <c:pt idx="6">
                  <c:v>3.0577731838821371</c:v>
                </c:pt>
                <c:pt idx="7">
                  <c:v>2.3545310158669421</c:v>
                </c:pt>
                <c:pt idx="8">
                  <c:v>1.5576365516094002</c:v>
                </c:pt>
                <c:pt idx="9">
                  <c:v>0.11177812966818869</c:v>
                </c:pt>
                <c:pt idx="10">
                  <c:v>3.2580368933372936E-3</c:v>
                </c:pt>
                <c:pt idx="11">
                  <c:v>0.30391701062646553</c:v>
                </c:pt>
                <c:pt idx="12">
                  <c:v>0.83241284936767035</c:v>
                </c:pt>
                <c:pt idx="13">
                  <c:v>1.3015365945875272</c:v>
                </c:pt>
                <c:pt idx="14">
                  <c:v>1.3300175165245307</c:v>
                </c:pt>
                <c:pt idx="15">
                  <c:v>1.0288201442114486</c:v>
                </c:pt>
                <c:pt idx="16">
                  <c:v>-0.53680284510878806</c:v>
                </c:pt>
                <c:pt idx="17">
                  <c:v>-5.0058505193508473</c:v>
                </c:pt>
                <c:pt idx="18">
                  <c:v>-1.4524158675902747</c:v>
                </c:pt>
                <c:pt idx="19">
                  <c:v>-0.93731068541695106</c:v>
                </c:pt>
                <c:pt idx="20">
                  <c:v>0.21205774230438229</c:v>
                </c:pt>
                <c:pt idx="21">
                  <c:v>5.184730189560419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97-4CD4-9D85-1D26B0E3F5F6}"/>
            </c:ext>
          </c:extLst>
        </c:ser>
        <c:ser>
          <c:idx val="2"/>
          <c:order val="2"/>
          <c:tx>
            <c:strRef>
              <c:f>'souhrnná výkonnost 4'!$E$5</c:f>
              <c:strCache>
                <c:ptCount val="1"/>
                <c:pt idx="0">
                  <c:v>Ostatní průmyslová odvětví (CZ-NACE B, D, E)</c:v>
                </c:pt>
              </c:strCache>
            </c:strRef>
          </c:tx>
          <c:spPr>
            <a:solidFill>
              <a:srgbClr val="BD1B21"/>
            </a:solidFill>
            <a:ln>
              <a:noFill/>
            </a:ln>
          </c:spPr>
          <c:invertIfNegative val="0"/>
          <c:val>
            <c:numRef>
              <c:f>'souhrnná výkonnost 4'!$E$22:$E$43</c:f>
              <c:numCache>
                <c:formatCode>#\ ##0.0</c:formatCode>
                <c:ptCount val="22"/>
                <c:pt idx="0">
                  <c:v>-0.60910811421333144</c:v>
                </c:pt>
                <c:pt idx="1">
                  <c:v>-0.22876574071995925</c:v>
                </c:pt>
                <c:pt idx="2">
                  <c:v>-0.20221592700743152</c:v>
                </c:pt>
                <c:pt idx="3">
                  <c:v>1.1159198434038675E-3</c:v>
                </c:pt>
                <c:pt idx="4">
                  <c:v>0.19369937090646161</c:v>
                </c:pt>
                <c:pt idx="5">
                  <c:v>8.7518834667852374E-2</c:v>
                </c:pt>
                <c:pt idx="6">
                  <c:v>0.12818764673017169</c:v>
                </c:pt>
                <c:pt idx="7">
                  <c:v>-3.2004861050359601E-2</c:v>
                </c:pt>
                <c:pt idx="8">
                  <c:v>-0.10299697854726397</c:v>
                </c:pt>
                <c:pt idx="9">
                  <c:v>-3.2072706595271713E-2</c:v>
                </c:pt>
                <c:pt idx="10" formatCode="General">
                  <c:v>8.1524592449955802E-2</c:v>
                </c:pt>
                <c:pt idx="11" formatCode="General">
                  <c:v>-6.1061461784250731E-2</c:v>
                </c:pt>
                <c:pt idx="12" formatCode="General">
                  <c:v>-0.20672058053663489</c:v>
                </c:pt>
                <c:pt idx="13" formatCode="General">
                  <c:v>-0.37407520858030863</c:v>
                </c:pt>
                <c:pt idx="14" formatCode="General">
                  <c:v>-0.71461913133162358</c:v>
                </c:pt>
                <c:pt idx="15" formatCode="General">
                  <c:v>-0.46214248963662286</c:v>
                </c:pt>
                <c:pt idx="16" formatCode="General">
                  <c:v>-0.82933877978192383</c:v>
                </c:pt>
                <c:pt idx="17" formatCode="General">
                  <c:v>-0.99599126054138232</c:v>
                </c:pt>
                <c:pt idx="18" formatCode="General">
                  <c:v>-0.66853823795995804</c:v>
                </c:pt>
                <c:pt idx="19" formatCode="General">
                  <c:v>-0.51144805126555193</c:v>
                </c:pt>
                <c:pt idx="20" formatCode="General">
                  <c:v>-6.2514314488681583E-2</c:v>
                </c:pt>
                <c:pt idx="21" formatCode="General">
                  <c:v>5.9159774548675159E-2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97-4CD4-9D85-1D26B0E3F5F6}"/>
            </c:ext>
          </c:extLst>
        </c:ser>
        <c:ser>
          <c:idx val="1"/>
          <c:order val="3"/>
          <c:tx>
            <c:strRef>
              <c:f>'souhrnná výkonnost 4'!$F$5</c:f>
              <c:strCache>
                <c:ptCount val="1"/>
                <c:pt idx="0">
                  <c:v>Stavebnictví</c:v>
                </c:pt>
              </c:strCache>
            </c:strRef>
          </c:tx>
          <c:spPr>
            <a:solidFill>
              <a:srgbClr val="E8AFB2"/>
            </a:solidFill>
            <a:ln>
              <a:noFill/>
            </a:ln>
          </c:spPr>
          <c:invertIfNegative val="0"/>
          <c:val>
            <c:numRef>
              <c:f>'souhrnná výkonnost 4'!$F$22:$F$43</c:f>
              <c:numCache>
                <c:formatCode>#\ ##0.0</c:formatCode>
                <c:ptCount val="22"/>
                <c:pt idx="0">
                  <c:v>-0.13118840376974297</c:v>
                </c:pt>
                <c:pt idx="1">
                  <c:v>-0.28594902920034482</c:v>
                </c:pt>
                <c:pt idx="2">
                  <c:v>-0.26701712597535621</c:v>
                </c:pt>
                <c:pt idx="3">
                  <c:v>-0.18704467160622129</c:v>
                </c:pt>
                <c:pt idx="4">
                  <c:v>-0.1200139265751739</c:v>
                </c:pt>
                <c:pt idx="5">
                  <c:v>0.12420386515100609</c:v>
                </c:pt>
                <c:pt idx="6">
                  <c:v>7.1592239994959186E-2</c:v>
                </c:pt>
                <c:pt idx="7">
                  <c:v>0.17310415185088521</c:v>
                </c:pt>
                <c:pt idx="8">
                  <c:v>0.12249795664753446</c:v>
                </c:pt>
                <c:pt idx="9">
                  <c:v>-4.2660685745634658E-3</c:v>
                </c:pt>
                <c:pt idx="10">
                  <c:v>-1.804304477728428E-2</c:v>
                </c:pt>
                <c:pt idx="11">
                  <c:v>-0.11218045217553656</c:v>
                </c:pt>
                <c:pt idx="12">
                  <c:v>-0.20636296686894753</c:v>
                </c:pt>
                <c:pt idx="13">
                  <c:v>-6.4792774942168993E-2</c:v>
                </c:pt>
                <c:pt idx="14">
                  <c:v>-7.9269271643787567E-2</c:v>
                </c:pt>
                <c:pt idx="15">
                  <c:v>-5.6020948993661966E-2</c:v>
                </c:pt>
                <c:pt idx="16">
                  <c:v>-0.1910625729986753</c:v>
                </c:pt>
                <c:pt idx="17">
                  <c:v>-0.60295311908818527</c:v>
                </c:pt>
                <c:pt idx="18">
                  <c:v>-0.54755592054880697</c:v>
                </c:pt>
                <c:pt idx="19">
                  <c:v>-0.62049917307457436</c:v>
                </c:pt>
                <c:pt idx="20">
                  <c:v>-0.38011083766821685</c:v>
                </c:pt>
                <c:pt idx="21">
                  <c:v>3.453962284597914E-2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997-4CD4-9D85-1D26B0E3F5F6}"/>
            </c:ext>
          </c:extLst>
        </c:ser>
        <c:ser>
          <c:idx val="0"/>
          <c:order val="4"/>
          <c:tx>
            <c:strRef>
              <c:f>'souhrnná výkonnost 4'!$G$5</c:f>
              <c:strCache>
                <c:ptCount val="1"/>
                <c:pt idx="0">
                  <c:v>Služby (CZ-NACE G až U)</c:v>
                </c:pt>
              </c:strCache>
            </c:strRef>
          </c:tx>
          <c:spPr>
            <a:solidFill>
              <a:srgbClr val="7DBB2D"/>
            </a:solidFill>
            <a:ln>
              <a:noFill/>
            </a:ln>
          </c:spPr>
          <c:invertIfNegative val="0"/>
          <c:val>
            <c:numRef>
              <c:f>'souhrnná výkonnost 4'!$G$22:$G$43</c:f>
              <c:numCache>
                <c:formatCode>#\ ##0.0</c:formatCode>
                <c:ptCount val="22"/>
                <c:pt idx="0">
                  <c:v>2.2780910878465543</c:v>
                </c:pt>
                <c:pt idx="1">
                  <c:v>1.7791133450565915</c:v>
                </c:pt>
                <c:pt idx="2">
                  <c:v>1.1751996503140407</c:v>
                </c:pt>
                <c:pt idx="3">
                  <c:v>1.1971206910823469</c:v>
                </c:pt>
                <c:pt idx="4">
                  <c:v>2.1480829000947486</c:v>
                </c:pt>
                <c:pt idx="5">
                  <c:v>3.0747805417077498</c:v>
                </c:pt>
                <c:pt idx="6">
                  <c:v>2.9994469566684199</c:v>
                </c:pt>
                <c:pt idx="7">
                  <c:v>3.2896815901667287</c:v>
                </c:pt>
                <c:pt idx="8">
                  <c:v>3.1749514751083248</c:v>
                </c:pt>
                <c:pt idx="9">
                  <c:v>2.6275397496035438</c:v>
                </c:pt>
                <c:pt idx="10" formatCode="General">
                  <c:v>2.7719971256974341</c:v>
                </c:pt>
                <c:pt idx="11" formatCode="General">
                  <c:v>2.5972842205241453</c:v>
                </c:pt>
                <c:pt idx="12" formatCode="General">
                  <c:v>2.508296604685702</c:v>
                </c:pt>
                <c:pt idx="13" formatCode="General">
                  <c:v>2.0834684133018309</c:v>
                </c:pt>
                <c:pt idx="14" formatCode="General">
                  <c:v>2.1657395752754183</c:v>
                </c:pt>
                <c:pt idx="15" formatCode="General">
                  <c:v>2.2150289387573601</c:v>
                </c:pt>
                <c:pt idx="16" formatCode="General">
                  <c:v>0.35842147618069087</c:v>
                </c:pt>
                <c:pt idx="17" formatCode="General">
                  <c:v>-4.6526468154620559</c:v>
                </c:pt>
                <c:pt idx="18" formatCode="General">
                  <c:v>-2.6797110005821319</c:v>
                </c:pt>
                <c:pt idx="19" formatCode="General">
                  <c:v>-3.089633953611683</c:v>
                </c:pt>
                <c:pt idx="20" formatCode="General">
                  <c:v>-2.3943227545688996</c:v>
                </c:pt>
                <c:pt idx="21" formatCode="General">
                  <c:v>3.078853854850383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997-4CD4-9D85-1D26B0E3F5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overlap val="100"/>
        <c:axId val="92161536"/>
        <c:axId val="92163072"/>
      </c:barChart>
      <c:lineChart>
        <c:grouping val="standard"/>
        <c:varyColors val="0"/>
        <c:ser>
          <c:idx val="5"/>
          <c:order val="5"/>
          <c:tx>
            <c:strRef>
              <c:f>'souhrnná výkonnost 4'!$H$5</c:f>
              <c:strCache>
                <c:ptCount val="1"/>
                <c:pt idx="0">
                  <c:v>Hrubá přidaná hodnota celkem</c:v>
                </c:pt>
              </c:strCache>
            </c:strRef>
          </c:tx>
          <c:spPr>
            <a:ln w="19050">
              <a:solidFill>
                <a:prstClr val="black"/>
              </a:solidFill>
            </a:ln>
          </c:spPr>
          <c:marker>
            <c:symbol val="none"/>
          </c:marker>
          <c:cat>
            <c:multiLvlStrRef>
              <c:f>'souhrnná výkonnost 4'!$A$22:$B$43</c:f>
              <c:multiLvlStrCache>
                <c:ptCount val="2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</c:lvl>
              </c:multiLvlStrCache>
            </c:multiLvlStrRef>
          </c:cat>
          <c:val>
            <c:numRef>
              <c:f>'souhrnná výkonnost 4'!$H$22:$H$43</c:f>
              <c:numCache>
                <c:formatCode>#\ ##0.0</c:formatCode>
                <c:ptCount val="22"/>
                <c:pt idx="0">
                  <c:v>3.2432073755742579</c:v>
                </c:pt>
                <c:pt idx="1">
                  <c:v>2.1812977926827415</c:v>
                </c:pt>
                <c:pt idx="2">
                  <c:v>1.8386996228235262</c:v>
                </c:pt>
                <c:pt idx="3">
                  <c:v>2.3109605829682209</c:v>
                </c:pt>
                <c:pt idx="4">
                  <c:v>3.5756277740391482</c:v>
                </c:pt>
                <c:pt idx="5">
                  <c:v>6.3126226044967666</c:v>
                </c:pt>
                <c:pt idx="6">
                  <c:v>6.0829220489310671</c:v>
                </c:pt>
                <c:pt idx="7">
                  <c:v>5.7291078447527326</c:v>
                </c:pt>
                <c:pt idx="8">
                  <c:v>4.8981845225873855</c:v>
                </c:pt>
                <c:pt idx="9">
                  <c:v>2.7705379621629049</c:v>
                </c:pt>
                <c:pt idx="10">
                  <c:v>2.9716135031952859</c:v>
                </c:pt>
                <c:pt idx="11">
                  <c:v>2.8650954448108195</c:v>
                </c:pt>
                <c:pt idx="12">
                  <c:v>3.0103555185936557</c:v>
                </c:pt>
                <c:pt idx="13">
                  <c:v>3.0382784412400667</c:v>
                </c:pt>
                <c:pt idx="14">
                  <c:v>2.810283179001118</c:v>
                </c:pt>
                <c:pt idx="15">
                  <c:v>2.8446208831943522</c:v>
                </c:pt>
                <c:pt idx="16">
                  <c:v>-1.0569722929019179</c:v>
                </c:pt>
                <c:pt idx="17">
                  <c:v>-11.145421355586024</c:v>
                </c:pt>
                <c:pt idx="18">
                  <c:v>-5.2086519445039414</c:v>
                </c:pt>
                <c:pt idx="19">
                  <c:v>-5.0205707503875487</c:v>
                </c:pt>
                <c:pt idx="20">
                  <c:v>-2.4684603638890081</c:v>
                </c:pt>
                <c:pt idx="21">
                  <c:v>8.4389454688763976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F997-4CD4-9D85-1D26B0E3F5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161536"/>
        <c:axId val="92163072"/>
      </c:lineChart>
      <c:catAx>
        <c:axId val="92161536"/>
        <c:scaling>
          <c:orientation val="minMax"/>
        </c:scaling>
        <c:delete val="0"/>
        <c:axPos val="b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92163072"/>
        <c:crosses val="autoZero"/>
        <c:auto val="1"/>
        <c:lblAlgn val="ctr"/>
        <c:lblOffset val="100"/>
        <c:noMultiLvlLbl val="0"/>
      </c:catAx>
      <c:valAx>
        <c:axId val="92163072"/>
        <c:scaling>
          <c:orientation val="minMax"/>
          <c:max val="9"/>
          <c:min val="-12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92161536"/>
        <c:crosses val="autoZero"/>
        <c:crossBetween val="between"/>
        <c:majorUnit val="3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4144292468760548E-2"/>
          <c:y val="0.79016604750647301"/>
          <c:w val="0.92386482607227283"/>
          <c:h val="0.19462484520994944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E5A8D-76E6-422A-82FD-3F603FA17A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D157F4-E48B-40DD-92B2-14FB8924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2</TotalTime>
  <Pages>4</Pages>
  <Words>1422</Words>
  <Characters>8393</Characters>
  <Application>Microsoft Office Word</Application>
  <DocSecurity>0</DocSecurity>
  <Lines>69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9796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Karolína Súkupová</dc:creator>
  <cp:lastModifiedBy>Mgr. Karolína Zábojníková</cp:lastModifiedBy>
  <cp:revision>3</cp:revision>
  <cp:lastPrinted>2019-04-08T10:52:00Z</cp:lastPrinted>
  <dcterms:created xsi:type="dcterms:W3CDTF">2021-09-14T08:33:00Z</dcterms:created>
  <dcterms:modified xsi:type="dcterms:W3CDTF">2021-09-14T08:42:00Z</dcterms:modified>
</cp:coreProperties>
</file>