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80D7D" w14:textId="77777777" w:rsidR="00182D6D" w:rsidRPr="00190C4A" w:rsidRDefault="009417B7" w:rsidP="009417B7">
      <w:pPr>
        <w:numPr>
          <w:ilvl w:val="0"/>
          <w:numId w:val="1"/>
        </w:numPr>
        <w:tabs>
          <w:tab w:val="clear" w:pos="720"/>
          <w:tab w:val="num" w:pos="284"/>
        </w:tabs>
        <w:spacing w:line="288" w:lineRule="auto"/>
        <w:ind w:left="284" w:hanging="284"/>
        <w:outlineLvl w:val="0"/>
        <w:rPr>
          <w:rFonts w:ascii="Arial" w:hAnsi="Arial" w:cs="Arial"/>
          <w:b/>
          <w:i/>
          <w:color w:val="0071BC"/>
          <w:sz w:val="32"/>
          <w:szCs w:val="32"/>
          <w:lang w:val="en-GB"/>
        </w:rPr>
      </w:pPr>
      <w:bookmarkStart w:id="0" w:name="_Toc499879039"/>
      <w:bookmarkStart w:id="1" w:name="_GoBack"/>
      <w:bookmarkEnd w:id="1"/>
      <w:r w:rsidRPr="00190C4A">
        <w:rPr>
          <w:rFonts w:ascii="Arial" w:hAnsi="Arial" w:cs="Arial"/>
          <w:b/>
          <w:i/>
          <w:color w:val="0071BC"/>
          <w:sz w:val="32"/>
          <w:szCs w:val="32"/>
          <w:lang w:val="en-GB"/>
        </w:rPr>
        <w:t>Structure of agricultural holdings broken down by economic size classes</w:t>
      </w:r>
      <w:bookmarkEnd w:id="0"/>
    </w:p>
    <w:p w14:paraId="697B0433" w14:textId="10C85A79" w:rsidR="00E22908" w:rsidRDefault="00E22908" w:rsidP="00E22908">
      <w:pPr>
        <w:spacing w:before="240" w:line="288" w:lineRule="auto"/>
        <w:ind w:firstLine="539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E22908">
        <w:rPr>
          <w:rFonts w:ascii="Arial" w:hAnsi="Arial" w:cs="Arial"/>
          <w:i/>
          <w:sz w:val="20"/>
          <w:szCs w:val="20"/>
          <w:lang w:val="en-GB"/>
        </w:rPr>
        <w:t>The EU agricultural holdings classification system enables a breakdown of agricultural holdings into 14</w:t>
      </w:r>
      <w:r w:rsidR="00E65E78">
        <w:rPr>
          <w:rFonts w:ascii="Arial" w:hAnsi="Arial" w:cs="Arial"/>
          <w:i/>
          <w:sz w:val="20"/>
          <w:szCs w:val="20"/>
          <w:lang w:val="en-GB"/>
        </w:rPr>
        <w:t> </w:t>
      </w:r>
      <w:r w:rsidRPr="00E22908">
        <w:rPr>
          <w:rFonts w:ascii="Arial" w:hAnsi="Arial" w:cs="Arial"/>
          <w:i/>
          <w:sz w:val="20"/>
          <w:szCs w:val="20"/>
          <w:lang w:val="en-GB"/>
        </w:rPr>
        <w:t>economic size classes. For the purpose of this evaluation</w:t>
      </w:r>
      <w:r w:rsidR="00AE093F">
        <w:rPr>
          <w:rFonts w:ascii="Arial" w:hAnsi="Arial" w:cs="Arial"/>
          <w:i/>
          <w:sz w:val="20"/>
          <w:szCs w:val="20"/>
          <w:lang w:val="en-GB"/>
        </w:rPr>
        <w:t>,</w:t>
      </w:r>
      <w:r w:rsidRPr="00E22908">
        <w:rPr>
          <w:rFonts w:ascii="Arial" w:hAnsi="Arial" w:cs="Arial"/>
          <w:i/>
          <w:sz w:val="20"/>
          <w:szCs w:val="20"/>
          <w:lang w:val="en-GB"/>
        </w:rPr>
        <w:t xml:space="preserve"> 33,036 holdings were included in the IFS. The classes were merged into three aggregated groups of economic size. The analysis covers small-scale holdings (economic size class</w:t>
      </w:r>
      <w:r w:rsidR="00AE093F">
        <w:rPr>
          <w:rFonts w:ascii="Arial" w:hAnsi="Arial" w:cs="Arial"/>
          <w:i/>
          <w:sz w:val="20"/>
          <w:szCs w:val="20"/>
          <w:lang w:val="en-GB"/>
        </w:rPr>
        <w:t>es</w:t>
      </w:r>
      <w:r w:rsidRPr="00E22908">
        <w:rPr>
          <w:rFonts w:ascii="Arial" w:hAnsi="Arial" w:cs="Arial"/>
          <w:i/>
          <w:sz w:val="20"/>
          <w:szCs w:val="20"/>
          <w:lang w:val="en-GB"/>
        </w:rPr>
        <w:t xml:space="preserve"> I-V), m</w:t>
      </w:r>
      <w:r>
        <w:rPr>
          <w:rFonts w:ascii="Arial" w:hAnsi="Arial" w:cs="Arial"/>
          <w:i/>
          <w:sz w:val="20"/>
          <w:szCs w:val="20"/>
          <w:lang w:val="en-GB"/>
        </w:rPr>
        <w:t>edium</w:t>
      </w:r>
      <w:r w:rsidRPr="00E22908">
        <w:rPr>
          <w:rFonts w:ascii="Arial" w:hAnsi="Arial" w:cs="Arial"/>
          <w:i/>
          <w:sz w:val="20"/>
          <w:szCs w:val="20"/>
          <w:lang w:val="en-GB"/>
        </w:rPr>
        <w:t>-scale holdings (economic size class</w:t>
      </w:r>
      <w:r w:rsidR="00AE093F">
        <w:rPr>
          <w:rFonts w:ascii="Arial" w:hAnsi="Arial" w:cs="Arial"/>
          <w:i/>
          <w:sz w:val="20"/>
          <w:szCs w:val="20"/>
          <w:lang w:val="en-GB"/>
        </w:rPr>
        <w:t>es</w:t>
      </w:r>
      <w:r w:rsidRPr="00E22908">
        <w:rPr>
          <w:rFonts w:ascii="Arial" w:hAnsi="Arial" w:cs="Arial"/>
          <w:i/>
          <w:sz w:val="20"/>
          <w:szCs w:val="20"/>
          <w:lang w:val="en-GB"/>
        </w:rPr>
        <w:t xml:space="preserve"> VI-IX), and large-scale holdings (economic size class</w:t>
      </w:r>
      <w:r w:rsidR="00AE093F">
        <w:rPr>
          <w:rFonts w:ascii="Arial" w:hAnsi="Arial" w:cs="Arial"/>
          <w:i/>
          <w:sz w:val="20"/>
          <w:szCs w:val="20"/>
          <w:lang w:val="en-GB"/>
        </w:rPr>
        <w:t>es</w:t>
      </w:r>
      <w:r w:rsidRPr="00E22908">
        <w:rPr>
          <w:rFonts w:ascii="Arial" w:hAnsi="Arial" w:cs="Arial"/>
          <w:i/>
          <w:sz w:val="20"/>
          <w:szCs w:val="20"/>
          <w:lang w:val="en-GB"/>
        </w:rPr>
        <w:t xml:space="preserve"> X-XIV). </w:t>
      </w:r>
      <w:r w:rsidR="00AE093F">
        <w:rPr>
          <w:rFonts w:ascii="Arial" w:hAnsi="Arial" w:cs="Arial"/>
          <w:i/>
          <w:sz w:val="20"/>
          <w:szCs w:val="20"/>
          <w:lang w:val="en-GB"/>
        </w:rPr>
        <w:t>The r</w:t>
      </w:r>
      <w:r w:rsidRPr="00E22908">
        <w:rPr>
          <w:rFonts w:ascii="Arial" w:hAnsi="Arial" w:cs="Arial"/>
          <w:i/>
          <w:sz w:val="20"/>
          <w:szCs w:val="20"/>
          <w:lang w:val="en-GB"/>
        </w:rPr>
        <w:t>esults of the Integrated Farm Statistics concerning the economic size structure of holdings are given in Table 3.</w:t>
      </w:r>
    </w:p>
    <w:p w14:paraId="6D70F48F" w14:textId="24BC0CB7" w:rsidR="00E22908" w:rsidRDefault="00E22908" w:rsidP="00E22908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 w:rsidRPr="009A076A">
        <w:rPr>
          <w:rFonts w:ascii="Arial" w:hAnsi="Arial" w:cs="Arial"/>
          <w:i/>
          <w:sz w:val="20"/>
          <w:szCs w:val="20"/>
          <w:lang w:val="en-GB"/>
        </w:rPr>
        <w:t>The Integrated Farm Statistics 202</w:t>
      </w:r>
      <w:r w:rsidR="00773374">
        <w:rPr>
          <w:rFonts w:ascii="Arial" w:hAnsi="Arial" w:cs="Arial"/>
          <w:i/>
          <w:sz w:val="20"/>
          <w:szCs w:val="20"/>
          <w:lang w:val="en-GB"/>
        </w:rPr>
        <w:t>3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 included a small group of 1</w:t>
      </w:r>
      <w:r w:rsidR="00773374">
        <w:rPr>
          <w:rFonts w:ascii="Arial" w:hAnsi="Arial" w:cs="Arial"/>
          <w:i/>
          <w:sz w:val="20"/>
          <w:szCs w:val="20"/>
          <w:lang w:val="en-GB"/>
        </w:rPr>
        <w:t>30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773374">
        <w:rPr>
          <w:rFonts w:ascii="Arial" w:hAnsi="Arial" w:cs="Arial"/>
          <w:bCs/>
          <w:i/>
          <w:sz w:val="20"/>
          <w:szCs w:val="20"/>
          <w:lang w:val="en-GB"/>
        </w:rPr>
        <w:t>non-classified holdings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="00773374" w:rsidRPr="00773374">
        <w:rPr>
          <w:rFonts w:ascii="Arial" w:hAnsi="Arial" w:cs="Arial"/>
          <w:i/>
          <w:sz w:val="20"/>
          <w:szCs w:val="20"/>
          <w:lang w:val="en-GB"/>
        </w:rPr>
        <w:t xml:space="preserve">for which it was not possible to determine the type of </w:t>
      </w:r>
      <w:r w:rsidR="00773374">
        <w:rPr>
          <w:rFonts w:ascii="Arial" w:hAnsi="Arial" w:cs="Arial"/>
          <w:i/>
          <w:sz w:val="20"/>
          <w:szCs w:val="20"/>
          <w:lang w:val="en-GB"/>
        </w:rPr>
        <w:t>farming</w:t>
      </w:r>
      <w:r w:rsidR="00773374" w:rsidRPr="00773374">
        <w:rPr>
          <w:rFonts w:ascii="Arial" w:hAnsi="Arial" w:cs="Arial"/>
          <w:i/>
          <w:sz w:val="20"/>
          <w:szCs w:val="20"/>
          <w:lang w:val="en-GB"/>
        </w:rPr>
        <w:t xml:space="preserve"> and economic size class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. These holdings </w:t>
      </w:r>
      <w:r w:rsidR="00773374">
        <w:rPr>
          <w:rFonts w:ascii="Arial" w:hAnsi="Arial" w:cs="Arial"/>
          <w:i/>
          <w:sz w:val="20"/>
          <w:szCs w:val="20"/>
          <w:lang w:val="en-GB"/>
        </w:rPr>
        <w:t xml:space="preserve">report only fallow land 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or </w:t>
      </w:r>
      <w:r w:rsidR="00773374" w:rsidRPr="00773374">
        <w:rPr>
          <w:rFonts w:ascii="Arial" w:hAnsi="Arial" w:cs="Arial"/>
          <w:i/>
          <w:sz w:val="20"/>
          <w:szCs w:val="20"/>
          <w:lang w:val="en-GB"/>
        </w:rPr>
        <w:t xml:space="preserve">livestock farming from the other </w:t>
      </w:r>
      <w:r w:rsidR="00773374">
        <w:rPr>
          <w:rFonts w:ascii="Arial" w:hAnsi="Arial" w:cs="Arial"/>
          <w:i/>
          <w:sz w:val="20"/>
          <w:szCs w:val="20"/>
          <w:lang w:val="en-GB"/>
        </w:rPr>
        <w:t>category.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2503BC" w:rsidRPr="002503BC">
        <w:rPr>
          <w:rFonts w:ascii="Arial" w:hAnsi="Arial" w:cs="Arial"/>
          <w:i/>
          <w:sz w:val="20"/>
          <w:szCs w:val="20"/>
          <w:lang w:val="en-GB"/>
        </w:rPr>
        <w:t>Based on the methodology of the EU classification system, such forms of farming have a zero standard production value and therefore cannot be classified in any of the production or economic size groups.</w:t>
      </w:r>
    </w:p>
    <w:p w14:paraId="2B7C526D" w14:textId="08BE8EAA" w:rsidR="002503BC" w:rsidRDefault="002503BC" w:rsidP="002503BC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 w:rsidRPr="002503BC">
        <w:rPr>
          <w:rFonts w:ascii="Arial" w:hAnsi="Arial" w:cs="Arial"/>
          <w:i/>
          <w:sz w:val="20"/>
          <w:szCs w:val="20"/>
          <w:lang w:val="en-GB"/>
        </w:rPr>
        <w:t>The most numerous group is represented by small holdings, which make up almost two-thirds (60%) of all agricultural holdings in the Czech Republic. The second most represented group is medium-scale agricultural holdings (34%). The least numerous group is large</w:t>
      </w:r>
      <w:r>
        <w:rPr>
          <w:rFonts w:ascii="Arial" w:hAnsi="Arial" w:cs="Arial"/>
          <w:i/>
          <w:sz w:val="20"/>
          <w:szCs w:val="20"/>
          <w:lang w:val="en-GB"/>
        </w:rPr>
        <w:t>-scale</w:t>
      </w:r>
      <w:r w:rsidRPr="002503BC">
        <w:rPr>
          <w:rFonts w:ascii="Arial" w:hAnsi="Arial" w:cs="Arial"/>
          <w:i/>
          <w:sz w:val="20"/>
          <w:szCs w:val="20"/>
          <w:lang w:val="en-GB"/>
        </w:rPr>
        <w:t xml:space="preserve"> agricultural holdings (6%), which produce a substantial part of the </w:t>
      </w:r>
      <w:r w:rsidR="00EF3DF0">
        <w:rPr>
          <w:rFonts w:ascii="Arial" w:hAnsi="Arial" w:cs="Arial"/>
          <w:i/>
          <w:sz w:val="20"/>
          <w:szCs w:val="20"/>
          <w:lang w:val="en-GB"/>
        </w:rPr>
        <w:t xml:space="preserve">Czech </w:t>
      </w:r>
      <w:r w:rsidR="00EF3DF0" w:rsidRPr="00EF3DF0">
        <w:rPr>
          <w:rFonts w:ascii="Arial" w:hAnsi="Arial" w:cs="Arial"/>
          <w:i/>
          <w:sz w:val="20"/>
          <w:szCs w:val="20"/>
          <w:lang w:val="en-GB"/>
        </w:rPr>
        <w:t>Republic's</w:t>
      </w:r>
      <w:r w:rsidR="00EF3DF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2503BC">
        <w:rPr>
          <w:rFonts w:ascii="Arial" w:hAnsi="Arial" w:cs="Arial"/>
          <w:i/>
          <w:sz w:val="20"/>
          <w:szCs w:val="20"/>
          <w:lang w:val="en-GB"/>
        </w:rPr>
        <w:t>agricultural productio</w:t>
      </w:r>
      <w:r w:rsidR="00EF3DF0">
        <w:rPr>
          <w:rFonts w:ascii="Arial" w:hAnsi="Arial" w:cs="Arial"/>
          <w:i/>
          <w:sz w:val="20"/>
          <w:szCs w:val="20"/>
          <w:lang w:val="en-GB"/>
        </w:rPr>
        <w:t>n</w:t>
      </w:r>
      <w:r w:rsidRPr="002503BC">
        <w:rPr>
          <w:rFonts w:ascii="Arial" w:hAnsi="Arial" w:cs="Arial"/>
          <w:i/>
          <w:sz w:val="20"/>
          <w:szCs w:val="20"/>
          <w:lang w:val="en-GB"/>
        </w:rPr>
        <w:t xml:space="preserve">. These </w:t>
      </w:r>
      <w:r w:rsidR="00A93673" w:rsidRPr="00A93673">
        <w:rPr>
          <w:rFonts w:ascii="Arial" w:hAnsi="Arial" w:cs="Arial"/>
          <w:i/>
          <w:sz w:val="20"/>
          <w:szCs w:val="20"/>
          <w:lang w:val="en-GB"/>
        </w:rPr>
        <w:t xml:space="preserve">manage 61% of the total agricultural land area and account for 76% of the total number of livestock in terms of livestock units. </w:t>
      </w:r>
      <w:r w:rsidRPr="002503BC">
        <w:rPr>
          <w:rFonts w:ascii="Arial" w:hAnsi="Arial" w:cs="Arial"/>
          <w:i/>
          <w:sz w:val="20"/>
          <w:szCs w:val="20"/>
          <w:lang w:val="en-GB"/>
        </w:rPr>
        <w:t xml:space="preserve"> The opposite situation is represented by small-scale holdings (mostly natural persons), which involve the largest number of the holdings but utilise only 6% of th</w:t>
      </w:r>
      <w:r w:rsidR="00A93673">
        <w:rPr>
          <w:rFonts w:ascii="Arial" w:hAnsi="Arial" w:cs="Arial"/>
          <w:i/>
          <w:sz w:val="20"/>
          <w:szCs w:val="20"/>
          <w:lang w:val="en-GB"/>
        </w:rPr>
        <w:t>e total</w:t>
      </w:r>
      <w:r w:rsidRPr="002503BC">
        <w:rPr>
          <w:rFonts w:ascii="Arial" w:hAnsi="Arial" w:cs="Arial"/>
          <w:i/>
          <w:sz w:val="20"/>
          <w:szCs w:val="20"/>
          <w:lang w:val="en-GB"/>
        </w:rPr>
        <w:t xml:space="preserve"> agricultural land </w:t>
      </w:r>
      <w:r w:rsidR="00A93673">
        <w:rPr>
          <w:rFonts w:ascii="Arial" w:hAnsi="Arial" w:cs="Arial"/>
          <w:i/>
          <w:sz w:val="20"/>
          <w:szCs w:val="20"/>
          <w:lang w:val="en-GB"/>
        </w:rPr>
        <w:t>area</w:t>
      </w:r>
      <w:r w:rsidRPr="002503BC">
        <w:rPr>
          <w:rFonts w:ascii="Arial" w:hAnsi="Arial" w:cs="Arial"/>
          <w:i/>
          <w:sz w:val="20"/>
          <w:szCs w:val="20"/>
          <w:lang w:val="en-GB"/>
        </w:rPr>
        <w:t xml:space="preserve"> and rear approximately 4% of the </w:t>
      </w:r>
      <w:r w:rsidR="00A93673" w:rsidRPr="00A93673">
        <w:rPr>
          <w:rFonts w:ascii="Arial" w:hAnsi="Arial" w:cs="Arial"/>
          <w:i/>
          <w:sz w:val="20"/>
          <w:szCs w:val="20"/>
          <w:lang w:val="en-GB"/>
        </w:rPr>
        <w:t>total number of livestock</w:t>
      </w:r>
      <w:r w:rsidRPr="002503BC">
        <w:rPr>
          <w:rFonts w:ascii="Arial" w:hAnsi="Arial" w:cs="Arial"/>
          <w:i/>
          <w:sz w:val="20"/>
          <w:szCs w:val="20"/>
          <w:lang w:val="en-GB"/>
        </w:rPr>
        <w:t xml:space="preserve">. In detail, the economic size class III (5,005 subjects) includes most of the holdings, followed by class IV (4,390 subjects) and class VI (3,835 subjects). The smallest number of </w:t>
      </w:r>
      <w:r w:rsidR="00F70B6B">
        <w:rPr>
          <w:rFonts w:ascii="Arial" w:hAnsi="Arial" w:cs="Arial"/>
          <w:i/>
          <w:sz w:val="20"/>
          <w:szCs w:val="20"/>
          <w:lang w:val="en-GB"/>
        </w:rPr>
        <w:t xml:space="preserve">agricultural </w:t>
      </w:r>
      <w:r w:rsidRPr="002503BC">
        <w:rPr>
          <w:rFonts w:ascii="Arial" w:hAnsi="Arial" w:cs="Arial"/>
          <w:i/>
          <w:sz w:val="20"/>
          <w:szCs w:val="20"/>
          <w:lang w:val="en-GB"/>
        </w:rPr>
        <w:t>holdings belongs to size class XI (only 295 holdings).</w:t>
      </w:r>
    </w:p>
    <w:p w14:paraId="05BFDD1F" w14:textId="6DE7D265" w:rsidR="00F70B6B" w:rsidRDefault="00F70B6B" w:rsidP="00F70B6B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 w:rsidRPr="00F70B6B">
        <w:rPr>
          <w:rFonts w:ascii="Arial" w:hAnsi="Arial" w:cs="Arial"/>
          <w:i/>
          <w:sz w:val="20"/>
          <w:szCs w:val="20"/>
          <w:lang w:val="en-GB"/>
        </w:rPr>
        <w:t>The economic size and the legal form of agricultural holdings are closely linked. Two-thirds of the natural persons (66%) were classified in the small-scale economic size class (I-V). The share of large holdings within the group of natural persons is negligible (1%). A different size structure is formed by legal persons holdings. More than one-third of holdings (34%) belong to the large category and 42% to the medium-</w:t>
      </w:r>
      <w:r w:rsidR="00A93673">
        <w:rPr>
          <w:rFonts w:ascii="Arial" w:hAnsi="Arial" w:cs="Arial"/>
          <w:i/>
          <w:sz w:val="20"/>
          <w:szCs w:val="20"/>
          <w:lang w:val="en-GB"/>
        </w:rPr>
        <w:t>sized</w:t>
      </w:r>
      <w:r w:rsidRPr="00F70B6B">
        <w:rPr>
          <w:rFonts w:ascii="Arial" w:hAnsi="Arial" w:cs="Arial"/>
          <w:i/>
          <w:sz w:val="20"/>
          <w:szCs w:val="20"/>
          <w:lang w:val="en-GB"/>
        </w:rPr>
        <w:t xml:space="preserve"> category.</w:t>
      </w:r>
      <w:r w:rsidRPr="00C311CE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p w14:paraId="0542A370" w14:textId="7115D2AC" w:rsidR="0015009E" w:rsidRDefault="0015009E">
      <w:pPr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br w:type="page"/>
      </w:r>
    </w:p>
    <w:p w14:paraId="6D40054C" w14:textId="77777777" w:rsidR="00FC708F" w:rsidRPr="00CA56E3" w:rsidRDefault="00FC708F" w:rsidP="009417B7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</w:p>
    <w:p w14:paraId="26ABF001" w14:textId="7F628AC2" w:rsidR="0064570A" w:rsidRPr="0064570A" w:rsidRDefault="0064570A" w:rsidP="009417B7">
      <w:pPr>
        <w:spacing w:line="288" w:lineRule="auto"/>
        <w:rPr>
          <w:rFonts w:ascii="Arial" w:hAnsi="Arial" w:cs="Arial"/>
          <w:b/>
          <w:i/>
          <w:sz w:val="20"/>
          <w:szCs w:val="20"/>
          <w:lang w:val="en-GB"/>
        </w:rPr>
      </w:pPr>
      <w:r w:rsidRPr="00CA56E3">
        <w:rPr>
          <w:rFonts w:ascii="Arial" w:hAnsi="Arial" w:cs="Arial"/>
          <w:b/>
          <w:i/>
          <w:sz w:val="20"/>
          <w:szCs w:val="20"/>
          <w:lang w:val="en-GB"/>
        </w:rPr>
        <w:t>Table 3: Structure of the holdings by their economic size</w:t>
      </w:r>
    </w:p>
    <w:tbl>
      <w:tblPr>
        <w:tblW w:w="910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1"/>
        <w:gridCol w:w="1191"/>
        <w:gridCol w:w="1191"/>
        <w:gridCol w:w="1191"/>
        <w:gridCol w:w="1191"/>
        <w:gridCol w:w="1191"/>
        <w:gridCol w:w="1191"/>
      </w:tblGrid>
      <w:tr w:rsidR="00182D6D" w:rsidRPr="00CA56E3" w14:paraId="1D531D4A" w14:textId="77777777" w:rsidTr="00EF483D">
        <w:trPr>
          <w:trHeight w:val="270"/>
        </w:trPr>
        <w:tc>
          <w:tcPr>
            <w:tcW w:w="19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007DE5" w14:textId="77777777" w:rsidR="00182D6D" w:rsidRPr="007E22E4" w:rsidRDefault="00182D6D" w:rsidP="009417B7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Economic size class</w:t>
            </w:r>
          </w:p>
        </w:tc>
        <w:tc>
          <w:tcPr>
            <w:tcW w:w="238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EA874B" w14:textId="77777777" w:rsidR="00182D6D" w:rsidRPr="007E22E4" w:rsidRDefault="00182D6D" w:rsidP="009417B7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Agricultural holdings, total</w:t>
            </w:r>
          </w:p>
        </w:tc>
        <w:tc>
          <w:tcPr>
            <w:tcW w:w="238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5551E91" w14:textId="77777777" w:rsidR="00182D6D" w:rsidRPr="007E22E4" w:rsidRDefault="00182D6D" w:rsidP="009417B7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Holdings of natural persons</w:t>
            </w:r>
          </w:p>
        </w:tc>
        <w:tc>
          <w:tcPr>
            <w:tcW w:w="238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825DBE" w14:textId="77777777" w:rsidR="00182D6D" w:rsidRPr="007E22E4" w:rsidRDefault="00182D6D" w:rsidP="009417B7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Holdings of legal persons</w:t>
            </w:r>
          </w:p>
        </w:tc>
      </w:tr>
      <w:tr w:rsidR="00182D6D" w:rsidRPr="00CA56E3" w14:paraId="3512DEB1" w14:textId="77777777" w:rsidTr="00EF483D">
        <w:trPr>
          <w:trHeight w:val="270"/>
        </w:trPr>
        <w:tc>
          <w:tcPr>
            <w:tcW w:w="19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18975C81" w14:textId="77777777" w:rsidR="00182D6D" w:rsidRPr="007E22E4" w:rsidRDefault="00182D6D" w:rsidP="009417B7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01C47252" w14:textId="77777777" w:rsidR="00182D6D" w:rsidRPr="007E22E4" w:rsidRDefault="00182D6D" w:rsidP="009417B7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Abs.</w:t>
            </w:r>
          </w:p>
        </w:tc>
        <w:tc>
          <w:tcPr>
            <w:tcW w:w="11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686262C4" w14:textId="77777777" w:rsidR="00182D6D" w:rsidRPr="007E22E4" w:rsidRDefault="00182D6D" w:rsidP="009417B7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2173F524" w14:textId="77777777" w:rsidR="00182D6D" w:rsidRPr="007E22E4" w:rsidRDefault="00182D6D" w:rsidP="009417B7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Abs.</w:t>
            </w:r>
          </w:p>
        </w:tc>
        <w:tc>
          <w:tcPr>
            <w:tcW w:w="11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78901AD3" w14:textId="77777777" w:rsidR="00182D6D" w:rsidRPr="007E22E4" w:rsidRDefault="00182D6D" w:rsidP="009417B7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B620C0F" w14:textId="77777777" w:rsidR="00182D6D" w:rsidRPr="007E22E4" w:rsidRDefault="00182D6D" w:rsidP="009417B7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Abs.</w:t>
            </w:r>
          </w:p>
        </w:tc>
        <w:tc>
          <w:tcPr>
            <w:tcW w:w="119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B757B96" w14:textId="77777777" w:rsidR="00182D6D" w:rsidRPr="007E22E4" w:rsidRDefault="00182D6D" w:rsidP="009417B7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%</w:t>
            </w:r>
          </w:p>
        </w:tc>
      </w:tr>
      <w:tr w:rsidR="00CC0CD9" w:rsidRPr="00EB7E21" w14:paraId="32300BA3" w14:textId="77777777" w:rsidTr="008E7795">
        <w:trPr>
          <w:trHeight w:val="289"/>
        </w:trPr>
        <w:tc>
          <w:tcPr>
            <w:tcW w:w="196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bottom"/>
          </w:tcPr>
          <w:p w14:paraId="2FF604CB" w14:textId="77777777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  <w:lang w:val="en-GB"/>
              </w:rPr>
              <w:t>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22A715" w14:textId="2B6F415F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745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70811C" w14:textId="151241BC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11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15D6A6" w14:textId="3529854C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525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D8A973" w14:textId="1085C444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12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E96018" w14:textId="4A31F2AF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220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79183ED9" w14:textId="2A7CF09D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</w:tr>
      <w:tr w:rsidR="00CC0CD9" w:rsidRPr="00EB7E21" w14:paraId="1375AE35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783B28FB" w14:textId="77777777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  <w:lang w:val="en-GB"/>
              </w:rPr>
              <w:t>II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A00AF0" w14:textId="35755667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343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D06670" w14:textId="0F2A6133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F6BAF1" w14:textId="2B79E6D0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121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6E8ABE" w14:textId="4DA43DA5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11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CD50AC" w14:textId="297CF98A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222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219CB26C" w14:textId="04B1ACC9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</w:tr>
      <w:tr w:rsidR="00CC0CD9" w:rsidRPr="00EB7E21" w14:paraId="5FD0C9C1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24A8D9FB" w14:textId="77777777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  <w:lang w:val="en-GB"/>
              </w:rPr>
              <w:t>III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BF4AE5" w14:textId="69F18ABC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005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A935CA" w14:textId="076F9886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15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81774C" w14:textId="3D19B693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790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CA948B" w14:textId="43B1AC92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17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B194F5" w14:textId="5906C268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215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4DAC233D" w14:textId="066FB7A1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</w:tr>
      <w:tr w:rsidR="00CC0CD9" w:rsidRPr="00EB7E21" w14:paraId="50FA3BDB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67D8CED9" w14:textId="77777777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  <w:lang w:val="en-GB"/>
              </w:rPr>
              <w:t>IV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843D97" w14:textId="09810014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390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3B8CC5" w14:textId="72F82D6E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13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941CE9" w14:textId="62D83DA4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083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25EB18" w14:textId="479048A1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14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B8B708" w14:textId="49DE341C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306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59529A67" w14:textId="7F2391FF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</w:tr>
      <w:tr w:rsidR="00CC0CD9" w:rsidRPr="00EB7E21" w14:paraId="5B8F3784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2AD7239E" w14:textId="77777777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  <w:lang w:val="en-GB"/>
              </w:rPr>
              <w:t>V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7E1CD2" w14:textId="76670224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262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247582" w14:textId="620CAEA1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9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BCF888" w14:textId="4DB96A3E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994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97606E" w14:textId="6481A640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5B52CD" w14:textId="5F0C3733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268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30843919" w14:textId="57B4C43B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</w:tr>
      <w:tr w:rsidR="00CC0CD9" w:rsidRPr="00EB7E21" w14:paraId="2A1657AB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2051AF14" w14:textId="5A550AA3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 xml:space="preserve"> Small (I</w:t>
            </w:r>
            <w:r w:rsidR="008E7795"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–</w:t>
            </w: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V)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B649DC" w14:textId="2E0A944D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19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745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3C7496" w14:textId="2247D313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59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51551E" w14:textId="3E61EC48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18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3B2356" w14:textId="46DA330A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66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C76000" w14:textId="60022D10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2FBABDF6" w14:textId="3BC5F33A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24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</w:p>
        </w:tc>
      </w:tr>
      <w:tr w:rsidR="00CC0CD9" w:rsidRPr="00EB7E21" w14:paraId="4EA4F902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362DF1AB" w14:textId="77777777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  <w:lang w:val="en-GB"/>
              </w:rPr>
              <w:t>VI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9D0FF4" w14:textId="6FA03285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835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79CD84" w14:textId="1D9DB770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11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CE44E7" w14:textId="4DC65A92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429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3626CF" w14:textId="5564E08F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12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7BCBAF" w14:textId="32A1D6C8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406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4E41D569" w14:textId="02AB1C55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</w:tr>
      <w:tr w:rsidR="00CC0CD9" w:rsidRPr="00EB7E21" w14:paraId="0E2F95EF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29F18FBB" w14:textId="77777777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  <w:lang w:val="en-GB"/>
              </w:rPr>
              <w:t>VII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23AFC8" w14:textId="11C61083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290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1B63FE" w14:textId="10C764EC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D80D65" w14:textId="43A85BA7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863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86BAED" w14:textId="36EFD1B0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BDEAC3" w14:textId="5ADC2889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427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56E444C8" w14:textId="08B84F5A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</w:tr>
      <w:tr w:rsidR="00CC0CD9" w:rsidRPr="00EB7E21" w14:paraId="31516CA6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5297AD2B" w14:textId="77777777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  <w:lang w:val="en-GB"/>
              </w:rPr>
              <w:t>VIII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DB1F11" w14:textId="60D5CDD0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981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439DDA" w14:textId="1C94ED3B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9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0B8366" w14:textId="692D411E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168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BC934E" w14:textId="68647E61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6BFA77" w14:textId="4CAD70AA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813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2B748CFC" w14:textId="312D72C3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16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</w:tr>
      <w:tr w:rsidR="00CC0CD9" w:rsidRPr="00EB7E21" w14:paraId="4401C8BD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1BC1F2A0" w14:textId="77777777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  <w:lang w:val="en-GB"/>
              </w:rPr>
              <w:t>IX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85A130" w14:textId="56D27E4B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147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85B010" w14:textId="5C320A22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C038F1" w14:textId="3188041C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658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555B60" w14:textId="305C6206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F6C4F" w14:textId="51E74ABC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489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330AE50C" w14:textId="701C2F12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9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</w:tr>
      <w:tr w:rsidR="00CC0CD9" w:rsidRPr="00EB7E21" w14:paraId="54FC12EA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137ECA2A" w14:textId="4F045286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Medium (VI</w:t>
            </w:r>
            <w:r w:rsidR="00EB7E21"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–</w:t>
            </w: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IX)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1E5606" w14:textId="1E737967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11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D6D076" w14:textId="6744B58C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34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08261F" w14:textId="02780967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9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AB4947" w14:textId="413EE838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32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2716B6" w14:textId="474ABE8D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6B9F2FDD" w14:textId="2725FDEA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42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</w:t>
            </w:r>
          </w:p>
        </w:tc>
      </w:tr>
      <w:tr w:rsidR="00CC0CD9" w:rsidRPr="00EB7E21" w14:paraId="78DDCB72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656E8EEB" w14:textId="77777777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  <w:lang w:val="en-GB"/>
              </w:rPr>
              <w:t>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6DCD7F" w14:textId="7455F105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437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717234" w14:textId="56265E11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371267" w14:textId="7E0A136A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C9C745" w14:textId="59C5EC1C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E7157" w14:textId="38AA005E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278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437EF730" w14:textId="21393CAC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CC0CD9" w:rsidRPr="00EB7E21" w14:paraId="61888096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6FD2BA8A" w14:textId="77777777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  <w:lang w:val="en-GB"/>
              </w:rPr>
              <w:t>XI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4B3028" w14:textId="23039997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295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8310ED" w14:textId="560C7C0F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2D15E3" w14:textId="3E52AB0E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AD8260" w14:textId="2BB3BE35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6F7FB4" w14:textId="44B30BC6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225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7F830CA1" w14:textId="4E6B45D8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</w:tr>
      <w:tr w:rsidR="00CC0CD9" w:rsidRPr="00EB7E21" w14:paraId="748DE226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4CB9DD52" w14:textId="77777777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  <w:lang w:val="en-GB"/>
              </w:rPr>
              <w:t>XII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6C8309" w14:textId="1ECC548A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347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BA77F" w14:textId="79E26B32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856198" w14:textId="1A2B8842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FDCF5F" w14:textId="493844A8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095078" w14:textId="055C2DFA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297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6460E714" w14:textId="6DFAC4A6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</w:tr>
      <w:tr w:rsidR="00CC0CD9" w:rsidRPr="00EB7E21" w14:paraId="628D9C82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0229BDA0" w14:textId="77777777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  <w:lang w:val="en-GB"/>
              </w:rPr>
              <w:t>XIII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5C534F" w14:textId="7D28DB0C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477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F4A94F" w14:textId="2D648C8E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10219A" w14:textId="792D1323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E5EBFB" w14:textId="5DE26A19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AF0A0" w14:textId="4D6B455C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445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5A0DE817" w14:textId="4BD7FDB8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</w:tr>
      <w:tr w:rsidR="00CC0CD9" w:rsidRPr="00EB7E21" w14:paraId="01C8CB6F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6DBA257A" w14:textId="77777777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  <w:lang w:val="en-GB"/>
              </w:rPr>
              <w:t>XIV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3CBBFF" w14:textId="072D4BEB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480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04F715" w14:textId="5786B4FF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87CB7A" w14:textId="6D3A5C19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95E1E8" w14:textId="602FAEF8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087247" w14:textId="026C745A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474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4714BDF9" w14:textId="402E35DF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i/>
                <w:sz w:val="20"/>
                <w:szCs w:val="20"/>
              </w:rPr>
              <w:t>9</w:t>
            </w:r>
            <w:r w:rsidR="00EA6803" w:rsidRPr="007E22E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</w:tr>
      <w:tr w:rsidR="00CC0CD9" w:rsidRPr="00EB7E21" w14:paraId="7D96A298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</w:tcPr>
          <w:p w14:paraId="0F3109DD" w14:textId="27AECD62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Large (X</w:t>
            </w:r>
            <w:r w:rsidR="00EB7E21"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–</w:t>
            </w: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XIV)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542107" w14:textId="13B16400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83EDCD" w14:textId="0B8D5D26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6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46864C" w14:textId="7A23805F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9AED9E" w14:textId="743D5149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9AC8B3" w14:textId="697F4CED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721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74125011" w14:textId="67CFD318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33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8</w:t>
            </w:r>
          </w:p>
        </w:tc>
      </w:tr>
      <w:tr w:rsidR="00CC0CD9" w:rsidRPr="00EB7E21" w14:paraId="1F023F64" w14:textId="77777777" w:rsidTr="008E7795">
        <w:trPr>
          <w:trHeight w:val="289"/>
        </w:trPr>
        <w:tc>
          <w:tcPr>
            <w:tcW w:w="196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16E89C54" w14:textId="77777777" w:rsidR="00CC0CD9" w:rsidRPr="007E22E4" w:rsidRDefault="00CC0CD9" w:rsidP="00CC0CD9">
            <w:pPr>
              <w:spacing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E22E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Total*</w:t>
            </w:r>
          </w:p>
        </w:tc>
        <w:tc>
          <w:tcPr>
            <w:tcW w:w="11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74C206C6" w14:textId="5D4F43A0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33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036</w:t>
            </w:r>
          </w:p>
        </w:tc>
        <w:tc>
          <w:tcPr>
            <w:tcW w:w="11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528AC5FA" w14:textId="7CB6657B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100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30D9DEF7" w14:textId="661B5C17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27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948</w:t>
            </w:r>
          </w:p>
        </w:tc>
        <w:tc>
          <w:tcPr>
            <w:tcW w:w="11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314B66B9" w14:textId="77751F13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100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34B09B81" w14:textId="2F4B8A97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088</w:t>
            </w:r>
          </w:p>
        </w:tc>
        <w:tc>
          <w:tcPr>
            <w:tcW w:w="11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764A6499" w14:textId="434E02D5" w:rsidR="00CC0CD9" w:rsidRPr="007E22E4" w:rsidRDefault="00CC0CD9" w:rsidP="00CC0CD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100</w:t>
            </w:r>
            <w:r w:rsidR="00EA6803"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  <w:r w:rsidRPr="007E22E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</w:t>
            </w:r>
          </w:p>
        </w:tc>
      </w:tr>
    </w:tbl>
    <w:p w14:paraId="344691E8" w14:textId="77777777" w:rsidR="00182D6D" w:rsidRPr="00CA56E3" w:rsidRDefault="00182D6D" w:rsidP="009417B7">
      <w:pPr>
        <w:spacing w:line="288" w:lineRule="auto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CA56E3">
        <w:rPr>
          <w:rFonts w:ascii="Arial" w:hAnsi="Arial" w:cs="Arial"/>
          <w:i/>
          <w:sz w:val="20"/>
          <w:szCs w:val="20"/>
          <w:lang w:val="en-GB"/>
        </w:rPr>
        <w:t xml:space="preserve">*Not including non-classified holdings </w:t>
      </w:r>
    </w:p>
    <w:p w14:paraId="7E754730" w14:textId="68167E8D" w:rsidR="00244CD1" w:rsidRPr="00FC708F" w:rsidRDefault="00F70B6B" w:rsidP="00FC708F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 w:rsidRPr="00F70B6B">
        <w:rPr>
          <w:rFonts w:ascii="Arial" w:hAnsi="Arial" w:cs="Arial"/>
          <w:i/>
          <w:sz w:val="20"/>
          <w:szCs w:val="20"/>
          <w:lang w:val="en-GB"/>
        </w:rPr>
        <w:t>Integrated Farm Statistics register holdings by the location of their headquarters. The size structure of agricultural holdings is similar from a regional perspective in each region. The largest share of small-sized holdings was recorded in the Zlín (73%), South Moravia (72%) and Liberec (</w:t>
      </w:r>
      <w:r w:rsidR="008B05EE">
        <w:rPr>
          <w:rFonts w:ascii="Arial" w:hAnsi="Arial" w:cs="Arial"/>
          <w:i/>
          <w:sz w:val="20"/>
          <w:szCs w:val="20"/>
          <w:lang w:val="en-GB"/>
        </w:rPr>
        <w:t>71</w:t>
      </w:r>
      <w:r w:rsidRPr="00F70B6B">
        <w:rPr>
          <w:rFonts w:ascii="Arial" w:hAnsi="Arial" w:cs="Arial"/>
          <w:i/>
          <w:sz w:val="20"/>
          <w:szCs w:val="20"/>
          <w:lang w:val="en-GB"/>
        </w:rPr>
        <w:t xml:space="preserve">%) regions. Middle-sized holdings are most represented in the Karlovy Vary (48%), </w:t>
      </w:r>
      <w:proofErr w:type="spellStart"/>
      <w:r w:rsidRPr="00F70B6B">
        <w:rPr>
          <w:rFonts w:ascii="Arial" w:hAnsi="Arial" w:cs="Arial"/>
          <w:i/>
          <w:sz w:val="20"/>
          <w:szCs w:val="20"/>
          <w:lang w:val="en-GB"/>
        </w:rPr>
        <w:t>Plzeň</w:t>
      </w:r>
      <w:proofErr w:type="spellEnd"/>
      <w:r w:rsidRPr="00F70B6B">
        <w:rPr>
          <w:rFonts w:ascii="Arial" w:hAnsi="Arial" w:cs="Arial"/>
          <w:i/>
          <w:sz w:val="20"/>
          <w:szCs w:val="20"/>
          <w:lang w:val="en-GB"/>
        </w:rPr>
        <w:t xml:space="preserve"> (44%) and Olomouc (42%) regions. The highest share of large-scale holdings is typical for Pardubice (9%), Central Bohemia (8%) and </w:t>
      </w:r>
      <w:proofErr w:type="spellStart"/>
      <w:r w:rsidRPr="00F70B6B">
        <w:rPr>
          <w:rFonts w:ascii="Arial" w:hAnsi="Arial" w:cs="Arial"/>
          <w:i/>
          <w:sz w:val="20"/>
          <w:szCs w:val="20"/>
          <w:lang w:val="en-GB"/>
        </w:rPr>
        <w:t>Ústí</w:t>
      </w:r>
      <w:proofErr w:type="spellEnd"/>
      <w:r w:rsidRPr="00F70B6B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F70B6B">
        <w:rPr>
          <w:rFonts w:ascii="Arial" w:hAnsi="Arial" w:cs="Arial"/>
          <w:i/>
          <w:sz w:val="20"/>
          <w:szCs w:val="20"/>
          <w:lang w:val="en-GB"/>
        </w:rPr>
        <w:t>nad</w:t>
      </w:r>
      <w:proofErr w:type="spellEnd"/>
      <w:r w:rsidRPr="00F70B6B">
        <w:rPr>
          <w:rFonts w:ascii="Arial" w:hAnsi="Arial" w:cs="Arial"/>
          <w:i/>
          <w:sz w:val="20"/>
          <w:szCs w:val="20"/>
          <w:lang w:val="en-GB"/>
        </w:rPr>
        <w:t xml:space="preserve"> Labem (8%) regions. In terms of absolute numbers, the most small-sized holdings occurred in the South Moravian Region (4,783), where a quarter (24%) of all small-sized agricultural holdings in the Czech Republic are located. The largest number of middle-sized and large-sized farms is in the Central Bohemian Region</w:t>
      </w:r>
      <w:r w:rsidR="00FC708F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FC708F" w:rsidRPr="00F70B6B">
        <w:rPr>
          <w:rFonts w:ascii="Arial" w:hAnsi="Arial" w:cs="Arial"/>
          <w:i/>
          <w:sz w:val="20"/>
          <w:szCs w:val="20"/>
          <w:lang w:val="en-GB"/>
        </w:rPr>
        <w:t>located</w:t>
      </w:r>
      <w:r w:rsidRPr="00F70B6B">
        <w:rPr>
          <w:rFonts w:ascii="Arial" w:hAnsi="Arial" w:cs="Arial"/>
          <w:i/>
          <w:sz w:val="20"/>
          <w:szCs w:val="20"/>
          <w:lang w:val="en-GB"/>
        </w:rPr>
        <w:t xml:space="preserve">, where 1,716 middle-sized farms and 351 large-sized farms were registered. These holdings </w:t>
      </w:r>
      <w:r w:rsidR="00FC708F">
        <w:rPr>
          <w:rFonts w:ascii="Arial" w:hAnsi="Arial" w:cs="Arial"/>
          <w:i/>
          <w:sz w:val="20"/>
          <w:szCs w:val="20"/>
          <w:lang w:val="en-GB"/>
        </w:rPr>
        <w:t>shared</w:t>
      </w:r>
      <w:r w:rsidRPr="00F70B6B">
        <w:rPr>
          <w:rFonts w:ascii="Arial" w:hAnsi="Arial" w:cs="Arial"/>
          <w:i/>
          <w:sz w:val="20"/>
          <w:szCs w:val="20"/>
          <w:lang w:val="en-GB"/>
        </w:rPr>
        <w:t xml:space="preserve"> 15% and 17%</w:t>
      </w:r>
      <w:r w:rsidR="00FC708F">
        <w:rPr>
          <w:rFonts w:ascii="Arial" w:hAnsi="Arial" w:cs="Arial"/>
          <w:i/>
          <w:sz w:val="20"/>
          <w:szCs w:val="20"/>
          <w:lang w:val="en-GB"/>
        </w:rPr>
        <w:t>, respectively,</w:t>
      </w:r>
      <w:r w:rsidRPr="00F70B6B">
        <w:rPr>
          <w:rFonts w:ascii="Arial" w:hAnsi="Arial" w:cs="Arial"/>
          <w:i/>
          <w:sz w:val="20"/>
          <w:szCs w:val="20"/>
          <w:lang w:val="en-GB"/>
        </w:rPr>
        <w:t xml:space="preserve"> of the total number of large holdings in the Czech Republic.</w:t>
      </w:r>
    </w:p>
    <w:sectPr w:rsidR="00244CD1" w:rsidRPr="00FC708F" w:rsidSect="00364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8D322" w14:textId="77777777" w:rsidR="000B5D63" w:rsidRDefault="000B5D63">
      <w:r>
        <w:separator/>
      </w:r>
    </w:p>
  </w:endnote>
  <w:endnote w:type="continuationSeparator" w:id="0">
    <w:p w14:paraId="495B3E29" w14:textId="77777777" w:rsidR="000B5D63" w:rsidRDefault="000B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72638" w14:textId="33E91611" w:rsidR="001476B6" w:rsidRPr="001476B6" w:rsidRDefault="001476B6" w:rsidP="001476B6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1476B6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61312" behindDoc="0" locked="0" layoutInCell="1" allowOverlap="1" wp14:anchorId="127223CA" wp14:editId="3FD3B002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76B6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1476B6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1476B6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2142D6">
      <w:rPr>
        <w:rFonts w:ascii="Arial" w:eastAsia="Calibri" w:hAnsi="Arial" w:cs="Arial"/>
        <w:noProof/>
        <w:sz w:val="16"/>
        <w:szCs w:val="16"/>
        <w:lang w:val="cs-CZ" w:eastAsia="en-US"/>
      </w:rPr>
      <w:t>2</w:t>
    </w:r>
    <w:r w:rsidRPr="001476B6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  <w:r w:rsidRPr="001476B6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B9AE1" w14:textId="7A9698C9" w:rsidR="00364284" w:rsidRPr="00890573" w:rsidRDefault="00364284" w:rsidP="00364284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890573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59264" behindDoc="0" locked="0" layoutInCell="1" allowOverlap="1" wp14:anchorId="35518E5E" wp14:editId="14CF83D1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0573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  <w:r w:rsidRPr="00890573">
      <w:rPr>
        <w:rFonts w:ascii="Arial" w:eastAsia="Calibri" w:hAnsi="Arial" w:cs="Arial"/>
        <w:noProof/>
        <w:sz w:val="16"/>
        <w:szCs w:val="16"/>
        <w:lang w:val="cs-CZ" w:eastAsia="en-US"/>
      </w:rPr>
      <w:tab/>
    </w:r>
    <w:r w:rsidRPr="00890573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890573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890573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2142D6">
      <w:rPr>
        <w:rFonts w:ascii="Arial" w:eastAsia="Calibri" w:hAnsi="Arial" w:cs="Arial"/>
        <w:noProof/>
        <w:sz w:val="16"/>
        <w:szCs w:val="16"/>
        <w:lang w:val="cs-CZ" w:eastAsia="en-US"/>
      </w:rPr>
      <w:t>1</w:t>
    </w:r>
    <w:r w:rsidRPr="00890573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EC69A" w14:textId="77777777" w:rsidR="00267E54" w:rsidRDefault="00267E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E4B62" w14:textId="77777777" w:rsidR="000B5D63" w:rsidRDefault="000B5D63">
      <w:r>
        <w:separator/>
      </w:r>
    </w:p>
  </w:footnote>
  <w:footnote w:type="continuationSeparator" w:id="0">
    <w:p w14:paraId="156066B6" w14:textId="77777777" w:rsidR="000B5D63" w:rsidRDefault="000B5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D7031" w14:textId="77777777" w:rsidR="00267E54" w:rsidRPr="00267E54" w:rsidRDefault="00267E54" w:rsidP="00267E54">
    <w:pPr>
      <w:spacing w:line="288" w:lineRule="auto"/>
      <w:rPr>
        <w:rFonts w:ascii="Arial" w:eastAsia="Calibri" w:hAnsi="Arial"/>
        <w:sz w:val="16"/>
        <w:szCs w:val="22"/>
        <w:lang w:val="cs-CZ" w:eastAsia="en-US"/>
      </w:rPr>
    </w:pPr>
    <w:r w:rsidRPr="00267E54">
      <w:rPr>
        <w:rFonts w:ascii="Arial" w:eastAsia="Calibri" w:hAnsi="Arial"/>
        <w:sz w:val="16"/>
        <w:szCs w:val="22"/>
        <w:lang w:val="cs-CZ" w:eastAsia="en-US"/>
      </w:rPr>
      <w:t>Integrované šetření v zemědělství – analytické vyhodnocení</w:t>
    </w:r>
  </w:p>
  <w:p w14:paraId="7A45D9EB" w14:textId="1A9E7E4C" w:rsidR="00267E54" w:rsidRDefault="00267E54" w:rsidP="00267E54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267E54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267E54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267E54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267E54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267E54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267E54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267E54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267E54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267E54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  <w:p w14:paraId="4D5FF24A" w14:textId="77777777" w:rsidR="00267E54" w:rsidRDefault="00267E54" w:rsidP="00267E54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2135" w14:textId="77777777" w:rsidR="00890573" w:rsidRPr="00890573" w:rsidRDefault="00890573" w:rsidP="00890573">
    <w:pPr>
      <w:spacing w:line="288" w:lineRule="auto"/>
      <w:rPr>
        <w:rFonts w:ascii="Arial" w:eastAsia="Calibri" w:hAnsi="Arial"/>
        <w:sz w:val="16"/>
        <w:szCs w:val="22"/>
        <w:lang w:val="cs-CZ" w:eastAsia="en-US"/>
      </w:rPr>
    </w:pPr>
    <w:r w:rsidRPr="00890573">
      <w:rPr>
        <w:rFonts w:ascii="Arial" w:eastAsia="Calibri" w:hAnsi="Arial"/>
        <w:sz w:val="16"/>
        <w:szCs w:val="22"/>
        <w:lang w:val="cs-CZ" w:eastAsia="en-US"/>
      </w:rPr>
      <w:t>Integrované šetření v zemědělství – analytické vyhodnocení</w:t>
    </w:r>
  </w:p>
  <w:p w14:paraId="66BBD9ED" w14:textId="77777777" w:rsidR="00890573" w:rsidRPr="00890573" w:rsidRDefault="00890573" w:rsidP="00890573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890573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890573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90573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890573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90573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890573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890573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890573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90573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  <w:p w14:paraId="38F46BCD" w14:textId="77777777" w:rsidR="00267E54" w:rsidRDefault="00267E5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A212B" w14:textId="77777777" w:rsidR="00267E54" w:rsidRDefault="00267E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474484"/>
    <w:multiLevelType w:val="hybridMultilevel"/>
    <w:tmpl w:val="A30EBF22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7575"/>
    <w:multiLevelType w:val="hybridMultilevel"/>
    <w:tmpl w:val="CA4A36D8"/>
    <w:lvl w:ilvl="0" w:tplc="14D0C2E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1B416D"/>
    <w:multiLevelType w:val="hybridMultilevel"/>
    <w:tmpl w:val="61987278"/>
    <w:lvl w:ilvl="0" w:tplc="5970B0B2">
      <w:start w:val="1"/>
      <w:numFmt w:val="bullet"/>
      <w:pStyle w:val="Sodrkami2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45"/>
    <w:rsid w:val="00001415"/>
    <w:rsid w:val="00004453"/>
    <w:rsid w:val="00006D4A"/>
    <w:rsid w:val="000078F2"/>
    <w:rsid w:val="00011F50"/>
    <w:rsid w:val="000169A7"/>
    <w:rsid w:val="00016E26"/>
    <w:rsid w:val="00017333"/>
    <w:rsid w:val="00020530"/>
    <w:rsid w:val="00031B05"/>
    <w:rsid w:val="00036A1B"/>
    <w:rsid w:val="00037474"/>
    <w:rsid w:val="00043DD8"/>
    <w:rsid w:val="00044275"/>
    <w:rsid w:val="00044285"/>
    <w:rsid w:val="00052634"/>
    <w:rsid w:val="00057EED"/>
    <w:rsid w:val="00062416"/>
    <w:rsid w:val="00063761"/>
    <w:rsid w:val="00066DF4"/>
    <w:rsid w:val="00067E18"/>
    <w:rsid w:val="000758AF"/>
    <w:rsid w:val="000871EB"/>
    <w:rsid w:val="00097126"/>
    <w:rsid w:val="000A5AFA"/>
    <w:rsid w:val="000B2549"/>
    <w:rsid w:val="000B5D63"/>
    <w:rsid w:val="000B6A87"/>
    <w:rsid w:val="000C47EA"/>
    <w:rsid w:val="000D0BDC"/>
    <w:rsid w:val="000D310D"/>
    <w:rsid w:val="000E1999"/>
    <w:rsid w:val="000E2F59"/>
    <w:rsid w:val="000E5CB2"/>
    <w:rsid w:val="000F6B59"/>
    <w:rsid w:val="001000D4"/>
    <w:rsid w:val="00124C57"/>
    <w:rsid w:val="001251C0"/>
    <w:rsid w:val="00127794"/>
    <w:rsid w:val="00132296"/>
    <w:rsid w:val="001325A6"/>
    <w:rsid w:val="00134C1A"/>
    <w:rsid w:val="00142920"/>
    <w:rsid w:val="00143B57"/>
    <w:rsid w:val="0014492F"/>
    <w:rsid w:val="001476B6"/>
    <w:rsid w:val="0015009E"/>
    <w:rsid w:val="00152C8D"/>
    <w:rsid w:val="00157197"/>
    <w:rsid w:val="0016278A"/>
    <w:rsid w:val="00172A62"/>
    <w:rsid w:val="00174563"/>
    <w:rsid w:val="00181E2F"/>
    <w:rsid w:val="00182D6D"/>
    <w:rsid w:val="00186490"/>
    <w:rsid w:val="00190C4A"/>
    <w:rsid w:val="00194AE4"/>
    <w:rsid w:val="001979DC"/>
    <w:rsid w:val="001A1D0B"/>
    <w:rsid w:val="001B3B51"/>
    <w:rsid w:val="001B70FE"/>
    <w:rsid w:val="001C6C1E"/>
    <w:rsid w:val="001D43AC"/>
    <w:rsid w:val="001E2A1C"/>
    <w:rsid w:val="001E6F0E"/>
    <w:rsid w:val="001F3134"/>
    <w:rsid w:val="001F35CA"/>
    <w:rsid w:val="00204CFF"/>
    <w:rsid w:val="00212068"/>
    <w:rsid w:val="002142D6"/>
    <w:rsid w:val="00220231"/>
    <w:rsid w:val="00222D88"/>
    <w:rsid w:val="002255DC"/>
    <w:rsid w:val="00231177"/>
    <w:rsid w:val="002316CB"/>
    <w:rsid w:val="00237D3F"/>
    <w:rsid w:val="00244CD1"/>
    <w:rsid w:val="00250179"/>
    <w:rsid w:val="002503BC"/>
    <w:rsid w:val="00267E54"/>
    <w:rsid w:val="00271E0C"/>
    <w:rsid w:val="00272617"/>
    <w:rsid w:val="002734B9"/>
    <w:rsid w:val="00273717"/>
    <w:rsid w:val="0028589E"/>
    <w:rsid w:val="00295DA5"/>
    <w:rsid w:val="002A0131"/>
    <w:rsid w:val="002A2840"/>
    <w:rsid w:val="002A2E95"/>
    <w:rsid w:val="002A3EF8"/>
    <w:rsid w:val="002B2926"/>
    <w:rsid w:val="002B342F"/>
    <w:rsid w:val="002B3E17"/>
    <w:rsid w:val="002B45F7"/>
    <w:rsid w:val="002B796E"/>
    <w:rsid w:val="002C6644"/>
    <w:rsid w:val="002C669F"/>
    <w:rsid w:val="002D2C8B"/>
    <w:rsid w:val="002D4551"/>
    <w:rsid w:val="002E2B1E"/>
    <w:rsid w:val="002F26EF"/>
    <w:rsid w:val="002F4D6B"/>
    <w:rsid w:val="002F6BF6"/>
    <w:rsid w:val="00301003"/>
    <w:rsid w:val="00310CAD"/>
    <w:rsid w:val="00313AA1"/>
    <w:rsid w:val="00313E66"/>
    <w:rsid w:val="0032220A"/>
    <w:rsid w:val="0032478F"/>
    <w:rsid w:val="0032574B"/>
    <w:rsid w:val="003263DA"/>
    <w:rsid w:val="0032701E"/>
    <w:rsid w:val="003275E3"/>
    <w:rsid w:val="00327A1F"/>
    <w:rsid w:val="00330FFF"/>
    <w:rsid w:val="0033463C"/>
    <w:rsid w:val="00337278"/>
    <w:rsid w:val="003437A2"/>
    <w:rsid w:val="003452EC"/>
    <w:rsid w:val="00354059"/>
    <w:rsid w:val="00354D33"/>
    <w:rsid w:val="00356FD6"/>
    <w:rsid w:val="00360FD0"/>
    <w:rsid w:val="00364284"/>
    <w:rsid w:val="00365E79"/>
    <w:rsid w:val="003661FA"/>
    <w:rsid w:val="00371F9A"/>
    <w:rsid w:val="00375E39"/>
    <w:rsid w:val="00377064"/>
    <w:rsid w:val="003770B5"/>
    <w:rsid w:val="00386C7A"/>
    <w:rsid w:val="00386F0E"/>
    <w:rsid w:val="0039740A"/>
    <w:rsid w:val="003A27B9"/>
    <w:rsid w:val="003A28CE"/>
    <w:rsid w:val="003A2E26"/>
    <w:rsid w:val="003C49CD"/>
    <w:rsid w:val="003D3421"/>
    <w:rsid w:val="003D5943"/>
    <w:rsid w:val="003E254A"/>
    <w:rsid w:val="003E4E25"/>
    <w:rsid w:val="003E5637"/>
    <w:rsid w:val="003E6A47"/>
    <w:rsid w:val="003F096B"/>
    <w:rsid w:val="004024B5"/>
    <w:rsid w:val="00403AE0"/>
    <w:rsid w:val="00404ED5"/>
    <w:rsid w:val="0040667A"/>
    <w:rsid w:val="00414989"/>
    <w:rsid w:val="004319C5"/>
    <w:rsid w:val="00437DBD"/>
    <w:rsid w:val="00440271"/>
    <w:rsid w:val="004469A0"/>
    <w:rsid w:val="0045321C"/>
    <w:rsid w:val="00457B9C"/>
    <w:rsid w:val="00464366"/>
    <w:rsid w:val="00466EE2"/>
    <w:rsid w:val="00470560"/>
    <w:rsid w:val="0047591B"/>
    <w:rsid w:val="004765D6"/>
    <w:rsid w:val="004774AC"/>
    <w:rsid w:val="0048454E"/>
    <w:rsid w:val="00485EC2"/>
    <w:rsid w:val="004A0C73"/>
    <w:rsid w:val="004A6EFA"/>
    <w:rsid w:val="004B4D6A"/>
    <w:rsid w:val="004B5DEB"/>
    <w:rsid w:val="004B61C6"/>
    <w:rsid w:val="004C3D8D"/>
    <w:rsid w:val="004C4E05"/>
    <w:rsid w:val="004D3A51"/>
    <w:rsid w:val="004D4680"/>
    <w:rsid w:val="004D586D"/>
    <w:rsid w:val="004D58DA"/>
    <w:rsid w:val="004E748D"/>
    <w:rsid w:val="0050074B"/>
    <w:rsid w:val="00500EFF"/>
    <w:rsid w:val="00501CD5"/>
    <w:rsid w:val="005040A8"/>
    <w:rsid w:val="005315ED"/>
    <w:rsid w:val="0053227C"/>
    <w:rsid w:val="00541306"/>
    <w:rsid w:val="00542853"/>
    <w:rsid w:val="00550B7C"/>
    <w:rsid w:val="00551A9D"/>
    <w:rsid w:val="005528B5"/>
    <w:rsid w:val="00555F7A"/>
    <w:rsid w:val="005560A6"/>
    <w:rsid w:val="005632DD"/>
    <w:rsid w:val="00564295"/>
    <w:rsid w:val="005769F9"/>
    <w:rsid w:val="00580B08"/>
    <w:rsid w:val="00586874"/>
    <w:rsid w:val="00591D84"/>
    <w:rsid w:val="00593FBD"/>
    <w:rsid w:val="00597F4D"/>
    <w:rsid w:val="005A11F0"/>
    <w:rsid w:val="005B502F"/>
    <w:rsid w:val="005C53A9"/>
    <w:rsid w:val="005C65F2"/>
    <w:rsid w:val="005C6AE9"/>
    <w:rsid w:val="005C7F82"/>
    <w:rsid w:val="005D10F6"/>
    <w:rsid w:val="005E0AC8"/>
    <w:rsid w:val="005E2B86"/>
    <w:rsid w:val="005F7716"/>
    <w:rsid w:val="006047E1"/>
    <w:rsid w:val="00622829"/>
    <w:rsid w:val="006246A6"/>
    <w:rsid w:val="0064570A"/>
    <w:rsid w:val="00661A14"/>
    <w:rsid w:val="00663E77"/>
    <w:rsid w:val="006658EC"/>
    <w:rsid w:val="00674093"/>
    <w:rsid w:val="006746DF"/>
    <w:rsid w:val="00683F54"/>
    <w:rsid w:val="00693723"/>
    <w:rsid w:val="006A191C"/>
    <w:rsid w:val="006A4CB0"/>
    <w:rsid w:val="006A69E9"/>
    <w:rsid w:val="006B3F36"/>
    <w:rsid w:val="006B49B1"/>
    <w:rsid w:val="006B70FB"/>
    <w:rsid w:val="006D0A1C"/>
    <w:rsid w:val="006D3D13"/>
    <w:rsid w:val="006D3E45"/>
    <w:rsid w:val="006F1857"/>
    <w:rsid w:val="006F1BA5"/>
    <w:rsid w:val="006F3652"/>
    <w:rsid w:val="006F4326"/>
    <w:rsid w:val="006F727A"/>
    <w:rsid w:val="00712FB1"/>
    <w:rsid w:val="00714D7B"/>
    <w:rsid w:val="00714E5A"/>
    <w:rsid w:val="00716119"/>
    <w:rsid w:val="007165C0"/>
    <w:rsid w:val="00721BA3"/>
    <w:rsid w:val="00732CC8"/>
    <w:rsid w:val="00734E0F"/>
    <w:rsid w:val="00737202"/>
    <w:rsid w:val="00740DF4"/>
    <w:rsid w:val="00746008"/>
    <w:rsid w:val="0074782C"/>
    <w:rsid w:val="007509E2"/>
    <w:rsid w:val="00753CC1"/>
    <w:rsid w:val="00756248"/>
    <w:rsid w:val="00757D09"/>
    <w:rsid w:val="00762ACA"/>
    <w:rsid w:val="007658C4"/>
    <w:rsid w:val="00765F26"/>
    <w:rsid w:val="00767053"/>
    <w:rsid w:val="0077166C"/>
    <w:rsid w:val="00772607"/>
    <w:rsid w:val="00773374"/>
    <w:rsid w:val="00777D49"/>
    <w:rsid w:val="00782F5C"/>
    <w:rsid w:val="007875A3"/>
    <w:rsid w:val="007959F1"/>
    <w:rsid w:val="00797378"/>
    <w:rsid w:val="00797F74"/>
    <w:rsid w:val="007B4499"/>
    <w:rsid w:val="007C2567"/>
    <w:rsid w:val="007C26E7"/>
    <w:rsid w:val="007D3E4B"/>
    <w:rsid w:val="007E02AC"/>
    <w:rsid w:val="007E052A"/>
    <w:rsid w:val="007E22E4"/>
    <w:rsid w:val="007E30C7"/>
    <w:rsid w:val="007E3940"/>
    <w:rsid w:val="007E6A0F"/>
    <w:rsid w:val="007F3616"/>
    <w:rsid w:val="007F7814"/>
    <w:rsid w:val="0081594B"/>
    <w:rsid w:val="00816A3B"/>
    <w:rsid w:val="00820756"/>
    <w:rsid w:val="00821066"/>
    <w:rsid w:val="008233C8"/>
    <w:rsid w:val="00823C07"/>
    <w:rsid w:val="00834E1F"/>
    <w:rsid w:val="008418BF"/>
    <w:rsid w:val="00865DB7"/>
    <w:rsid w:val="0086646F"/>
    <w:rsid w:val="008813E4"/>
    <w:rsid w:val="00881493"/>
    <w:rsid w:val="00890573"/>
    <w:rsid w:val="00893A2F"/>
    <w:rsid w:val="008A11B4"/>
    <w:rsid w:val="008B05EE"/>
    <w:rsid w:val="008B3710"/>
    <w:rsid w:val="008C3E3B"/>
    <w:rsid w:val="008D4B18"/>
    <w:rsid w:val="008E26A4"/>
    <w:rsid w:val="008E503F"/>
    <w:rsid w:val="008E7795"/>
    <w:rsid w:val="008F6214"/>
    <w:rsid w:val="0090609A"/>
    <w:rsid w:val="0092256D"/>
    <w:rsid w:val="009417B7"/>
    <w:rsid w:val="009432DD"/>
    <w:rsid w:val="00951AA2"/>
    <w:rsid w:val="00956D52"/>
    <w:rsid w:val="009570E3"/>
    <w:rsid w:val="00962F63"/>
    <w:rsid w:val="00963C3A"/>
    <w:rsid w:val="00965AD2"/>
    <w:rsid w:val="00976380"/>
    <w:rsid w:val="0099072B"/>
    <w:rsid w:val="009B203E"/>
    <w:rsid w:val="009B3BD3"/>
    <w:rsid w:val="009B7DE5"/>
    <w:rsid w:val="009C2B92"/>
    <w:rsid w:val="009C70ED"/>
    <w:rsid w:val="009C79B2"/>
    <w:rsid w:val="009D0777"/>
    <w:rsid w:val="009F2C4F"/>
    <w:rsid w:val="009F60C0"/>
    <w:rsid w:val="009F7693"/>
    <w:rsid w:val="00A01732"/>
    <w:rsid w:val="00A13AEE"/>
    <w:rsid w:val="00A14996"/>
    <w:rsid w:val="00A16CAF"/>
    <w:rsid w:val="00A205F1"/>
    <w:rsid w:val="00A372D1"/>
    <w:rsid w:val="00A40145"/>
    <w:rsid w:val="00A438A3"/>
    <w:rsid w:val="00A47654"/>
    <w:rsid w:val="00A50A1D"/>
    <w:rsid w:val="00A5437D"/>
    <w:rsid w:val="00A55DE3"/>
    <w:rsid w:val="00A57A25"/>
    <w:rsid w:val="00A60B3B"/>
    <w:rsid w:val="00A66403"/>
    <w:rsid w:val="00A7253C"/>
    <w:rsid w:val="00A840C3"/>
    <w:rsid w:val="00A90268"/>
    <w:rsid w:val="00A90C0C"/>
    <w:rsid w:val="00A923F0"/>
    <w:rsid w:val="00A93673"/>
    <w:rsid w:val="00A97468"/>
    <w:rsid w:val="00AA008F"/>
    <w:rsid w:val="00AA3568"/>
    <w:rsid w:val="00AB011A"/>
    <w:rsid w:val="00AB7F07"/>
    <w:rsid w:val="00AC0E11"/>
    <w:rsid w:val="00AC2BE6"/>
    <w:rsid w:val="00AD1317"/>
    <w:rsid w:val="00AD1D20"/>
    <w:rsid w:val="00AD1F47"/>
    <w:rsid w:val="00AE03BC"/>
    <w:rsid w:val="00AE093F"/>
    <w:rsid w:val="00AE0A14"/>
    <w:rsid w:val="00AE2321"/>
    <w:rsid w:val="00AE4F8A"/>
    <w:rsid w:val="00AE6A49"/>
    <w:rsid w:val="00AF05BD"/>
    <w:rsid w:val="00AF0901"/>
    <w:rsid w:val="00AF1922"/>
    <w:rsid w:val="00AF1D1A"/>
    <w:rsid w:val="00B056FC"/>
    <w:rsid w:val="00B05882"/>
    <w:rsid w:val="00B1124F"/>
    <w:rsid w:val="00B17E06"/>
    <w:rsid w:val="00B20A75"/>
    <w:rsid w:val="00B233E3"/>
    <w:rsid w:val="00B25E5A"/>
    <w:rsid w:val="00B31604"/>
    <w:rsid w:val="00B31E17"/>
    <w:rsid w:val="00B33E1E"/>
    <w:rsid w:val="00B37804"/>
    <w:rsid w:val="00B40FA8"/>
    <w:rsid w:val="00B44059"/>
    <w:rsid w:val="00B5210A"/>
    <w:rsid w:val="00B529F1"/>
    <w:rsid w:val="00B55002"/>
    <w:rsid w:val="00B616B1"/>
    <w:rsid w:val="00B62260"/>
    <w:rsid w:val="00B64E1E"/>
    <w:rsid w:val="00B64FAF"/>
    <w:rsid w:val="00B67059"/>
    <w:rsid w:val="00B73935"/>
    <w:rsid w:val="00B8075F"/>
    <w:rsid w:val="00B81449"/>
    <w:rsid w:val="00B8446B"/>
    <w:rsid w:val="00B873C6"/>
    <w:rsid w:val="00B93789"/>
    <w:rsid w:val="00B93807"/>
    <w:rsid w:val="00B939FE"/>
    <w:rsid w:val="00B96005"/>
    <w:rsid w:val="00BA1C75"/>
    <w:rsid w:val="00BA4A36"/>
    <w:rsid w:val="00BA7836"/>
    <w:rsid w:val="00BD3E23"/>
    <w:rsid w:val="00BE1C7D"/>
    <w:rsid w:val="00BE42BE"/>
    <w:rsid w:val="00BF6E03"/>
    <w:rsid w:val="00C017F1"/>
    <w:rsid w:val="00C10AF0"/>
    <w:rsid w:val="00C14CE7"/>
    <w:rsid w:val="00C157D8"/>
    <w:rsid w:val="00C16723"/>
    <w:rsid w:val="00C22AD5"/>
    <w:rsid w:val="00C22DEA"/>
    <w:rsid w:val="00C30B5F"/>
    <w:rsid w:val="00C311CE"/>
    <w:rsid w:val="00C4024E"/>
    <w:rsid w:val="00C439EC"/>
    <w:rsid w:val="00C453D5"/>
    <w:rsid w:val="00C46B32"/>
    <w:rsid w:val="00C62101"/>
    <w:rsid w:val="00C648C9"/>
    <w:rsid w:val="00C669A0"/>
    <w:rsid w:val="00C70E0A"/>
    <w:rsid w:val="00C72152"/>
    <w:rsid w:val="00C7263F"/>
    <w:rsid w:val="00C77EF7"/>
    <w:rsid w:val="00C804AE"/>
    <w:rsid w:val="00C914D5"/>
    <w:rsid w:val="00C94974"/>
    <w:rsid w:val="00CA341B"/>
    <w:rsid w:val="00CA42A4"/>
    <w:rsid w:val="00CA56E3"/>
    <w:rsid w:val="00CA7889"/>
    <w:rsid w:val="00CB2F12"/>
    <w:rsid w:val="00CC0CD9"/>
    <w:rsid w:val="00CC5C36"/>
    <w:rsid w:val="00CC6EE9"/>
    <w:rsid w:val="00CE0FB8"/>
    <w:rsid w:val="00CE52C1"/>
    <w:rsid w:val="00CF4136"/>
    <w:rsid w:val="00CF7977"/>
    <w:rsid w:val="00D0412F"/>
    <w:rsid w:val="00D06769"/>
    <w:rsid w:val="00D07AA2"/>
    <w:rsid w:val="00D21A9E"/>
    <w:rsid w:val="00D221EB"/>
    <w:rsid w:val="00D27F8D"/>
    <w:rsid w:val="00D3345E"/>
    <w:rsid w:val="00D420B5"/>
    <w:rsid w:val="00D51053"/>
    <w:rsid w:val="00D6155F"/>
    <w:rsid w:val="00D623F0"/>
    <w:rsid w:val="00D665C4"/>
    <w:rsid w:val="00D66E39"/>
    <w:rsid w:val="00D71C87"/>
    <w:rsid w:val="00D747AF"/>
    <w:rsid w:val="00D83179"/>
    <w:rsid w:val="00D83336"/>
    <w:rsid w:val="00D8429D"/>
    <w:rsid w:val="00D852D5"/>
    <w:rsid w:val="00D91451"/>
    <w:rsid w:val="00D976A1"/>
    <w:rsid w:val="00DA245D"/>
    <w:rsid w:val="00DA4D46"/>
    <w:rsid w:val="00DC78ED"/>
    <w:rsid w:val="00DD5E6B"/>
    <w:rsid w:val="00DE7EAB"/>
    <w:rsid w:val="00DF43DB"/>
    <w:rsid w:val="00DF670D"/>
    <w:rsid w:val="00E06056"/>
    <w:rsid w:val="00E154C1"/>
    <w:rsid w:val="00E17ACD"/>
    <w:rsid w:val="00E22908"/>
    <w:rsid w:val="00E34FD8"/>
    <w:rsid w:val="00E41895"/>
    <w:rsid w:val="00E41C53"/>
    <w:rsid w:val="00E44491"/>
    <w:rsid w:val="00E45789"/>
    <w:rsid w:val="00E51E91"/>
    <w:rsid w:val="00E56B27"/>
    <w:rsid w:val="00E646D9"/>
    <w:rsid w:val="00E65E78"/>
    <w:rsid w:val="00E674C0"/>
    <w:rsid w:val="00E71600"/>
    <w:rsid w:val="00E72332"/>
    <w:rsid w:val="00E72722"/>
    <w:rsid w:val="00E72CDC"/>
    <w:rsid w:val="00E73374"/>
    <w:rsid w:val="00E76644"/>
    <w:rsid w:val="00E864F9"/>
    <w:rsid w:val="00E94B1F"/>
    <w:rsid w:val="00EA6803"/>
    <w:rsid w:val="00EB0A90"/>
    <w:rsid w:val="00EB7E21"/>
    <w:rsid w:val="00EC4A56"/>
    <w:rsid w:val="00EC6594"/>
    <w:rsid w:val="00ED0E69"/>
    <w:rsid w:val="00ED182E"/>
    <w:rsid w:val="00ED45D9"/>
    <w:rsid w:val="00EE06BB"/>
    <w:rsid w:val="00EE4255"/>
    <w:rsid w:val="00EE472C"/>
    <w:rsid w:val="00EE52FD"/>
    <w:rsid w:val="00EF3D74"/>
    <w:rsid w:val="00EF3DF0"/>
    <w:rsid w:val="00EF483D"/>
    <w:rsid w:val="00EF6352"/>
    <w:rsid w:val="00F02572"/>
    <w:rsid w:val="00F03D50"/>
    <w:rsid w:val="00F05C2E"/>
    <w:rsid w:val="00F116F3"/>
    <w:rsid w:val="00F170B6"/>
    <w:rsid w:val="00F21D4B"/>
    <w:rsid w:val="00F24AC7"/>
    <w:rsid w:val="00F251E1"/>
    <w:rsid w:val="00F33623"/>
    <w:rsid w:val="00F35B56"/>
    <w:rsid w:val="00F410AD"/>
    <w:rsid w:val="00F4460C"/>
    <w:rsid w:val="00F5134A"/>
    <w:rsid w:val="00F53D3D"/>
    <w:rsid w:val="00F6030A"/>
    <w:rsid w:val="00F63DFC"/>
    <w:rsid w:val="00F70B6B"/>
    <w:rsid w:val="00F72527"/>
    <w:rsid w:val="00F753C8"/>
    <w:rsid w:val="00F829D4"/>
    <w:rsid w:val="00F82DCE"/>
    <w:rsid w:val="00F97A4A"/>
    <w:rsid w:val="00FA1317"/>
    <w:rsid w:val="00FA1990"/>
    <w:rsid w:val="00FB45CD"/>
    <w:rsid w:val="00FC2A3E"/>
    <w:rsid w:val="00FC708F"/>
    <w:rsid w:val="00FD1F8B"/>
    <w:rsid w:val="00FD70E3"/>
    <w:rsid w:val="00FE705D"/>
    <w:rsid w:val="00FE7AED"/>
    <w:rsid w:val="00FF0DC9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C425B"/>
  <w15:docId w15:val="{AE651E2B-E52F-4835-9C06-7EF3D716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4F9"/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F753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C804AE"/>
    <w:pPr>
      <w:keepNext/>
      <w:spacing w:before="240" w:after="60" w:line="36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A40145"/>
    <w:rPr>
      <w:sz w:val="20"/>
      <w:szCs w:val="20"/>
    </w:rPr>
  </w:style>
  <w:style w:type="character" w:styleId="Znakapoznpodarou">
    <w:name w:val="footnote reference"/>
    <w:semiHidden/>
    <w:rsid w:val="00A40145"/>
    <w:rPr>
      <w:vertAlign w:val="superscript"/>
    </w:rPr>
  </w:style>
  <w:style w:type="paragraph" w:styleId="Zpat">
    <w:name w:val="footer"/>
    <w:basedOn w:val="Normln"/>
    <w:rsid w:val="009F2C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2C4F"/>
  </w:style>
  <w:style w:type="paragraph" w:styleId="Normlnweb">
    <w:name w:val="Normal (Web)"/>
    <w:basedOn w:val="Normln"/>
    <w:rsid w:val="00C804AE"/>
    <w:pPr>
      <w:spacing w:before="120" w:line="360" w:lineRule="auto"/>
      <w:ind w:firstLine="567"/>
      <w:jc w:val="both"/>
    </w:pPr>
    <w:rPr>
      <w:lang w:val="cs-CZ"/>
    </w:rPr>
  </w:style>
  <w:style w:type="table" w:styleId="Mkatabulky">
    <w:name w:val="Table Grid"/>
    <w:basedOn w:val="Normlntabulka"/>
    <w:rsid w:val="00C14CE7"/>
    <w:pPr>
      <w:spacing w:before="120"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drkami2">
    <w:name w:val="S odrážkami 2"/>
    <w:basedOn w:val="Normln"/>
    <w:rsid w:val="0048454E"/>
    <w:pPr>
      <w:numPr>
        <w:numId w:val="2"/>
      </w:numPr>
      <w:spacing w:before="120" w:line="360" w:lineRule="auto"/>
      <w:jc w:val="both"/>
    </w:pPr>
    <w:rPr>
      <w:lang w:val="cs-CZ"/>
    </w:rPr>
  </w:style>
  <w:style w:type="paragraph" w:styleId="Zhlav">
    <w:name w:val="header"/>
    <w:basedOn w:val="Normln"/>
    <w:link w:val="ZhlavChar"/>
    <w:uiPriority w:val="99"/>
    <w:rsid w:val="00D976A1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DA245D"/>
    <w:pPr>
      <w:tabs>
        <w:tab w:val="left" w:pos="480"/>
        <w:tab w:val="right" w:leader="dot" w:pos="9060"/>
      </w:tabs>
      <w:spacing w:line="360" w:lineRule="auto"/>
    </w:pPr>
  </w:style>
  <w:style w:type="character" w:styleId="Hypertextovodkaz">
    <w:name w:val="Hyperlink"/>
    <w:uiPriority w:val="99"/>
    <w:rsid w:val="00B25E5A"/>
    <w:rPr>
      <w:color w:val="0000FF"/>
      <w:u w:val="single"/>
    </w:rPr>
  </w:style>
  <w:style w:type="character" w:customStyle="1" w:styleId="Nadpis1Char">
    <w:name w:val="Nadpis 1 Char"/>
    <w:link w:val="Nadpis1"/>
    <w:rsid w:val="00F753C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Odkaznakoment">
    <w:name w:val="annotation reference"/>
    <w:basedOn w:val="Standardnpsmoodstavce"/>
    <w:semiHidden/>
    <w:unhideWhenUsed/>
    <w:rsid w:val="00AA008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00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A008F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A00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A008F"/>
    <w:rPr>
      <w:b/>
      <w:bCs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267E5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A81FC-0E53-4109-8474-E7ED84B7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4442</CharactersWithSpaces>
  <SharedDoc>false</SharedDoc>
  <HLinks>
    <vt:vector size="36" baseType="variant">
      <vt:variant>
        <vt:i4>1703986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_Toc403568306</vt:lpwstr>
      </vt:variant>
      <vt:variant>
        <vt:i4>1703986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_Toc403568305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_Toc403568304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_Toc403568303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_Toc403568302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_Toc403568301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agricultural holdings broken down by economic size classes</dc:title>
  <dc:creator>Macháčková Jana</dc:creator>
  <cp:lastModifiedBy>Olšovská Jelínková Lucie</cp:lastModifiedBy>
  <cp:revision>16</cp:revision>
  <cp:lastPrinted>2025-05-26T11:23:00Z</cp:lastPrinted>
  <dcterms:created xsi:type="dcterms:W3CDTF">2025-01-29T08:14:00Z</dcterms:created>
  <dcterms:modified xsi:type="dcterms:W3CDTF">2025-05-26T11:23:00Z</dcterms:modified>
</cp:coreProperties>
</file>