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58" w:rsidRPr="009110F7" w:rsidRDefault="000D3058" w:rsidP="000D3058">
      <w:pPr>
        <w:pStyle w:val="Nadpis11"/>
      </w:pPr>
      <w:bookmarkStart w:id="0" w:name="_Toc511215218"/>
      <w:bookmarkStart w:id="1" w:name="_Toc525046024"/>
      <w:bookmarkEnd w:id="0"/>
      <w:r w:rsidRPr="009110F7">
        <w:t>5. Ceny</w:t>
      </w:r>
      <w:bookmarkEnd w:id="1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/>
      </w:tblPr>
      <w:tblGrid>
        <w:gridCol w:w="1888"/>
        <w:gridCol w:w="250"/>
        <w:gridCol w:w="7501"/>
      </w:tblGrid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t>Celková cenová hladina rostla.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rPr>
                <w:szCs w:val="20"/>
              </w:rPr>
            </w:pPr>
            <w:r w:rsidRPr="00793D78">
              <w:rPr>
                <w:szCs w:val="20"/>
              </w:rPr>
              <w:t>Celkový meziroční růst cenové hladiny měřený deflátorem HDP ve 2. čtvrtletí dosáhl 2,3 %. Ovlivnil ho poměrně silný růst cen spotřebních statků (3,6</w:t>
            </w:r>
            <w:r w:rsidR="007B0E83">
              <w:rPr>
                <w:szCs w:val="20"/>
              </w:rPr>
              <w:t> %</w:t>
            </w:r>
            <w:r w:rsidRPr="00793D78">
              <w:rPr>
                <w:szCs w:val="20"/>
              </w:rPr>
              <w:t>). Cenová hladina spotřeby domácností se přitom zvýšila o 2,6</w:t>
            </w:r>
            <w:r w:rsidR="007B0E83">
              <w:rPr>
                <w:szCs w:val="20"/>
              </w:rPr>
              <w:t> %</w:t>
            </w:r>
            <w:r w:rsidRPr="00793D78">
              <w:rPr>
                <w:szCs w:val="20"/>
              </w:rPr>
              <w:t>, vládních institucí o 5,9</w:t>
            </w:r>
            <w:r w:rsidR="007B0E83">
              <w:rPr>
                <w:szCs w:val="20"/>
              </w:rPr>
              <w:t> %</w:t>
            </w:r>
            <w:r w:rsidRPr="00793D78">
              <w:rPr>
                <w:szCs w:val="20"/>
              </w:rPr>
              <w:t xml:space="preserve">. Stagnace probíhala u kapitálových </w:t>
            </w:r>
            <w:proofErr w:type="gramStart"/>
            <w:r w:rsidRPr="00793D78">
              <w:rPr>
                <w:szCs w:val="20"/>
              </w:rPr>
              <w:t>statků (</w:t>
            </w:r>
            <w:r w:rsidR="008625D3">
              <w:rPr>
                <w:szCs w:val="20"/>
              </w:rPr>
              <w:t>–</w:t>
            </w:r>
            <w:r w:rsidRPr="00793D78">
              <w:rPr>
                <w:szCs w:val="20"/>
              </w:rPr>
              <w:t>0,5</w:t>
            </w:r>
            <w:proofErr w:type="gramEnd"/>
            <w:r w:rsidR="007B0E83">
              <w:rPr>
                <w:szCs w:val="20"/>
              </w:rPr>
              <w:t> %</w:t>
            </w:r>
            <w:r w:rsidRPr="00793D78">
              <w:rPr>
                <w:szCs w:val="20"/>
              </w:rPr>
              <w:t>). Jen mírně kladně působily směnné relace (100,3</w:t>
            </w:r>
            <w:r w:rsidR="007B0E83">
              <w:rPr>
                <w:szCs w:val="20"/>
              </w:rPr>
              <w:t> %</w:t>
            </w:r>
            <w:r w:rsidRPr="00793D78">
              <w:rPr>
                <w:szCs w:val="20"/>
              </w:rPr>
              <w:t>).</w:t>
            </w:r>
          </w:p>
        </w:tc>
      </w:tr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t>Růst spotřebitelských cen ve 2. čtvrtletí 2018 zrychlil.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0233D1">
            <w:pPr>
              <w:rPr>
                <w:highlight w:val="yellow"/>
              </w:rPr>
            </w:pPr>
            <w:r w:rsidRPr="00793D78">
              <w:t>Po útlumu v předchozím kvartálu se ve 2. čtvrtletí 2018 meziroční tempo růstu spotřebitelských cen vrátilo nad 2% hranici. Celkově se ve 2. čtvrtletí ceny meziročně zvýšily o 2,3</w:t>
            </w:r>
            <w:r w:rsidR="007B0E83">
              <w:t> %</w:t>
            </w:r>
            <w:r w:rsidRPr="00793D78">
              <w:t xml:space="preserve"> a v jednotlivých měsících měla dynamika vzestupný</w:t>
            </w:r>
            <w:r w:rsidR="00AF6F98" w:rsidRPr="00793D78">
              <w:t xml:space="preserve"> charakter. Za celé 1.</w:t>
            </w:r>
            <w:r w:rsidR="00EB5BF7">
              <w:t xml:space="preserve"> </w:t>
            </w:r>
            <w:r w:rsidRPr="00793D78">
              <w:t>pololetí spotřebitelské ceny meziročně vzrostly o 2,1</w:t>
            </w:r>
            <w:r w:rsidR="007B0E83">
              <w:t> %</w:t>
            </w:r>
            <w:r w:rsidRPr="00793D78">
              <w:t>. Ve</w:t>
            </w:r>
            <w:r w:rsidR="007E4C70" w:rsidRPr="00793D78">
              <w:t> </w:t>
            </w:r>
            <w:r w:rsidRPr="00793D78">
              <w:t>2.</w:t>
            </w:r>
            <w:r w:rsidR="007E4C70" w:rsidRPr="00793D78">
              <w:t> </w:t>
            </w:r>
            <w:r w:rsidRPr="00793D78">
              <w:t>čtvrtletí opět posílil vliv cen bydlení, vody a energií, které nejvíce přispěly k</w:t>
            </w:r>
            <w:r w:rsidR="007E4C70" w:rsidRPr="00793D78">
              <w:t> </w:t>
            </w:r>
            <w:r w:rsidRPr="00793D78">
              <w:t>celkovém</w:t>
            </w:r>
            <w:r w:rsidR="00AF6F98" w:rsidRPr="00793D78">
              <w:t>u</w:t>
            </w:r>
            <w:r w:rsidRPr="00793D78">
              <w:t xml:space="preserve"> nárůstu cen (0,</w:t>
            </w:r>
            <w:r w:rsidR="000233D1">
              <w:t>6</w:t>
            </w:r>
            <w:r w:rsidR="00EA4402">
              <w:t> p. </w:t>
            </w:r>
            <w:proofErr w:type="spellStart"/>
            <w:r w:rsidR="00EA4402">
              <w:t>b</w:t>
            </w:r>
            <w:proofErr w:type="spellEnd"/>
            <w:r w:rsidR="00EA4402">
              <w:t>.</w:t>
            </w:r>
            <w:r w:rsidRPr="00793D78">
              <w:t>). Tempo cenového růstu potravin a</w:t>
            </w:r>
            <w:r w:rsidR="004E6DE6">
              <w:t> </w:t>
            </w:r>
            <w:r w:rsidRPr="00793D78">
              <w:t>nealkoholických nápojů již nedosahuje úrovně minulého roku, i tak však oddíl podpořil celkový růst 0,</w:t>
            </w:r>
            <w:r w:rsidR="000233D1">
              <w:t>5</w:t>
            </w:r>
            <w:r w:rsidR="00EA4402">
              <w:t> p. </w:t>
            </w:r>
            <w:proofErr w:type="spellStart"/>
            <w:r w:rsidR="00EA4402">
              <w:t>b</w:t>
            </w:r>
            <w:proofErr w:type="spellEnd"/>
            <w:r w:rsidR="00EA4402">
              <w:t>.</w:t>
            </w:r>
            <w:r w:rsidRPr="00793D78">
              <w:t xml:space="preserve"> Alkoholické nápoje a tabák a doprava přispěly shodně 0,3</w:t>
            </w:r>
            <w:r w:rsidR="00EA4402">
              <w:t> p. b.</w:t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435C69">
            <w:pPr>
              <w:spacing w:after="0"/>
              <w:rPr>
                <w:b/>
              </w:rPr>
            </w:pP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Graf č. </w:t>
            </w:r>
            <w:proofErr w:type="gramStart"/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="00435C69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Ceny</w:t>
            </w:r>
            <w:proofErr w:type="gramEnd"/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ve vybraných oddílech indexu spotřebitelských cen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(y/y v</w:t>
            </w:r>
            <w:r w:rsidR="007B0E83">
              <w:rPr>
                <w:rFonts w:cs="Arial"/>
                <w:b/>
                <w:color w:val="000000"/>
                <w:sz w:val="18"/>
                <w:szCs w:val="18"/>
              </w:rPr>
              <w:t> %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spacing w:after="0"/>
            </w:pPr>
            <w:r w:rsidRPr="00793D78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2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rPr>
                <w:sz w:val="14"/>
                <w:szCs w:val="14"/>
              </w:rPr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t>Nejvýraznější vliv na celkový růst cen měly náklady na bydlení a</w:t>
            </w:r>
            <w:r w:rsidR="004E6DE6">
              <w:rPr>
                <w:spacing w:val="0"/>
              </w:rPr>
              <w:t> </w:t>
            </w:r>
            <w:r w:rsidRPr="00793D78">
              <w:rPr>
                <w:spacing w:val="0"/>
              </w:rPr>
              <w:t>energie.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0233D1">
            <w:pPr>
              <w:rPr>
                <w:highlight w:val="yellow"/>
              </w:rPr>
            </w:pPr>
            <w:r w:rsidRPr="00793D78">
              <w:t>Akcelerace cen bydlení a energií nepolevila. Ve 2. čtvrtletí jejich meziroční přírůstek dosáhl 2,</w:t>
            </w:r>
            <w:r w:rsidR="000233D1">
              <w:t>6</w:t>
            </w:r>
            <w:r w:rsidR="007B0E83">
              <w:t> %</w:t>
            </w:r>
            <w:r w:rsidRPr="00793D78">
              <w:t xml:space="preserve"> (nejvíce od </w:t>
            </w:r>
            <w:r w:rsidR="000233D1">
              <w:t>1. čtvrtletí 2013</w:t>
            </w:r>
            <w:r w:rsidRPr="00793D78">
              <w:t>). Kromě cen nájemného z bytů, které rostly o 0,6</w:t>
            </w:r>
            <w:r w:rsidR="00EA4402">
              <w:t> p. b.</w:t>
            </w:r>
            <w:r w:rsidRPr="00793D78">
              <w:t xml:space="preserve"> </w:t>
            </w:r>
            <w:proofErr w:type="gramStart"/>
            <w:r w:rsidRPr="00793D78">
              <w:t>rychleji</w:t>
            </w:r>
            <w:proofErr w:type="gramEnd"/>
            <w:r w:rsidRPr="00793D78">
              <w:t xml:space="preserve"> než v předchozím kvartálu (2,9</w:t>
            </w:r>
            <w:r w:rsidR="007B0E83">
              <w:t> %</w:t>
            </w:r>
            <w:r w:rsidRPr="00793D78">
              <w:t>), potvrdily rostoucí trend i</w:t>
            </w:r>
            <w:r w:rsidR="007E4C70" w:rsidRPr="00793D78">
              <w:t> </w:t>
            </w:r>
            <w:r w:rsidRPr="00793D78">
              <w:t>ceny energií (z 1,1</w:t>
            </w:r>
            <w:r w:rsidR="007B0E83">
              <w:t> %</w:t>
            </w:r>
            <w:r w:rsidRPr="00793D78">
              <w:t xml:space="preserve"> na 1,7</w:t>
            </w:r>
            <w:r w:rsidR="007B0E83">
              <w:t> %</w:t>
            </w:r>
            <w:r w:rsidRPr="00793D78">
              <w:t xml:space="preserve"> v</w:t>
            </w:r>
            <w:r w:rsidR="004E6DE6">
              <w:t>e</w:t>
            </w:r>
            <w:r w:rsidRPr="00793D78">
              <w:t xml:space="preserve"> 2. čtvrtletí). Růst imputovaného nájemného již nezrychloval, vysoké tempo se však udrželo (3,8</w:t>
            </w:r>
            <w:r w:rsidR="007B0E83">
              <w:t> %</w:t>
            </w:r>
            <w:r w:rsidRPr="00793D78">
              <w:t>). Spíš než útlum růstu se zde projevuje vyšší srovnávací základna minulého roku, průměrný meziměsíční pří</w:t>
            </w:r>
            <w:r w:rsidR="00AF6F98" w:rsidRPr="00793D78">
              <w:t>růstek ve 2. čtvrtletí činil</w:t>
            </w:r>
            <w:r w:rsidRPr="00793D78">
              <w:t xml:space="preserve"> 0,5</w:t>
            </w:r>
            <w:r w:rsidR="007B0E83">
              <w:t> %</w:t>
            </w:r>
            <w:r w:rsidRPr="00793D78">
              <w:t xml:space="preserve">. </w:t>
            </w:r>
          </w:p>
        </w:tc>
      </w:tr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924871" w:rsidP="009B05B3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t>Dynamika cen bytů nadále zpomalovala.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924871" w:rsidP="007E4C70">
            <w:r w:rsidRPr="00793D78">
              <w:t>Ačkoli ceny bydlení v indexu spotřebitelských cen zrychlovaly, dynamika samotných cen bytů zvolňovala. Realizované ceny starších bytů ve 2. čtvrtletí meziročně vzrostly o</w:t>
            </w:r>
            <w:r w:rsidR="00AF6F98" w:rsidRPr="00793D78">
              <w:t> </w:t>
            </w:r>
            <w:r w:rsidRPr="00793D78">
              <w:t>5,6</w:t>
            </w:r>
            <w:r w:rsidR="00AF6F98" w:rsidRPr="00793D78">
              <w:t> </w:t>
            </w:r>
            <w:r w:rsidRPr="00793D78">
              <w:t>%, což je nejméně od 2. čtvrtletí roku 2015. Ještě výrazněji se propadla dynamika v Praze. Meziroční přírůstek ve 2. čtvrtletí činil 1,0</w:t>
            </w:r>
            <w:r w:rsidR="007B0E83">
              <w:t> %</w:t>
            </w:r>
            <w:r w:rsidRPr="00793D78">
              <w:t xml:space="preserve">, </w:t>
            </w:r>
            <w:proofErr w:type="spellStart"/>
            <w:r w:rsidRPr="00793D78">
              <w:lastRenderedPageBreak/>
              <w:t>mezičtvrtletně</w:t>
            </w:r>
            <w:proofErr w:type="spellEnd"/>
            <w:r w:rsidRPr="00793D78">
              <w:t xml:space="preserve"> se ceny snížily o</w:t>
            </w:r>
            <w:r w:rsidR="00AF6F98" w:rsidRPr="00793D78">
              <w:t> </w:t>
            </w:r>
            <w:r w:rsidRPr="00793D78">
              <w:t>1,6</w:t>
            </w:r>
            <w:r w:rsidR="00AF6F98" w:rsidRPr="00793D78">
              <w:t> </w:t>
            </w:r>
            <w:r w:rsidRPr="00793D78">
              <w:t>%. Je však nutné upozornit, že mluvíme o segmentu starších bytů. U nových bytů (index měřen jen v Praze) došlo ve</w:t>
            </w:r>
            <w:r w:rsidR="007E4C70" w:rsidRPr="00793D78">
              <w:t> </w:t>
            </w:r>
            <w:r w:rsidRPr="00793D78">
              <w:t>2. kvartálu ke zrychlení meziroční dynamiky realizovaných cen na 14,8</w:t>
            </w:r>
            <w:r w:rsidR="007B0E83">
              <w:t> %</w:t>
            </w:r>
            <w:r w:rsidRPr="00793D78">
              <w:t xml:space="preserve">. Meziroční růst nabídkových </w:t>
            </w:r>
            <w:r w:rsidR="00311AA6" w:rsidRPr="00793D78">
              <w:t>cen bytů se lehce zmírnil, stále však zůstal nad hranicí 12</w:t>
            </w:r>
            <w:r w:rsidR="007B0E83">
              <w:t> %</w:t>
            </w:r>
            <w:r w:rsidR="00311AA6" w:rsidRPr="00793D78">
              <w:t xml:space="preserve"> pro celou ČR.</w:t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435C69" w:rsidP="009B05B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Graf č.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11</w:t>
            </w:r>
            <w:r w:rsidR="002F4AD8" w:rsidRPr="00793D78">
              <w:rPr>
                <w:b/>
                <w:sz w:val="18"/>
                <w:szCs w:val="18"/>
                <w:lang w:eastAsia="en-US"/>
              </w:rPr>
              <w:t xml:space="preserve">  Ceny</w:t>
            </w:r>
            <w:proofErr w:type="gramEnd"/>
            <w:r w:rsidR="002F4AD8" w:rsidRPr="00793D78">
              <w:rPr>
                <w:b/>
                <w:sz w:val="18"/>
                <w:szCs w:val="18"/>
                <w:lang w:eastAsia="en-US"/>
              </w:rPr>
              <w:t xml:space="preserve"> nemovitostí (meziroční změna, v</w:t>
            </w:r>
            <w:r w:rsidR="007B0E83">
              <w:rPr>
                <w:b/>
                <w:sz w:val="18"/>
                <w:szCs w:val="18"/>
                <w:lang w:eastAsia="en-US"/>
              </w:rPr>
              <w:t> %</w:t>
            </w:r>
            <w:r w:rsidR="002F4AD8" w:rsidRPr="00793D78">
              <w:rPr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F23E20" w:rsidP="00965797">
            <w:pPr>
              <w:spacing w:after="0"/>
            </w:pPr>
            <w:r w:rsidRPr="00793D78">
              <w:rPr>
                <w:noProof/>
              </w:rPr>
              <w:drawing>
                <wp:inline distT="0" distB="0" distL="0" distR="0">
                  <wp:extent cx="4737600" cy="3553200"/>
                  <wp:effectExtent l="19050" t="0" r="0" b="0"/>
                  <wp:docPr id="2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rPr>
                <w:sz w:val="14"/>
                <w:szCs w:val="14"/>
              </w:rPr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t>U cen potravin a</w:t>
            </w:r>
            <w:r w:rsidR="00827C8E">
              <w:rPr>
                <w:spacing w:val="0"/>
              </w:rPr>
              <w:t> </w:t>
            </w:r>
            <w:r w:rsidRPr="00793D78">
              <w:rPr>
                <w:spacing w:val="0"/>
              </w:rPr>
              <w:t>nealkoholických nápojů rovněž došlo ke zrychlení dynamiky.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r w:rsidRPr="00793D78">
              <w:t>Meziroční nárůst cen potravin a nealkoholických nápojů ve 2. čtvrtletí dosáhl 2,3</w:t>
            </w:r>
            <w:r w:rsidR="007B0E83">
              <w:t> %</w:t>
            </w:r>
            <w:r w:rsidRPr="00793D78">
              <w:t>. To je pomalejší tempo než v 1. čtvrtletí, důvodem je však zejména vysoká srovnávací základna předchozího roku. Po slabém dubnovém výsledku růst cen akceleroval (meziměsíční přírůstky dosáhly 1,0</w:t>
            </w:r>
            <w:r w:rsidR="007B0E83">
              <w:t> %</w:t>
            </w:r>
            <w:r w:rsidRPr="00793D78">
              <w:t xml:space="preserve"> v květnu a 0,5</w:t>
            </w:r>
            <w:r w:rsidR="007B0E83">
              <w:t> %</w:t>
            </w:r>
            <w:r w:rsidRPr="00793D78">
              <w:t xml:space="preserve"> v</w:t>
            </w:r>
            <w:r w:rsidR="00827C8E">
              <w:t> </w:t>
            </w:r>
            <w:r w:rsidRPr="00793D78">
              <w:t>červnu). K meziročnímu růstu cen potravin nejvýrazněji přispěly mléko, sýry a vejce, které ve 2. čtvrtletí zdražily o 5,8</w:t>
            </w:r>
            <w:r w:rsidR="00AF6F98" w:rsidRPr="00793D78">
              <w:t> </w:t>
            </w:r>
            <w:r w:rsidRPr="00793D78">
              <w:t>%. Výrazné bylo i meziroční tempo růstu cen olejů a tuků (8,1</w:t>
            </w:r>
            <w:r w:rsidR="007B0E83">
              <w:t> %</w:t>
            </w:r>
            <w:r w:rsidRPr="00793D78">
              <w:t>) a ovoce (5,5</w:t>
            </w:r>
            <w:r w:rsidR="007B0E83">
              <w:t> %</w:t>
            </w:r>
            <w:r w:rsidRPr="00793D78">
              <w:t>). Ceny alkoholických nápojů a tabáku se zvýšily o 3,6</w:t>
            </w:r>
            <w:r w:rsidR="007B0E83">
              <w:t> %</w:t>
            </w:r>
            <w:r w:rsidRPr="00793D78">
              <w:t>. Pod vlivem rostoucích cen pohonných hmot ve 2. čtvrtletí zrychlil meziroční nárůst cen dopravy (3,0</w:t>
            </w:r>
            <w:r w:rsidR="007B0E83">
              <w:t> %</w:t>
            </w:r>
            <w:r w:rsidRPr="00793D78">
              <w:t>). Ceny samotného provozu osobních dopravních prostředků se zvýšily o</w:t>
            </w:r>
            <w:r w:rsidR="00AF6F98" w:rsidRPr="00793D78">
              <w:t xml:space="preserve"> 4,4</w:t>
            </w:r>
            <w:r w:rsidR="007B0E83">
              <w:t> %</w:t>
            </w:r>
            <w:r w:rsidR="00AF6F98" w:rsidRPr="00793D78">
              <w:t>, ceny nákupu automobilů a </w:t>
            </w:r>
            <w:r w:rsidRPr="00793D78">
              <w:t>ostatních dopravních prostředků si udržely tempo z předc</w:t>
            </w:r>
            <w:r w:rsidR="00AF6F98" w:rsidRPr="00793D78">
              <w:t>hozího čtvrtletí (2,5</w:t>
            </w:r>
            <w:r w:rsidR="007B0E83">
              <w:t> %</w:t>
            </w:r>
            <w:r w:rsidR="00AF6F98" w:rsidRPr="00793D78">
              <w:t>).</w:t>
            </w:r>
          </w:p>
        </w:tc>
      </w:tr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t>Po slabém růstu na</w:t>
            </w:r>
            <w:r w:rsidR="00367F84">
              <w:rPr>
                <w:spacing w:val="0"/>
              </w:rPr>
              <w:t> </w:t>
            </w:r>
            <w:r w:rsidRPr="00793D78">
              <w:rPr>
                <w:spacing w:val="0"/>
              </w:rPr>
              <w:t>začátku roku spotřebitelské ceny v EU opět zrychlily.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793D78" w:rsidRDefault="002F4AD8" w:rsidP="00793D78">
            <w:pPr>
              <w:spacing w:after="0"/>
            </w:pPr>
            <w:r w:rsidRPr="00793D78">
              <w:t>Meziroční přírůstek indexu spotřebitelských cen v Evropské unii ve 2. čtvrtletí dosáhl 1,8</w:t>
            </w:r>
            <w:r w:rsidR="007B0E83">
              <w:t> %</w:t>
            </w:r>
            <w:r w:rsidRPr="00793D78">
              <w:t xml:space="preserve"> a v porovnání s předchozím kvartálem tempo zrychlilo. Klíčovým faktorem pro posílení cenového růstu byly náklady na dopravu, mírné zrychlení se však týkalo i</w:t>
            </w:r>
            <w:r w:rsidR="00827C8E">
              <w:t> </w:t>
            </w:r>
            <w:r w:rsidRPr="00793D78">
              <w:t>cen potravin a nealkoholických nápojů nebo bydlení a energií. Poměrně silně se zvyšovaly i</w:t>
            </w:r>
            <w:r w:rsidR="00827C8E">
              <w:t xml:space="preserve"> </w:t>
            </w:r>
            <w:r w:rsidRPr="00793D78">
              <w:t>ceny alkoholických nápojů. Nejrychleji rostly spotřebitelské ceny v Rumunsku (4,5</w:t>
            </w:r>
            <w:r w:rsidR="007B0E83">
              <w:t> %</w:t>
            </w:r>
            <w:r w:rsidRPr="00793D78">
              <w:t>), Estonsku (3,3</w:t>
            </w:r>
            <w:r w:rsidR="007B0E83">
              <w:t> %</w:t>
            </w:r>
            <w:r w:rsidRPr="00793D78">
              <w:t>) a na Slovensku (2,9</w:t>
            </w:r>
            <w:r w:rsidR="007B0E83">
              <w:t> %</w:t>
            </w:r>
            <w:r w:rsidRPr="00793D78">
              <w:t>). Méně než 1% přírůstku dosahovaly ceny v Irsku (0,4</w:t>
            </w:r>
            <w:r w:rsidR="007B0E83">
              <w:t> %</w:t>
            </w:r>
            <w:r w:rsidRPr="00793D78">
              <w:t>), Řecku (0,7</w:t>
            </w:r>
            <w:r w:rsidR="007B0E83">
              <w:t> %</w:t>
            </w:r>
            <w:r w:rsidRPr="00793D78">
              <w:t>), na Kypru (0,8</w:t>
            </w:r>
            <w:r w:rsidR="007B0E83">
              <w:t> %</w:t>
            </w:r>
            <w:r w:rsidRPr="00793D78">
              <w:t>) a</w:t>
            </w:r>
            <w:r w:rsidR="00367F84">
              <w:t> </w:t>
            </w:r>
            <w:r w:rsidRPr="00793D78">
              <w:t>v Dánsku (0,9</w:t>
            </w:r>
            <w:r w:rsidR="007B0E83">
              <w:t> %</w:t>
            </w:r>
            <w:r w:rsidRPr="00793D78">
              <w:t>).</w:t>
            </w:r>
          </w:p>
          <w:p w:rsidR="00793D78" w:rsidRDefault="00793D78" w:rsidP="00793D78">
            <w:pPr>
              <w:spacing w:after="0"/>
            </w:pPr>
          </w:p>
          <w:p w:rsidR="00793D78" w:rsidRDefault="00793D78" w:rsidP="00793D78">
            <w:pPr>
              <w:spacing w:after="0"/>
            </w:pPr>
          </w:p>
          <w:p w:rsidR="00793D78" w:rsidRDefault="00793D78" w:rsidP="00793D78">
            <w:pPr>
              <w:spacing w:after="0"/>
            </w:pPr>
          </w:p>
          <w:p w:rsidR="00793D78" w:rsidRPr="00793D78" w:rsidRDefault="00793D78" w:rsidP="00793D78">
            <w:pPr>
              <w:spacing w:after="0"/>
            </w:pP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435C69" w:rsidP="009B05B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Graf č. </w:t>
            </w:r>
            <w:proofErr w:type="gramStart"/>
            <w:r>
              <w:rPr>
                <w:b/>
                <w:sz w:val="18"/>
                <w:szCs w:val="18"/>
              </w:rPr>
              <w:t>12</w:t>
            </w:r>
            <w:r w:rsidR="002F4AD8" w:rsidRPr="00793D78">
              <w:rPr>
                <w:b/>
                <w:sz w:val="18"/>
                <w:szCs w:val="18"/>
              </w:rPr>
              <w:t xml:space="preserve">  </w:t>
            </w:r>
            <w:r w:rsidR="002F4AD8" w:rsidRPr="00793D78">
              <w:rPr>
                <w:b/>
                <w:sz w:val="18"/>
                <w:szCs w:val="18"/>
                <w:lang w:eastAsia="en-US"/>
              </w:rPr>
              <w:t>Ceny</w:t>
            </w:r>
            <w:proofErr w:type="gramEnd"/>
            <w:r w:rsidR="002F4AD8" w:rsidRPr="00793D78">
              <w:rPr>
                <w:b/>
                <w:sz w:val="18"/>
                <w:szCs w:val="18"/>
                <w:lang w:eastAsia="en-US"/>
              </w:rPr>
              <w:t xml:space="preserve"> hlavních skupin průmyslových výrobců (meziroční změna, v %, podle klasifikace CPA)</w:t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spacing w:after="0"/>
            </w:pPr>
            <w:r w:rsidRPr="00793D78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3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rPr>
                <w:sz w:val="14"/>
                <w:szCs w:val="14"/>
              </w:rPr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t>V cenách průmyslových výrobců hrálo klíčovou roli zvýšení cen ropy.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r w:rsidRPr="00793D78">
              <w:t>Ceny průmyslových výrobců se v 1. čtvrtletí na krátkou dobu dostaly do meziročního poklesu (celkový přírůstek za kvartál pak činil 0,1</w:t>
            </w:r>
            <w:r w:rsidR="007B0E83">
              <w:t> %</w:t>
            </w:r>
            <w:r w:rsidRPr="00793D78">
              <w:t>). Od května však poměrně výrazně zrychlovaly, takže výsledný meziroční přírůstek za celé 2. čtvrtletí dosáhl 1,5</w:t>
            </w:r>
            <w:r w:rsidR="007B0E83">
              <w:t> %</w:t>
            </w:r>
            <w:r w:rsidRPr="00793D78">
              <w:t>. Akcelerovalo meziroční tempo růstu cen výrobků zpracovatelského průmyslu (1,2</w:t>
            </w:r>
            <w:r w:rsidR="007B0E83">
              <w:t> %</w:t>
            </w:r>
            <w:r w:rsidRPr="00793D78">
              <w:t>). Hlavní podíl na zrychlení měly ceny koksu a rafinovaných ropných výrobků, které ovlivnil nárůst cen ropy na světových trzích, solidně k cenovému růstu přispívaly i obecné kovy a kovodělné výrobky (meziroční zvýšení o 2,4</w:t>
            </w:r>
            <w:r w:rsidR="007B0E83">
              <w:t> %</w:t>
            </w:r>
            <w:r w:rsidRPr="00793D78">
              <w:t>). Zrychlil růst cen dřeva, papíru a tisku (2,3</w:t>
            </w:r>
            <w:r w:rsidR="007B0E83">
              <w:t> %</w:t>
            </w:r>
            <w:r w:rsidRPr="00793D78">
              <w:t>) a nábytku (2,0</w:t>
            </w:r>
            <w:r w:rsidR="007B0E83">
              <w:t> %</w:t>
            </w:r>
            <w:r w:rsidRPr="00793D78">
              <w:t>). Protiinflačně pak působily ceny dopravních prostředků, které ve 2. čtvrtletí meziročně klesly o 2,3</w:t>
            </w:r>
            <w:r w:rsidR="007B0E83">
              <w:t> %</w:t>
            </w:r>
            <w:r w:rsidRPr="00793D78">
              <w:t>. Zrychlení se dotklo i cen těžby a dobývání (6,7</w:t>
            </w:r>
            <w:r w:rsidR="00AF6F98" w:rsidRPr="00793D78">
              <w:t> </w:t>
            </w:r>
            <w:r w:rsidRPr="00793D78">
              <w:t>%) a elektřiny, páry a klimatizovaného vzduchu (1,9</w:t>
            </w:r>
            <w:r w:rsidR="007B0E83">
              <w:t> %</w:t>
            </w:r>
            <w:r w:rsidRPr="00793D78">
              <w:t>). Ceny vody a služeb souvisejících s odpadními vodami si udržely tempo předchozího čtvrtletí (1,9</w:t>
            </w:r>
            <w:r w:rsidR="007B0E83">
              <w:t> %</w:t>
            </w:r>
            <w:r w:rsidRPr="00793D78">
              <w:t>).</w:t>
            </w:r>
          </w:p>
        </w:tc>
      </w:tr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t xml:space="preserve">Vývoj cen ropy na světových trzích se promítal i do cen výrobců v EU. 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0233D1">
            <w:r w:rsidRPr="00793D78">
              <w:t>Vzhledem k tomu, že pohyb cen ropy je globálním faktorem ovlivňujícím ceny výrobců, zrychlení meziročního tempa růstu tohoto indexu se týkalo i většiny států Evropské unie. Celkový meziroční přírůstek cen výrobců v</w:t>
            </w:r>
            <w:r w:rsidR="000233D1">
              <w:t> </w:t>
            </w:r>
            <w:r w:rsidRPr="00793D78">
              <w:t>EU</w:t>
            </w:r>
            <w:r w:rsidR="000233D1">
              <w:t xml:space="preserve"> ve 2. čtvrtletí</w:t>
            </w:r>
            <w:r w:rsidRPr="00793D78">
              <w:t xml:space="preserve"> činil 3,</w:t>
            </w:r>
            <w:r w:rsidR="000233D1">
              <w:t>5</w:t>
            </w:r>
            <w:r w:rsidR="007B0E83">
              <w:t> %</w:t>
            </w:r>
            <w:r w:rsidRPr="00793D78">
              <w:t>. Zrychlení opět probíhalo u</w:t>
            </w:r>
            <w:r w:rsidR="00AF6F98" w:rsidRPr="00793D78">
              <w:t> </w:t>
            </w:r>
            <w:r w:rsidRPr="00793D78">
              <w:t>cen výrobků zpracovatelského průmyslu a výrazně také u těžby a</w:t>
            </w:r>
            <w:r w:rsidR="00367F84">
              <w:t> </w:t>
            </w:r>
            <w:r w:rsidRPr="00793D78">
              <w:t>dobývání. Nejvýrazněji se ve 2. čtvrtletí ceny výrobců zvyšovaly ve Velké Británii (6,</w:t>
            </w:r>
            <w:r w:rsidR="000233D1">
              <w:t>7</w:t>
            </w:r>
            <w:r w:rsidR="007B0E83">
              <w:t> %</w:t>
            </w:r>
            <w:r w:rsidRPr="00793D78">
              <w:t>, hlavně kvůli těžbě a dobývání) a shodným tempem v Belgii a</w:t>
            </w:r>
            <w:r w:rsidR="000233D1">
              <w:t> </w:t>
            </w:r>
            <w:r w:rsidRPr="00793D78">
              <w:t>Estonsku (6,4</w:t>
            </w:r>
            <w:r w:rsidR="007E4C70" w:rsidRPr="00793D78">
              <w:t> </w:t>
            </w:r>
            <w:r w:rsidRPr="00793D78">
              <w:t>%, v Belgii došlo ke zrychlení u výrobků zpracovatelského průmyslu, v Estonsku u cen elektřiny, plynu, páry a klimatizovaného vzduchu). Meziroční pokles cen výrobců nastal v </w:t>
            </w:r>
            <w:proofErr w:type="gramStart"/>
            <w:r w:rsidRPr="00793D78">
              <w:t>Irsku (</w:t>
            </w:r>
            <w:r w:rsidR="008625D3">
              <w:t>–</w:t>
            </w:r>
            <w:r w:rsidRPr="00793D78">
              <w:t>2,4</w:t>
            </w:r>
            <w:proofErr w:type="gramEnd"/>
            <w:r w:rsidR="007B0E83">
              <w:t> %</w:t>
            </w:r>
            <w:r w:rsidRPr="00793D78">
              <w:t>) a</w:t>
            </w:r>
            <w:r w:rsidR="00AF6F98" w:rsidRPr="00793D78">
              <w:t> </w:t>
            </w:r>
            <w:r w:rsidRPr="00793D78">
              <w:t>Lucembursku (</w:t>
            </w:r>
            <w:r w:rsidR="008625D3">
              <w:t>–</w:t>
            </w:r>
            <w:r w:rsidRPr="00793D78">
              <w:t>1,</w:t>
            </w:r>
            <w:r w:rsidR="000233D1">
              <w:t>4</w:t>
            </w:r>
            <w:r w:rsidR="007B0E83">
              <w:t> %</w:t>
            </w:r>
            <w:r w:rsidRPr="00793D78">
              <w:t>). Jen o 0,</w:t>
            </w:r>
            <w:r w:rsidR="000233D1">
              <w:t>5</w:t>
            </w:r>
            <w:r w:rsidR="007B0E83">
              <w:t> %</w:t>
            </w:r>
            <w:r w:rsidRPr="00793D78">
              <w:t xml:space="preserve"> se zvýšily ceny na </w:t>
            </w:r>
            <w:r w:rsidR="000233D1">
              <w:t>Maltě</w:t>
            </w:r>
            <w:r w:rsidRPr="00793D78">
              <w:t>.</w:t>
            </w:r>
          </w:p>
        </w:tc>
      </w:tr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t>Ceny tržních služeb byly ovlivněny celkovým stavem ekonomiky. Výrazně například zdražily služby v oblasti zaměstnání.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r w:rsidRPr="00793D78">
              <w:t>Ceny tržních služeb si již tři čtvrtletí udržují meziroční tempo růstu 1,7</w:t>
            </w:r>
            <w:r w:rsidR="007B0E83">
              <w:t> %</w:t>
            </w:r>
            <w:r w:rsidRPr="00793D78">
              <w:t>. Ekonomické zrychlení v předchozím roce podpořilo růst cen dopravy a skladování. Jejich meziroční tempo nyní zmírnilo (u pozemní a potrubní dopravy na 0,6</w:t>
            </w:r>
            <w:r w:rsidR="007B0E83">
              <w:t> %</w:t>
            </w:r>
            <w:r w:rsidRPr="00793D78">
              <w:t>), u cen skladování a</w:t>
            </w:r>
            <w:r w:rsidR="00AF6F98" w:rsidRPr="00793D78">
              <w:t> </w:t>
            </w:r>
            <w:r w:rsidRPr="00793D78">
              <w:t>podpůrných služeb v dopravě dokonce došlo k meziročnímu poklesu o 2,1</w:t>
            </w:r>
            <w:r w:rsidR="007B0E83">
              <w:t> %</w:t>
            </w:r>
            <w:r w:rsidRPr="00793D78">
              <w:t xml:space="preserve">. Růst cen ve 2. čtvrtletí zrychlil u poštovních a kurýrních služeb </w:t>
            </w:r>
            <w:r w:rsidRPr="00793D78">
              <w:lastRenderedPageBreak/>
              <w:t>(5,3 %). Rovněž zrychlil růst cen pojištění, zajištění a penzijního financování (4,1</w:t>
            </w:r>
            <w:r w:rsidR="007B0E83">
              <w:t> %</w:t>
            </w:r>
            <w:r w:rsidRPr="00793D78">
              <w:t>), dále cen služeb v oblasti nemovitostí (2,9</w:t>
            </w:r>
            <w:r w:rsidR="007B0E83">
              <w:t> %</w:t>
            </w:r>
            <w:r w:rsidRPr="00793D78">
              <w:t>). Nejvýraznějšího meziročního růstu dosáhly ceny služeb v oblasti zaměstnání (15,8</w:t>
            </w:r>
            <w:r w:rsidR="007B0E83">
              <w:t> %</w:t>
            </w:r>
            <w:r w:rsidRPr="00793D78">
              <w:t>), které tak do značné míry odrážely současný stav na trhu práce.</w:t>
            </w:r>
          </w:p>
        </w:tc>
      </w:tr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lastRenderedPageBreak/>
              <w:t>Ceny zemědělských výrobců po pěti čtvrtletích meziročního růstu poklesly o 3,4</w:t>
            </w:r>
            <w:r w:rsidR="007B0E83">
              <w:rPr>
                <w:spacing w:val="0"/>
              </w:rPr>
              <w:t> %</w:t>
            </w:r>
            <w:r w:rsidRPr="00793D78">
              <w:rPr>
                <w:spacing w:val="0"/>
              </w:rPr>
              <w:t xml:space="preserve">. 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0233D1">
            <w:r w:rsidRPr="00793D78">
              <w:t xml:space="preserve">Index cen zemědělských výrobců se do mezičtvrtletního poklesu dostal již v 1. čtvrtletí, meziroční přírůstek však tehdy zůstal kladný. Ve 2. čtvrtletí došlo k prvnímu meziročnímu propadu od konce roku </w:t>
            </w:r>
            <w:proofErr w:type="gramStart"/>
            <w:r w:rsidRPr="00793D78">
              <w:t>2016 (</w:t>
            </w:r>
            <w:r w:rsidR="008625D3">
              <w:t>–</w:t>
            </w:r>
            <w:r w:rsidRPr="00793D78">
              <w:t>3,4</w:t>
            </w:r>
            <w:proofErr w:type="gramEnd"/>
            <w:r w:rsidR="007B0E83">
              <w:t> %</w:t>
            </w:r>
            <w:r w:rsidRPr="00793D78">
              <w:t>). Klesaly ceny rostlinné i živočišné výroby. Ceny rostlinné výroby se meziročně snížily o 3,3</w:t>
            </w:r>
            <w:r w:rsidR="007B0E83">
              <w:t> %</w:t>
            </w:r>
            <w:r w:rsidRPr="00793D78">
              <w:t>. Důvodem byl pokles cen průmyslových plodin o 14,4</w:t>
            </w:r>
            <w:r w:rsidR="007B0E83">
              <w:t> %</w:t>
            </w:r>
            <w:r w:rsidRPr="00793D78">
              <w:t>. Dominující vliv měly zejména olejniny, konkrétně snížení ceny semen řepky olejné o 20,2</w:t>
            </w:r>
            <w:r w:rsidR="007B0E83">
              <w:t> %</w:t>
            </w:r>
            <w:r w:rsidRPr="00793D78">
              <w:t>. Význam měly i ceny brambor</w:t>
            </w:r>
            <w:r w:rsidR="00B422E2">
              <w:t>,</w:t>
            </w:r>
            <w:r w:rsidRPr="00793D78">
              <w:t xml:space="preserve"> meziročně nižší o</w:t>
            </w:r>
            <w:r w:rsidR="00AF6F98" w:rsidRPr="00793D78">
              <w:t> </w:t>
            </w:r>
            <w:r w:rsidRPr="00793D78">
              <w:t>6,7</w:t>
            </w:r>
            <w:r w:rsidR="00AF6F98" w:rsidRPr="00793D78">
              <w:t> </w:t>
            </w:r>
            <w:r w:rsidRPr="00793D78">
              <w:t>%. Váhově významné obiloviny zatím setrvaly v meziročním růstu (2,3</w:t>
            </w:r>
            <w:r w:rsidR="007B0E83">
              <w:t> %</w:t>
            </w:r>
            <w:r w:rsidRPr="00793D78">
              <w:t>), klíčová pšenice zdražila o 1,0</w:t>
            </w:r>
            <w:r w:rsidR="007B0E83">
              <w:t> %</w:t>
            </w:r>
            <w:r w:rsidRPr="00793D78">
              <w:t>. Ceny živočišné výroby ve 2. čtvrtletí meziročně klesly o 3,5</w:t>
            </w:r>
            <w:r w:rsidR="007B0E83">
              <w:t> %</w:t>
            </w:r>
            <w:r w:rsidRPr="00793D78">
              <w:t xml:space="preserve">. Zde se projevilo zejména zvýraznění propadu cen hospodářských </w:t>
            </w:r>
            <w:proofErr w:type="gramStart"/>
            <w:r w:rsidRPr="00793D78">
              <w:t>zvířat (</w:t>
            </w:r>
            <w:r w:rsidR="008625D3">
              <w:t>–</w:t>
            </w:r>
            <w:r w:rsidRPr="00793D78">
              <w:t>8,7</w:t>
            </w:r>
            <w:proofErr w:type="gramEnd"/>
            <w:r w:rsidR="007B0E83">
              <w:t> %</w:t>
            </w:r>
            <w:r w:rsidRPr="00793D78">
              <w:t xml:space="preserve">). Prohloubil se pokles cen váhově nejvýznamnějších prasat </w:t>
            </w:r>
            <w:proofErr w:type="gramStart"/>
            <w:r w:rsidRPr="00793D78">
              <w:t>jatečných (</w:t>
            </w:r>
            <w:r w:rsidR="008625D3">
              <w:t>–</w:t>
            </w:r>
            <w:r w:rsidRPr="00793D78">
              <w:t>19,8</w:t>
            </w:r>
            <w:proofErr w:type="gramEnd"/>
            <w:r w:rsidR="007B0E83">
              <w:t> %</w:t>
            </w:r>
            <w:r w:rsidRPr="00793D78">
              <w:t xml:space="preserve">). Pokračovalo i snižování cen </w:t>
            </w:r>
            <w:proofErr w:type="gramStart"/>
            <w:r w:rsidRPr="00793D78">
              <w:t>drůbeže (</w:t>
            </w:r>
            <w:r w:rsidR="008625D3">
              <w:t>–</w:t>
            </w:r>
            <w:r w:rsidRPr="00793D78">
              <w:t>1,2</w:t>
            </w:r>
            <w:proofErr w:type="gramEnd"/>
            <w:r w:rsidR="007B0E83">
              <w:t> %</w:t>
            </w:r>
            <w:r w:rsidRPr="00793D78">
              <w:t>), kde dále nepokračoval meziroční pokles cen kuřat (0,4</w:t>
            </w:r>
            <w:r w:rsidR="007B0E83">
              <w:t> %</w:t>
            </w:r>
            <w:r w:rsidRPr="00793D78">
              <w:t>), ukazatel však ovlivnila ostatní drůbež (</w:t>
            </w:r>
            <w:r w:rsidR="008625D3">
              <w:t>–</w:t>
            </w:r>
            <w:r w:rsidRPr="00793D78">
              <w:t>7,8</w:t>
            </w:r>
            <w:r w:rsidR="007B0E83">
              <w:t> %</w:t>
            </w:r>
            <w:r w:rsidRPr="00793D78">
              <w:t>). Meziroční růst cen živočišných výrobků ve 2. čtvrtletí výrazně zpomalil (0,8</w:t>
            </w:r>
            <w:r w:rsidR="007B0E83">
              <w:t> %</w:t>
            </w:r>
            <w:r w:rsidRPr="00793D78">
              <w:t>). Po dvouciferných přírůstcích minulého roku totiž došlo k útlumu u</w:t>
            </w:r>
            <w:r w:rsidR="007E4C70" w:rsidRPr="00793D78">
              <w:t> </w:t>
            </w:r>
            <w:r w:rsidRPr="00793D78">
              <w:t>mléka (1,</w:t>
            </w:r>
            <w:r w:rsidR="000233D1">
              <w:t>5</w:t>
            </w:r>
            <w:r w:rsidR="007B0E83">
              <w:t> %</w:t>
            </w:r>
            <w:r w:rsidRPr="00793D78">
              <w:t xml:space="preserve">) a poklesu u cen </w:t>
            </w:r>
            <w:proofErr w:type="gramStart"/>
            <w:r w:rsidRPr="00793D78">
              <w:t>vajec (</w:t>
            </w:r>
            <w:r w:rsidR="008625D3">
              <w:t>–</w:t>
            </w:r>
            <w:r w:rsidRPr="00793D78">
              <w:t>6,2</w:t>
            </w:r>
            <w:proofErr w:type="gramEnd"/>
            <w:r w:rsidR="007B0E83">
              <w:t> %</w:t>
            </w:r>
            <w:r w:rsidRPr="00793D78">
              <w:t xml:space="preserve">). </w:t>
            </w:r>
          </w:p>
        </w:tc>
      </w:tr>
      <w:tr w:rsidR="002F4AD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Pr="00793D78" w:rsidRDefault="00227605" w:rsidP="009B05B3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Vliv kurzu na ceny zahraničního obchodu oslabil.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r w:rsidRPr="00793D78">
              <w:t>Ceny vývozu v 1. pololetí meziročně klesly o 3,0</w:t>
            </w:r>
            <w:r w:rsidR="007B0E83">
              <w:t> %</w:t>
            </w:r>
            <w:r w:rsidRPr="00793D78">
              <w:t>. Zatímco v 1. čtvrtletí pokles dosáhl 4,4</w:t>
            </w:r>
            <w:r w:rsidR="007B0E83">
              <w:t> %</w:t>
            </w:r>
            <w:r w:rsidRPr="00793D78">
              <w:t xml:space="preserve">, ve 2. kvartálu se dynamika zmírnila </w:t>
            </w:r>
            <w:proofErr w:type="gramStart"/>
            <w:r w:rsidRPr="00793D78">
              <w:t xml:space="preserve">na </w:t>
            </w:r>
            <w:r w:rsidR="008625D3">
              <w:t>–</w:t>
            </w:r>
            <w:r w:rsidRPr="00793D78">
              <w:t>1,6</w:t>
            </w:r>
            <w:proofErr w:type="gramEnd"/>
            <w:r w:rsidR="007B0E83">
              <w:t> %</w:t>
            </w:r>
            <w:r w:rsidRPr="00793D78">
              <w:t>. Znatelně se rovněž zredukoval vliv kurzu koruny, jehož posílení ceny zahraničního obchodu výrazně táhlo dolů od dubna minulého roku. Ceny dovozu v 1. pololetí klesly o 4,2</w:t>
            </w:r>
            <w:r w:rsidR="007B0E83">
              <w:t> %</w:t>
            </w:r>
            <w:r w:rsidRPr="00793D78">
              <w:t xml:space="preserve"> a podobně jako u</w:t>
            </w:r>
            <w:r w:rsidR="00E96833" w:rsidRPr="00793D78">
              <w:t> </w:t>
            </w:r>
            <w:r w:rsidRPr="00793D78">
              <w:t>vývozu byl propad ve 2. čtvrtletí mírnější (2,4</w:t>
            </w:r>
            <w:r w:rsidR="007B0E83">
              <w:t> %</w:t>
            </w:r>
            <w:r w:rsidRPr="00793D78">
              <w:t>). Výsledné směnné relace tak byly kladné – 101,3</w:t>
            </w:r>
            <w:r w:rsidR="007B0E83">
              <w:t> %</w:t>
            </w:r>
            <w:r w:rsidRPr="00793D78">
              <w:t xml:space="preserve"> v celém pololetí a 100,8</w:t>
            </w:r>
            <w:r w:rsidR="007B0E83">
              <w:t> %</w:t>
            </w:r>
            <w:r w:rsidRPr="00793D78">
              <w:t xml:space="preserve"> ve 2. čtvrtletí. </w:t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2F4AD8" w:rsidRPr="00793D78" w:rsidRDefault="002F4AD8" w:rsidP="009B05B3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435C69" w:rsidP="009B05B3">
            <w:pPr>
              <w:spacing w:after="0"/>
            </w:pPr>
            <w:r>
              <w:rPr>
                <w:b/>
                <w:sz w:val="18"/>
                <w:szCs w:val="18"/>
              </w:rPr>
              <w:t xml:space="preserve">Graf č. </w:t>
            </w:r>
            <w:proofErr w:type="gramStart"/>
            <w:r>
              <w:rPr>
                <w:b/>
                <w:sz w:val="18"/>
                <w:szCs w:val="18"/>
              </w:rPr>
              <w:t>13</w:t>
            </w:r>
            <w:r w:rsidR="002F4AD8" w:rsidRPr="00793D78">
              <w:rPr>
                <w:b/>
                <w:sz w:val="18"/>
                <w:szCs w:val="18"/>
              </w:rPr>
              <w:t xml:space="preserve">  </w:t>
            </w:r>
            <w:r w:rsidR="002F4AD8"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>Deflátory</w:t>
            </w:r>
            <w:proofErr w:type="gramEnd"/>
            <w:r w:rsidR="002F4AD8"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(očištěno o sezónní a kalendářní vlivy, y/y v</w:t>
            </w:r>
            <w:r w:rsidR="007B0E83">
              <w:rPr>
                <w:rFonts w:cs="Arial"/>
                <w:b/>
                <w:color w:val="000000"/>
                <w:sz w:val="18"/>
                <w:szCs w:val="18"/>
              </w:rPr>
              <w:t> %</w:t>
            </w:r>
            <w:r w:rsidR="002F4AD8" w:rsidRPr="00793D78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793D78" w:rsidRDefault="002F4AD8" w:rsidP="00965797">
            <w:pPr>
              <w:spacing w:after="0"/>
            </w:pPr>
            <w:r w:rsidRPr="00793D78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32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2F4AD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Pr="009110F7" w:rsidRDefault="002F4AD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Pr="009110F7" w:rsidRDefault="002F4AD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9110F7" w:rsidRDefault="002F4AD8" w:rsidP="009657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</w:tbl>
    <w:p w:rsidR="00A50D73" w:rsidRPr="009110F7" w:rsidRDefault="00A50D73" w:rsidP="00E828FF">
      <w:pPr>
        <w:pStyle w:val="Nadpis11"/>
        <w:rPr>
          <w:sz w:val="2"/>
          <w:szCs w:val="2"/>
        </w:rPr>
      </w:pPr>
    </w:p>
    <w:sectPr w:rsidR="00A50D73" w:rsidRPr="009110F7" w:rsidSect="00E828FF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1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E760D" w15:done="0"/>
  <w15:commentEx w15:paraId="3B519ED9" w15:done="0"/>
  <w15:commentEx w15:paraId="588A2EF8" w15:done="0"/>
  <w15:commentEx w15:paraId="4BDBDFCE" w15:done="0"/>
  <w15:commentEx w15:paraId="4D4FFA55" w15:done="0"/>
  <w15:commentEx w15:paraId="420266E6" w15:done="0"/>
  <w15:commentEx w15:paraId="2F6E1997" w15:done="0"/>
  <w15:commentEx w15:paraId="1361B781" w15:done="0"/>
  <w15:commentEx w15:paraId="6AB9BB51" w15:done="0"/>
  <w15:commentEx w15:paraId="76A98BA5" w15:done="0"/>
  <w15:commentEx w15:paraId="0F376D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E760D" w16cid:durableId="1F49FDD6"/>
  <w16cid:commentId w16cid:paraId="3B519ED9" w16cid:durableId="1F4A0B4B"/>
  <w16cid:commentId w16cid:paraId="588A2EF8" w16cid:durableId="1F4A0D4D"/>
  <w16cid:commentId w16cid:paraId="4BDBDFCE" w16cid:durableId="1F4A116C"/>
  <w16cid:commentId w16cid:paraId="4D4FFA55" w16cid:durableId="1F4A4EB7"/>
  <w16cid:commentId w16cid:paraId="420266E6" w16cid:durableId="1F4A80EA"/>
  <w16cid:commentId w16cid:paraId="2F6E1997" w16cid:durableId="1F4A86F8"/>
  <w16cid:commentId w16cid:paraId="1361B781" w16cid:durableId="1F4A88EC"/>
  <w16cid:commentId w16cid:paraId="6AB9BB51" w16cid:durableId="1F4B66E4"/>
  <w16cid:commentId w16cid:paraId="76A98BA5" w16cid:durableId="1F4B67FD"/>
  <w16cid:commentId w16cid:paraId="0F376D82" w16cid:durableId="1F4B72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7B" w:rsidRDefault="009D0A7B" w:rsidP="00E71A58">
      <w:r>
        <w:separator/>
      </w:r>
    </w:p>
  </w:endnote>
  <w:endnote w:type="continuationSeparator" w:id="0">
    <w:p w:rsidR="009D0A7B" w:rsidRDefault="009D0A7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932443" w:rsidRDefault="00077FF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77F7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B077F7" w:rsidRPr="00932443">
      <w:rPr>
        <w:szCs w:val="16"/>
      </w:rPr>
      <w:fldChar w:fldCharType="separate"/>
    </w:r>
    <w:r w:rsidR="00E828FF">
      <w:rPr>
        <w:szCs w:val="16"/>
      </w:rPr>
      <w:t>20</w:t>
    </w:r>
    <w:r w:rsidR="00B077F7" w:rsidRPr="00932443">
      <w:rPr>
        <w:szCs w:val="16"/>
      </w:rPr>
      <w:fldChar w:fldCharType="end"/>
    </w:r>
    <w:r w:rsidRPr="00932443">
      <w:rPr>
        <w:szCs w:val="16"/>
      </w:rPr>
      <w:tab/>
    </w:r>
    <w:r>
      <w:t>1. pololetí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932443" w:rsidRDefault="00077FF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1. pololetí 2018</w:t>
    </w:r>
    <w:r w:rsidRPr="00932443">
      <w:rPr>
        <w:szCs w:val="16"/>
      </w:rPr>
      <w:tab/>
    </w:r>
    <w:r w:rsidR="00B077F7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B077F7" w:rsidRPr="00932443">
      <w:rPr>
        <w:rStyle w:val="ZpatChar"/>
        <w:szCs w:val="16"/>
      </w:rPr>
      <w:fldChar w:fldCharType="separate"/>
    </w:r>
    <w:r w:rsidR="00E828FF">
      <w:rPr>
        <w:rStyle w:val="ZpatChar"/>
        <w:szCs w:val="16"/>
      </w:rPr>
      <w:t>19</w:t>
    </w:r>
    <w:r w:rsidR="00B077F7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7B" w:rsidRDefault="009D0A7B" w:rsidP="00E71A58">
      <w:r>
        <w:separator/>
      </w:r>
    </w:p>
  </w:footnote>
  <w:footnote w:type="continuationSeparator" w:id="0">
    <w:p w:rsidR="009D0A7B" w:rsidRDefault="009D0A7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6F5416" w:rsidRDefault="00077FF0" w:rsidP="00937AE2">
    <w:pPr>
      <w:pStyle w:val="Zhlav"/>
    </w:pPr>
    <w:r>
      <w:t xml:space="preserve">Vývoj ekonomiky České republiky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6F5416" w:rsidRDefault="00077FF0" w:rsidP="00937AE2">
    <w:pPr>
      <w:pStyle w:val="Zhlav"/>
    </w:pPr>
    <w:r>
      <w:t xml:space="preserve">Vývoj ekonomiky České republiky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05AF"/>
    <w:rsid w:val="0000209D"/>
    <w:rsid w:val="00003F5C"/>
    <w:rsid w:val="00004D5A"/>
    <w:rsid w:val="000056D5"/>
    <w:rsid w:val="000063D5"/>
    <w:rsid w:val="00006ABD"/>
    <w:rsid w:val="0000767A"/>
    <w:rsid w:val="00010256"/>
    <w:rsid w:val="00010702"/>
    <w:rsid w:val="0001128E"/>
    <w:rsid w:val="00011912"/>
    <w:rsid w:val="00016420"/>
    <w:rsid w:val="00017B01"/>
    <w:rsid w:val="00020F22"/>
    <w:rsid w:val="0002195D"/>
    <w:rsid w:val="000233D1"/>
    <w:rsid w:val="000234D6"/>
    <w:rsid w:val="00023D29"/>
    <w:rsid w:val="00026389"/>
    <w:rsid w:val="00031AE0"/>
    <w:rsid w:val="000322EF"/>
    <w:rsid w:val="00033FCD"/>
    <w:rsid w:val="00034DF7"/>
    <w:rsid w:val="00034E68"/>
    <w:rsid w:val="00036195"/>
    <w:rsid w:val="000376C0"/>
    <w:rsid w:val="000403A7"/>
    <w:rsid w:val="00040632"/>
    <w:rsid w:val="00041CEC"/>
    <w:rsid w:val="00044183"/>
    <w:rsid w:val="0004694F"/>
    <w:rsid w:val="00047D54"/>
    <w:rsid w:val="000522E4"/>
    <w:rsid w:val="00053713"/>
    <w:rsid w:val="0005434E"/>
    <w:rsid w:val="00055CB6"/>
    <w:rsid w:val="000572DD"/>
    <w:rsid w:val="00057B1E"/>
    <w:rsid w:val="000610E1"/>
    <w:rsid w:val="00062EC5"/>
    <w:rsid w:val="00062F22"/>
    <w:rsid w:val="00063975"/>
    <w:rsid w:val="000645FC"/>
    <w:rsid w:val="0006533F"/>
    <w:rsid w:val="00065348"/>
    <w:rsid w:val="00065A75"/>
    <w:rsid w:val="00070A87"/>
    <w:rsid w:val="000712B3"/>
    <w:rsid w:val="0007474E"/>
    <w:rsid w:val="00077FF0"/>
    <w:rsid w:val="00081A55"/>
    <w:rsid w:val="0008263E"/>
    <w:rsid w:val="00082C19"/>
    <w:rsid w:val="000837CD"/>
    <w:rsid w:val="00084BFF"/>
    <w:rsid w:val="00085395"/>
    <w:rsid w:val="00086AC1"/>
    <w:rsid w:val="00087634"/>
    <w:rsid w:val="00087F2B"/>
    <w:rsid w:val="00090694"/>
    <w:rsid w:val="000913B1"/>
    <w:rsid w:val="00094A84"/>
    <w:rsid w:val="00095025"/>
    <w:rsid w:val="00095135"/>
    <w:rsid w:val="00097191"/>
    <w:rsid w:val="000974D1"/>
    <w:rsid w:val="0009799E"/>
    <w:rsid w:val="000A1183"/>
    <w:rsid w:val="000A256D"/>
    <w:rsid w:val="000A3A2C"/>
    <w:rsid w:val="000A4A54"/>
    <w:rsid w:val="000A7377"/>
    <w:rsid w:val="000B03CC"/>
    <w:rsid w:val="000B4212"/>
    <w:rsid w:val="000C0EA8"/>
    <w:rsid w:val="000C13A2"/>
    <w:rsid w:val="000C3408"/>
    <w:rsid w:val="000C35AB"/>
    <w:rsid w:val="000C6AFD"/>
    <w:rsid w:val="000D3058"/>
    <w:rsid w:val="000D310A"/>
    <w:rsid w:val="000D5637"/>
    <w:rsid w:val="000E0E96"/>
    <w:rsid w:val="000E2C7D"/>
    <w:rsid w:val="000E4AC5"/>
    <w:rsid w:val="000E6253"/>
    <w:rsid w:val="000E6FBD"/>
    <w:rsid w:val="00100F5C"/>
    <w:rsid w:val="00101CDA"/>
    <w:rsid w:val="00102037"/>
    <w:rsid w:val="00103DCB"/>
    <w:rsid w:val="00104C4C"/>
    <w:rsid w:val="001057C2"/>
    <w:rsid w:val="00112CAB"/>
    <w:rsid w:val="00117623"/>
    <w:rsid w:val="0012192F"/>
    <w:rsid w:val="00122994"/>
    <w:rsid w:val="00124B46"/>
    <w:rsid w:val="00125D69"/>
    <w:rsid w:val="0012799C"/>
    <w:rsid w:val="00130ADC"/>
    <w:rsid w:val="00130D9F"/>
    <w:rsid w:val="00132C4D"/>
    <w:rsid w:val="00133FC1"/>
    <w:rsid w:val="001405FA"/>
    <w:rsid w:val="001425C3"/>
    <w:rsid w:val="0014262D"/>
    <w:rsid w:val="001459BC"/>
    <w:rsid w:val="001554C2"/>
    <w:rsid w:val="001571C0"/>
    <w:rsid w:val="0015753D"/>
    <w:rsid w:val="001612F4"/>
    <w:rsid w:val="00161553"/>
    <w:rsid w:val="0016256B"/>
    <w:rsid w:val="00163793"/>
    <w:rsid w:val="00167CB9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B08"/>
    <w:rsid w:val="00185010"/>
    <w:rsid w:val="00192F05"/>
    <w:rsid w:val="00194729"/>
    <w:rsid w:val="00195234"/>
    <w:rsid w:val="00197A70"/>
    <w:rsid w:val="00197C0F"/>
    <w:rsid w:val="001A0487"/>
    <w:rsid w:val="001A552F"/>
    <w:rsid w:val="001B2CA9"/>
    <w:rsid w:val="001B3110"/>
    <w:rsid w:val="001B3E38"/>
    <w:rsid w:val="001B4729"/>
    <w:rsid w:val="001B4F0E"/>
    <w:rsid w:val="001B6310"/>
    <w:rsid w:val="001B6C09"/>
    <w:rsid w:val="001C05CD"/>
    <w:rsid w:val="001C0F17"/>
    <w:rsid w:val="001C1B66"/>
    <w:rsid w:val="001C31A2"/>
    <w:rsid w:val="001D22C2"/>
    <w:rsid w:val="001D54C1"/>
    <w:rsid w:val="001D556E"/>
    <w:rsid w:val="001D5DF2"/>
    <w:rsid w:val="001D68B2"/>
    <w:rsid w:val="001D7F60"/>
    <w:rsid w:val="001E504C"/>
    <w:rsid w:val="001E5A17"/>
    <w:rsid w:val="001F4597"/>
    <w:rsid w:val="00200085"/>
    <w:rsid w:val="00203332"/>
    <w:rsid w:val="00203CD5"/>
    <w:rsid w:val="00203D8F"/>
    <w:rsid w:val="00203DA4"/>
    <w:rsid w:val="002071D5"/>
    <w:rsid w:val="002118B9"/>
    <w:rsid w:val="002142C0"/>
    <w:rsid w:val="00217C5B"/>
    <w:rsid w:val="00220A43"/>
    <w:rsid w:val="0022139E"/>
    <w:rsid w:val="00222729"/>
    <w:rsid w:val="0022441D"/>
    <w:rsid w:val="002252E0"/>
    <w:rsid w:val="002255F6"/>
    <w:rsid w:val="00227605"/>
    <w:rsid w:val="00227850"/>
    <w:rsid w:val="00227A53"/>
    <w:rsid w:val="00227E2E"/>
    <w:rsid w:val="00230C6E"/>
    <w:rsid w:val="00233603"/>
    <w:rsid w:val="00236443"/>
    <w:rsid w:val="00241B06"/>
    <w:rsid w:val="002436BA"/>
    <w:rsid w:val="00244A15"/>
    <w:rsid w:val="002452D9"/>
    <w:rsid w:val="00247319"/>
    <w:rsid w:val="0024799E"/>
    <w:rsid w:val="00247E60"/>
    <w:rsid w:val="00252AB9"/>
    <w:rsid w:val="00253C0F"/>
    <w:rsid w:val="002558C1"/>
    <w:rsid w:val="00256207"/>
    <w:rsid w:val="002603E1"/>
    <w:rsid w:val="0026291D"/>
    <w:rsid w:val="00267B49"/>
    <w:rsid w:val="0027025F"/>
    <w:rsid w:val="00271022"/>
    <w:rsid w:val="00271465"/>
    <w:rsid w:val="00272DF4"/>
    <w:rsid w:val="0027583D"/>
    <w:rsid w:val="00275DEF"/>
    <w:rsid w:val="00276B33"/>
    <w:rsid w:val="002812E3"/>
    <w:rsid w:val="002837AE"/>
    <w:rsid w:val="002853FA"/>
    <w:rsid w:val="00285412"/>
    <w:rsid w:val="00291640"/>
    <w:rsid w:val="0029237E"/>
    <w:rsid w:val="00292997"/>
    <w:rsid w:val="0029588F"/>
    <w:rsid w:val="00297256"/>
    <w:rsid w:val="00297D51"/>
    <w:rsid w:val="002A0122"/>
    <w:rsid w:val="002A016B"/>
    <w:rsid w:val="002A16D4"/>
    <w:rsid w:val="002A1E4F"/>
    <w:rsid w:val="002A230C"/>
    <w:rsid w:val="002A2AF7"/>
    <w:rsid w:val="002A3EA2"/>
    <w:rsid w:val="002A532A"/>
    <w:rsid w:val="002A5846"/>
    <w:rsid w:val="002A5D97"/>
    <w:rsid w:val="002B4845"/>
    <w:rsid w:val="002C27A6"/>
    <w:rsid w:val="002C43BD"/>
    <w:rsid w:val="002D0E59"/>
    <w:rsid w:val="002E02A1"/>
    <w:rsid w:val="002E196A"/>
    <w:rsid w:val="002E20C7"/>
    <w:rsid w:val="002E222E"/>
    <w:rsid w:val="002E37D1"/>
    <w:rsid w:val="002E3BEE"/>
    <w:rsid w:val="002E4E4C"/>
    <w:rsid w:val="002E4EA7"/>
    <w:rsid w:val="002E5846"/>
    <w:rsid w:val="002F333D"/>
    <w:rsid w:val="002F498A"/>
    <w:rsid w:val="002F4AD8"/>
    <w:rsid w:val="002F5820"/>
    <w:rsid w:val="00304771"/>
    <w:rsid w:val="003052D4"/>
    <w:rsid w:val="00306C5B"/>
    <w:rsid w:val="00307DB3"/>
    <w:rsid w:val="00307ED2"/>
    <w:rsid w:val="0031076D"/>
    <w:rsid w:val="00311AA6"/>
    <w:rsid w:val="00311C4D"/>
    <w:rsid w:val="003121AB"/>
    <w:rsid w:val="003153C8"/>
    <w:rsid w:val="00315524"/>
    <w:rsid w:val="003209D6"/>
    <w:rsid w:val="003217B9"/>
    <w:rsid w:val="00321924"/>
    <w:rsid w:val="00321EB6"/>
    <w:rsid w:val="003220A5"/>
    <w:rsid w:val="0032656E"/>
    <w:rsid w:val="00332190"/>
    <w:rsid w:val="00333CD0"/>
    <w:rsid w:val="003370C5"/>
    <w:rsid w:val="00341F05"/>
    <w:rsid w:val="0034335E"/>
    <w:rsid w:val="00344668"/>
    <w:rsid w:val="003462D9"/>
    <w:rsid w:val="00352C28"/>
    <w:rsid w:val="0036077F"/>
    <w:rsid w:val="00360C86"/>
    <w:rsid w:val="00360FBC"/>
    <w:rsid w:val="00361537"/>
    <w:rsid w:val="0036242A"/>
    <w:rsid w:val="00362E90"/>
    <w:rsid w:val="00364FA0"/>
    <w:rsid w:val="003657F3"/>
    <w:rsid w:val="00367F84"/>
    <w:rsid w:val="003738BD"/>
    <w:rsid w:val="00374A20"/>
    <w:rsid w:val="00374E21"/>
    <w:rsid w:val="003818DC"/>
    <w:rsid w:val="00383388"/>
    <w:rsid w:val="003834F8"/>
    <w:rsid w:val="003838D0"/>
    <w:rsid w:val="00384327"/>
    <w:rsid w:val="00385D98"/>
    <w:rsid w:val="003908A6"/>
    <w:rsid w:val="003927F6"/>
    <w:rsid w:val="003A04F6"/>
    <w:rsid w:val="003A2B4D"/>
    <w:rsid w:val="003A2D12"/>
    <w:rsid w:val="003A45E3"/>
    <w:rsid w:val="003A478C"/>
    <w:rsid w:val="003A5525"/>
    <w:rsid w:val="003A6B38"/>
    <w:rsid w:val="003A6B83"/>
    <w:rsid w:val="003A722F"/>
    <w:rsid w:val="003B0DF4"/>
    <w:rsid w:val="003B1F9D"/>
    <w:rsid w:val="003B461F"/>
    <w:rsid w:val="003B4998"/>
    <w:rsid w:val="003B5A32"/>
    <w:rsid w:val="003C3490"/>
    <w:rsid w:val="003C6221"/>
    <w:rsid w:val="003C7E62"/>
    <w:rsid w:val="003D242B"/>
    <w:rsid w:val="003D2492"/>
    <w:rsid w:val="003D2A99"/>
    <w:rsid w:val="003D6920"/>
    <w:rsid w:val="003E4C91"/>
    <w:rsid w:val="003E52D8"/>
    <w:rsid w:val="003F313C"/>
    <w:rsid w:val="003F37FC"/>
    <w:rsid w:val="003F4B2C"/>
    <w:rsid w:val="003F551C"/>
    <w:rsid w:val="003F72ED"/>
    <w:rsid w:val="003F7D23"/>
    <w:rsid w:val="00400050"/>
    <w:rsid w:val="00400468"/>
    <w:rsid w:val="0040099D"/>
    <w:rsid w:val="00402ADB"/>
    <w:rsid w:val="004059D2"/>
    <w:rsid w:val="00406C2E"/>
    <w:rsid w:val="00406EB0"/>
    <w:rsid w:val="00407C13"/>
    <w:rsid w:val="00410638"/>
    <w:rsid w:val="00412511"/>
    <w:rsid w:val="004125C2"/>
    <w:rsid w:val="00413465"/>
    <w:rsid w:val="0041501E"/>
    <w:rsid w:val="004159C3"/>
    <w:rsid w:val="00416DAC"/>
    <w:rsid w:val="00420880"/>
    <w:rsid w:val="00432A58"/>
    <w:rsid w:val="004331C3"/>
    <w:rsid w:val="00434617"/>
    <w:rsid w:val="00435051"/>
    <w:rsid w:val="00435C69"/>
    <w:rsid w:val="00437CED"/>
    <w:rsid w:val="00440900"/>
    <w:rsid w:val="0044121D"/>
    <w:rsid w:val="00441BF6"/>
    <w:rsid w:val="004441A0"/>
    <w:rsid w:val="00446D44"/>
    <w:rsid w:val="0045078A"/>
    <w:rsid w:val="0045086D"/>
    <w:rsid w:val="00451EF1"/>
    <w:rsid w:val="00457953"/>
    <w:rsid w:val="00460FB3"/>
    <w:rsid w:val="00464851"/>
    <w:rsid w:val="00467B14"/>
    <w:rsid w:val="004707FE"/>
    <w:rsid w:val="0047276D"/>
    <w:rsid w:val="00472AF6"/>
    <w:rsid w:val="00474A04"/>
    <w:rsid w:val="00476240"/>
    <w:rsid w:val="00476439"/>
    <w:rsid w:val="0047735C"/>
    <w:rsid w:val="004776BC"/>
    <w:rsid w:val="00477820"/>
    <w:rsid w:val="00477B96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A14E4"/>
    <w:rsid w:val="004A27F0"/>
    <w:rsid w:val="004A3212"/>
    <w:rsid w:val="004A40D9"/>
    <w:rsid w:val="004A4F8A"/>
    <w:rsid w:val="004A5494"/>
    <w:rsid w:val="004A61C5"/>
    <w:rsid w:val="004A62A0"/>
    <w:rsid w:val="004A77DF"/>
    <w:rsid w:val="004B1417"/>
    <w:rsid w:val="004B339A"/>
    <w:rsid w:val="004B55B7"/>
    <w:rsid w:val="004B6468"/>
    <w:rsid w:val="004B6EF8"/>
    <w:rsid w:val="004B7125"/>
    <w:rsid w:val="004B756A"/>
    <w:rsid w:val="004B7FB1"/>
    <w:rsid w:val="004C384C"/>
    <w:rsid w:val="004C3867"/>
    <w:rsid w:val="004C3DB0"/>
    <w:rsid w:val="004C4720"/>
    <w:rsid w:val="004C4CD0"/>
    <w:rsid w:val="004C5165"/>
    <w:rsid w:val="004C6E0E"/>
    <w:rsid w:val="004C70DC"/>
    <w:rsid w:val="004D0211"/>
    <w:rsid w:val="004D0794"/>
    <w:rsid w:val="004E1A40"/>
    <w:rsid w:val="004E200A"/>
    <w:rsid w:val="004E23FC"/>
    <w:rsid w:val="004E6DE6"/>
    <w:rsid w:val="004E765E"/>
    <w:rsid w:val="004F06F5"/>
    <w:rsid w:val="004F12A4"/>
    <w:rsid w:val="004F253F"/>
    <w:rsid w:val="004F33A0"/>
    <w:rsid w:val="004F3BD2"/>
    <w:rsid w:val="0050689D"/>
    <w:rsid w:val="005108C0"/>
    <w:rsid w:val="0051094F"/>
    <w:rsid w:val="00511873"/>
    <w:rsid w:val="00512461"/>
    <w:rsid w:val="00512A2F"/>
    <w:rsid w:val="00513B7E"/>
    <w:rsid w:val="0051475D"/>
    <w:rsid w:val="00514B11"/>
    <w:rsid w:val="00515BE9"/>
    <w:rsid w:val="00515C74"/>
    <w:rsid w:val="00517113"/>
    <w:rsid w:val="0052007E"/>
    <w:rsid w:val="00522E01"/>
    <w:rsid w:val="0052337A"/>
    <w:rsid w:val="005246BE"/>
    <w:rsid w:val="00525137"/>
    <w:rsid w:val="005251DD"/>
    <w:rsid w:val="00530A68"/>
    <w:rsid w:val="00532CE7"/>
    <w:rsid w:val="00532D8B"/>
    <w:rsid w:val="0053324C"/>
    <w:rsid w:val="00534A28"/>
    <w:rsid w:val="00535018"/>
    <w:rsid w:val="00537571"/>
    <w:rsid w:val="00541508"/>
    <w:rsid w:val="00541AE3"/>
    <w:rsid w:val="00543498"/>
    <w:rsid w:val="00544BE5"/>
    <w:rsid w:val="00550160"/>
    <w:rsid w:val="00552F2C"/>
    <w:rsid w:val="005547EB"/>
    <w:rsid w:val="0055599F"/>
    <w:rsid w:val="00556D68"/>
    <w:rsid w:val="005570D6"/>
    <w:rsid w:val="00563EB8"/>
    <w:rsid w:val="005647BF"/>
    <w:rsid w:val="00564AF1"/>
    <w:rsid w:val="005655DB"/>
    <w:rsid w:val="00570BC3"/>
    <w:rsid w:val="0057182A"/>
    <w:rsid w:val="00572079"/>
    <w:rsid w:val="00573602"/>
    <w:rsid w:val="0057364B"/>
    <w:rsid w:val="00574773"/>
    <w:rsid w:val="00577C07"/>
    <w:rsid w:val="00577DB1"/>
    <w:rsid w:val="00580DE7"/>
    <w:rsid w:val="00583E52"/>
    <w:rsid w:val="00583FFD"/>
    <w:rsid w:val="0058519A"/>
    <w:rsid w:val="005856BD"/>
    <w:rsid w:val="00590B28"/>
    <w:rsid w:val="005911BE"/>
    <w:rsid w:val="00591273"/>
    <w:rsid w:val="005927A4"/>
    <w:rsid w:val="00593152"/>
    <w:rsid w:val="005956A3"/>
    <w:rsid w:val="00595CAB"/>
    <w:rsid w:val="00597BBF"/>
    <w:rsid w:val="005A10F2"/>
    <w:rsid w:val="005A21E0"/>
    <w:rsid w:val="005A28FF"/>
    <w:rsid w:val="005A2C09"/>
    <w:rsid w:val="005A3778"/>
    <w:rsid w:val="005A3DF8"/>
    <w:rsid w:val="005A5549"/>
    <w:rsid w:val="005B121D"/>
    <w:rsid w:val="005B4853"/>
    <w:rsid w:val="005B6CA1"/>
    <w:rsid w:val="005B770C"/>
    <w:rsid w:val="005C06ED"/>
    <w:rsid w:val="005C11B8"/>
    <w:rsid w:val="005C2609"/>
    <w:rsid w:val="005C45DD"/>
    <w:rsid w:val="005D3F06"/>
    <w:rsid w:val="005D4B73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66B"/>
    <w:rsid w:val="005F46D8"/>
    <w:rsid w:val="005F5469"/>
    <w:rsid w:val="005F63F3"/>
    <w:rsid w:val="005F6D7F"/>
    <w:rsid w:val="00604307"/>
    <w:rsid w:val="0060487F"/>
    <w:rsid w:val="00604EAD"/>
    <w:rsid w:val="006104FB"/>
    <w:rsid w:val="00612A2F"/>
    <w:rsid w:val="00612AAE"/>
    <w:rsid w:val="006156B4"/>
    <w:rsid w:val="00616E05"/>
    <w:rsid w:val="00617985"/>
    <w:rsid w:val="00624093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4137"/>
    <w:rsid w:val="006451E4"/>
    <w:rsid w:val="00645B33"/>
    <w:rsid w:val="006516CB"/>
    <w:rsid w:val="00654110"/>
    <w:rsid w:val="00656CFB"/>
    <w:rsid w:val="00657E87"/>
    <w:rsid w:val="00662469"/>
    <w:rsid w:val="00664647"/>
    <w:rsid w:val="00664803"/>
    <w:rsid w:val="00665BA4"/>
    <w:rsid w:val="00667AF2"/>
    <w:rsid w:val="006710C9"/>
    <w:rsid w:val="006741CD"/>
    <w:rsid w:val="00674D89"/>
    <w:rsid w:val="00675E37"/>
    <w:rsid w:val="00676736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5065"/>
    <w:rsid w:val="00695BEF"/>
    <w:rsid w:val="006968C1"/>
    <w:rsid w:val="006977F6"/>
    <w:rsid w:val="00697A13"/>
    <w:rsid w:val="006A109C"/>
    <w:rsid w:val="006A6565"/>
    <w:rsid w:val="006A7691"/>
    <w:rsid w:val="006A7EE2"/>
    <w:rsid w:val="006B0514"/>
    <w:rsid w:val="006B0F92"/>
    <w:rsid w:val="006B2785"/>
    <w:rsid w:val="006B344A"/>
    <w:rsid w:val="006B58C9"/>
    <w:rsid w:val="006B74AC"/>
    <w:rsid w:val="006B78D8"/>
    <w:rsid w:val="006C113F"/>
    <w:rsid w:val="006C123E"/>
    <w:rsid w:val="006C15A1"/>
    <w:rsid w:val="006C1752"/>
    <w:rsid w:val="006C28CA"/>
    <w:rsid w:val="006C4355"/>
    <w:rsid w:val="006C469D"/>
    <w:rsid w:val="006C52EC"/>
    <w:rsid w:val="006C56D4"/>
    <w:rsid w:val="006C6681"/>
    <w:rsid w:val="006C6924"/>
    <w:rsid w:val="006C7CA6"/>
    <w:rsid w:val="006D18B3"/>
    <w:rsid w:val="006D3E8A"/>
    <w:rsid w:val="006D61F6"/>
    <w:rsid w:val="006E1332"/>
    <w:rsid w:val="006E279A"/>
    <w:rsid w:val="006E313B"/>
    <w:rsid w:val="006E7227"/>
    <w:rsid w:val="006F0741"/>
    <w:rsid w:val="006F1C27"/>
    <w:rsid w:val="006F42BB"/>
    <w:rsid w:val="006F438E"/>
    <w:rsid w:val="006F440B"/>
    <w:rsid w:val="006F5416"/>
    <w:rsid w:val="006F624B"/>
    <w:rsid w:val="0070398A"/>
    <w:rsid w:val="00705242"/>
    <w:rsid w:val="007065C5"/>
    <w:rsid w:val="00706AD4"/>
    <w:rsid w:val="00707150"/>
    <w:rsid w:val="00713549"/>
    <w:rsid w:val="007140BE"/>
    <w:rsid w:val="00715E4D"/>
    <w:rsid w:val="00716F48"/>
    <w:rsid w:val="00717114"/>
    <w:rsid w:val="0071779F"/>
    <w:rsid w:val="007211F5"/>
    <w:rsid w:val="007240E2"/>
    <w:rsid w:val="0072583E"/>
    <w:rsid w:val="00725BB5"/>
    <w:rsid w:val="00730AE8"/>
    <w:rsid w:val="00730F1B"/>
    <w:rsid w:val="0073186D"/>
    <w:rsid w:val="007343D9"/>
    <w:rsid w:val="00741493"/>
    <w:rsid w:val="007434E5"/>
    <w:rsid w:val="00752180"/>
    <w:rsid w:val="00752323"/>
    <w:rsid w:val="007532B7"/>
    <w:rsid w:val="00753CAB"/>
    <w:rsid w:val="00754A70"/>
    <w:rsid w:val="00755202"/>
    <w:rsid w:val="00755D3A"/>
    <w:rsid w:val="0075751D"/>
    <w:rsid w:val="007578D3"/>
    <w:rsid w:val="00760391"/>
    <w:rsid w:val="007609C6"/>
    <w:rsid w:val="007615F3"/>
    <w:rsid w:val="0076175D"/>
    <w:rsid w:val="00763B85"/>
    <w:rsid w:val="00764974"/>
    <w:rsid w:val="0076521E"/>
    <w:rsid w:val="007661E9"/>
    <w:rsid w:val="00767062"/>
    <w:rsid w:val="00771972"/>
    <w:rsid w:val="00774D2C"/>
    <w:rsid w:val="00776169"/>
    <w:rsid w:val="00776527"/>
    <w:rsid w:val="00777040"/>
    <w:rsid w:val="00780EF1"/>
    <w:rsid w:val="00786C87"/>
    <w:rsid w:val="007877C9"/>
    <w:rsid w:val="00790764"/>
    <w:rsid w:val="0079085F"/>
    <w:rsid w:val="00793D78"/>
    <w:rsid w:val="0079453C"/>
    <w:rsid w:val="00794677"/>
    <w:rsid w:val="007A33E2"/>
    <w:rsid w:val="007A3CAF"/>
    <w:rsid w:val="007A516D"/>
    <w:rsid w:val="007A5E65"/>
    <w:rsid w:val="007A775D"/>
    <w:rsid w:val="007B0834"/>
    <w:rsid w:val="007B0E83"/>
    <w:rsid w:val="007B11FA"/>
    <w:rsid w:val="007B1396"/>
    <w:rsid w:val="007B2011"/>
    <w:rsid w:val="007B2CFE"/>
    <w:rsid w:val="007B3DCB"/>
    <w:rsid w:val="007B6689"/>
    <w:rsid w:val="007B6F72"/>
    <w:rsid w:val="007C1FFB"/>
    <w:rsid w:val="007C2D94"/>
    <w:rsid w:val="007C5F92"/>
    <w:rsid w:val="007C6227"/>
    <w:rsid w:val="007C6BBD"/>
    <w:rsid w:val="007D0382"/>
    <w:rsid w:val="007D1A1F"/>
    <w:rsid w:val="007D40DF"/>
    <w:rsid w:val="007D4458"/>
    <w:rsid w:val="007E0D4A"/>
    <w:rsid w:val="007E1788"/>
    <w:rsid w:val="007E29B4"/>
    <w:rsid w:val="007E435A"/>
    <w:rsid w:val="007E49F7"/>
    <w:rsid w:val="007E4C70"/>
    <w:rsid w:val="007E7E61"/>
    <w:rsid w:val="007F0845"/>
    <w:rsid w:val="007F20F3"/>
    <w:rsid w:val="007F2390"/>
    <w:rsid w:val="007F708D"/>
    <w:rsid w:val="00801E13"/>
    <w:rsid w:val="00803069"/>
    <w:rsid w:val="0080734C"/>
    <w:rsid w:val="00807C82"/>
    <w:rsid w:val="008117CC"/>
    <w:rsid w:val="00813DCA"/>
    <w:rsid w:val="008161A6"/>
    <w:rsid w:val="00816905"/>
    <w:rsid w:val="00817A17"/>
    <w:rsid w:val="00817EC1"/>
    <w:rsid w:val="0082112D"/>
    <w:rsid w:val="00821FF6"/>
    <w:rsid w:val="00822574"/>
    <w:rsid w:val="00825C4D"/>
    <w:rsid w:val="00827186"/>
    <w:rsid w:val="00827C8E"/>
    <w:rsid w:val="00830AEA"/>
    <w:rsid w:val="00830E86"/>
    <w:rsid w:val="0083143E"/>
    <w:rsid w:val="008315D5"/>
    <w:rsid w:val="00831CDE"/>
    <w:rsid w:val="00834304"/>
    <w:rsid w:val="00834FAA"/>
    <w:rsid w:val="008354FB"/>
    <w:rsid w:val="00836086"/>
    <w:rsid w:val="00836A06"/>
    <w:rsid w:val="008374BC"/>
    <w:rsid w:val="00840293"/>
    <w:rsid w:val="008417B5"/>
    <w:rsid w:val="00841901"/>
    <w:rsid w:val="00846121"/>
    <w:rsid w:val="008466C6"/>
    <w:rsid w:val="0084708F"/>
    <w:rsid w:val="008477C8"/>
    <w:rsid w:val="0085114D"/>
    <w:rsid w:val="008520A8"/>
    <w:rsid w:val="00852217"/>
    <w:rsid w:val="00855408"/>
    <w:rsid w:val="00856D65"/>
    <w:rsid w:val="00861B41"/>
    <w:rsid w:val="00861B9F"/>
    <w:rsid w:val="00861BE3"/>
    <w:rsid w:val="008625D3"/>
    <w:rsid w:val="00863434"/>
    <w:rsid w:val="00865E4C"/>
    <w:rsid w:val="00867DAB"/>
    <w:rsid w:val="008701E4"/>
    <w:rsid w:val="008734E7"/>
    <w:rsid w:val="0087368D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972D2"/>
    <w:rsid w:val="008A0ADD"/>
    <w:rsid w:val="008A388E"/>
    <w:rsid w:val="008A3CBA"/>
    <w:rsid w:val="008A4B59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E6A"/>
    <w:rsid w:val="008D2A16"/>
    <w:rsid w:val="008D33F5"/>
    <w:rsid w:val="008D35E4"/>
    <w:rsid w:val="008E292B"/>
    <w:rsid w:val="008E2C57"/>
    <w:rsid w:val="008E31FF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1DA"/>
    <w:rsid w:val="00902500"/>
    <w:rsid w:val="00902EFF"/>
    <w:rsid w:val="0090432C"/>
    <w:rsid w:val="00904F96"/>
    <w:rsid w:val="009052A3"/>
    <w:rsid w:val="009056D7"/>
    <w:rsid w:val="00905B8D"/>
    <w:rsid w:val="00906401"/>
    <w:rsid w:val="0090786F"/>
    <w:rsid w:val="009110F7"/>
    <w:rsid w:val="0091155E"/>
    <w:rsid w:val="00912A92"/>
    <w:rsid w:val="00915D07"/>
    <w:rsid w:val="009162AE"/>
    <w:rsid w:val="00917251"/>
    <w:rsid w:val="0091728D"/>
    <w:rsid w:val="00920EC4"/>
    <w:rsid w:val="0092180B"/>
    <w:rsid w:val="00921F14"/>
    <w:rsid w:val="00923CB0"/>
    <w:rsid w:val="00924871"/>
    <w:rsid w:val="00924AC8"/>
    <w:rsid w:val="00925429"/>
    <w:rsid w:val="0092597A"/>
    <w:rsid w:val="00926520"/>
    <w:rsid w:val="0093033E"/>
    <w:rsid w:val="009305FC"/>
    <w:rsid w:val="00930FB1"/>
    <w:rsid w:val="0093139F"/>
    <w:rsid w:val="00932443"/>
    <w:rsid w:val="00933F4A"/>
    <w:rsid w:val="00935BD4"/>
    <w:rsid w:val="009373B2"/>
    <w:rsid w:val="00937AE2"/>
    <w:rsid w:val="0094416B"/>
    <w:rsid w:val="0094427A"/>
    <w:rsid w:val="00944C7C"/>
    <w:rsid w:val="00945245"/>
    <w:rsid w:val="009568DC"/>
    <w:rsid w:val="0095759C"/>
    <w:rsid w:val="009618EE"/>
    <w:rsid w:val="009624D2"/>
    <w:rsid w:val="009628D9"/>
    <w:rsid w:val="009637AE"/>
    <w:rsid w:val="00964776"/>
    <w:rsid w:val="00964A4E"/>
    <w:rsid w:val="00964B35"/>
    <w:rsid w:val="009651C7"/>
    <w:rsid w:val="00965797"/>
    <w:rsid w:val="00965A10"/>
    <w:rsid w:val="009670A3"/>
    <w:rsid w:val="009674BE"/>
    <w:rsid w:val="00972FCD"/>
    <w:rsid w:val="009741FC"/>
    <w:rsid w:val="00974923"/>
    <w:rsid w:val="00977C3D"/>
    <w:rsid w:val="00980D3D"/>
    <w:rsid w:val="00983101"/>
    <w:rsid w:val="00983E41"/>
    <w:rsid w:val="00987A30"/>
    <w:rsid w:val="0099182E"/>
    <w:rsid w:val="00992CF3"/>
    <w:rsid w:val="00994868"/>
    <w:rsid w:val="009968D6"/>
    <w:rsid w:val="009A10A0"/>
    <w:rsid w:val="009A1CAB"/>
    <w:rsid w:val="009A2359"/>
    <w:rsid w:val="009A4D57"/>
    <w:rsid w:val="009A60D1"/>
    <w:rsid w:val="009B05B3"/>
    <w:rsid w:val="009B3764"/>
    <w:rsid w:val="009B66CE"/>
    <w:rsid w:val="009B6FD3"/>
    <w:rsid w:val="009C1750"/>
    <w:rsid w:val="009C2E29"/>
    <w:rsid w:val="009C3E8F"/>
    <w:rsid w:val="009C554B"/>
    <w:rsid w:val="009C719E"/>
    <w:rsid w:val="009C7799"/>
    <w:rsid w:val="009D07A9"/>
    <w:rsid w:val="009D0A7B"/>
    <w:rsid w:val="009D3ACD"/>
    <w:rsid w:val="009D7731"/>
    <w:rsid w:val="009E1922"/>
    <w:rsid w:val="009E4715"/>
    <w:rsid w:val="009E5273"/>
    <w:rsid w:val="009E5DDB"/>
    <w:rsid w:val="009F4982"/>
    <w:rsid w:val="009F4CA7"/>
    <w:rsid w:val="009F7D36"/>
    <w:rsid w:val="00A00E71"/>
    <w:rsid w:val="00A03B10"/>
    <w:rsid w:val="00A04616"/>
    <w:rsid w:val="00A04717"/>
    <w:rsid w:val="00A05EE4"/>
    <w:rsid w:val="00A10D66"/>
    <w:rsid w:val="00A14114"/>
    <w:rsid w:val="00A16413"/>
    <w:rsid w:val="00A16545"/>
    <w:rsid w:val="00A16AED"/>
    <w:rsid w:val="00A16E1D"/>
    <w:rsid w:val="00A17A15"/>
    <w:rsid w:val="00A17D5B"/>
    <w:rsid w:val="00A23E43"/>
    <w:rsid w:val="00A24ED9"/>
    <w:rsid w:val="00A25216"/>
    <w:rsid w:val="00A2628E"/>
    <w:rsid w:val="00A2731E"/>
    <w:rsid w:val="00A309AC"/>
    <w:rsid w:val="00A30F65"/>
    <w:rsid w:val="00A3279E"/>
    <w:rsid w:val="00A35900"/>
    <w:rsid w:val="00A40EAC"/>
    <w:rsid w:val="00A418BC"/>
    <w:rsid w:val="00A43CF8"/>
    <w:rsid w:val="00A43DF2"/>
    <w:rsid w:val="00A445A8"/>
    <w:rsid w:val="00A44B0D"/>
    <w:rsid w:val="00A45087"/>
    <w:rsid w:val="00A45489"/>
    <w:rsid w:val="00A46DE0"/>
    <w:rsid w:val="00A50D73"/>
    <w:rsid w:val="00A52CAD"/>
    <w:rsid w:val="00A53FC7"/>
    <w:rsid w:val="00A626FF"/>
    <w:rsid w:val="00A62CE1"/>
    <w:rsid w:val="00A655D3"/>
    <w:rsid w:val="00A6741E"/>
    <w:rsid w:val="00A7016A"/>
    <w:rsid w:val="00A7018D"/>
    <w:rsid w:val="00A722F9"/>
    <w:rsid w:val="00A72D42"/>
    <w:rsid w:val="00A75E40"/>
    <w:rsid w:val="00A77D1D"/>
    <w:rsid w:val="00A81652"/>
    <w:rsid w:val="00A83150"/>
    <w:rsid w:val="00A83398"/>
    <w:rsid w:val="00A857C0"/>
    <w:rsid w:val="00A90FED"/>
    <w:rsid w:val="00A9189D"/>
    <w:rsid w:val="00A91E71"/>
    <w:rsid w:val="00A96116"/>
    <w:rsid w:val="00A9614E"/>
    <w:rsid w:val="00A96C0F"/>
    <w:rsid w:val="00AA212F"/>
    <w:rsid w:val="00AA2996"/>
    <w:rsid w:val="00AA2AF4"/>
    <w:rsid w:val="00AA52BF"/>
    <w:rsid w:val="00AA559A"/>
    <w:rsid w:val="00AA6C31"/>
    <w:rsid w:val="00AA7CE8"/>
    <w:rsid w:val="00AB2AF1"/>
    <w:rsid w:val="00AB5A64"/>
    <w:rsid w:val="00AB6456"/>
    <w:rsid w:val="00AC044E"/>
    <w:rsid w:val="00AC2395"/>
    <w:rsid w:val="00AC2960"/>
    <w:rsid w:val="00AC2AC4"/>
    <w:rsid w:val="00AC4284"/>
    <w:rsid w:val="00AC45BD"/>
    <w:rsid w:val="00AD0EE7"/>
    <w:rsid w:val="00AD168E"/>
    <w:rsid w:val="00AD306C"/>
    <w:rsid w:val="00AD5AD2"/>
    <w:rsid w:val="00AD6462"/>
    <w:rsid w:val="00AD68C4"/>
    <w:rsid w:val="00AD71F9"/>
    <w:rsid w:val="00AE09B3"/>
    <w:rsid w:val="00AE1A83"/>
    <w:rsid w:val="00AE7CE7"/>
    <w:rsid w:val="00AE7FAB"/>
    <w:rsid w:val="00AF1E87"/>
    <w:rsid w:val="00AF436B"/>
    <w:rsid w:val="00AF5179"/>
    <w:rsid w:val="00AF5CC2"/>
    <w:rsid w:val="00AF6F98"/>
    <w:rsid w:val="00B00913"/>
    <w:rsid w:val="00B01593"/>
    <w:rsid w:val="00B01FF9"/>
    <w:rsid w:val="00B023F2"/>
    <w:rsid w:val="00B06DB4"/>
    <w:rsid w:val="00B077F7"/>
    <w:rsid w:val="00B10A4D"/>
    <w:rsid w:val="00B10C90"/>
    <w:rsid w:val="00B11002"/>
    <w:rsid w:val="00B121B2"/>
    <w:rsid w:val="00B14BC1"/>
    <w:rsid w:val="00B16EB8"/>
    <w:rsid w:val="00B17E71"/>
    <w:rsid w:val="00B17FDE"/>
    <w:rsid w:val="00B20632"/>
    <w:rsid w:val="00B2379C"/>
    <w:rsid w:val="00B23D5D"/>
    <w:rsid w:val="00B2687D"/>
    <w:rsid w:val="00B32DDB"/>
    <w:rsid w:val="00B32F57"/>
    <w:rsid w:val="00B3345C"/>
    <w:rsid w:val="00B34528"/>
    <w:rsid w:val="00B34CC9"/>
    <w:rsid w:val="00B3563B"/>
    <w:rsid w:val="00B402FC"/>
    <w:rsid w:val="00B422E2"/>
    <w:rsid w:val="00B439DA"/>
    <w:rsid w:val="00B4411A"/>
    <w:rsid w:val="00B46604"/>
    <w:rsid w:val="00B47089"/>
    <w:rsid w:val="00B52151"/>
    <w:rsid w:val="00B530CD"/>
    <w:rsid w:val="00B55F5E"/>
    <w:rsid w:val="00B56B6F"/>
    <w:rsid w:val="00B5752E"/>
    <w:rsid w:val="00B62316"/>
    <w:rsid w:val="00B63A11"/>
    <w:rsid w:val="00B64425"/>
    <w:rsid w:val="00B64C24"/>
    <w:rsid w:val="00B65CEF"/>
    <w:rsid w:val="00B6608F"/>
    <w:rsid w:val="00B679FB"/>
    <w:rsid w:val="00B76D1E"/>
    <w:rsid w:val="00B77543"/>
    <w:rsid w:val="00B80EC6"/>
    <w:rsid w:val="00B81D70"/>
    <w:rsid w:val="00B83E07"/>
    <w:rsid w:val="00B84CF6"/>
    <w:rsid w:val="00B85016"/>
    <w:rsid w:val="00B8561A"/>
    <w:rsid w:val="00B92D1D"/>
    <w:rsid w:val="00B938C5"/>
    <w:rsid w:val="00B95940"/>
    <w:rsid w:val="00B95ACA"/>
    <w:rsid w:val="00B97ACC"/>
    <w:rsid w:val="00BA3787"/>
    <w:rsid w:val="00BA46E8"/>
    <w:rsid w:val="00BA6C2B"/>
    <w:rsid w:val="00BA7B64"/>
    <w:rsid w:val="00BB0351"/>
    <w:rsid w:val="00BB15C3"/>
    <w:rsid w:val="00BB1AF4"/>
    <w:rsid w:val="00BB46F3"/>
    <w:rsid w:val="00BB4CB1"/>
    <w:rsid w:val="00BB4F98"/>
    <w:rsid w:val="00BB5ABF"/>
    <w:rsid w:val="00BB6EA2"/>
    <w:rsid w:val="00BB7B5B"/>
    <w:rsid w:val="00BC003F"/>
    <w:rsid w:val="00BC327F"/>
    <w:rsid w:val="00BC5332"/>
    <w:rsid w:val="00BC5C12"/>
    <w:rsid w:val="00BC7154"/>
    <w:rsid w:val="00BC731E"/>
    <w:rsid w:val="00BC7614"/>
    <w:rsid w:val="00BD25BB"/>
    <w:rsid w:val="00BD2AF8"/>
    <w:rsid w:val="00BD366B"/>
    <w:rsid w:val="00BD6D50"/>
    <w:rsid w:val="00BE0AD1"/>
    <w:rsid w:val="00BE0EF9"/>
    <w:rsid w:val="00BE18B9"/>
    <w:rsid w:val="00BE2495"/>
    <w:rsid w:val="00BF02C8"/>
    <w:rsid w:val="00BF1578"/>
    <w:rsid w:val="00BF1D12"/>
    <w:rsid w:val="00BF1D3A"/>
    <w:rsid w:val="00BF4E43"/>
    <w:rsid w:val="00BF5C4C"/>
    <w:rsid w:val="00C01410"/>
    <w:rsid w:val="00C052AA"/>
    <w:rsid w:val="00C06EE3"/>
    <w:rsid w:val="00C07749"/>
    <w:rsid w:val="00C11D48"/>
    <w:rsid w:val="00C21430"/>
    <w:rsid w:val="00C21E61"/>
    <w:rsid w:val="00C21F94"/>
    <w:rsid w:val="00C2590D"/>
    <w:rsid w:val="00C27913"/>
    <w:rsid w:val="00C33B68"/>
    <w:rsid w:val="00C35570"/>
    <w:rsid w:val="00C36A79"/>
    <w:rsid w:val="00C401D2"/>
    <w:rsid w:val="00C4031A"/>
    <w:rsid w:val="00C405D4"/>
    <w:rsid w:val="00C419D5"/>
    <w:rsid w:val="00C4513B"/>
    <w:rsid w:val="00C5390B"/>
    <w:rsid w:val="00C54697"/>
    <w:rsid w:val="00C553A5"/>
    <w:rsid w:val="00C55402"/>
    <w:rsid w:val="00C5603B"/>
    <w:rsid w:val="00C61F47"/>
    <w:rsid w:val="00C62828"/>
    <w:rsid w:val="00C71D2F"/>
    <w:rsid w:val="00C72984"/>
    <w:rsid w:val="00C73885"/>
    <w:rsid w:val="00C73C93"/>
    <w:rsid w:val="00C7435A"/>
    <w:rsid w:val="00C747B1"/>
    <w:rsid w:val="00C82191"/>
    <w:rsid w:val="00C83134"/>
    <w:rsid w:val="00C832F3"/>
    <w:rsid w:val="00C85545"/>
    <w:rsid w:val="00C855B5"/>
    <w:rsid w:val="00C85F0E"/>
    <w:rsid w:val="00C90CF4"/>
    <w:rsid w:val="00C922DE"/>
    <w:rsid w:val="00C92843"/>
    <w:rsid w:val="00C92EB6"/>
    <w:rsid w:val="00C93389"/>
    <w:rsid w:val="00CA0346"/>
    <w:rsid w:val="00CA37FF"/>
    <w:rsid w:val="00CA6AB4"/>
    <w:rsid w:val="00CB2351"/>
    <w:rsid w:val="00CB4930"/>
    <w:rsid w:val="00CB5E10"/>
    <w:rsid w:val="00CC0834"/>
    <w:rsid w:val="00CC20FE"/>
    <w:rsid w:val="00CC2E7D"/>
    <w:rsid w:val="00CC655F"/>
    <w:rsid w:val="00CC76BD"/>
    <w:rsid w:val="00CD10A5"/>
    <w:rsid w:val="00CD1129"/>
    <w:rsid w:val="00CD2076"/>
    <w:rsid w:val="00CD24CE"/>
    <w:rsid w:val="00CD29B5"/>
    <w:rsid w:val="00CD2B78"/>
    <w:rsid w:val="00CD5C3E"/>
    <w:rsid w:val="00CD6331"/>
    <w:rsid w:val="00CE62FA"/>
    <w:rsid w:val="00CE670B"/>
    <w:rsid w:val="00CF4908"/>
    <w:rsid w:val="00CF51EC"/>
    <w:rsid w:val="00CF545D"/>
    <w:rsid w:val="00CF5873"/>
    <w:rsid w:val="00CF73AE"/>
    <w:rsid w:val="00D03A72"/>
    <w:rsid w:val="00D040DD"/>
    <w:rsid w:val="00D05C65"/>
    <w:rsid w:val="00D06D68"/>
    <w:rsid w:val="00D075BE"/>
    <w:rsid w:val="00D12C25"/>
    <w:rsid w:val="00D133B4"/>
    <w:rsid w:val="00D13986"/>
    <w:rsid w:val="00D14C5B"/>
    <w:rsid w:val="00D15FED"/>
    <w:rsid w:val="00D214EF"/>
    <w:rsid w:val="00D21D6D"/>
    <w:rsid w:val="00D21D83"/>
    <w:rsid w:val="00D235B7"/>
    <w:rsid w:val="00D25F28"/>
    <w:rsid w:val="00D26071"/>
    <w:rsid w:val="00D27973"/>
    <w:rsid w:val="00D31E1E"/>
    <w:rsid w:val="00D334E2"/>
    <w:rsid w:val="00D35BBB"/>
    <w:rsid w:val="00D35E1A"/>
    <w:rsid w:val="00D36DFB"/>
    <w:rsid w:val="00D36E1C"/>
    <w:rsid w:val="00D373AF"/>
    <w:rsid w:val="00D40556"/>
    <w:rsid w:val="00D41F74"/>
    <w:rsid w:val="00D43ED2"/>
    <w:rsid w:val="00D50F46"/>
    <w:rsid w:val="00D544E7"/>
    <w:rsid w:val="00D56FBF"/>
    <w:rsid w:val="00D57677"/>
    <w:rsid w:val="00D60415"/>
    <w:rsid w:val="00D63BE5"/>
    <w:rsid w:val="00D66223"/>
    <w:rsid w:val="00D70822"/>
    <w:rsid w:val="00D72076"/>
    <w:rsid w:val="00D743E0"/>
    <w:rsid w:val="00D77252"/>
    <w:rsid w:val="00D8084C"/>
    <w:rsid w:val="00D82EF1"/>
    <w:rsid w:val="00D84F43"/>
    <w:rsid w:val="00D85821"/>
    <w:rsid w:val="00D8598C"/>
    <w:rsid w:val="00D87C06"/>
    <w:rsid w:val="00D915EA"/>
    <w:rsid w:val="00D928BE"/>
    <w:rsid w:val="00D95C5D"/>
    <w:rsid w:val="00D97D00"/>
    <w:rsid w:val="00DA096C"/>
    <w:rsid w:val="00DA1AB6"/>
    <w:rsid w:val="00DA6364"/>
    <w:rsid w:val="00DA7114"/>
    <w:rsid w:val="00DA7C0C"/>
    <w:rsid w:val="00DB08A9"/>
    <w:rsid w:val="00DB2DFA"/>
    <w:rsid w:val="00DB2EC8"/>
    <w:rsid w:val="00DC17D0"/>
    <w:rsid w:val="00DC2B41"/>
    <w:rsid w:val="00DC435B"/>
    <w:rsid w:val="00DC56FE"/>
    <w:rsid w:val="00DC5B3B"/>
    <w:rsid w:val="00DC6C2D"/>
    <w:rsid w:val="00DC7B1A"/>
    <w:rsid w:val="00DD129F"/>
    <w:rsid w:val="00DD32DD"/>
    <w:rsid w:val="00DE0D8B"/>
    <w:rsid w:val="00DF3643"/>
    <w:rsid w:val="00DF42FF"/>
    <w:rsid w:val="00DF5D1E"/>
    <w:rsid w:val="00E01C0E"/>
    <w:rsid w:val="00E0368F"/>
    <w:rsid w:val="00E03D73"/>
    <w:rsid w:val="00E03F9A"/>
    <w:rsid w:val="00E04694"/>
    <w:rsid w:val="00E129E7"/>
    <w:rsid w:val="00E12ABE"/>
    <w:rsid w:val="00E12B1E"/>
    <w:rsid w:val="00E1444C"/>
    <w:rsid w:val="00E17262"/>
    <w:rsid w:val="00E20016"/>
    <w:rsid w:val="00E2009B"/>
    <w:rsid w:val="00E2251C"/>
    <w:rsid w:val="00E2363D"/>
    <w:rsid w:val="00E253A2"/>
    <w:rsid w:val="00E27127"/>
    <w:rsid w:val="00E27233"/>
    <w:rsid w:val="00E31771"/>
    <w:rsid w:val="00E32080"/>
    <w:rsid w:val="00E3309D"/>
    <w:rsid w:val="00E417BE"/>
    <w:rsid w:val="00E41CD5"/>
    <w:rsid w:val="00E43A9E"/>
    <w:rsid w:val="00E453F9"/>
    <w:rsid w:val="00E45D7D"/>
    <w:rsid w:val="00E47854"/>
    <w:rsid w:val="00E47EBA"/>
    <w:rsid w:val="00E50156"/>
    <w:rsid w:val="00E5076C"/>
    <w:rsid w:val="00E53470"/>
    <w:rsid w:val="00E539F6"/>
    <w:rsid w:val="00E55791"/>
    <w:rsid w:val="00E578A2"/>
    <w:rsid w:val="00E61740"/>
    <w:rsid w:val="00E61EB5"/>
    <w:rsid w:val="00E6519D"/>
    <w:rsid w:val="00E67305"/>
    <w:rsid w:val="00E67696"/>
    <w:rsid w:val="00E71A58"/>
    <w:rsid w:val="00E72A26"/>
    <w:rsid w:val="00E72A7A"/>
    <w:rsid w:val="00E747DC"/>
    <w:rsid w:val="00E75C94"/>
    <w:rsid w:val="00E76B9B"/>
    <w:rsid w:val="00E76E61"/>
    <w:rsid w:val="00E80CA3"/>
    <w:rsid w:val="00E82618"/>
    <w:rsid w:val="00E828FF"/>
    <w:rsid w:val="00E930A1"/>
    <w:rsid w:val="00E93820"/>
    <w:rsid w:val="00E94A86"/>
    <w:rsid w:val="00E96143"/>
    <w:rsid w:val="00E96833"/>
    <w:rsid w:val="00EA0C68"/>
    <w:rsid w:val="00EA32BC"/>
    <w:rsid w:val="00EA35A7"/>
    <w:rsid w:val="00EA4402"/>
    <w:rsid w:val="00EA513E"/>
    <w:rsid w:val="00EB0E32"/>
    <w:rsid w:val="00EB4511"/>
    <w:rsid w:val="00EB4A8E"/>
    <w:rsid w:val="00EB5BF7"/>
    <w:rsid w:val="00EB5E79"/>
    <w:rsid w:val="00EB6FAC"/>
    <w:rsid w:val="00EC03D7"/>
    <w:rsid w:val="00EC13A7"/>
    <w:rsid w:val="00ED0EF0"/>
    <w:rsid w:val="00ED12B9"/>
    <w:rsid w:val="00ED16B8"/>
    <w:rsid w:val="00ED2EA1"/>
    <w:rsid w:val="00ED4D04"/>
    <w:rsid w:val="00ED62C6"/>
    <w:rsid w:val="00ED64C1"/>
    <w:rsid w:val="00EE3446"/>
    <w:rsid w:val="00EE3E78"/>
    <w:rsid w:val="00EE4B1B"/>
    <w:rsid w:val="00EF150D"/>
    <w:rsid w:val="00EF1F5A"/>
    <w:rsid w:val="00EF47BF"/>
    <w:rsid w:val="00EF5A13"/>
    <w:rsid w:val="00EF5FF9"/>
    <w:rsid w:val="00F0160B"/>
    <w:rsid w:val="00F03F8D"/>
    <w:rsid w:val="00F04811"/>
    <w:rsid w:val="00F0488C"/>
    <w:rsid w:val="00F073ED"/>
    <w:rsid w:val="00F07C4C"/>
    <w:rsid w:val="00F10F11"/>
    <w:rsid w:val="00F12CFB"/>
    <w:rsid w:val="00F15AAA"/>
    <w:rsid w:val="00F15BEF"/>
    <w:rsid w:val="00F17898"/>
    <w:rsid w:val="00F207C2"/>
    <w:rsid w:val="00F219A1"/>
    <w:rsid w:val="00F23E20"/>
    <w:rsid w:val="00F24407"/>
    <w:rsid w:val="00F24FAA"/>
    <w:rsid w:val="00F25040"/>
    <w:rsid w:val="00F27331"/>
    <w:rsid w:val="00F30C65"/>
    <w:rsid w:val="00F3364D"/>
    <w:rsid w:val="00F349BF"/>
    <w:rsid w:val="00F437CC"/>
    <w:rsid w:val="00F44537"/>
    <w:rsid w:val="00F46185"/>
    <w:rsid w:val="00F46423"/>
    <w:rsid w:val="00F4696A"/>
    <w:rsid w:val="00F47067"/>
    <w:rsid w:val="00F525EB"/>
    <w:rsid w:val="00F63AAE"/>
    <w:rsid w:val="00F63DDE"/>
    <w:rsid w:val="00F63FB7"/>
    <w:rsid w:val="00F6421B"/>
    <w:rsid w:val="00F649D2"/>
    <w:rsid w:val="00F6602B"/>
    <w:rsid w:val="00F7150B"/>
    <w:rsid w:val="00F73A0C"/>
    <w:rsid w:val="00F756DB"/>
    <w:rsid w:val="00F767A8"/>
    <w:rsid w:val="00F84E7D"/>
    <w:rsid w:val="00F85066"/>
    <w:rsid w:val="00F87A4D"/>
    <w:rsid w:val="00F93688"/>
    <w:rsid w:val="00F939F3"/>
    <w:rsid w:val="00FA05A0"/>
    <w:rsid w:val="00FA17CC"/>
    <w:rsid w:val="00FA1F01"/>
    <w:rsid w:val="00FA5112"/>
    <w:rsid w:val="00FA5526"/>
    <w:rsid w:val="00FA5D4D"/>
    <w:rsid w:val="00FA70D3"/>
    <w:rsid w:val="00FB0EE2"/>
    <w:rsid w:val="00FB1A79"/>
    <w:rsid w:val="00FB208B"/>
    <w:rsid w:val="00FB2B2D"/>
    <w:rsid w:val="00FB542E"/>
    <w:rsid w:val="00FC05F8"/>
    <w:rsid w:val="00FC0E5F"/>
    <w:rsid w:val="00FC1A95"/>
    <w:rsid w:val="00FC3BEC"/>
    <w:rsid w:val="00FC440B"/>
    <w:rsid w:val="00FC56DE"/>
    <w:rsid w:val="00FC64DE"/>
    <w:rsid w:val="00FC684B"/>
    <w:rsid w:val="00FC7D98"/>
    <w:rsid w:val="00FD1135"/>
    <w:rsid w:val="00FD3265"/>
    <w:rsid w:val="00FD3CF7"/>
    <w:rsid w:val="00FD4916"/>
    <w:rsid w:val="00FD4D12"/>
    <w:rsid w:val="00FE27C7"/>
    <w:rsid w:val="00FE2C7E"/>
    <w:rsid w:val="00FE2F78"/>
    <w:rsid w:val="00FE3137"/>
    <w:rsid w:val="00FE48E4"/>
    <w:rsid w:val="00FE634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9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2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2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2\Makroanal&#253;za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2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8568840579710145E-2"/>
          <c:y val="2.1811315924220576E-2"/>
          <c:w val="0.92237743255066085"/>
          <c:h val="0.73318107621300121"/>
        </c:manualLayout>
      </c:layout>
      <c:barChart>
        <c:barDir val="col"/>
        <c:grouping val="clustered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2'!$A$14:$B$31</c:f>
              <c:multiLvlStrCache>
                <c:ptCount val="1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2'!$C$14:$C$31</c:f>
              <c:numCache>
                <c:formatCode>0.0</c:formatCode>
                <c:ptCount val="18"/>
                <c:pt idx="0">
                  <c:v>0.20000000000000284</c:v>
                </c:pt>
                <c:pt idx="1">
                  <c:v>0.20000000000000284</c:v>
                </c:pt>
                <c:pt idx="2">
                  <c:v>0.59999999999999454</c:v>
                </c:pt>
                <c:pt idx="3">
                  <c:v>0.5</c:v>
                </c:pt>
                <c:pt idx="4">
                  <c:v>9.9999999999995245E-2</c:v>
                </c:pt>
                <c:pt idx="5">
                  <c:v>0.70000000000000284</c:v>
                </c:pt>
                <c:pt idx="6">
                  <c:v>0.40000000000000568</c:v>
                </c:pt>
                <c:pt idx="7">
                  <c:v>9.9999999999995245E-2</c:v>
                </c:pt>
                <c:pt idx="8">
                  <c:v>0.5</c:v>
                </c:pt>
                <c:pt idx="9">
                  <c:v>0.20000000000000284</c:v>
                </c:pt>
                <c:pt idx="10">
                  <c:v>0.5</c:v>
                </c:pt>
                <c:pt idx="11">
                  <c:v>1.4000000000000057</c:v>
                </c:pt>
                <c:pt idx="12" formatCode="General">
                  <c:v>2.4000000000000057</c:v>
                </c:pt>
                <c:pt idx="13" formatCode="General">
                  <c:v>2.2000000000000042</c:v>
                </c:pt>
                <c:pt idx="14">
                  <c:v>2.5</c:v>
                </c:pt>
                <c:pt idx="15">
                  <c:v>2.6</c:v>
                </c:pt>
                <c:pt idx="16">
                  <c:v>1.9000000000000001</c:v>
                </c:pt>
                <c:pt idx="17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56-423E-B3B0-CC1D586DAABC}"/>
            </c:ext>
          </c:extLst>
        </c:ser>
        <c:gapWidth val="95"/>
        <c:axId val="116078848"/>
        <c:axId val="117653504"/>
      </c:barChart>
      <c:lineChart>
        <c:grouping val="standard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2'!$A$14:$B$31</c:f>
              <c:multiLvlStrCache>
                <c:ptCount val="1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2'!$D$14:$D$31</c:f>
              <c:numCache>
                <c:formatCode>0.0</c:formatCode>
                <c:ptCount val="18"/>
                <c:pt idx="0">
                  <c:v>3.9000000000000057</c:v>
                </c:pt>
                <c:pt idx="1">
                  <c:v>1.5</c:v>
                </c:pt>
                <c:pt idx="2">
                  <c:v>1.4000000000000057</c:v>
                </c:pt>
                <c:pt idx="3">
                  <c:v>1.2000000000000028</c:v>
                </c:pt>
                <c:pt idx="4">
                  <c:v>-1.5999999999999817</c:v>
                </c:pt>
                <c:pt idx="5">
                  <c:v>-9.9999999999995245E-2</c:v>
                </c:pt>
                <c:pt idx="6">
                  <c:v>-0.90000000000000568</c:v>
                </c:pt>
                <c:pt idx="7">
                  <c:v>-1.5999999999999817</c:v>
                </c:pt>
                <c:pt idx="8">
                  <c:v>-1.7000000000000035</c:v>
                </c:pt>
                <c:pt idx="9">
                  <c:v>-2.4000000000000057</c:v>
                </c:pt>
                <c:pt idx="10">
                  <c:v>-0.7999999999999976</c:v>
                </c:pt>
                <c:pt idx="11">
                  <c:v>1.2000000000000028</c:v>
                </c:pt>
                <c:pt idx="12" formatCode="General">
                  <c:v>4.2000000000000028</c:v>
                </c:pt>
                <c:pt idx="13" formatCode="General">
                  <c:v>4.5</c:v>
                </c:pt>
                <c:pt idx="14">
                  <c:v>5.7</c:v>
                </c:pt>
                <c:pt idx="15">
                  <c:v>6.3</c:v>
                </c:pt>
                <c:pt idx="16">
                  <c:v>2.9</c:v>
                </c:pt>
                <c:pt idx="17" formatCode="#,##0.0_ ;\-#,##0.0\ 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56-423E-B3B0-CC1D586DAABC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2'!$A$14:$B$31</c:f>
              <c:multiLvlStrCache>
                <c:ptCount val="1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2'!$F$14:$F$31</c:f>
              <c:numCache>
                <c:formatCode>0.0</c:formatCode>
                <c:ptCount val="18"/>
                <c:pt idx="0">
                  <c:v>-2.4000000000000057</c:v>
                </c:pt>
                <c:pt idx="1">
                  <c:v>-1.7000000000000035</c:v>
                </c:pt>
                <c:pt idx="2">
                  <c:v>-0.70000000000000284</c:v>
                </c:pt>
                <c:pt idx="3">
                  <c:v>-0.59999999999999454</c:v>
                </c:pt>
                <c:pt idx="4">
                  <c:v>1.0999999999999817</c:v>
                </c:pt>
                <c:pt idx="5">
                  <c:v>1.2000000000000028</c:v>
                </c:pt>
                <c:pt idx="6">
                  <c:v>0.7999999999999976</c:v>
                </c:pt>
                <c:pt idx="7">
                  <c:v>0.90000000000000568</c:v>
                </c:pt>
                <c:pt idx="8">
                  <c:v>0.90000000000000568</c:v>
                </c:pt>
                <c:pt idx="9">
                  <c:v>0.5</c:v>
                </c:pt>
                <c:pt idx="10">
                  <c:v>0.40000000000000568</c:v>
                </c:pt>
                <c:pt idx="11">
                  <c:v>0.59999999999999454</c:v>
                </c:pt>
                <c:pt idx="12" formatCode="General">
                  <c:v>0.7999999999999976</c:v>
                </c:pt>
                <c:pt idx="13" formatCode="General">
                  <c:v>1.5</c:v>
                </c:pt>
                <c:pt idx="14">
                  <c:v>2.1</c:v>
                </c:pt>
                <c:pt idx="15">
                  <c:v>2.2000000000000002</c:v>
                </c:pt>
                <c:pt idx="16">
                  <c:v>2.2999999999999998</c:v>
                </c:pt>
                <c:pt idx="17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56-423E-B3B0-CC1D586DAABC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val>
            <c:numRef>
              <c:f>'Ceny 2'!$G$14:$G$31</c:f>
              <c:numCache>
                <c:formatCode>General</c:formatCode>
                <c:ptCount val="18"/>
                <c:pt idx="0">
                  <c:v>9.9999999999995245E-2</c:v>
                </c:pt>
                <c:pt idx="1">
                  <c:v>0.30000000000000032</c:v>
                </c:pt>
                <c:pt idx="2">
                  <c:v>0.5</c:v>
                </c:pt>
                <c:pt idx="3">
                  <c:v>0</c:v>
                </c:pt>
                <c:pt idx="4">
                  <c:v>-4.9000000000000083</c:v>
                </c:pt>
                <c:pt idx="5">
                  <c:v>-3.2999999999999972</c:v>
                </c:pt>
                <c:pt idx="6">
                  <c:v>-3.7999999999999972</c:v>
                </c:pt>
                <c:pt idx="7">
                  <c:v>-4.7000000000000028</c:v>
                </c:pt>
                <c:pt idx="8">
                  <c:v>-2.7000000000000042</c:v>
                </c:pt>
                <c:pt idx="9">
                  <c:v>-2.9000000000000057</c:v>
                </c:pt>
                <c:pt idx="10">
                  <c:v>-2.2999999999999972</c:v>
                </c:pt>
                <c:pt idx="11">
                  <c:v>1.0999999999999817</c:v>
                </c:pt>
                <c:pt idx="12">
                  <c:v>6</c:v>
                </c:pt>
                <c:pt idx="13">
                  <c:v>3.9000000000000057</c:v>
                </c:pt>
                <c:pt idx="14" formatCode="0.0">
                  <c:v>2.5</c:v>
                </c:pt>
                <c:pt idx="15" formatCode="0.0">
                  <c:v>2.5</c:v>
                </c:pt>
                <c:pt idx="16" formatCode="0.0">
                  <c:v>1</c:v>
                </c:pt>
                <c:pt idx="17" formatCode="0.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56-423E-B3B0-CC1D586DAABC}"/>
            </c:ext>
          </c:extLst>
        </c:ser>
        <c:ser>
          <c:idx val="2"/>
          <c:order val="4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'Ceny 2'!$H$14:$H$31</c:f>
              <c:numCache>
                <c:formatCode>###,###,##0.0</c:formatCode>
                <c:ptCount val="18"/>
                <c:pt idx="0">
                  <c:v>1.5999999999999817</c:v>
                </c:pt>
                <c:pt idx="1">
                  <c:v>1.7000000000000035</c:v>
                </c:pt>
                <c:pt idx="2">
                  <c:v>1.7000000000000035</c:v>
                </c:pt>
                <c:pt idx="3">
                  <c:v>1.7000000000000035</c:v>
                </c:pt>
                <c:pt idx="4">
                  <c:v>1.7000000000000035</c:v>
                </c:pt>
                <c:pt idx="5">
                  <c:v>1.5999999999999817</c:v>
                </c:pt>
                <c:pt idx="6">
                  <c:v>1.4000000000000057</c:v>
                </c:pt>
                <c:pt idx="7">
                  <c:v>1.2999999999999825</c:v>
                </c:pt>
                <c:pt idx="8">
                  <c:v>1.2000000000000028</c:v>
                </c:pt>
                <c:pt idx="9">
                  <c:v>1.0999999999999817</c:v>
                </c:pt>
                <c:pt idx="10">
                  <c:v>1.2000000000000028</c:v>
                </c:pt>
                <c:pt idx="11">
                  <c:v>2.7000000000000042</c:v>
                </c:pt>
                <c:pt idx="12">
                  <c:v>5.2000000000000028</c:v>
                </c:pt>
                <c:pt idx="13">
                  <c:v>5.7999999999999972</c:v>
                </c:pt>
                <c:pt idx="14">
                  <c:v>6.2999999999999972</c:v>
                </c:pt>
                <c:pt idx="15" formatCode="0.0">
                  <c:v>5.6</c:v>
                </c:pt>
                <c:pt idx="16" formatCode="0.0">
                  <c:v>3.5</c:v>
                </c:pt>
                <c:pt idx="17" formatCode="0.0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E56-423E-B3B0-CC1D586DAABC}"/>
            </c:ext>
          </c:extLst>
        </c:ser>
        <c:marker val="1"/>
        <c:axId val="116078848"/>
        <c:axId val="117653504"/>
      </c:lineChart>
      <c:catAx>
        <c:axId val="116078848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7653504"/>
        <c:crosses val="autoZero"/>
        <c:auto val="1"/>
        <c:lblAlgn val="ctr"/>
        <c:lblOffset val="100"/>
      </c:catAx>
      <c:valAx>
        <c:axId val="117653504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16078848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6562767491901832E-2"/>
          <c:y val="0.87255825734550674"/>
          <c:w val="0.9236290526849219"/>
          <c:h val="0.10076212991106744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4.9258203189717562E-2"/>
          <c:y val="2.9569886214146503E-2"/>
          <c:w val="0.92637856314472322"/>
          <c:h val="0.73556653157716956"/>
        </c:manualLayout>
      </c:layout>
      <c:barChart>
        <c:barDir val="col"/>
        <c:grouping val="clustered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1'!$A$14:$B$31</c:f>
              <c:multiLvlStrCache>
                <c:ptCount val="1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1'!$C$14:$C$31</c:f>
              <c:numCache>
                <c:formatCode>General</c:formatCode>
                <c:ptCount val="18"/>
                <c:pt idx="0">
                  <c:v>1.2000000000000028</c:v>
                </c:pt>
                <c:pt idx="1">
                  <c:v>2.5</c:v>
                </c:pt>
                <c:pt idx="2">
                  <c:v>4.5</c:v>
                </c:pt>
                <c:pt idx="3">
                  <c:v>5.7000000000000028</c:v>
                </c:pt>
                <c:pt idx="4">
                  <c:v>4.2999999999999972</c:v>
                </c:pt>
                <c:pt idx="5">
                  <c:v>4.9000000000000083</c:v>
                </c:pt>
                <c:pt idx="6">
                  <c:v>6</c:v>
                </c:pt>
                <c:pt idx="7">
                  <c:v>6.7999999999999972</c:v>
                </c:pt>
                <c:pt idx="8">
                  <c:v>8.9000000000000057</c:v>
                </c:pt>
                <c:pt idx="9">
                  <c:v>10.3</c:v>
                </c:pt>
                <c:pt idx="10">
                  <c:v>12.3</c:v>
                </c:pt>
                <c:pt idx="11">
                  <c:v>14.600000000000001</c:v>
                </c:pt>
                <c:pt idx="12">
                  <c:v>17.200000000000003</c:v>
                </c:pt>
                <c:pt idx="13">
                  <c:v>18.700000000000003</c:v>
                </c:pt>
                <c:pt idx="14">
                  <c:v>15.8</c:v>
                </c:pt>
                <c:pt idx="15">
                  <c:v>12</c:v>
                </c:pt>
                <c:pt idx="16">
                  <c:v>9.2000000000000011</c:v>
                </c:pt>
                <c:pt idx="17">
                  <c:v>5.5999999999999943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12-4174-BCF9-4FD96EBBC2A4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cat>
            <c:multiLvlStrRef>
              <c:f>'Ceny 1'!$A$14:$B$31</c:f>
              <c:multiLvlStrCache>
                <c:ptCount val="1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1'!$D$14:$D$31</c:f>
              <c:numCache>
                <c:formatCode>General</c:formatCode>
                <c:ptCount val="18"/>
                <c:pt idx="0">
                  <c:v>2</c:v>
                </c:pt>
                <c:pt idx="1">
                  <c:v>2.0999999999999943</c:v>
                </c:pt>
                <c:pt idx="2">
                  <c:v>3.2000000000000042</c:v>
                </c:pt>
                <c:pt idx="3">
                  <c:v>5.2000000000000028</c:v>
                </c:pt>
                <c:pt idx="4">
                  <c:v>5</c:v>
                </c:pt>
                <c:pt idx="5">
                  <c:v>5.9000000000000083</c:v>
                </c:pt>
                <c:pt idx="6">
                  <c:v>5.5999999999999943</c:v>
                </c:pt>
                <c:pt idx="7">
                  <c:v>4.5999999999999943</c:v>
                </c:pt>
                <c:pt idx="8">
                  <c:v>5.7999999999999972</c:v>
                </c:pt>
                <c:pt idx="9">
                  <c:v>7.5</c:v>
                </c:pt>
                <c:pt idx="10">
                  <c:v>9.4000000000000057</c:v>
                </c:pt>
                <c:pt idx="11">
                  <c:v>13.900000000000006</c:v>
                </c:pt>
                <c:pt idx="12">
                  <c:v>16.200000000000003</c:v>
                </c:pt>
                <c:pt idx="13">
                  <c:v>19</c:v>
                </c:pt>
                <c:pt idx="14">
                  <c:v>16.400000000000006</c:v>
                </c:pt>
                <c:pt idx="15">
                  <c:v>11.100000000000001</c:v>
                </c:pt>
                <c:pt idx="16">
                  <c:v>8.3000000000000025</c:v>
                </c:pt>
                <c:pt idx="1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12-4174-BCF9-4FD96EBBC2A4}"/>
            </c:ext>
          </c:extLst>
        </c:ser>
        <c:gapWidth val="95"/>
        <c:axId val="117787648"/>
        <c:axId val="118094464"/>
      </c:barChart>
      <c:lineChart>
        <c:grouping val="standard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1'!$A$14:$B$31</c:f>
              <c:multiLvlStrCache>
                <c:ptCount val="1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1'!$E$14:$E$31</c:f>
              <c:numCache>
                <c:formatCode>0.0</c:formatCode>
                <c:ptCount val="18"/>
                <c:pt idx="0">
                  <c:v>3.0082987551867202</c:v>
                </c:pt>
                <c:pt idx="1">
                  <c:v>4.1407867494823956</c:v>
                </c:pt>
                <c:pt idx="2">
                  <c:v>4.6201232032853872</c:v>
                </c:pt>
                <c:pt idx="3">
                  <c:v>2.7411167512690606</c:v>
                </c:pt>
                <c:pt idx="4">
                  <c:v>3.6253776435045406</c:v>
                </c:pt>
                <c:pt idx="5">
                  <c:v>4.9701789264413518</c:v>
                </c:pt>
                <c:pt idx="6">
                  <c:v>6.0843964671246233</c:v>
                </c:pt>
                <c:pt idx="7">
                  <c:v>9.5849802371541557</c:v>
                </c:pt>
                <c:pt idx="8">
                  <c:v>10.204081632653049</c:v>
                </c:pt>
                <c:pt idx="9">
                  <c:v>10.321969696969704</c:v>
                </c:pt>
                <c:pt idx="10">
                  <c:v>9.8982423681776162</c:v>
                </c:pt>
                <c:pt idx="11">
                  <c:v>9.9188458070333638</c:v>
                </c:pt>
                <c:pt idx="12">
                  <c:v>9.5238095238095202</c:v>
                </c:pt>
                <c:pt idx="13" formatCode="General">
                  <c:v>9.5278969957081507</c:v>
                </c:pt>
                <c:pt idx="14" formatCode="General">
                  <c:v>12.542087542087534</c:v>
                </c:pt>
                <c:pt idx="15" formatCode="General">
                  <c:v>12.469237079573471</c:v>
                </c:pt>
                <c:pt idx="16" formatCode="General">
                  <c:v>12.801932367149774</c:v>
                </c:pt>
                <c:pt idx="17" formatCode="General">
                  <c:v>12.2257053291536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12-4174-BCF9-4FD96EBBC2A4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1'!$A$14:$B$31</c:f>
              <c:multiLvlStrCache>
                <c:ptCount val="1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1'!$F$14:$F$31</c:f>
              <c:numCache>
                <c:formatCode>0.0</c:formatCode>
                <c:ptCount val="18"/>
                <c:pt idx="0">
                  <c:v>3.8310412573674002</c:v>
                </c:pt>
                <c:pt idx="1">
                  <c:v>5.2785923753665784</c:v>
                </c:pt>
                <c:pt idx="2">
                  <c:v>6.6731141199226212</c:v>
                </c:pt>
                <c:pt idx="3">
                  <c:v>5.1428571428571486</c:v>
                </c:pt>
                <c:pt idx="4">
                  <c:v>5.7710501419110924</c:v>
                </c:pt>
                <c:pt idx="5">
                  <c:v>6.4995357474466076</c:v>
                </c:pt>
                <c:pt idx="6">
                  <c:v>6.7089755213055255</c:v>
                </c:pt>
                <c:pt idx="7">
                  <c:v>8.7862318840579601</c:v>
                </c:pt>
                <c:pt idx="8">
                  <c:v>10.196779964221831</c:v>
                </c:pt>
                <c:pt idx="9">
                  <c:v>10.549258936355701</c:v>
                </c:pt>
                <c:pt idx="10">
                  <c:v>9.7706032285471505</c:v>
                </c:pt>
                <c:pt idx="11">
                  <c:v>11.323896752706126</c:v>
                </c:pt>
                <c:pt idx="12">
                  <c:v>13.636363636363633</c:v>
                </c:pt>
                <c:pt idx="13" formatCode="General">
                  <c:v>14.589905362776037</c:v>
                </c:pt>
                <c:pt idx="14" formatCode="General">
                  <c:v>18.266253869968939</c:v>
                </c:pt>
                <c:pt idx="15" formatCode="General">
                  <c:v>18.773373223635023</c:v>
                </c:pt>
                <c:pt idx="16" formatCode="General">
                  <c:v>15.071428571428566</c:v>
                </c:pt>
                <c:pt idx="17" formatCode="General">
                  <c:v>14.246386785960068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12-4174-BCF9-4FD96EBBC2A4}"/>
            </c:ext>
          </c:extLst>
        </c:ser>
        <c:marker val="1"/>
        <c:axId val="117787648"/>
        <c:axId val="118094464"/>
      </c:lineChart>
      <c:catAx>
        <c:axId val="117787648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8094464"/>
        <c:crosses val="autoZero"/>
        <c:auto val="1"/>
        <c:lblAlgn val="ctr"/>
        <c:lblOffset val="100"/>
      </c:catAx>
      <c:valAx>
        <c:axId val="118094464"/>
        <c:scaling>
          <c:orientation val="minMax"/>
          <c:min val="-6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17787648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6528021206651497E-2"/>
          <c:y val="0.88817854328492629"/>
          <c:w val="0.92679973142893179"/>
          <c:h val="9.838061465721031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5.1707738197712412E-2"/>
          <c:y val="2.1811315924220691E-2"/>
          <c:w val="0.89142432050272657"/>
          <c:h val="0.71663233141956562"/>
        </c:manualLayout>
      </c:layout>
      <c:barChart>
        <c:barDir val="col"/>
        <c:grouping val="clustered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4'!$A$18:$B$71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4'!$C$18:$C$71</c:f>
              <c:numCache>
                <c:formatCode>0.0</c:formatCode>
                <c:ptCount val="54"/>
                <c:pt idx="0">
                  <c:v>-0.70000000000000284</c:v>
                </c:pt>
                <c:pt idx="1">
                  <c:v>-0.70000000000000284</c:v>
                </c:pt>
                <c:pt idx="2">
                  <c:v>-0.7999999999999976</c:v>
                </c:pt>
                <c:pt idx="3">
                  <c:v>-0.30000000000000032</c:v>
                </c:pt>
                <c:pt idx="4">
                  <c:v>-9.9999999999995245E-2</c:v>
                </c:pt>
                <c:pt idx="5">
                  <c:v>-0.20000000000000284</c:v>
                </c:pt>
                <c:pt idx="6">
                  <c:v>-9.9999999999995245E-2</c:v>
                </c:pt>
                <c:pt idx="7">
                  <c:v>0</c:v>
                </c:pt>
                <c:pt idx="8">
                  <c:v>-0.30000000000000032</c:v>
                </c:pt>
                <c:pt idx="9">
                  <c:v>-0.30000000000000032</c:v>
                </c:pt>
                <c:pt idx="10">
                  <c:v>-1.7000000000000028</c:v>
                </c:pt>
                <c:pt idx="11">
                  <c:v>-3.7000000000000042</c:v>
                </c:pt>
                <c:pt idx="12">
                  <c:v>-3.5</c:v>
                </c:pt>
                <c:pt idx="13">
                  <c:v>-3.5999999999999943</c:v>
                </c:pt>
                <c:pt idx="14">
                  <c:v>-2.9000000000000057</c:v>
                </c:pt>
                <c:pt idx="15">
                  <c:v>-2.5999999999999943</c:v>
                </c:pt>
                <c:pt idx="16">
                  <c:v>-2.0999999999999943</c:v>
                </c:pt>
                <c:pt idx="17">
                  <c:v>-2.2999999999999972</c:v>
                </c:pt>
                <c:pt idx="18">
                  <c:v>-3</c:v>
                </c:pt>
                <c:pt idx="19">
                  <c:v>-3.7000000000000042</c:v>
                </c:pt>
                <c:pt idx="20">
                  <c:v>-4.2000000000000028</c:v>
                </c:pt>
                <c:pt idx="21">
                  <c:v>-3.9000000000000057</c:v>
                </c:pt>
                <c:pt idx="22">
                  <c:v>-3.7000000000000042</c:v>
                </c:pt>
                <c:pt idx="23">
                  <c:v>-2.9000000000000057</c:v>
                </c:pt>
                <c:pt idx="24">
                  <c:v>-3.4000000000000057</c:v>
                </c:pt>
                <c:pt idx="25">
                  <c:v>-4</c:v>
                </c:pt>
                <c:pt idx="26">
                  <c:v>-4.5</c:v>
                </c:pt>
                <c:pt idx="27">
                  <c:v>-4.7000000000000028</c:v>
                </c:pt>
                <c:pt idx="28">
                  <c:v>-4.7999999999999972</c:v>
                </c:pt>
                <c:pt idx="29">
                  <c:v>-4.4000000000000083</c:v>
                </c:pt>
                <c:pt idx="30">
                  <c:v>-4</c:v>
                </c:pt>
                <c:pt idx="31">
                  <c:v>-3.4000000000000057</c:v>
                </c:pt>
                <c:pt idx="32">
                  <c:v>-2.4000000000000057</c:v>
                </c:pt>
                <c:pt idx="33">
                  <c:v>-1.7000000000000028</c:v>
                </c:pt>
                <c:pt idx="34">
                  <c:v>-1.2999999999999825</c:v>
                </c:pt>
                <c:pt idx="35">
                  <c:v>-0.40000000000000568</c:v>
                </c:pt>
                <c:pt idx="36" formatCode="General">
                  <c:v>2.0999999999999943</c:v>
                </c:pt>
                <c:pt idx="37" formatCode="General">
                  <c:v>3.0999999999999943</c:v>
                </c:pt>
                <c:pt idx="38">
                  <c:v>3</c:v>
                </c:pt>
                <c:pt idx="39">
                  <c:v>3.2000000000000042</c:v>
                </c:pt>
                <c:pt idx="40" formatCode="General">
                  <c:v>2.2999999999999972</c:v>
                </c:pt>
                <c:pt idx="41" formatCode="General">
                  <c:v>1.2999999999999825</c:v>
                </c:pt>
                <c:pt idx="42" formatCode="General">
                  <c:v>1.1000000000000001</c:v>
                </c:pt>
                <c:pt idx="43" formatCode="General">
                  <c:v>1.4</c:v>
                </c:pt>
                <c:pt idx="44" formatCode="General">
                  <c:v>1.7</c:v>
                </c:pt>
                <c:pt idx="45" formatCode="General">
                  <c:v>1.1000000000000001</c:v>
                </c:pt>
                <c:pt idx="46" formatCode="General">
                  <c:v>0.9</c:v>
                </c:pt>
                <c:pt idx="47" formatCode="General">
                  <c:v>0.70000000000000062</c:v>
                </c:pt>
                <c:pt idx="48" formatCode="General">
                  <c:v>0.5</c:v>
                </c:pt>
                <c:pt idx="49" formatCode="General">
                  <c:v>-0.30000000000000032</c:v>
                </c:pt>
                <c:pt idx="50" formatCode="General">
                  <c:v>0.1</c:v>
                </c:pt>
                <c:pt idx="51" formatCode="General">
                  <c:v>0</c:v>
                </c:pt>
                <c:pt idx="52" formatCode="General">
                  <c:v>1.5</c:v>
                </c:pt>
                <c:pt idx="53" formatCode="General">
                  <c:v>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CA-4519-8264-EACB933BB206}"/>
            </c:ext>
          </c:extLst>
        </c:ser>
        <c:gapWidth val="96"/>
        <c:axId val="114818432"/>
        <c:axId val="115180672"/>
      </c:barChart>
      <c:lineChart>
        <c:grouping val="standard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4'!$A$18:$B$71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4'!$D$18:$D$71</c:f>
              <c:numCache>
                <c:formatCode>0.0</c:formatCode>
                <c:ptCount val="54"/>
                <c:pt idx="0">
                  <c:v>-3</c:v>
                </c:pt>
                <c:pt idx="1">
                  <c:v>-3.0999999999999943</c:v>
                </c:pt>
                <c:pt idx="2">
                  <c:v>-4</c:v>
                </c:pt>
                <c:pt idx="3">
                  <c:v>-4.0999999999999943</c:v>
                </c:pt>
                <c:pt idx="4">
                  <c:v>-4.5999999999999943</c:v>
                </c:pt>
                <c:pt idx="5">
                  <c:v>-4.7999999999999972</c:v>
                </c:pt>
                <c:pt idx="6">
                  <c:v>-3</c:v>
                </c:pt>
                <c:pt idx="7">
                  <c:v>-3.5999999999999943</c:v>
                </c:pt>
                <c:pt idx="8">
                  <c:v>-1.9000000000000061</c:v>
                </c:pt>
                <c:pt idx="9">
                  <c:v>-2.0999999999999943</c:v>
                </c:pt>
                <c:pt idx="10">
                  <c:v>-2.2999999999999972</c:v>
                </c:pt>
                <c:pt idx="11">
                  <c:v>-2.7999999999999972</c:v>
                </c:pt>
                <c:pt idx="12">
                  <c:v>-0.90000000000000568</c:v>
                </c:pt>
                <c:pt idx="13">
                  <c:v>-1.5</c:v>
                </c:pt>
                <c:pt idx="14">
                  <c:v>-0.90000000000000568</c:v>
                </c:pt>
                <c:pt idx="15">
                  <c:v>-0.90000000000000568</c:v>
                </c:pt>
                <c:pt idx="16">
                  <c:v>0.30000000000000032</c:v>
                </c:pt>
                <c:pt idx="17">
                  <c:v>0.59999999999999432</c:v>
                </c:pt>
                <c:pt idx="18">
                  <c:v>0.40000000000000568</c:v>
                </c:pt>
                <c:pt idx="19">
                  <c:v>-0.30000000000000032</c:v>
                </c:pt>
                <c:pt idx="20">
                  <c:v>-1.7000000000000028</c:v>
                </c:pt>
                <c:pt idx="21">
                  <c:v>-1.4000000000000057</c:v>
                </c:pt>
                <c:pt idx="22">
                  <c:v>-0.59999999999999432</c:v>
                </c:pt>
                <c:pt idx="23">
                  <c:v>-0.5</c:v>
                </c:pt>
                <c:pt idx="24">
                  <c:v>-6.5999999999999943</c:v>
                </c:pt>
                <c:pt idx="25">
                  <c:v>-6.0999999999999943</c:v>
                </c:pt>
                <c:pt idx="26">
                  <c:v>-6.5</c:v>
                </c:pt>
                <c:pt idx="27">
                  <c:v>-7</c:v>
                </c:pt>
                <c:pt idx="28">
                  <c:v>-7.0999999999999943</c:v>
                </c:pt>
                <c:pt idx="29">
                  <c:v>-7.2999999999999972</c:v>
                </c:pt>
                <c:pt idx="30">
                  <c:v>-6.5999999999999943</c:v>
                </c:pt>
                <c:pt idx="31">
                  <c:v>-6</c:v>
                </c:pt>
                <c:pt idx="32">
                  <c:v>-4.9000000000000083</c:v>
                </c:pt>
                <c:pt idx="33">
                  <c:v>-5.2000000000000028</c:v>
                </c:pt>
                <c:pt idx="34">
                  <c:v>-5.2999999999999972</c:v>
                </c:pt>
                <c:pt idx="35">
                  <c:v>-5.0999999999999943</c:v>
                </c:pt>
                <c:pt idx="36" formatCode="General">
                  <c:v>2.2999999999999972</c:v>
                </c:pt>
                <c:pt idx="37" formatCode="General">
                  <c:v>5.7999999999999972</c:v>
                </c:pt>
                <c:pt idx="38">
                  <c:v>6.2000000000000028</c:v>
                </c:pt>
                <c:pt idx="39">
                  <c:v>6.4000000000000083</c:v>
                </c:pt>
                <c:pt idx="40" formatCode="General">
                  <c:v>4.2999999999999972</c:v>
                </c:pt>
                <c:pt idx="41" formatCode="General">
                  <c:v>4.0999999999999943</c:v>
                </c:pt>
                <c:pt idx="42" formatCode="General">
                  <c:v>2.9</c:v>
                </c:pt>
                <c:pt idx="43" formatCode="General">
                  <c:v>1.7</c:v>
                </c:pt>
                <c:pt idx="44" formatCode="General">
                  <c:v>1.9000000000000001</c:v>
                </c:pt>
                <c:pt idx="45" formatCode="General">
                  <c:v>3.4</c:v>
                </c:pt>
                <c:pt idx="46" formatCode="General">
                  <c:v>3.3</c:v>
                </c:pt>
                <c:pt idx="47" formatCode="General">
                  <c:v>3.6</c:v>
                </c:pt>
                <c:pt idx="48" formatCode="General">
                  <c:v>6.7</c:v>
                </c:pt>
                <c:pt idx="49" formatCode="General">
                  <c:v>5</c:v>
                </c:pt>
                <c:pt idx="50" formatCode="General">
                  <c:v>4.3</c:v>
                </c:pt>
                <c:pt idx="51" formatCode="General">
                  <c:v>4.5999999999999996</c:v>
                </c:pt>
                <c:pt idx="52" formatCode="General">
                  <c:v>7.4</c:v>
                </c:pt>
                <c:pt idx="53" formatCode="General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CA-4519-8264-EACB933BB206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4'!$A$18:$B$71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4'!$E$18:$E$71</c:f>
              <c:numCache>
                <c:formatCode>0.0</c:formatCode>
                <c:ptCount val="54"/>
                <c:pt idx="0">
                  <c:v>1.0999999999999817</c:v>
                </c:pt>
                <c:pt idx="1">
                  <c:v>1.2000000000000028</c:v>
                </c:pt>
                <c:pt idx="2">
                  <c:v>1</c:v>
                </c:pt>
                <c:pt idx="3">
                  <c:v>1.5999999999999817</c:v>
                </c:pt>
                <c:pt idx="4">
                  <c:v>1.9000000000000061</c:v>
                </c:pt>
                <c:pt idx="5">
                  <c:v>1.9000000000000061</c:v>
                </c:pt>
                <c:pt idx="6">
                  <c:v>1.7999999999999825</c:v>
                </c:pt>
                <c:pt idx="7">
                  <c:v>2.0999999999999943</c:v>
                </c:pt>
                <c:pt idx="8">
                  <c:v>1.5</c:v>
                </c:pt>
                <c:pt idx="9">
                  <c:v>1.5</c:v>
                </c:pt>
                <c:pt idx="10">
                  <c:v>-9.9999999999995245E-2</c:v>
                </c:pt>
                <c:pt idx="11">
                  <c:v>-2.7999999999999972</c:v>
                </c:pt>
                <c:pt idx="12">
                  <c:v>-4.2999999999999972</c:v>
                </c:pt>
                <c:pt idx="13">
                  <c:v>-4.4000000000000083</c:v>
                </c:pt>
                <c:pt idx="14">
                  <c:v>-3.5</c:v>
                </c:pt>
                <c:pt idx="15">
                  <c:v>-3.0999999999999943</c:v>
                </c:pt>
                <c:pt idx="16">
                  <c:v>-2.7000000000000042</c:v>
                </c:pt>
                <c:pt idx="17">
                  <c:v>-2.7999999999999972</c:v>
                </c:pt>
                <c:pt idx="18">
                  <c:v>-3.5999999999999943</c:v>
                </c:pt>
                <c:pt idx="19">
                  <c:v>-4.7000000000000028</c:v>
                </c:pt>
                <c:pt idx="20">
                  <c:v>-5.2000000000000028</c:v>
                </c:pt>
                <c:pt idx="21">
                  <c:v>-4.9000000000000083</c:v>
                </c:pt>
                <c:pt idx="22">
                  <c:v>-4.5999999999999943</c:v>
                </c:pt>
                <c:pt idx="23">
                  <c:v>-3.5</c:v>
                </c:pt>
                <c:pt idx="24">
                  <c:v>-3.2999999999999972</c:v>
                </c:pt>
                <c:pt idx="25">
                  <c:v>-4.0999999999999943</c:v>
                </c:pt>
                <c:pt idx="26">
                  <c:v>-4.5999999999999943</c:v>
                </c:pt>
                <c:pt idx="27">
                  <c:v>-4.9000000000000083</c:v>
                </c:pt>
                <c:pt idx="28">
                  <c:v>-5</c:v>
                </c:pt>
                <c:pt idx="29">
                  <c:v>-4.5</c:v>
                </c:pt>
                <c:pt idx="30">
                  <c:v>-4</c:v>
                </c:pt>
                <c:pt idx="31">
                  <c:v>-3.2000000000000042</c:v>
                </c:pt>
                <c:pt idx="32">
                  <c:v>-2</c:v>
                </c:pt>
                <c:pt idx="33">
                  <c:v>-1.0999999999999817</c:v>
                </c:pt>
                <c:pt idx="34">
                  <c:v>-0.59999999999999432</c:v>
                </c:pt>
                <c:pt idx="35">
                  <c:v>0.59999999999999432</c:v>
                </c:pt>
                <c:pt idx="36" formatCode="General">
                  <c:v>2.5999999999999943</c:v>
                </c:pt>
                <c:pt idx="37" formatCode="General">
                  <c:v>4</c:v>
                </c:pt>
                <c:pt idx="38">
                  <c:v>3.7999999999999972</c:v>
                </c:pt>
                <c:pt idx="39">
                  <c:v>4</c:v>
                </c:pt>
                <c:pt idx="40" formatCode="General">
                  <c:v>2.7999999999999972</c:v>
                </c:pt>
                <c:pt idx="41" formatCode="General">
                  <c:v>1.5</c:v>
                </c:pt>
                <c:pt idx="42" formatCode="General">
                  <c:v>1.4</c:v>
                </c:pt>
                <c:pt idx="43" formatCode="General">
                  <c:v>2</c:v>
                </c:pt>
                <c:pt idx="44" formatCode="General">
                  <c:v>2.1</c:v>
                </c:pt>
                <c:pt idx="45" formatCode="General">
                  <c:v>1.4</c:v>
                </c:pt>
                <c:pt idx="46" formatCode="General">
                  <c:v>1.1000000000000001</c:v>
                </c:pt>
                <c:pt idx="47" formatCode="General">
                  <c:v>0.9</c:v>
                </c:pt>
                <c:pt idx="48" formatCode="General">
                  <c:v>0.2</c:v>
                </c:pt>
                <c:pt idx="49" formatCode="General">
                  <c:v>-0.9</c:v>
                </c:pt>
                <c:pt idx="50" formatCode="General">
                  <c:v>-0.5</c:v>
                </c:pt>
                <c:pt idx="51" formatCode="General">
                  <c:v>-0.5</c:v>
                </c:pt>
                <c:pt idx="52" formatCode="General">
                  <c:v>1.3</c:v>
                </c:pt>
                <c:pt idx="53" formatCode="General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CA-4519-8264-EACB933BB206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4'!$A$18:$B$71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4'!$F$18:$F$71</c:f>
              <c:numCache>
                <c:formatCode>0.0</c:formatCode>
                <c:ptCount val="54"/>
                <c:pt idx="0">
                  <c:v>-8.8000000000000025</c:v>
                </c:pt>
                <c:pt idx="1">
                  <c:v>-8.8000000000000025</c:v>
                </c:pt>
                <c:pt idx="2">
                  <c:v>-8.8000000000000025</c:v>
                </c:pt>
                <c:pt idx="3">
                  <c:v>-8.6000000000000014</c:v>
                </c:pt>
                <c:pt idx="4">
                  <c:v>-8.6000000000000014</c:v>
                </c:pt>
                <c:pt idx="5">
                  <c:v>-8.7000000000000011</c:v>
                </c:pt>
                <c:pt idx="6">
                  <c:v>-8.7000000000000011</c:v>
                </c:pt>
                <c:pt idx="7">
                  <c:v>-8.6000000000000014</c:v>
                </c:pt>
                <c:pt idx="8">
                  <c:v>-8.6000000000000014</c:v>
                </c:pt>
                <c:pt idx="9">
                  <c:v>-8.9000000000000057</c:v>
                </c:pt>
                <c:pt idx="10">
                  <c:v>-8.9000000000000057</c:v>
                </c:pt>
                <c:pt idx="11">
                  <c:v>-8.6000000000000014</c:v>
                </c:pt>
                <c:pt idx="12">
                  <c:v>-0.7999999999999976</c:v>
                </c:pt>
                <c:pt idx="13">
                  <c:v>-0.7999999999999976</c:v>
                </c:pt>
                <c:pt idx="14">
                  <c:v>-0.7999999999999976</c:v>
                </c:pt>
                <c:pt idx="15">
                  <c:v>-0.70000000000000284</c:v>
                </c:pt>
                <c:pt idx="16">
                  <c:v>-0.70000000000000284</c:v>
                </c:pt>
                <c:pt idx="17">
                  <c:v>-0.70000000000000284</c:v>
                </c:pt>
                <c:pt idx="18">
                  <c:v>-0.70000000000000284</c:v>
                </c:pt>
                <c:pt idx="19">
                  <c:v>-0.7999999999999976</c:v>
                </c:pt>
                <c:pt idx="20">
                  <c:v>-0.7999999999999976</c:v>
                </c:pt>
                <c:pt idx="21">
                  <c:v>-0.90000000000000568</c:v>
                </c:pt>
                <c:pt idx="22">
                  <c:v>-0.90000000000000568</c:v>
                </c:pt>
                <c:pt idx="23">
                  <c:v>-0.90000000000000568</c:v>
                </c:pt>
                <c:pt idx="24">
                  <c:v>-4</c:v>
                </c:pt>
                <c:pt idx="25">
                  <c:v>-4.0999999999999943</c:v>
                </c:pt>
                <c:pt idx="26">
                  <c:v>-4.0999999999999943</c:v>
                </c:pt>
                <c:pt idx="27">
                  <c:v>-4</c:v>
                </c:pt>
                <c:pt idx="28">
                  <c:v>-4</c:v>
                </c:pt>
                <c:pt idx="29">
                  <c:v>-4.0999999999999943</c:v>
                </c:pt>
                <c:pt idx="30">
                  <c:v>-4</c:v>
                </c:pt>
                <c:pt idx="31">
                  <c:v>-4</c:v>
                </c:pt>
                <c:pt idx="32">
                  <c:v>-4.0999999999999943</c:v>
                </c:pt>
                <c:pt idx="33">
                  <c:v>-4.0999999999999943</c:v>
                </c:pt>
                <c:pt idx="34">
                  <c:v>-4.0999999999999943</c:v>
                </c:pt>
                <c:pt idx="35">
                  <c:v>-4.0999999999999943</c:v>
                </c:pt>
                <c:pt idx="36" formatCode="General">
                  <c:v>-1.0999999999999817</c:v>
                </c:pt>
                <c:pt idx="37" formatCode="General">
                  <c:v>-1.2000000000000028</c:v>
                </c:pt>
                <c:pt idx="38">
                  <c:v>-1.2000000000000028</c:v>
                </c:pt>
                <c:pt idx="39">
                  <c:v>-1.4000000000000057</c:v>
                </c:pt>
                <c:pt idx="40" formatCode="General">
                  <c:v>-1.2999999999999825</c:v>
                </c:pt>
                <c:pt idx="41" formatCode="General">
                  <c:v>-1.0999999999999817</c:v>
                </c:pt>
                <c:pt idx="42" formatCode="General">
                  <c:v>-1.1000000000000001</c:v>
                </c:pt>
                <c:pt idx="43" formatCode="General">
                  <c:v>-1.3</c:v>
                </c:pt>
                <c:pt idx="44" formatCode="General">
                  <c:v>-1.1000000000000001</c:v>
                </c:pt>
                <c:pt idx="45" formatCode="General">
                  <c:v>-1.1000000000000001</c:v>
                </c:pt>
                <c:pt idx="46" formatCode="General">
                  <c:v>-1.1000000000000001</c:v>
                </c:pt>
                <c:pt idx="47" formatCode="General">
                  <c:v>-1.1000000000000001</c:v>
                </c:pt>
                <c:pt idx="48" formatCode="General">
                  <c:v>1.5</c:v>
                </c:pt>
                <c:pt idx="49" formatCode="General">
                  <c:v>1.6</c:v>
                </c:pt>
                <c:pt idx="50" formatCode="General">
                  <c:v>1.6</c:v>
                </c:pt>
                <c:pt idx="51" formatCode="General">
                  <c:v>1.7</c:v>
                </c:pt>
                <c:pt idx="52" formatCode="General">
                  <c:v>1.7</c:v>
                </c:pt>
                <c:pt idx="53" formatCode="General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CA-4519-8264-EACB933BB206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4'!$A$18:$B$71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4'!$G$18:$G$71</c:f>
              <c:numCache>
                <c:formatCode>General</c:formatCode>
                <c:ptCount val="54"/>
                <c:pt idx="0">
                  <c:v>3.4000000000000057</c:v>
                </c:pt>
                <c:pt idx="1">
                  <c:v>3.4000000000000057</c:v>
                </c:pt>
                <c:pt idx="2">
                  <c:v>3.4000000000000057</c:v>
                </c:pt>
                <c:pt idx="3">
                  <c:v>3.4000000000000057</c:v>
                </c:pt>
                <c:pt idx="4">
                  <c:v>3.4000000000000057</c:v>
                </c:pt>
                <c:pt idx="5">
                  <c:v>3.4000000000000057</c:v>
                </c:pt>
                <c:pt idx="6">
                  <c:v>3.4000000000000057</c:v>
                </c:pt>
                <c:pt idx="7">
                  <c:v>3.4000000000000057</c:v>
                </c:pt>
                <c:pt idx="8">
                  <c:v>3.4000000000000057</c:v>
                </c:pt>
                <c:pt idx="9">
                  <c:v>3.4000000000000057</c:v>
                </c:pt>
                <c:pt idx="10">
                  <c:v>3.4000000000000057</c:v>
                </c:pt>
                <c:pt idx="11">
                  <c:v>3.4000000000000057</c:v>
                </c:pt>
                <c:pt idx="12">
                  <c:v>3.4000000000000057</c:v>
                </c:pt>
                <c:pt idx="13">
                  <c:v>3.4000000000000057</c:v>
                </c:pt>
                <c:pt idx="14">
                  <c:v>3.4000000000000057</c:v>
                </c:pt>
                <c:pt idx="15">
                  <c:v>3.4000000000000057</c:v>
                </c:pt>
                <c:pt idx="16">
                  <c:v>3.4000000000000057</c:v>
                </c:pt>
                <c:pt idx="17">
                  <c:v>3.4000000000000057</c:v>
                </c:pt>
                <c:pt idx="18">
                  <c:v>3.4000000000000057</c:v>
                </c:pt>
                <c:pt idx="19">
                  <c:v>3.4000000000000057</c:v>
                </c:pt>
                <c:pt idx="20">
                  <c:v>3.4000000000000057</c:v>
                </c:pt>
                <c:pt idx="21">
                  <c:v>3.4000000000000057</c:v>
                </c:pt>
                <c:pt idx="22">
                  <c:v>3.4000000000000057</c:v>
                </c:pt>
                <c:pt idx="23">
                  <c:v>3.4000000000000057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1.5999999999999817</c:v>
                </c:pt>
                <c:pt idx="28">
                  <c:v>1.5999999999999817</c:v>
                </c:pt>
                <c:pt idx="29">
                  <c:v>1.5999999999999817</c:v>
                </c:pt>
                <c:pt idx="30">
                  <c:v>1.5999999999999817</c:v>
                </c:pt>
                <c:pt idx="31">
                  <c:v>1.5999999999999817</c:v>
                </c:pt>
                <c:pt idx="32">
                  <c:v>1.5999999999999817</c:v>
                </c:pt>
                <c:pt idx="33">
                  <c:v>1.5999999999999817</c:v>
                </c:pt>
                <c:pt idx="34">
                  <c:v>1.5999999999999817</c:v>
                </c:pt>
                <c:pt idx="35">
                  <c:v>1.5999999999999817</c:v>
                </c:pt>
                <c:pt idx="36">
                  <c:v>2.0999999999999943</c:v>
                </c:pt>
                <c:pt idx="37">
                  <c:v>2.0999999999999943</c:v>
                </c:pt>
                <c:pt idx="38" formatCode="0.0">
                  <c:v>2.0999999999999943</c:v>
                </c:pt>
                <c:pt idx="39" formatCode="0.0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1.9000000000000001</c:v>
                </c:pt>
                <c:pt idx="49">
                  <c:v>1.9000000000000001</c:v>
                </c:pt>
                <c:pt idx="50">
                  <c:v>1.9000000000000001</c:v>
                </c:pt>
                <c:pt idx="51">
                  <c:v>1.9000000000000001</c:v>
                </c:pt>
                <c:pt idx="52">
                  <c:v>1.9000000000000001</c:v>
                </c:pt>
                <c:pt idx="53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5CA-4519-8264-EACB933BB206}"/>
            </c:ext>
          </c:extLst>
        </c:ser>
        <c:marker val="1"/>
        <c:axId val="114818432"/>
        <c:axId val="115180672"/>
      </c:lineChart>
      <c:catAx>
        <c:axId val="114818432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crossAx val="115180672"/>
        <c:crosses val="autoZero"/>
        <c:auto val="1"/>
        <c:lblAlgn val="ctr"/>
        <c:lblOffset val="100"/>
      </c:catAx>
      <c:valAx>
        <c:axId val="115180672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1481843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0596282132643E-2"/>
          <c:y val="0.86223931272106069"/>
          <c:w val="0.89560705842620769"/>
          <c:h val="0.1210940242576529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4942586963863574E-2"/>
          <c:y val="2.8593943487561207E-2"/>
          <c:w val="0.92629263762242564"/>
          <c:h val="0.75790048407069865"/>
        </c:manualLayout>
      </c:layout>
      <c:barChart>
        <c:barDir val="col"/>
        <c:grouping val="clustered"/>
        <c:ser>
          <c:idx val="3"/>
          <c:order val="3"/>
          <c:tx>
            <c:strRef>
              <c:f>'Ceny 3'!$H$5</c:f>
              <c:strCache>
                <c:ptCount val="1"/>
                <c:pt idx="0">
                  <c:v>Směnné relace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val>
            <c:numRef>
              <c:f>'Ceny 3'!$H$14:$H$31</c:f>
              <c:numCache>
                <c:formatCode>0.0</c:formatCode>
                <c:ptCount val="18"/>
                <c:pt idx="0">
                  <c:v>1.8784213412398998</c:v>
                </c:pt>
                <c:pt idx="1">
                  <c:v>2.0020176200900863</c:v>
                </c:pt>
                <c:pt idx="2">
                  <c:v>1.6653215602611766</c:v>
                </c:pt>
                <c:pt idx="3">
                  <c:v>0.61515952220756365</c:v>
                </c:pt>
                <c:pt idx="4">
                  <c:v>0.70897813043655333</c:v>
                </c:pt>
                <c:pt idx="5">
                  <c:v>1.5272904080077865E-2</c:v>
                </c:pt>
                <c:pt idx="6">
                  <c:v>5.6470144138785372E-2</c:v>
                </c:pt>
                <c:pt idx="7">
                  <c:v>0.72350624542671937</c:v>
                </c:pt>
                <c:pt idx="8">
                  <c:v>1.3716307461950237</c:v>
                </c:pt>
                <c:pt idx="9">
                  <c:v>1.6867359886262652</c:v>
                </c:pt>
                <c:pt idx="10">
                  <c:v>1.1999257237594492</c:v>
                </c:pt>
                <c:pt idx="11">
                  <c:v>-7.360987165711208E-2</c:v>
                </c:pt>
                <c:pt idx="12">
                  <c:v>-1.794008077784909</c:v>
                </c:pt>
                <c:pt idx="13">
                  <c:v>-2.0102310101707417</c:v>
                </c:pt>
                <c:pt idx="14">
                  <c:v>-0.81737478966549304</c:v>
                </c:pt>
                <c:pt idx="15">
                  <c:v>0.37193619043762288</c:v>
                </c:pt>
                <c:pt idx="16">
                  <c:v>0.86914688602223578</c:v>
                </c:pt>
                <c:pt idx="17">
                  <c:v>0.28971677645981536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9B-4D6F-94F3-1A367D637B74}"/>
            </c:ext>
          </c:extLst>
        </c:ser>
        <c:gapWidth val="95"/>
        <c:axId val="115471104"/>
        <c:axId val="115472640"/>
      </c:barChart>
      <c:lineChart>
        <c:grouping val="standard"/>
        <c:ser>
          <c:idx val="1"/>
          <c:order val="0"/>
          <c:tx>
            <c:strRef>
              <c:f>'Ceny 3'!$E$5</c:f>
              <c:strCache>
                <c:ptCount val="1"/>
                <c:pt idx="0">
                  <c:v>HDP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cat>
            <c:multiLvlStrRef>
              <c:f>'Ceny 3'!$A$14:$B$31</c:f>
              <c:multiLvlStrCache>
                <c:ptCount val="1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3'!$E$14:$E$31</c:f>
              <c:numCache>
                <c:formatCode>#,##0.0</c:formatCode>
                <c:ptCount val="18"/>
                <c:pt idx="0">
                  <c:v>2.407594914453</c:v>
                </c:pt>
                <c:pt idx="1">
                  <c:v>2.7249796236052197</c:v>
                </c:pt>
                <c:pt idx="2">
                  <c:v>2.7309043114024618</c:v>
                </c:pt>
                <c:pt idx="3">
                  <c:v>2.0450860246019431</c:v>
                </c:pt>
                <c:pt idx="4">
                  <c:v>1.5290326327682209</c:v>
                </c:pt>
                <c:pt idx="5">
                  <c:v>1.3139842672081312</c:v>
                </c:pt>
                <c:pt idx="6">
                  <c:v>1.0788629840719264</c:v>
                </c:pt>
                <c:pt idx="7">
                  <c:v>0.77095099413880785</c:v>
                </c:pt>
                <c:pt idx="8">
                  <c:v>1.4387577162199534</c:v>
                </c:pt>
                <c:pt idx="9">
                  <c:v>1.1215971414352741</c:v>
                </c:pt>
                <c:pt idx="10">
                  <c:v>1.3438040001657179</c:v>
                </c:pt>
                <c:pt idx="11">
                  <c:v>1.1648544802629317</c:v>
                </c:pt>
                <c:pt idx="12" formatCode="General">
                  <c:v>0.70852596023949865</c:v>
                </c:pt>
                <c:pt idx="13" formatCode="General">
                  <c:v>1.0136272258268804</c:v>
                </c:pt>
                <c:pt idx="14" formatCode="General">
                  <c:v>1.6854847723805477</c:v>
                </c:pt>
                <c:pt idx="15" formatCode="General">
                  <c:v>2.3857552990765187</c:v>
                </c:pt>
                <c:pt idx="16" formatCode="General">
                  <c:v>2.558421034925388</c:v>
                </c:pt>
                <c:pt idx="17" formatCode="General">
                  <c:v>2.3332282721717519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9B-4D6F-94F3-1A367D637B74}"/>
            </c:ext>
          </c:extLst>
        </c:ser>
        <c:ser>
          <c:idx val="0"/>
          <c:order val="1"/>
          <c:tx>
            <c:strRef>
              <c:f>'Ceny 3'!$C$5</c:f>
              <c:strCache>
                <c:ptCount val="1"/>
                <c:pt idx="0">
                  <c:v>Výdaje na konečnou spotřebu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3'!$A$14:$B$31</c:f>
              <c:multiLvlStrCache>
                <c:ptCount val="1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3'!$C$14:$C$31</c:f>
              <c:numCache>
                <c:formatCode>0.0</c:formatCode>
                <c:ptCount val="18"/>
                <c:pt idx="0">
                  <c:v>0.62650162156884004</c:v>
                </c:pt>
                <c:pt idx="1">
                  <c:v>0.80920277041865052</c:v>
                </c:pt>
                <c:pt idx="2">
                  <c:v>0.91624532168386064</c:v>
                </c:pt>
                <c:pt idx="3">
                  <c:v>1.3064353546973706</c:v>
                </c:pt>
                <c:pt idx="4">
                  <c:v>0.63652260848525088</c:v>
                </c:pt>
                <c:pt idx="5">
                  <c:v>0.86716532212489617</c:v>
                </c:pt>
                <c:pt idx="6">
                  <c:v>0.93683253130978983</c:v>
                </c:pt>
                <c:pt idx="7">
                  <c:v>0.16681703489827407</c:v>
                </c:pt>
                <c:pt idx="8">
                  <c:v>0.57557159874038177</c:v>
                </c:pt>
                <c:pt idx="9">
                  <c:v>0.40917866617269655</c:v>
                </c:pt>
                <c:pt idx="10">
                  <c:v>0.66134436037492605</c:v>
                </c:pt>
                <c:pt idx="11">
                  <c:v>1.4119242556033427</c:v>
                </c:pt>
                <c:pt idx="12" formatCode="General">
                  <c:v>2.4898848930247777</c:v>
                </c:pt>
                <c:pt idx="13" formatCode="General">
                  <c:v>2.6467883534813836</c:v>
                </c:pt>
                <c:pt idx="14" formatCode="General">
                  <c:v>2.9860639833437213</c:v>
                </c:pt>
                <c:pt idx="15" formatCode="General">
                  <c:v>3.3486892996340738</c:v>
                </c:pt>
                <c:pt idx="16" formatCode="General">
                  <c:v>3.5292433712383229</c:v>
                </c:pt>
                <c:pt idx="17" formatCode="General">
                  <c:v>3.5625550390611767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79B-4D6F-94F3-1A367D637B74}"/>
            </c:ext>
          </c:extLst>
        </c:ser>
        <c:ser>
          <c:idx val="2"/>
          <c:order val="2"/>
          <c:tx>
            <c:strRef>
              <c:f>'Ceny 3'!$D$5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3'!$A$14:$B$31</c:f>
              <c:multiLvlStrCache>
                <c:ptCount val="1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3'!$D$14:$D$31</c:f>
              <c:numCache>
                <c:formatCode>0.0</c:formatCode>
                <c:ptCount val="18"/>
                <c:pt idx="0">
                  <c:v>1.1196333926039765</c:v>
                </c:pt>
                <c:pt idx="1">
                  <c:v>1.6324225968648001</c:v>
                </c:pt>
                <c:pt idx="2">
                  <c:v>2.0883523339119847</c:v>
                </c:pt>
                <c:pt idx="3">
                  <c:v>2.0182548570513612</c:v>
                </c:pt>
                <c:pt idx="4">
                  <c:v>2.0919408211242168</c:v>
                </c:pt>
                <c:pt idx="5">
                  <c:v>2.5181249729440092</c:v>
                </c:pt>
                <c:pt idx="6">
                  <c:v>2.0736755454410485</c:v>
                </c:pt>
                <c:pt idx="7">
                  <c:v>1.1102309892264313</c:v>
                </c:pt>
                <c:pt idx="8">
                  <c:v>1.0542109692344201</c:v>
                </c:pt>
                <c:pt idx="9">
                  <c:v>-0.46445628924668675</c:v>
                </c:pt>
                <c:pt idx="10">
                  <c:v>0.71212453263463782</c:v>
                </c:pt>
                <c:pt idx="11">
                  <c:v>1.2572281680150326</c:v>
                </c:pt>
                <c:pt idx="12" formatCode="General">
                  <c:v>1.0969673588139699</c:v>
                </c:pt>
                <c:pt idx="13" formatCode="General">
                  <c:v>2.9550570147085167</c:v>
                </c:pt>
                <c:pt idx="14" formatCode="General">
                  <c:v>1.7042614625000698</c:v>
                </c:pt>
                <c:pt idx="15" formatCode="General">
                  <c:v>0.45508492351975266</c:v>
                </c:pt>
                <c:pt idx="16" formatCode="General">
                  <c:v>-0.43589995186107588</c:v>
                </c:pt>
                <c:pt idx="17" formatCode="General">
                  <c:v>-0.5277153505297606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79B-4D6F-94F3-1A367D637B74}"/>
            </c:ext>
          </c:extLst>
        </c:ser>
        <c:marker val="1"/>
        <c:axId val="115471104"/>
        <c:axId val="115472640"/>
      </c:lineChart>
      <c:catAx>
        <c:axId val="115471104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5472640"/>
        <c:crossesAt val="0"/>
        <c:auto val="1"/>
        <c:lblAlgn val="ctr"/>
        <c:lblOffset val="100"/>
      </c:catAx>
      <c:valAx>
        <c:axId val="115472640"/>
        <c:scaling>
          <c:orientation val="minMax"/>
          <c:min val="-2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1547110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1257598784194246E-2"/>
          <c:y val="0.9105279747832935"/>
          <c:w val="0.92611385511651467"/>
          <c:h val="7.215158167285828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5BF2-79C6-46B9-8F1F-9FDA82F52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01AD9-558C-4001-B652-529617EC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</TotalTime>
  <Pages>1</Pages>
  <Words>1269</Words>
  <Characters>7489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8741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Súkupová</cp:lastModifiedBy>
  <cp:revision>4</cp:revision>
  <cp:lastPrinted>2014-07-17T14:07:00Z</cp:lastPrinted>
  <dcterms:created xsi:type="dcterms:W3CDTF">2018-09-19T08:05:00Z</dcterms:created>
  <dcterms:modified xsi:type="dcterms:W3CDTF">2018-09-19T08:17:00Z</dcterms:modified>
</cp:coreProperties>
</file>