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EC6652" w:rsidP="00E42E00">
      <w:pPr>
        <w:pStyle w:val="Datum"/>
      </w:pPr>
      <w:r>
        <w:t>15</w:t>
      </w:r>
      <w:r w:rsidR="00E75BA7">
        <w:t>. 3. 2021</w:t>
      </w:r>
    </w:p>
    <w:p w:rsidR="00867569" w:rsidRPr="00A56C80" w:rsidRDefault="004E0B31" w:rsidP="00A56C80">
      <w:pPr>
        <w:pStyle w:val="Nzev"/>
      </w:pPr>
      <w:r>
        <w:t>Zahraniční obchod se zbožím s Polskem</w:t>
      </w:r>
    </w:p>
    <w:p w:rsidR="00A226E3" w:rsidRPr="00AA74A7" w:rsidRDefault="00A226E3" w:rsidP="00AA74A7">
      <w:pPr>
        <w:rPr>
          <w:b/>
        </w:rPr>
      </w:pPr>
      <w:r w:rsidRPr="00AA74A7">
        <w:rPr>
          <w:b/>
        </w:rPr>
        <w:t xml:space="preserve">Polsko si od roku 2017 udržuje postavení druhého nejvýznamnějšího obchodního partnera České republiky. </w:t>
      </w:r>
      <w:r w:rsidR="00AA74A7">
        <w:rPr>
          <w:b/>
        </w:rPr>
        <w:t>Na náš trh se z Polska do</w:t>
      </w:r>
      <w:r w:rsidRPr="00AA74A7">
        <w:rPr>
          <w:b/>
        </w:rPr>
        <w:t>vážejí především autodíly, opačným směrem jdou ho</w:t>
      </w:r>
      <w:r w:rsidR="00BF6E3D" w:rsidRPr="00AA74A7">
        <w:rPr>
          <w:b/>
        </w:rPr>
        <w:t>t</w:t>
      </w:r>
      <w:r w:rsidRPr="00AA74A7">
        <w:rPr>
          <w:b/>
        </w:rPr>
        <w:t>ová vozidla. Nejv</w:t>
      </w:r>
      <w:r w:rsidR="00AA74A7">
        <w:rPr>
          <w:b/>
        </w:rPr>
        <w:t>ětší</w:t>
      </w:r>
      <w:r w:rsidRPr="00AA74A7">
        <w:rPr>
          <w:b/>
        </w:rPr>
        <w:t xml:space="preserve"> schodek </w:t>
      </w:r>
      <w:r w:rsidR="00AA74A7">
        <w:rPr>
          <w:b/>
        </w:rPr>
        <w:t>vzájemné obchodní výměny mezi oběma ekonomikami přitom vzniká v obchodě</w:t>
      </w:r>
      <w:r w:rsidRPr="00AA74A7">
        <w:rPr>
          <w:b/>
        </w:rPr>
        <w:t xml:space="preserve"> s potravinářskými výrobky.</w:t>
      </w:r>
    </w:p>
    <w:p w:rsidR="002C0688" w:rsidRPr="002C0688" w:rsidRDefault="002C0688" w:rsidP="002C0688"/>
    <w:p w:rsidR="00F2764B" w:rsidRDefault="003C7EA0" w:rsidP="00095129">
      <w:pPr>
        <w:pStyle w:val="TabulkaGraf"/>
        <w:shd w:val="clear" w:color="auto" w:fill="D5EAFF"/>
      </w:pPr>
      <w:r w:rsidRPr="00095129">
        <w:t xml:space="preserve">Vývoj zahraničního obchodu </w:t>
      </w:r>
      <w:r w:rsidR="00F37C1E" w:rsidRPr="00095129">
        <w:t>se zbožím</w:t>
      </w:r>
      <w:r w:rsidR="00A46E5F" w:rsidRPr="00095129">
        <w:rPr>
          <w:rStyle w:val="Znakapoznpodarou"/>
        </w:rPr>
        <w:footnoteReference w:id="1"/>
      </w:r>
      <w:r w:rsidR="00F37C1E" w:rsidRPr="00095129">
        <w:t xml:space="preserve"> </w:t>
      </w:r>
      <w:r w:rsidRPr="00095129">
        <w:t>v letech 2015 až 2020</w:t>
      </w:r>
    </w:p>
    <w:p w:rsidR="002C0688" w:rsidRPr="002C0688" w:rsidRDefault="002C0688" w:rsidP="002C0688"/>
    <w:p w:rsidR="005340E7" w:rsidRDefault="005340E7" w:rsidP="00AA74A7">
      <w:pPr>
        <w:tabs>
          <w:tab w:val="left" w:pos="0"/>
          <w:tab w:val="left" w:pos="1418"/>
        </w:tabs>
      </w:pPr>
      <w:r>
        <w:t>V roce 2020</w:t>
      </w:r>
      <w:r w:rsidR="00F37C1E">
        <w:rPr>
          <w:rStyle w:val="Znakapoznpodarou"/>
        </w:rPr>
        <w:footnoteReference w:id="2"/>
      </w:r>
      <w:r>
        <w:t xml:space="preserve"> dosáhl </w:t>
      </w:r>
      <w:r w:rsidRPr="00091A4C">
        <w:rPr>
          <w:b/>
        </w:rPr>
        <w:t>obrat</w:t>
      </w:r>
      <w:r>
        <w:t xml:space="preserve"> zahraničního obchodu České </w:t>
      </w:r>
      <w:r w:rsidRPr="00AA74A7">
        <w:t xml:space="preserve">republiky </w:t>
      </w:r>
      <w:r w:rsidR="00AA74A7" w:rsidRPr="00AA74A7">
        <w:t xml:space="preserve">s Polskem hodnoty </w:t>
      </w:r>
      <w:r w:rsidR="004C5E1D">
        <w:t>518,6</w:t>
      </w:r>
      <w:r w:rsidR="00AA74A7">
        <w:t> mld. </w:t>
      </w:r>
      <w:r w:rsidR="00AA74A7" w:rsidRPr="00AA74A7">
        <w:t>Kč, což bylo ve srovnání s rokem 2015 téměř o jednu desetinu více, v porovnání s předchozím rokem šlo o pokles o 2,</w:t>
      </w:r>
      <w:r w:rsidR="00064A7C">
        <w:t>1</w:t>
      </w:r>
      <w:r w:rsidR="00AA74A7" w:rsidRPr="00AA74A7">
        <w:t xml:space="preserve"> %. Polsko se na celkovém českém obchodu v roce 2020 podílelo 7,5 %, což bylo meziročně o 0,2 procentního bodu více, ve sledovaném období se však tento podíl výrazně neměnil. Celkový český obchod s Polskem tvořil v roce 2020 ze 44,3 % vývoz a z 55,7 % dovoz (oproti 43,2 % a 56,8 % v roce 2015).</w:t>
      </w:r>
    </w:p>
    <w:p w:rsidR="00AA74A7" w:rsidRDefault="00AA74A7" w:rsidP="00AA74A7">
      <w:pPr>
        <w:tabs>
          <w:tab w:val="left" w:pos="0"/>
          <w:tab w:val="left" w:pos="1418"/>
        </w:tabs>
      </w:pPr>
    </w:p>
    <w:p w:rsidR="00F2764B" w:rsidRDefault="00F2764B" w:rsidP="00F2764B">
      <w:pPr>
        <w:pStyle w:val="TabulkaGraf"/>
        <w:spacing w:after="80"/>
      </w:pPr>
      <w:r>
        <w:t>Tabulka 1</w:t>
      </w:r>
      <w:r>
        <w:tab/>
        <w:t xml:space="preserve">Zahraniční obchod </w:t>
      </w:r>
      <w:r w:rsidR="00904DF0">
        <w:t>se zbožím mezi ČR a</w:t>
      </w:r>
      <w:r>
        <w:t xml:space="preserve"> Polskem</w:t>
      </w:r>
    </w:p>
    <w:tbl>
      <w:tblPr>
        <w:tblStyle w:val="Tmavtabulkasmkou5zvraznn2"/>
        <w:tblW w:w="0" w:type="auto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F2764B" w:rsidTr="0087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right w:val="single" w:sz="4" w:space="0" w:color="D9D9D9" w:themeColor="background1" w:themeShade="D9"/>
            </w:tcBorders>
            <w:shd w:val="clear" w:color="auto" w:fill="BD1B21"/>
          </w:tcPr>
          <w:p w:rsidR="00F2764B" w:rsidRPr="00A82B51" w:rsidRDefault="00F2764B" w:rsidP="00BA02F6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1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2764B" w:rsidRPr="0017169D" w:rsidRDefault="00F2764B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2015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2764B" w:rsidRPr="0017169D" w:rsidRDefault="00F2764B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2016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2764B" w:rsidRPr="0017169D" w:rsidRDefault="00F2764B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2017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2764B" w:rsidRPr="0017169D" w:rsidRDefault="00F2764B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2018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2764B" w:rsidRPr="0017169D" w:rsidRDefault="00F2764B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2019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2764B" w:rsidRPr="0017169D" w:rsidRDefault="00F2764B" w:rsidP="00F2764B">
            <w:pPr>
              <w:pStyle w:val="Odstavecseseznamem"/>
              <w:spacing w:line="240" w:lineRule="auto"/>
              <w:ind w:lef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2020</w:t>
            </w:r>
          </w:p>
        </w:tc>
      </w:tr>
      <w:tr w:rsidR="00F2764B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:rsidR="00F2764B" w:rsidRDefault="00F2764B" w:rsidP="00BA02F6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7277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F2764B" w:rsidRPr="00077352" w:rsidRDefault="00F2764B" w:rsidP="00B43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m</w:t>
            </w:r>
            <w:r w:rsidR="00B43F59">
              <w:rPr>
                <w:sz w:val="18"/>
                <w:szCs w:val="18"/>
              </w:rPr>
              <w:t>ld</w:t>
            </w:r>
            <w:r>
              <w:rPr>
                <w:sz w:val="18"/>
                <w:szCs w:val="18"/>
              </w:rPr>
              <w:t>. Kč</w:t>
            </w:r>
          </w:p>
        </w:tc>
      </w:tr>
      <w:tr w:rsidR="00F2764B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auto"/>
            <w:vAlign w:val="bottom"/>
          </w:tcPr>
          <w:p w:rsidR="00F2764B" w:rsidRPr="00077352" w:rsidRDefault="00F2764B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Obrat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479,8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500,3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4C5E1D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518,6</w:t>
            </w:r>
          </w:p>
        </w:tc>
      </w:tr>
      <w:tr w:rsidR="00F2764B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F2764B" w:rsidRPr="00077352" w:rsidRDefault="00F2764B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Vývoz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229,5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233,5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5D6D5F" w:rsidP="004C5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</w:t>
            </w:r>
            <w:r w:rsidR="004C5E1D">
              <w:rPr>
                <w:sz w:val="18"/>
                <w:szCs w:val="18"/>
              </w:rPr>
              <w:t>9</w:t>
            </w:r>
          </w:p>
        </w:tc>
      </w:tr>
      <w:tr w:rsidR="00F2764B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auto"/>
            <w:vAlign w:val="bottom"/>
          </w:tcPr>
          <w:p w:rsidR="00F2764B" w:rsidRPr="00077352" w:rsidRDefault="00F2764B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Dovoz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268,3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5D6D5F" w:rsidP="004C5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</w:t>
            </w:r>
            <w:r w:rsidR="004C5E1D">
              <w:rPr>
                <w:sz w:val="18"/>
                <w:szCs w:val="18"/>
              </w:rPr>
              <w:t>6</w:t>
            </w:r>
          </w:p>
        </w:tc>
      </w:tr>
      <w:tr w:rsidR="00F2764B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F2764B" w:rsidRDefault="00F2764B" w:rsidP="00BA02F6">
            <w:pPr>
              <w:jc w:val="left"/>
              <w:rPr>
                <w:b w:val="0"/>
                <w:sz w:val="18"/>
                <w:szCs w:val="18"/>
              </w:rPr>
            </w:pPr>
            <w:r w:rsidRPr="00F2764B">
              <w:rPr>
                <w:b w:val="0"/>
                <w:color w:val="auto"/>
                <w:sz w:val="18"/>
                <w:szCs w:val="18"/>
              </w:rPr>
              <w:t>Bil</w:t>
            </w:r>
            <w:r>
              <w:rPr>
                <w:b w:val="0"/>
                <w:color w:val="auto"/>
                <w:sz w:val="18"/>
                <w:szCs w:val="18"/>
              </w:rPr>
              <w:t>ance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-58,5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B43F5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2764B" w:rsidRPr="00077352" w:rsidRDefault="005D6D5F" w:rsidP="004C5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C5E1D">
              <w:rPr>
                <w:sz w:val="18"/>
                <w:szCs w:val="18"/>
              </w:rPr>
              <w:t>58,7</w:t>
            </w:r>
          </w:p>
        </w:tc>
      </w:tr>
    </w:tbl>
    <w:p w:rsidR="004D0C7A" w:rsidRDefault="004D0C7A" w:rsidP="004D0C7A"/>
    <w:p w:rsidR="00E606E9" w:rsidRDefault="00AA74A7" w:rsidP="00E606E9">
      <w:r w:rsidRPr="00AA74A7">
        <w:t xml:space="preserve">Pro zahraniční obchod České republiky s Polskem je charakteristická dlouhodobě záporná </w:t>
      </w:r>
      <w:r w:rsidRPr="00AA74A7">
        <w:rPr>
          <w:b/>
        </w:rPr>
        <w:t>bilance</w:t>
      </w:r>
      <w:r w:rsidRPr="00AA74A7">
        <w:t>. Ve sledovaném období byl deficit nejhlubší v roce 2016, kdy se propadl</w:t>
      </w:r>
      <w:r>
        <w:t xml:space="preserve"> až na 72,6 mld. </w:t>
      </w:r>
      <w:r w:rsidRPr="00AA74A7">
        <w:t xml:space="preserve">Kč, nejmenší záporné saldo bylo naopak zaznamenáno v následujícím roce, a to 58,5 mld. Kč. V roce 2020 byl český vývoz do Polska ve srovnání s dovozem nižší o </w:t>
      </w:r>
      <w:r w:rsidR="00EC1630">
        <w:t>58,7</w:t>
      </w:r>
      <w:r w:rsidRPr="00AA74A7">
        <w:t xml:space="preserve"> mld. Kč a záporné saldo českého obchodu s Polskem se oproti tak roku 2015 zlepšilo o 5</w:t>
      </w:r>
      <w:r w:rsidR="00EC1630">
        <w:t>,5</w:t>
      </w:r>
      <w:r w:rsidRPr="00AA74A7">
        <w:t xml:space="preserve"> mld. Kč</w:t>
      </w:r>
      <w:r>
        <w:t>.</w:t>
      </w:r>
    </w:p>
    <w:p w:rsidR="00941635" w:rsidRDefault="00941635">
      <w:pPr>
        <w:spacing w:line="240" w:lineRule="auto"/>
        <w:jc w:val="left"/>
      </w:pPr>
    </w:p>
    <w:p w:rsidR="00941635" w:rsidRDefault="00941635" w:rsidP="00941635">
      <w:pPr>
        <w:spacing w:after="80" w:line="240" w:lineRule="auto"/>
        <w:jc w:val="left"/>
        <w:rPr>
          <w:rFonts w:eastAsia="Times New Roman"/>
          <w:b/>
          <w:bCs/>
          <w:szCs w:val="28"/>
        </w:rPr>
      </w:pPr>
      <w:r w:rsidRPr="00941635">
        <w:rPr>
          <w:rFonts w:eastAsia="Times New Roman"/>
          <w:b/>
          <w:bCs/>
          <w:szCs w:val="28"/>
        </w:rPr>
        <w:t xml:space="preserve">Graf </w:t>
      </w:r>
      <w:r w:rsidR="00912269">
        <w:rPr>
          <w:rFonts w:eastAsia="Times New Roman"/>
          <w:b/>
          <w:bCs/>
          <w:szCs w:val="28"/>
        </w:rPr>
        <w:t>1</w:t>
      </w:r>
      <w:r w:rsidRPr="00941635">
        <w:rPr>
          <w:rFonts w:eastAsia="Times New Roman"/>
          <w:b/>
          <w:bCs/>
          <w:szCs w:val="28"/>
        </w:rPr>
        <w:tab/>
      </w:r>
      <w:r w:rsidR="00525163">
        <w:rPr>
          <w:rFonts w:eastAsia="Times New Roman"/>
          <w:b/>
          <w:bCs/>
          <w:szCs w:val="28"/>
        </w:rPr>
        <w:tab/>
        <w:t xml:space="preserve">Bilance zahraničního obchodu </w:t>
      </w:r>
      <w:r w:rsidR="006702D2">
        <w:rPr>
          <w:rFonts w:eastAsia="Times New Roman"/>
          <w:b/>
          <w:bCs/>
          <w:szCs w:val="28"/>
        </w:rPr>
        <w:t>s</w:t>
      </w:r>
      <w:r w:rsidR="00904DF0">
        <w:rPr>
          <w:rFonts w:eastAsia="Times New Roman"/>
          <w:b/>
          <w:bCs/>
          <w:szCs w:val="28"/>
        </w:rPr>
        <w:t>e zbožím mezi ČR a</w:t>
      </w:r>
      <w:r w:rsidR="00AA74A7">
        <w:rPr>
          <w:rFonts w:eastAsia="Times New Roman"/>
          <w:b/>
          <w:bCs/>
          <w:szCs w:val="28"/>
        </w:rPr>
        <w:t> </w:t>
      </w:r>
      <w:r w:rsidR="006702D2">
        <w:rPr>
          <w:rFonts w:eastAsia="Times New Roman"/>
          <w:b/>
          <w:bCs/>
          <w:szCs w:val="28"/>
        </w:rPr>
        <w:t>Polskem</w:t>
      </w:r>
    </w:p>
    <w:p w:rsidR="00AA74A7" w:rsidRDefault="00AF7D79" w:rsidP="00941635">
      <w:pPr>
        <w:spacing w:after="80" w:line="240" w:lineRule="auto"/>
        <w:jc w:val="left"/>
      </w:pPr>
      <w:r>
        <w:rPr>
          <w:noProof/>
          <w:lang w:eastAsia="cs-CZ"/>
        </w:rPr>
        <w:drawing>
          <wp:inline distT="0" distB="0" distL="0" distR="0" wp14:anchorId="0395F124" wp14:editId="7D26DA81">
            <wp:extent cx="5400040" cy="1262380"/>
            <wp:effectExtent l="0" t="0" r="10160" b="1397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764B" w:rsidRDefault="005340E7" w:rsidP="00095129">
      <w:pPr>
        <w:shd w:val="clear" w:color="auto" w:fill="D5EAFF"/>
        <w:spacing w:line="240" w:lineRule="auto"/>
        <w:jc w:val="left"/>
        <w:rPr>
          <w:b/>
        </w:rPr>
      </w:pPr>
      <w:r w:rsidRPr="00095129">
        <w:rPr>
          <w:b/>
        </w:rPr>
        <w:lastRenderedPageBreak/>
        <w:t>Největší obchodní partneři</w:t>
      </w:r>
      <w:r w:rsidR="004A42DE" w:rsidRPr="00095129">
        <w:rPr>
          <w:b/>
        </w:rPr>
        <w:t xml:space="preserve"> Česka</w:t>
      </w:r>
      <w:r w:rsidRPr="00095129">
        <w:rPr>
          <w:b/>
        </w:rPr>
        <w:t xml:space="preserve"> </w:t>
      </w:r>
    </w:p>
    <w:p w:rsidR="00365458" w:rsidRDefault="00365458">
      <w:pPr>
        <w:spacing w:line="240" w:lineRule="auto"/>
        <w:jc w:val="left"/>
        <w:rPr>
          <w:b/>
        </w:rPr>
      </w:pPr>
    </w:p>
    <w:p w:rsidR="005340E7" w:rsidRDefault="00365458" w:rsidP="00691959">
      <w:r w:rsidRPr="007B70FE">
        <w:t xml:space="preserve">Polsko </w:t>
      </w:r>
      <w:r w:rsidR="00501479">
        <w:t xml:space="preserve">se </w:t>
      </w:r>
      <w:r w:rsidRPr="007B70FE">
        <w:t xml:space="preserve">v roce </w:t>
      </w:r>
      <w:r w:rsidR="00501479">
        <w:t>2020</w:t>
      </w:r>
      <w:r w:rsidRPr="007B70FE">
        <w:t xml:space="preserve"> </w:t>
      </w:r>
      <w:r w:rsidR="0076744E">
        <w:t xml:space="preserve">umístilo </w:t>
      </w:r>
      <w:r w:rsidRPr="007B70FE">
        <w:t xml:space="preserve">na </w:t>
      </w:r>
      <w:r w:rsidR="005340E7">
        <w:t>druhé</w:t>
      </w:r>
      <w:r w:rsidR="0076744E">
        <w:t>m</w:t>
      </w:r>
      <w:r w:rsidRPr="007B70FE">
        <w:t xml:space="preserve"> míst</w:t>
      </w:r>
      <w:r w:rsidR="0076744E">
        <w:t>ě</w:t>
      </w:r>
      <w:r w:rsidRPr="007B70FE">
        <w:t xml:space="preserve"> </w:t>
      </w:r>
      <w:r w:rsidR="00A23EEE">
        <w:t xml:space="preserve">v pořadí </w:t>
      </w:r>
      <w:r w:rsidRPr="007B70FE">
        <w:t>nejvýznamnější</w:t>
      </w:r>
      <w:r w:rsidR="00501479">
        <w:t>ch</w:t>
      </w:r>
      <w:r w:rsidRPr="007B70FE">
        <w:t xml:space="preserve"> obchodní</w:t>
      </w:r>
      <w:r w:rsidR="00501479">
        <w:t>ch</w:t>
      </w:r>
      <w:r w:rsidRPr="007B70FE">
        <w:t xml:space="preserve"> partner</w:t>
      </w:r>
      <w:r w:rsidR="00501479">
        <w:t>ů</w:t>
      </w:r>
      <w:r w:rsidRPr="007B70FE">
        <w:t xml:space="preserve"> Č</w:t>
      </w:r>
      <w:r w:rsidR="0076744E">
        <w:t>eské republiky</w:t>
      </w:r>
      <w:r w:rsidRPr="007B70FE">
        <w:t xml:space="preserve"> s podílem </w:t>
      </w:r>
      <w:r w:rsidR="007B70FE">
        <w:t>7</w:t>
      </w:r>
      <w:r w:rsidRPr="007B70FE">
        <w:t xml:space="preserve">,5 % na </w:t>
      </w:r>
      <w:r w:rsidR="00501479">
        <w:t>celkovém obratu</w:t>
      </w:r>
      <w:r w:rsidRPr="007B70FE">
        <w:t xml:space="preserve"> zahraniční</w:t>
      </w:r>
      <w:r w:rsidR="00501479">
        <w:t>ho</w:t>
      </w:r>
      <w:r w:rsidRPr="007B70FE">
        <w:t xml:space="preserve"> obchodu</w:t>
      </w:r>
      <w:r w:rsidR="00904DF0">
        <w:t xml:space="preserve"> se zbožím</w:t>
      </w:r>
      <w:r w:rsidR="00E271D1">
        <w:t xml:space="preserve"> </w:t>
      </w:r>
      <w:r w:rsidR="00A23EEE">
        <w:t>(v roce 2015 na </w:t>
      </w:r>
      <w:r w:rsidR="00095129">
        <w:t>třetím</w:t>
      </w:r>
      <w:r w:rsidR="006A4165">
        <w:t xml:space="preserve"> místě s </w:t>
      </w:r>
      <w:r w:rsidR="00E271D1" w:rsidRPr="007B70FE">
        <w:t xml:space="preserve">podílem </w:t>
      </w:r>
      <w:r w:rsidR="00E271D1">
        <w:t>7</w:t>
      </w:r>
      <w:r w:rsidR="00E271D1" w:rsidRPr="007B70FE">
        <w:t>,4 %)</w:t>
      </w:r>
      <w:r w:rsidRPr="007B70FE">
        <w:t xml:space="preserve">. </w:t>
      </w:r>
      <w:r w:rsidR="005340E7">
        <w:t>Zařadilo se tak za Německo, s nímž Česko realizuje téměř třetinu své obchod</w:t>
      </w:r>
      <w:r w:rsidR="00E271D1">
        <w:t>n</w:t>
      </w:r>
      <w:r w:rsidR="005340E7">
        <w:t>í výměny. Slovensko</w:t>
      </w:r>
      <w:r w:rsidR="005340E7" w:rsidRPr="005340E7">
        <w:t xml:space="preserve"> </w:t>
      </w:r>
      <w:r w:rsidR="005340E7">
        <w:t xml:space="preserve">v roce 2017 přišlo o svoji </w:t>
      </w:r>
      <w:r w:rsidR="005D6D5F">
        <w:t xml:space="preserve">druhou </w:t>
      </w:r>
      <w:r w:rsidR="005340E7">
        <w:t>po</w:t>
      </w:r>
      <w:r w:rsidR="00E271D1">
        <w:t>zici, která jí</w:t>
      </w:r>
      <w:r w:rsidR="005340E7">
        <w:t xml:space="preserve"> patřila od vzniku samostatné České republiky, a </w:t>
      </w:r>
      <w:r w:rsidR="00501479">
        <w:t>sestoupilo</w:t>
      </w:r>
      <w:r w:rsidR="005340E7">
        <w:t xml:space="preserve"> </w:t>
      </w:r>
      <w:r w:rsidR="00095129">
        <w:t xml:space="preserve">trvale </w:t>
      </w:r>
      <w:r w:rsidR="005340E7">
        <w:t xml:space="preserve">na třetí místo. </w:t>
      </w:r>
    </w:p>
    <w:p w:rsidR="00691959" w:rsidRDefault="00691959" w:rsidP="00691959"/>
    <w:p w:rsidR="00A8027C" w:rsidRDefault="00A8027C" w:rsidP="00A8027C">
      <w:pPr>
        <w:pStyle w:val="TabulkaGraf"/>
        <w:spacing w:after="80"/>
      </w:pPr>
      <w:r>
        <w:t xml:space="preserve">Tabulka </w:t>
      </w:r>
      <w:r w:rsidR="005A6C68">
        <w:t>2</w:t>
      </w:r>
      <w:r>
        <w:tab/>
        <w:t>Pořadí jednotlivých států podle celkového obratu s ČR</w:t>
      </w:r>
    </w:p>
    <w:tbl>
      <w:tblPr>
        <w:tblStyle w:val="Tmavtabulkasmkou5zvraznn2"/>
        <w:tblW w:w="8528" w:type="dxa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99"/>
        <w:gridCol w:w="1894"/>
        <w:gridCol w:w="748"/>
        <w:gridCol w:w="1843"/>
        <w:gridCol w:w="839"/>
      </w:tblGrid>
      <w:tr w:rsidR="00691959" w:rsidTr="0087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D9D9D9" w:themeColor="background1" w:themeShade="D9"/>
            </w:tcBorders>
            <w:shd w:val="clear" w:color="auto" w:fill="BD1B21"/>
          </w:tcPr>
          <w:p w:rsidR="00691959" w:rsidRPr="00A82B51" w:rsidRDefault="00691959" w:rsidP="00BA02F6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4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691959" w:rsidRPr="0017169D" w:rsidRDefault="00691959" w:rsidP="006919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2015</w:t>
            </w:r>
          </w:p>
        </w:tc>
        <w:tc>
          <w:tcPr>
            <w:tcW w:w="264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691959" w:rsidRPr="00691959" w:rsidRDefault="00691959" w:rsidP="0069195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2017</w:t>
            </w:r>
          </w:p>
        </w:tc>
        <w:tc>
          <w:tcPr>
            <w:tcW w:w="2682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691959" w:rsidRPr="0017169D" w:rsidRDefault="00691959" w:rsidP="00BA02F6">
            <w:pPr>
              <w:pStyle w:val="Odstavecseseznamem"/>
              <w:spacing w:line="240" w:lineRule="auto"/>
              <w:ind w:lef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2020</w:t>
            </w:r>
          </w:p>
        </w:tc>
      </w:tr>
      <w:tr w:rsidR="00047A19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bottom"/>
          </w:tcPr>
          <w:p w:rsidR="00047A19" w:rsidRDefault="00047A19" w:rsidP="00BA02F6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7966" w:type="dxa"/>
            <w:gridSpan w:val="6"/>
            <w:tcBorders>
              <w:bottom w:val="single" w:sz="4" w:space="0" w:color="C00000"/>
            </w:tcBorders>
            <w:shd w:val="clear" w:color="auto" w:fill="auto"/>
            <w:vAlign w:val="center"/>
          </w:tcPr>
          <w:p w:rsidR="00047A19" w:rsidRPr="00077352" w:rsidRDefault="00047A19" w:rsidP="00047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podíl v %</w:t>
            </w:r>
          </w:p>
        </w:tc>
      </w:tr>
      <w:tr w:rsidR="00691959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bottom"/>
          </w:tcPr>
          <w:p w:rsidR="00A8027C" w:rsidRPr="00691959" w:rsidRDefault="00A8027C" w:rsidP="00691959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91959">
              <w:rPr>
                <w:b w:val="0"/>
                <w:color w:val="auto"/>
                <w:sz w:val="18"/>
                <w:szCs w:val="18"/>
              </w:rPr>
              <w:t>1</w:t>
            </w:r>
            <w:r w:rsidR="00691959" w:rsidRPr="00691959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A8027C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Německo</w:t>
            </w:r>
          </w:p>
        </w:tc>
        <w:tc>
          <w:tcPr>
            <w:tcW w:w="79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412CEB" w:rsidP="00691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18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691959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Německo</w:t>
            </w:r>
          </w:p>
        </w:tc>
        <w:tc>
          <w:tcPr>
            <w:tcW w:w="74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691959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Německo</w:t>
            </w:r>
          </w:p>
        </w:tc>
        <w:tc>
          <w:tcPr>
            <w:tcW w:w="83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E271D1" w:rsidP="00F03D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</w:t>
            </w:r>
            <w:r w:rsidR="00F03DBD">
              <w:rPr>
                <w:sz w:val="18"/>
                <w:szCs w:val="18"/>
              </w:rPr>
              <w:t>2</w:t>
            </w:r>
          </w:p>
        </w:tc>
      </w:tr>
      <w:tr w:rsidR="00691959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A8027C" w:rsidRPr="00691959" w:rsidRDefault="00A8027C" w:rsidP="00691959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91959">
              <w:rPr>
                <w:b w:val="0"/>
                <w:color w:val="auto"/>
                <w:sz w:val="18"/>
                <w:szCs w:val="18"/>
              </w:rPr>
              <w:t>2</w:t>
            </w:r>
            <w:r w:rsidR="00691959" w:rsidRPr="00691959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6A161C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Slovensko</w:t>
            </w:r>
          </w:p>
        </w:tc>
        <w:tc>
          <w:tcPr>
            <w:tcW w:w="79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412CEB" w:rsidP="00691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8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Polsko</w:t>
            </w:r>
          </w:p>
        </w:tc>
        <w:tc>
          <w:tcPr>
            <w:tcW w:w="74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Polsko</w:t>
            </w:r>
          </w:p>
        </w:tc>
        <w:tc>
          <w:tcPr>
            <w:tcW w:w="83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E271D1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691959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bottom"/>
          </w:tcPr>
          <w:p w:rsidR="00A8027C" w:rsidRPr="00691959" w:rsidRDefault="00A8027C" w:rsidP="00691959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91959">
              <w:rPr>
                <w:b w:val="0"/>
                <w:color w:val="auto"/>
                <w:sz w:val="18"/>
                <w:szCs w:val="18"/>
              </w:rPr>
              <w:t>3</w:t>
            </w:r>
            <w:r w:rsidR="00691959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412CEB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Polsko</w:t>
            </w:r>
          </w:p>
        </w:tc>
        <w:tc>
          <w:tcPr>
            <w:tcW w:w="79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8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047A1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Slovensko</w:t>
            </w:r>
          </w:p>
        </w:tc>
        <w:tc>
          <w:tcPr>
            <w:tcW w:w="74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Slovensko</w:t>
            </w:r>
          </w:p>
        </w:tc>
        <w:tc>
          <w:tcPr>
            <w:tcW w:w="83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E271D1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</w:tr>
      <w:tr w:rsidR="00691959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bottom"/>
          </w:tcPr>
          <w:p w:rsidR="00691959" w:rsidRPr="00691959" w:rsidRDefault="00691959" w:rsidP="00691959">
            <w:pPr>
              <w:jc w:val="center"/>
              <w:rPr>
                <w:b w:val="0"/>
                <w:sz w:val="18"/>
                <w:szCs w:val="18"/>
              </w:rPr>
            </w:pPr>
            <w:r w:rsidRPr="00691959">
              <w:rPr>
                <w:b w:val="0"/>
                <w:color w:val="auto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Čína</w:t>
            </w:r>
          </w:p>
        </w:tc>
        <w:tc>
          <w:tcPr>
            <w:tcW w:w="79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8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Čína</w:t>
            </w:r>
          </w:p>
        </w:tc>
        <w:tc>
          <w:tcPr>
            <w:tcW w:w="74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Čína</w:t>
            </w:r>
          </w:p>
        </w:tc>
        <w:tc>
          <w:tcPr>
            <w:tcW w:w="83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Pr="00077352" w:rsidRDefault="00F03DBD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691959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bottom"/>
          </w:tcPr>
          <w:p w:rsidR="00A8027C" w:rsidRPr="00691959" w:rsidRDefault="00691959" w:rsidP="0069195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5</w:t>
            </w:r>
            <w:r w:rsidRPr="00691959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Francie</w:t>
            </w:r>
          </w:p>
        </w:tc>
        <w:tc>
          <w:tcPr>
            <w:tcW w:w="79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8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Itálie</w:t>
            </w:r>
          </w:p>
        </w:tc>
        <w:tc>
          <w:tcPr>
            <w:tcW w:w="74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047A19" w:rsidP="006919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Itálie</w:t>
            </w:r>
          </w:p>
        </w:tc>
        <w:tc>
          <w:tcPr>
            <w:tcW w:w="83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A8027C" w:rsidRPr="00077352" w:rsidRDefault="00E271D1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691959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691959" w:rsidRPr="00691959" w:rsidRDefault="00691959" w:rsidP="00691959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6</w:t>
            </w:r>
            <w:r w:rsidRPr="00691959">
              <w:rPr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Itálie</w:t>
            </w:r>
          </w:p>
        </w:tc>
        <w:tc>
          <w:tcPr>
            <w:tcW w:w="79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894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Francie</w:t>
            </w:r>
          </w:p>
        </w:tc>
        <w:tc>
          <w:tcPr>
            <w:tcW w:w="74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84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Default="00047A19" w:rsidP="0069195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Francie</w:t>
            </w:r>
          </w:p>
        </w:tc>
        <w:tc>
          <w:tcPr>
            <w:tcW w:w="839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bottom"/>
          </w:tcPr>
          <w:p w:rsidR="00691959" w:rsidRPr="00077352" w:rsidRDefault="00E271D1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</w:tbl>
    <w:p w:rsidR="00691959" w:rsidRDefault="00691959" w:rsidP="00691959"/>
    <w:p w:rsidR="00FE2ED4" w:rsidRDefault="00B47776" w:rsidP="00691959">
      <w:r w:rsidRPr="007B70FE">
        <w:t>K deseti největším obchodním partnerům ČR podle výše podíl</w:t>
      </w:r>
      <w:r w:rsidR="006A4165">
        <w:t>u na celkovém obratu náležely v </w:t>
      </w:r>
      <w:r w:rsidRPr="007B70FE">
        <w:t>roce 20</w:t>
      </w:r>
      <w:r w:rsidR="007B70FE">
        <w:t>20</w:t>
      </w:r>
      <w:r w:rsidRPr="007B70FE">
        <w:t xml:space="preserve"> tyto země: </w:t>
      </w:r>
      <w:r w:rsidR="007B70FE">
        <w:t>Německo</w:t>
      </w:r>
      <w:r w:rsidRPr="007B70FE">
        <w:t xml:space="preserve">, </w:t>
      </w:r>
      <w:r w:rsidR="00D05CC2">
        <w:t>Polsko</w:t>
      </w:r>
      <w:r w:rsidRPr="007B70FE">
        <w:t xml:space="preserve">, </w:t>
      </w:r>
      <w:r w:rsidR="00D05CC2">
        <w:t>Slovensko</w:t>
      </w:r>
      <w:r w:rsidR="00703398">
        <w:t xml:space="preserve">, </w:t>
      </w:r>
      <w:r w:rsidR="00D05CC2">
        <w:t>Čína</w:t>
      </w:r>
      <w:r w:rsidRPr="007B70FE">
        <w:t xml:space="preserve">, </w:t>
      </w:r>
      <w:r w:rsidR="00D05CC2">
        <w:t>Itálie</w:t>
      </w:r>
      <w:r w:rsidRPr="007B70FE">
        <w:t xml:space="preserve">, </w:t>
      </w:r>
      <w:r w:rsidR="00D05CC2">
        <w:t>Francie</w:t>
      </w:r>
      <w:r w:rsidR="00703398">
        <w:t xml:space="preserve">, </w:t>
      </w:r>
      <w:r w:rsidR="00D05CC2">
        <w:t>Rakousko</w:t>
      </w:r>
      <w:r w:rsidR="00703398">
        <w:t xml:space="preserve">, Nizozemsko, </w:t>
      </w:r>
      <w:r w:rsidR="00D05CC2">
        <w:t>Maďarsko</w:t>
      </w:r>
      <w:r w:rsidRPr="007B70FE">
        <w:t xml:space="preserve"> a </w:t>
      </w:r>
      <w:r w:rsidR="00D05CC2">
        <w:t>Spojené království</w:t>
      </w:r>
      <w:r w:rsidR="00703398">
        <w:t xml:space="preserve">. </w:t>
      </w:r>
      <w:r w:rsidR="00D05CC2">
        <w:t>Zatímco o</w:t>
      </w:r>
      <w:r w:rsidRPr="007B70FE">
        <w:t xml:space="preserve">kruh </w:t>
      </w:r>
      <w:r w:rsidR="00FE2ED4">
        <w:t>prvních šesti</w:t>
      </w:r>
      <w:r w:rsidRPr="007B70FE">
        <w:t xml:space="preserve"> zemí zůstával po </w:t>
      </w:r>
      <w:r w:rsidR="00FE2ED4">
        <w:t>dobu šesti</w:t>
      </w:r>
      <w:r w:rsidRPr="007B70FE">
        <w:t xml:space="preserve"> let prakticky stejný</w:t>
      </w:r>
      <w:r w:rsidR="00FE2ED4">
        <w:t xml:space="preserve"> a</w:t>
      </w:r>
      <w:r w:rsidRPr="007B70FE">
        <w:t xml:space="preserve"> ke změnám docházelo pouze v úrovni podílů těchto zemí</w:t>
      </w:r>
      <w:r w:rsidR="00FE2ED4">
        <w:t>, tak o další čtyři místa se střídavě dělilo Rakousko, Spojené království, Maďarsko, Nizozemsko a Ruská federace.</w:t>
      </w:r>
    </w:p>
    <w:p w:rsidR="00B47776" w:rsidRDefault="00B47776">
      <w:pPr>
        <w:spacing w:line="240" w:lineRule="auto"/>
        <w:jc w:val="left"/>
      </w:pPr>
      <w:r w:rsidRPr="00365458">
        <w:rPr>
          <w:i/>
        </w:rPr>
        <w:t xml:space="preserve"> </w:t>
      </w:r>
    </w:p>
    <w:p w:rsidR="00F2764B" w:rsidRDefault="00F2764B" w:rsidP="00F2764B">
      <w:pPr>
        <w:pStyle w:val="TabulkaGraf"/>
        <w:spacing w:after="80"/>
      </w:pPr>
      <w:r>
        <w:t xml:space="preserve">Tabulka </w:t>
      </w:r>
      <w:r w:rsidR="005A6C68">
        <w:t>3</w:t>
      </w:r>
      <w:r>
        <w:tab/>
        <w:t xml:space="preserve">Pořadí jednotlivých států ve vývozu </w:t>
      </w:r>
      <w:r w:rsidR="00102CCA">
        <w:t>a dovozu</w:t>
      </w:r>
      <w:r w:rsidR="008547F4">
        <w:t xml:space="preserve"> </w:t>
      </w:r>
      <w:r>
        <w:t>ČR</w:t>
      </w:r>
      <w:r w:rsidR="008D7664">
        <w:rPr>
          <w:rStyle w:val="Znakapoznpodarou"/>
        </w:rPr>
        <w:footnoteReference w:id="3"/>
      </w:r>
    </w:p>
    <w:tbl>
      <w:tblPr>
        <w:tblStyle w:val="Tmavtabulkasmkou5zvraznn2"/>
        <w:tblW w:w="8514" w:type="dxa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75"/>
        <w:gridCol w:w="775"/>
        <w:gridCol w:w="776"/>
        <w:gridCol w:w="775"/>
        <w:gridCol w:w="776"/>
        <w:gridCol w:w="775"/>
        <w:gridCol w:w="775"/>
        <w:gridCol w:w="776"/>
        <w:gridCol w:w="775"/>
        <w:gridCol w:w="776"/>
      </w:tblGrid>
      <w:tr w:rsidR="00102CCA" w:rsidTr="0087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102CCA" w:rsidRPr="00A82B51" w:rsidRDefault="00102CCA" w:rsidP="00102C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102CCA" w:rsidRDefault="00102CCA" w:rsidP="00102CC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Vývoz</w:t>
            </w:r>
          </w:p>
        </w:tc>
        <w:tc>
          <w:tcPr>
            <w:tcW w:w="3877" w:type="dxa"/>
            <w:gridSpan w:val="5"/>
            <w:tcBorders>
              <w:lef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102CCA" w:rsidRPr="0017169D" w:rsidRDefault="00102CCA" w:rsidP="00102CCA">
            <w:pPr>
              <w:pStyle w:val="Odstavecseseznamem"/>
              <w:spacing w:line="240" w:lineRule="auto"/>
              <w:ind w:lef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Dovoz</w:t>
            </w:r>
          </w:p>
        </w:tc>
      </w:tr>
      <w:tr w:rsidR="00102CCA" w:rsidTr="00102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102CCA" w:rsidRPr="00102CCA" w:rsidRDefault="00102CCA" w:rsidP="00BA02F6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1.</w:t>
            </w:r>
          </w:p>
        </w:tc>
        <w:tc>
          <w:tcPr>
            <w:tcW w:w="7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2.</w:t>
            </w:r>
          </w:p>
        </w:tc>
        <w:tc>
          <w:tcPr>
            <w:tcW w:w="7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3.</w:t>
            </w:r>
          </w:p>
        </w:tc>
        <w:tc>
          <w:tcPr>
            <w:tcW w:w="7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4.</w:t>
            </w:r>
          </w:p>
        </w:tc>
        <w:tc>
          <w:tcPr>
            <w:tcW w:w="7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5.</w:t>
            </w:r>
          </w:p>
        </w:tc>
        <w:tc>
          <w:tcPr>
            <w:tcW w:w="7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1.</w:t>
            </w:r>
          </w:p>
        </w:tc>
        <w:tc>
          <w:tcPr>
            <w:tcW w:w="7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2.</w:t>
            </w:r>
          </w:p>
        </w:tc>
        <w:tc>
          <w:tcPr>
            <w:tcW w:w="7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3.</w:t>
            </w:r>
          </w:p>
        </w:tc>
        <w:tc>
          <w:tcPr>
            <w:tcW w:w="77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4.</w:t>
            </w:r>
          </w:p>
        </w:tc>
        <w:tc>
          <w:tcPr>
            <w:tcW w:w="77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02CCA" w:rsidRPr="008D7664" w:rsidRDefault="00102CCA" w:rsidP="00102CCA">
            <w:pPr>
              <w:pStyle w:val="Odstavecseseznamem"/>
              <w:spacing w:line="240" w:lineRule="auto"/>
              <w:ind w:left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664">
              <w:rPr>
                <w:sz w:val="18"/>
                <w:szCs w:val="18"/>
              </w:rPr>
              <w:t>5.</w:t>
            </w:r>
          </w:p>
        </w:tc>
      </w:tr>
      <w:tr w:rsidR="008D7664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vAlign w:val="bottom"/>
          </w:tcPr>
          <w:p w:rsidR="00102CCA" w:rsidRPr="00102CCA" w:rsidRDefault="00102CCA" w:rsidP="00102CCA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102CCA">
              <w:rPr>
                <w:b w:val="0"/>
                <w:color w:val="auto"/>
                <w:sz w:val="18"/>
                <w:szCs w:val="18"/>
              </w:rPr>
              <w:t>2015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FE2ED4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FE2ED4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</w:p>
        </w:tc>
      </w:tr>
      <w:tr w:rsidR="008D7664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102CCA" w:rsidRPr="00102CCA" w:rsidRDefault="00102CCA" w:rsidP="00102CCA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102CCA">
              <w:rPr>
                <w:b w:val="0"/>
                <w:color w:val="auto"/>
                <w:sz w:val="18"/>
                <w:szCs w:val="18"/>
              </w:rPr>
              <w:t>2016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FE2ED4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FE2ED4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</w:p>
        </w:tc>
      </w:tr>
      <w:tr w:rsidR="008D7664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vAlign w:val="bottom"/>
          </w:tcPr>
          <w:p w:rsidR="00102CCA" w:rsidRPr="00102CCA" w:rsidRDefault="00102CCA" w:rsidP="00102CCA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102CCA">
              <w:rPr>
                <w:b w:val="0"/>
                <w:color w:val="auto"/>
                <w:sz w:val="18"/>
                <w:szCs w:val="18"/>
              </w:rPr>
              <w:t>2017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FE2ED4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FE2ED4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</w:p>
        </w:tc>
      </w:tr>
      <w:tr w:rsidR="008D7664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vAlign w:val="bottom"/>
          </w:tcPr>
          <w:p w:rsidR="00102CCA" w:rsidRPr="00102CCA" w:rsidRDefault="00102CCA" w:rsidP="00102CCA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102CCA">
              <w:rPr>
                <w:b w:val="0"/>
                <w:color w:val="auto"/>
                <w:sz w:val="18"/>
                <w:szCs w:val="18"/>
              </w:rPr>
              <w:t>2018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FE2ED4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FE2ED4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</w:p>
        </w:tc>
      </w:tr>
      <w:tr w:rsidR="008D7664" w:rsidTr="00B2611A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vAlign w:val="bottom"/>
          </w:tcPr>
          <w:p w:rsidR="00102CCA" w:rsidRPr="00102CCA" w:rsidRDefault="00102CCA" w:rsidP="00102CCA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102CCA">
              <w:rPr>
                <w:b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FE2ED4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FE2ED4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</w:p>
        </w:tc>
      </w:tr>
      <w:tr w:rsidR="008D7664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102CCA" w:rsidRPr="00102CCA" w:rsidRDefault="00102CCA" w:rsidP="00102CCA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102CCA">
              <w:rPr>
                <w:b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FE2ED4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</w:t>
            </w:r>
          </w:p>
        </w:tc>
        <w:tc>
          <w:tcPr>
            <w:tcW w:w="776" w:type="dxa"/>
            <w:shd w:val="clear" w:color="auto" w:fill="FDE9E9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FE2ED4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FE2ED4">
              <w:rPr>
                <w:color w:val="FF0000"/>
                <w:sz w:val="18"/>
                <w:szCs w:val="18"/>
              </w:rPr>
              <w:t>PL</w:t>
            </w:r>
          </w:p>
        </w:tc>
        <w:tc>
          <w:tcPr>
            <w:tcW w:w="775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</w:p>
        </w:tc>
        <w:tc>
          <w:tcPr>
            <w:tcW w:w="776" w:type="dxa"/>
            <w:shd w:val="clear" w:color="auto" w:fill="E2E9FE"/>
            <w:vAlign w:val="bottom"/>
          </w:tcPr>
          <w:p w:rsidR="00102CCA" w:rsidRPr="00077352" w:rsidRDefault="00102CCA" w:rsidP="00102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</w:p>
        </w:tc>
      </w:tr>
    </w:tbl>
    <w:p w:rsidR="008D7664" w:rsidRDefault="008D7664">
      <w:pPr>
        <w:spacing w:line="240" w:lineRule="auto"/>
        <w:jc w:val="left"/>
      </w:pPr>
    </w:p>
    <w:p w:rsidR="00BA02F6" w:rsidRDefault="007834A4" w:rsidP="0000392A">
      <w:pPr>
        <w:spacing w:before="120"/>
      </w:pPr>
      <w:r w:rsidRPr="007834A4">
        <w:t xml:space="preserve">V žebříčku zemí, kam směřuje náš vývoz, se </w:t>
      </w:r>
      <w:r w:rsidR="00BA02F6">
        <w:t xml:space="preserve">Polsko v roce 2020 </w:t>
      </w:r>
      <w:r w:rsidRPr="007834A4">
        <w:t>s</w:t>
      </w:r>
      <w:r>
        <w:t> </w:t>
      </w:r>
      <w:r w:rsidRPr="007834A4">
        <w:t>šest</w:t>
      </w:r>
      <w:r>
        <w:t xml:space="preserve"> a půl </w:t>
      </w:r>
      <w:r w:rsidRPr="007834A4">
        <w:t>procentním podílem umístilo na třetím místě</w:t>
      </w:r>
      <w:r w:rsidR="00BA02F6">
        <w:t xml:space="preserve"> za Německem (31,</w:t>
      </w:r>
      <w:r w:rsidR="00F03DBD">
        <w:t>6</w:t>
      </w:r>
      <w:r w:rsidR="00BA02F6">
        <w:t>% podíl) a Slovenskem (9,2% podíl)</w:t>
      </w:r>
      <w:r w:rsidRPr="007834A4">
        <w:t xml:space="preserve">. </w:t>
      </w:r>
    </w:p>
    <w:p w:rsidR="00BA02F6" w:rsidRDefault="00BA02F6" w:rsidP="00BA02F6">
      <w:pPr>
        <w:jc w:val="left"/>
      </w:pPr>
    </w:p>
    <w:p w:rsidR="003C7EA0" w:rsidRDefault="007834A4" w:rsidP="0000392A">
      <w:r w:rsidRPr="007834A4">
        <w:t xml:space="preserve">Na českých dovozech se </w:t>
      </w:r>
      <w:r w:rsidR="00BA02F6">
        <w:t xml:space="preserve">Polsko </w:t>
      </w:r>
      <w:r w:rsidRPr="007834A4">
        <w:t xml:space="preserve">podílelo </w:t>
      </w:r>
      <w:r w:rsidR="00BA02F6">
        <w:t>8,6</w:t>
      </w:r>
      <w:r w:rsidRPr="007834A4">
        <w:t xml:space="preserve"> % a </w:t>
      </w:r>
      <w:r w:rsidR="0000392A">
        <w:t>v roce 2020</w:t>
      </w:r>
      <w:r w:rsidR="0088496B">
        <w:t xml:space="preserve"> </w:t>
      </w:r>
      <w:r w:rsidR="0088496B" w:rsidRPr="007834A4">
        <w:t>obhájilo</w:t>
      </w:r>
      <w:r w:rsidR="0088496B">
        <w:t xml:space="preserve"> </w:t>
      </w:r>
      <w:r w:rsidRPr="007834A4">
        <w:t>třetí pozici</w:t>
      </w:r>
      <w:r w:rsidR="00BA02F6">
        <w:t xml:space="preserve">. Necelá čtvrtina dovozu </w:t>
      </w:r>
      <w:r w:rsidR="0088496B">
        <w:t xml:space="preserve">do České republiky </w:t>
      </w:r>
      <w:r w:rsidR="00BA02F6">
        <w:t>byla přivezena ze sousedního Německa a téměř třináct procent zboží ze vzdálené Číny.</w:t>
      </w:r>
      <w:r w:rsidR="0000392A">
        <w:t xml:space="preserve"> Podíl s</w:t>
      </w:r>
      <w:r w:rsidR="00290101">
        <w:t> neméně významným</w:t>
      </w:r>
      <w:r w:rsidR="0000392A">
        <w:t xml:space="preserve"> Slovenskem byl 4,8 %.</w:t>
      </w:r>
      <w:r w:rsidR="003C7EA0">
        <w:br w:type="page"/>
      </w:r>
    </w:p>
    <w:p w:rsidR="00133223" w:rsidRDefault="006A2A46" w:rsidP="00095129">
      <w:pPr>
        <w:shd w:val="clear" w:color="auto" w:fill="D5EAFF"/>
        <w:rPr>
          <w:b/>
        </w:rPr>
      </w:pPr>
      <w:r w:rsidRPr="00095129">
        <w:rPr>
          <w:b/>
        </w:rPr>
        <w:lastRenderedPageBreak/>
        <w:t>Obchod Česka se sousedními státy</w:t>
      </w:r>
      <w:r w:rsidR="00133223">
        <w:rPr>
          <w:b/>
        </w:rPr>
        <w:t xml:space="preserve"> </w:t>
      </w:r>
    </w:p>
    <w:p w:rsidR="007A5C0E" w:rsidRDefault="007A5C0E" w:rsidP="00E42E00">
      <w:pPr>
        <w:rPr>
          <w:b/>
        </w:rPr>
      </w:pPr>
    </w:p>
    <w:p w:rsidR="006A2A46" w:rsidRDefault="00133223" w:rsidP="00E42E00">
      <w:pPr>
        <w:rPr>
          <w:i/>
        </w:rPr>
      </w:pPr>
      <w:r w:rsidRPr="007A5C0E">
        <w:t xml:space="preserve">Zahraniční obchod ČR </w:t>
      </w:r>
      <w:r w:rsidR="00904DF0">
        <w:t xml:space="preserve">se zbožím </w:t>
      </w:r>
      <w:r w:rsidRPr="007A5C0E">
        <w:t>se dlouhodobě koncentru</w:t>
      </w:r>
      <w:r w:rsidR="00904DF0">
        <w:t>je na evropské trhy, zejména na </w:t>
      </w:r>
      <w:r w:rsidRPr="007A5C0E">
        <w:t>sousední země (</w:t>
      </w:r>
      <w:r w:rsidR="007A5C0E">
        <w:t>Německo</w:t>
      </w:r>
      <w:r w:rsidRPr="007A5C0E">
        <w:t xml:space="preserve">, </w:t>
      </w:r>
      <w:r w:rsidR="007A5C0E" w:rsidRPr="007A5C0E">
        <w:t xml:space="preserve">Polsko, Rakousko </w:t>
      </w:r>
      <w:r w:rsidR="007A5C0E">
        <w:t xml:space="preserve">a </w:t>
      </w:r>
      <w:r w:rsidRPr="007A5C0E">
        <w:t>Slovensko)</w:t>
      </w:r>
      <w:r w:rsidR="003213BA">
        <w:t>.</w:t>
      </w:r>
      <w:r w:rsidR="003213BA" w:rsidRPr="003213BA">
        <w:t xml:space="preserve"> </w:t>
      </w:r>
      <w:r w:rsidR="00904DF0">
        <w:t>Dohromady byla v roce 2020 na </w:t>
      </w:r>
      <w:r w:rsidR="003213BA">
        <w:t xml:space="preserve">tyto státy orientována více jak </w:t>
      </w:r>
      <w:r w:rsidR="003213BA" w:rsidRPr="00924D01">
        <w:t>polovina</w:t>
      </w:r>
      <w:r w:rsidR="003213BA">
        <w:t xml:space="preserve"> z celkového českého vývozu a přibližně </w:t>
      </w:r>
      <w:r w:rsidR="003213BA" w:rsidRPr="00924D01">
        <w:t xml:space="preserve">dvě pětiny </w:t>
      </w:r>
      <w:r w:rsidR="003213BA">
        <w:t xml:space="preserve">z celkového českého dovozu. Uvedené státy proto významně </w:t>
      </w:r>
      <w:r w:rsidR="003213BA">
        <w:rPr>
          <w:spacing w:val="-2"/>
        </w:rPr>
        <w:t>ovlivň</w:t>
      </w:r>
      <w:r w:rsidR="00F601BE">
        <w:rPr>
          <w:spacing w:val="-2"/>
        </w:rPr>
        <w:t>ují dynamiku celkového vývozu a </w:t>
      </w:r>
      <w:r w:rsidR="003213BA">
        <w:rPr>
          <w:spacing w:val="-2"/>
        </w:rPr>
        <w:t>celkového dovozu</w:t>
      </w:r>
      <w:r w:rsidR="00314D5D">
        <w:rPr>
          <w:spacing w:val="-2"/>
        </w:rPr>
        <w:t>, čímž i výslednou</w:t>
      </w:r>
      <w:r w:rsidR="003213BA">
        <w:rPr>
          <w:spacing w:val="-2"/>
        </w:rPr>
        <w:t xml:space="preserve"> celkovou bilanci zahraničního obchodu</w:t>
      </w:r>
      <w:r w:rsidR="00904DF0">
        <w:rPr>
          <w:spacing w:val="-2"/>
        </w:rPr>
        <w:t xml:space="preserve"> se zbožím</w:t>
      </w:r>
      <w:r w:rsidR="003213BA">
        <w:rPr>
          <w:spacing w:val="-2"/>
        </w:rPr>
        <w:t>.</w:t>
      </w:r>
      <w:r w:rsidRPr="00133223">
        <w:rPr>
          <w:i/>
        </w:rPr>
        <w:t xml:space="preserve"> </w:t>
      </w:r>
    </w:p>
    <w:p w:rsidR="000934A3" w:rsidRPr="00095129" w:rsidRDefault="000934A3" w:rsidP="00E42E00">
      <w:pPr>
        <w:rPr>
          <w:i/>
          <w:sz w:val="18"/>
          <w:szCs w:val="18"/>
        </w:rPr>
      </w:pPr>
    </w:p>
    <w:p w:rsidR="000934A3" w:rsidRPr="000934A3" w:rsidRDefault="000934A3" w:rsidP="00F601BE">
      <w:pPr>
        <w:spacing w:after="80"/>
        <w:rPr>
          <w:b/>
        </w:rPr>
      </w:pPr>
      <w:r w:rsidRPr="000934A3">
        <w:rPr>
          <w:b/>
        </w:rPr>
        <w:t xml:space="preserve">Graf </w:t>
      </w:r>
      <w:r w:rsidR="00912269">
        <w:rPr>
          <w:b/>
        </w:rPr>
        <w:t>2</w:t>
      </w:r>
      <w:r w:rsidRPr="000934A3">
        <w:rPr>
          <w:b/>
        </w:rPr>
        <w:tab/>
      </w:r>
      <w:r w:rsidRPr="000934A3">
        <w:rPr>
          <w:b/>
        </w:rPr>
        <w:tab/>
      </w:r>
      <w:r>
        <w:rPr>
          <w:rFonts w:cs="Arial"/>
          <w:b/>
          <w:szCs w:val="20"/>
        </w:rPr>
        <w:t xml:space="preserve">Zahraniční obchod </w:t>
      </w:r>
      <w:r w:rsidR="00904DF0">
        <w:rPr>
          <w:rFonts w:cs="Arial"/>
          <w:b/>
          <w:szCs w:val="20"/>
        </w:rPr>
        <w:t xml:space="preserve">se zbožím </w:t>
      </w:r>
      <w:r>
        <w:rPr>
          <w:rFonts w:cs="Arial"/>
          <w:b/>
          <w:szCs w:val="20"/>
        </w:rPr>
        <w:t>se sousedními státy v roce 2020 (podíly v %)</w:t>
      </w:r>
    </w:p>
    <w:p w:rsidR="001F2352" w:rsidRDefault="00EC2D93" w:rsidP="00E42E00">
      <w:pPr>
        <w:rPr>
          <w:i/>
        </w:rPr>
      </w:pPr>
      <w:r>
        <w:rPr>
          <w:noProof/>
          <w:lang w:eastAsia="cs-CZ"/>
        </w:rPr>
        <w:drawing>
          <wp:inline distT="0" distB="0" distL="0" distR="0" wp14:anchorId="67B12CCD" wp14:editId="49AE7458">
            <wp:extent cx="5391151" cy="1295399"/>
            <wp:effectExtent l="0" t="0" r="0" b="635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01BE" w:rsidRDefault="00F601BE" w:rsidP="00E42E00">
      <w:pPr>
        <w:rPr>
          <w:i/>
        </w:rPr>
      </w:pPr>
    </w:p>
    <w:p w:rsidR="001F2352" w:rsidRDefault="009B2620" w:rsidP="00095129">
      <w:r>
        <w:t>Celkov</w:t>
      </w:r>
      <w:r w:rsidR="00152821">
        <w:t xml:space="preserve">ý součet hodnoty </w:t>
      </w:r>
      <w:r>
        <w:t xml:space="preserve">vývozu a dovozu </w:t>
      </w:r>
      <w:r w:rsidR="00152821">
        <w:t>zboží se</w:t>
      </w:r>
      <w:r>
        <w:t xml:space="preserve"> sousední</w:t>
      </w:r>
      <w:r w:rsidR="00152821">
        <w:t>mi</w:t>
      </w:r>
      <w:r>
        <w:t xml:space="preserve"> stát</w:t>
      </w:r>
      <w:r w:rsidR="00152821">
        <w:t>y dosáhl</w:t>
      </w:r>
      <w:r>
        <w:t xml:space="preserve"> v roce 2020 výše </w:t>
      </w:r>
      <w:r w:rsidR="00924D01">
        <w:t>3</w:t>
      </w:r>
      <w:r w:rsidR="00D353CD">
        <w:t> 182,1</w:t>
      </w:r>
      <w:r w:rsidR="006A4165">
        <w:t xml:space="preserve"> mld. </w:t>
      </w:r>
      <w:r>
        <w:t xml:space="preserve">Kč a meziročně </w:t>
      </w:r>
      <w:r w:rsidR="00E2404B">
        <w:t>klesl</w:t>
      </w:r>
      <w:r>
        <w:t xml:space="preserve"> o </w:t>
      </w:r>
      <w:r w:rsidR="00E2404B">
        <w:t>5,</w:t>
      </w:r>
      <w:r w:rsidR="00D353CD">
        <w:t>5</w:t>
      </w:r>
      <w:r>
        <w:t xml:space="preserve"> %. </w:t>
      </w:r>
      <w:r w:rsidR="00E2404B">
        <w:t xml:space="preserve">Nejvyšší meziroční </w:t>
      </w:r>
      <w:r w:rsidR="00152821">
        <w:t>úbytek</w:t>
      </w:r>
      <w:r w:rsidR="00E2404B">
        <w:t xml:space="preserve"> obratu </w:t>
      </w:r>
      <w:r w:rsidR="00166BA0">
        <w:t xml:space="preserve">zaznamenal </w:t>
      </w:r>
      <w:r w:rsidR="00E2404B">
        <w:t xml:space="preserve">zahraniční obchod </w:t>
      </w:r>
      <w:r w:rsidR="00166BA0">
        <w:t>s</w:t>
      </w:r>
      <w:r w:rsidR="00152821">
        <w:t> </w:t>
      </w:r>
      <w:r w:rsidR="00E2404B">
        <w:t>Rakousk</w:t>
      </w:r>
      <w:r w:rsidR="00166BA0">
        <w:t>em</w:t>
      </w:r>
      <w:r w:rsidR="00E2404B">
        <w:t xml:space="preserve"> (o 8,1 %), nejnižší pak </w:t>
      </w:r>
      <w:r w:rsidR="00166BA0">
        <w:t xml:space="preserve">s </w:t>
      </w:r>
      <w:r w:rsidR="00E2404B">
        <w:t>Polsk</w:t>
      </w:r>
      <w:r w:rsidR="00166BA0">
        <w:t>em</w:t>
      </w:r>
      <w:r w:rsidR="00E2404B">
        <w:t xml:space="preserve"> (o 2,</w:t>
      </w:r>
      <w:r w:rsidR="00D353CD">
        <w:t>1</w:t>
      </w:r>
      <w:r w:rsidR="00E2404B">
        <w:t xml:space="preserve"> %</w:t>
      </w:r>
      <w:r w:rsidR="00166BA0">
        <w:t xml:space="preserve">). </w:t>
      </w:r>
      <w:r>
        <w:t xml:space="preserve">Podíl obratu se sousedními státy na celkovém obratu zahraničního obchodu České republiky činil </w:t>
      </w:r>
      <w:r w:rsidR="00924D01">
        <w:t>46,3</w:t>
      </w:r>
      <w:r>
        <w:t xml:space="preserve"> %.</w:t>
      </w:r>
    </w:p>
    <w:p w:rsidR="00673A7C" w:rsidRPr="00095129" w:rsidRDefault="00673A7C" w:rsidP="00E42E00">
      <w:pPr>
        <w:rPr>
          <w:sz w:val="18"/>
          <w:szCs w:val="18"/>
        </w:rPr>
      </w:pPr>
    </w:p>
    <w:p w:rsidR="00095129" w:rsidRDefault="008851FD" w:rsidP="00095129">
      <w:r>
        <w:t>Hlavním obchodním partnerem Česk</w:t>
      </w:r>
      <w:r w:rsidR="00166BA0">
        <w:t>a</w:t>
      </w:r>
      <w:r>
        <w:t xml:space="preserve"> ze sousedních států </w:t>
      </w:r>
      <w:r w:rsidR="009B2620">
        <w:t>bylo</w:t>
      </w:r>
      <w:r>
        <w:t xml:space="preserve"> Německo s nejvýraznějším </w:t>
      </w:r>
      <w:r w:rsidR="00702DF0">
        <w:t xml:space="preserve">podílem </w:t>
      </w:r>
      <w:r>
        <w:t>na obratu s těmito čtyřmi státy. N</w:t>
      </w:r>
      <w:r w:rsidR="009B2620">
        <w:t>ásledovalo</w:t>
      </w:r>
      <w:r>
        <w:t xml:space="preserve"> </w:t>
      </w:r>
      <w:r w:rsidR="00702DF0">
        <w:t xml:space="preserve">Polsko, </w:t>
      </w:r>
      <w:r w:rsidR="006A4165">
        <w:t>Slovensko a </w:t>
      </w:r>
      <w:r>
        <w:t>Rakousko.</w:t>
      </w:r>
      <w:r w:rsidR="00673A7C">
        <w:t xml:space="preserve"> </w:t>
      </w:r>
      <w:r w:rsidR="00673A7C" w:rsidRPr="00673A7C">
        <w:t xml:space="preserve">Hodnota obratu zahraničního obchodu Česka s Polskem byla však v porovnání s hodnotou obratu zahraničního obchodu s Německem výrazně nižší (zhruba na úrovni jedné čtvrtiny). </w:t>
      </w:r>
    </w:p>
    <w:p w:rsidR="00095129" w:rsidRPr="00095129" w:rsidRDefault="00095129" w:rsidP="00095129">
      <w:pPr>
        <w:rPr>
          <w:sz w:val="18"/>
          <w:szCs w:val="18"/>
        </w:rPr>
      </w:pPr>
    </w:p>
    <w:p w:rsidR="00673A7C" w:rsidRDefault="00673A7C" w:rsidP="00673A7C">
      <w:r w:rsidRPr="00673A7C">
        <w:t xml:space="preserve">Polsko je jedinou sousední zemí, kam méně vyvážíme, než dovážíme. </w:t>
      </w:r>
      <w:r w:rsidR="00E2404B">
        <w:t>S ostatními třemi státy má Česká republika dlouhodobě kladnou bilanci zahraničního obchodu.</w:t>
      </w:r>
    </w:p>
    <w:p w:rsidR="00673A7C" w:rsidRPr="00095129" w:rsidRDefault="00673A7C" w:rsidP="00673A7C">
      <w:pPr>
        <w:rPr>
          <w:sz w:val="18"/>
          <w:szCs w:val="18"/>
        </w:rPr>
      </w:pPr>
    </w:p>
    <w:p w:rsidR="00256DC9" w:rsidRPr="00712947" w:rsidRDefault="00256DC9" w:rsidP="00941635">
      <w:pPr>
        <w:pStyle w:val="TabulkaGraf"/>
        <w:spacing w:after="80"/>
        <w:ind w:left="1440" w:hanging="1440"/>
        <w:rPr>
          <w:rFonts w:cs="Arial"/>
          <w:color w:val="FF0000"/>
          <w:szCs w:val="20"/>
        </w:rPr>
      </w:pPr>
      <w:r>
        <w:t xml:space="preserve">Graf </w:t>
      </w:r>
      <w:r w:rsidR="00912269">
        <w:t>3</w:t>
      </w:r>
      <w:r w:rsidR="00941635">
        <w:tab/>
      </w:r>
      <w:r w:rsidRPr="00256DC9">
        <w:rPr>
          <w:rFonts w:cs="Arial"/>
          <w:szCs w:val="20"/>
        </w:rPr>
        <w:t>Podíl</w:t>
      </w:r>
      <w:r w:rsidRPr="00256DC9">
        <w:rPr>
          <w:rFonts w:cs="Arial"/>
          <w:szCs w:val="20"/>
          <w:lang w:eastAsia="cs-CZ"/>
        </w:rPr>
        <w:t xml:space="preserve"> </w:t>
      </w:r>
      <w:r w:rsidR="00904DF0">
        <w:rPr>
          <w:rFonts w:cs="Arial"/>
          <w:szCs w:val="20"/>
          <w:lang w:eastAsia="cs-CZ"/>
        </w:rPr>
        <w:t xml:space="preserve">jednotlivých sousedních států ČR na celkovém obchodu </w:t>
      </w:r>
      <w:r w:rsidR="004E44AB">
        <w:rPr>
          <w:rFonts w:cs="Arial"/>
          <w:szCs w:val="20"/>
          <w:lang w:eastAsia="cs-CZ"/>
        </w:rPr>
        <w:t xml:space="preserve">s těmito zeměmi </w:t>
      </w:r>
      <w:r w:rsidR="00B43F59">
        <w:rPr>
          <w:rFonts w:cs="Arial"/>
          <w:szCs w:val="20"/>
        </w:rPr>
        <w:t xml:space="preserve">v </w:t>
      </w:r>
      <w:r w:rsidRPr="00256DC9">
        <w:rPr>
          <w:rFonts w:cs="Arial"/>
          <w:szCs w:val="20"/>
        </w:rPr>
        <w:t>roce 2020</w:t>
      </w:r>
      <w:r w:rsidR="00712947">
        <w:rPr>
          <w:rFonts w:cs="Arial"/>
          <w:szCs w:val="20"/>
        </w:rPr>
        <w:t xml:space="preserve"> </w:t>
      </w:r>
    </w:p>
    <w:p w:rsidR="005F317D" w:rsidRDefault="000B14A1" w:rsidP="00B83B9D">
      <w:pPr>
        <w:spacing w:after="40"/>
        <w:ind w:left="720" w:firstLine="720"/>
      </w:pPr>
      <w:r>
        <w:t xml:space="preserve">   </w:t>
      </w:r>
      <w:r w:rsidR="00B83B9D">
        <w:t>v</w:t>
      </w:r>
      <w:r w:rsidR="005F317D">
        <w:t>ývoz</w:t>
      </w:r>
      <w:r w:rsidR="005F317D">
        <w:tab/>
      </w:r>
      <w:r w:rsidR="005F317D">
        <w:tab/>
      </w:r>
      <w:r w:rsidR="005F317D">
        <w:tab/>
      </w:r>
      <w:r w:rsidR="005F317D">
        <w:tab/>
      </w:r>
      <w:r w:rsidR="00B83B9D">
        <w:tab/>
      </w:r>
      <w:r w:rsidR="00B83B9D">
        <w:tab/>
      </w:r>
      <w:r w:rsidR="00B83B9D">
        <w:tab/>
      </w:r>
      <w:r>
        <w:t xml:space="preserve">   </w:t>
      </w:r>
      <w:r w:rsidR="005F317D">
        <w:t>dovoz</w:t>
      </w:r>
    </w:p>
    <w:p w:rsidR="005F317D" w:rsidRPr="005F317D" w:rsidRDefault="00FB182B" w:rsidP="005F317D">
      <w:r>
        <w:rPr>
          <w:noProof/>
          <w:lang w:eastAsia="cs-CZ"/>
        </w:rPr>
        <w:drawing>
          <wp:inline distT="0" distB="0" distL="0" distR="0" wp14:anchorId="7143C2F9" wp14:editId="1FF7E0BF">
            <wp:extent cx="3295650" cy="1800225"/>
            <wp:effectExtent l="0" t="0" r="0" b="9525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55A3D2DC" wp14:editId="03EFF2CF">
            <wp:extent cx="2028825" cy="1800225"/>
            <wp:effectExtent l="0" t="0" r="9525" b="9525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83B9D">
        <w:t xml:space="preserve">  </w:t>
      </w:r>
      <w:r w:rsidR="00B152F3">
        <w:t xml:space="preserve">    </w:t>
      </w:r>
      <w:r w:rsidR="00EA18D2">
        <w:t xml:space="preserve">  </w:t>
      </w:r>
    </w:p>
    <w:p w:rsidR="00F2764B" w:rsidRPr="00924D01" w:rsidRDefault="00BB74DF" w:rsidP="00E42E00">
      <w:pPr>
        <w:rPr>
          <w:szCs w:val="20"/>
        </w:rPr>
      </w:pPr>
      <w:r>
        <w:rPr>
          <w:rFonts w:cs="Arial"/>
          <w:spacing w:val="-2"/>
          <w:szCs w:val="20"/>
        </w:rPr>
        <w:lastRenderedPageBreak/>
        <w:t>Celkový m</w:t>
      </w:r>
      <w:r w:rsidR="00924D01">
        <w:rPr>
          <w:rFonts w:cs="Arial"/>
          <w:spacing w:val="-2"/>
          <w:szCs w:val="20"/>
        </w:rPr>
        <w:t xml:space="preserve">eziroční pokles </w:t>
      </w:r>
      <w:r w:rsidR="001F2352" w:rsidRPr="00924D01">
        <w:rPr>
          <w:rFonts w:cs="Arial"/>
          <w:spacing w:val="-2"/>
          <w:szCs w:val="20"/>
        </w:rPr>
        <w:t xml:space="preserve">vývozu do sousedních států o </w:t>
      </w:r>
      <w:r w:rsidR="00924D01" w:rsidRPr="00924D01">
        <w:rPr>
          <w:rFonts w:cs="Arial"/>
          <w:spacing w:val="-2"/>
          <w:szCs w:val="20"/>
        </w:rPr>
        <w:t>3,</w:t>
      </w:r>
      <w:r w:rsidR="00D353CD">
        <w:rPr>
          <w:rFonts w:cs="Arial"/>
          <w:spacing w:val="-2"/>
          <w:szCs w:val="20"/>
        </w:rPr>
        <w:t>0</w:t>
      </w:r>
      <w:r w:rsidR="001F2352" w:rsidRPr="00924D01">
        <w:rPr>
          <w:rFonts w:cs="Arial"/>
          <w:spacing w:val="-2"/>
          <w:szCs w:val="20"/>
        </w:rPr>
        <w:t xml:space="preserve"> % (z </w:t>
      </w:r>
      <w:r w:rsidR="00924D01" w:rsidRPr="00924D01">
        <w:rPr>
          <w:rFonts w:cs="Arial"/>
          <w:spacing w:val="-2"/>
          <w:szCs w:val="20"/>
        </w:rPr>
        <w:t>1 869,4</w:t>
      </w:r>
      <w:r w:rsidR="001F2352" w:rsidRPr="00924D01">
        <w:rPr>
          <w:rFonts w:cs="Arial"/>
          <w:spacing w:val="-2"/>
          <w:szCs w:val="20"/>
        </w:rPr>
        <w:t xml:space="preserve"> mld. Kč </w:t>
      </w:r>
      <w:r w:rsidR="00924D01" w:rsidRPr="00924D01">
        <w:rPr>
          <w:rFonts w:cs="Arial"/>
          <w:spacing w:val="-2"/>
          <w:szCs w:val="20"/>
        </w:rPr>
        <w:t xml:space="preserve">v roce 2019 </w:t>
      </w:r>
      <w:r w:rsidR="001F2352" w:rsidRPr="00924D01">
        <w:rPr>
          <w:rFonts w:cs="Arial"/>
          <w:spacing w:val="-2"/>
          <w:szCs w:val="20"/>
        </w:rPr>
        <w:t xml:space="preserve">na </w:t>
      </w:r>
      <w:r w:rsidR="00924D01" w:rsidRPr="00484F45">
        <w:rPr>
          <w:rFonts w:cs="Arial"/>
          <w:spacing w:val="-2"/>
          <w:szCs w:val="20"/>
        </w:rPr>
        <w:t>1</w:t>
      </w:r>
      <w:r w:rsidR="00D353CD">
        <w:rPr>
          <w:rFonts w:cs="Arial"/>
          <w:spacing w:val="-2"/>
          <w:szCs w:val="20"/>
        </w:rPr>
        <w:t> 814,1</w:t>
      </w:r>
      <w:r w:rsidR="00484F45" w:rsidRPr="00484F45">
        <w:rPr>
          <w:rFonts w:cs="Arial"/>
          <w:spacing w:val="-2"/>
          <w:szCs w:val="20"/>
        </w:rPr>
        <w:t> </w:t>
      </w:r>
      <w:r w:rsidR="001F2352" w:rsidRPr="00924D01">
        <w:rPr>
          <w:rFonts w:cs="Arial"/>
          <w:spacing w:val="-2"/>
          <w:szCs w:val="20"/>
        </w:rPr>
        <w:t>mld. Kč</w:t>
      </w:r>
      <w:r w:rsidR="00484F45">
        <w:rPr>
          <w:rFonts w:cs="Arial"/>
          <w:spacing w:val="-2"/>
          <w:szCs w:val="20"/>
        </w:rPr>
        <w:t xml:space="preserve"> v roce 2020</w:t>
      </w:r>
      <w:r w:rsidR="001F2352" w:rsidRPr="00924D01">
        <w:rPr>
          <w:rFonts w:cs="Arial"/>
          <w:spacing w:val="-2"/>
          <w:szCs w:val="20"/>
        </w:rPr>
        <w:t>)</w:t>
      </w:r>
      <w:r w:rsidR="001F2352" w:rsidRPr="00924D01">
        <w:rPr>
          <w:rFonts w:cs="Arial"/>
          <w:szCs w:val="20"/>
        </w:rPr>
        <w:t xml:space="preserve"> a současně </w:t>
      </w:r>
      <w:r w:rsidR="00484F45">
        <w:rPr>
          <w:rFonts w:cs="Arial"/>
          <w:szCs w:val="20"/>
        </w:rPr>
        <w:t xml:space="preserve">i </w:t>
      </w:r>
      <w:r w:rsidR="001F2352" w:rsidRPr="00924D01">
        <w:rPr>
          <w:rFonts w:cs="Arial"/>
          <w:szCs w:val="20"/>
        </w:rPr>
        <w:t xml:space="preserve">dovozu ze sousedních států </w:t>
      </w:r>
      <w:r w:rsidR="001F2352" w:rsidRPr="00484F45">
        <w:rPr>
          <w:rFonts w:cs="Arial"/>
          <w:szCs w:val="20"/>
        </w:rPr>
        <w:t xml:space="preserve">o </w:t>
      </w:r>
      <w:r w:rsidR="00484F45" w:rsidRPr="00484F45">
        <w:rPr>
          <w:rFonts w:cs="Arial"/>
          <w:szCs w:val="20"/>
        </w:rPr>
        <w:t>8,6</w:t>
      </w:r>
      <w:r w:rsidR="001F2352" w:rsidRPr="00484F45">
        <w:rPr>
          <w:rFonts w:cs="Arial"/>
          <w:szCs w:val="20"/>
        </w:rPr>
        <w:t xml:space="preserve"> % (z 1</w:t>
      </w:r>
      <w:r w:rsidR="00484F45" w:rsidRPr="00484F45">
        <w:rPr>
          <w:rFonts w:cs="Arial"/>
          <w:szCs w:val="20"/>
        </w:rPr>
        <w:t> </w:t>
      </w:r>
      <w:r w:rsidR="001F2352" w:rsidRPr="00484F45">
        <w:rPr>
          <w:rFonts w:cs="Arial"/>
          <w:szCs w:val="20"/>
        </w:rPr>
        <w:t>49</w:t>
      </w:r>
      <w:r w:rsidR="00484F45" w:rsidRPr="00484F45">
        <w:rPr>
          <w:rFonts w:cs="Arial"/>
          <w:szCs w:val="20"/>
        </w:rPr>
        <w:t>6,1</w:t>
      </w:r>
      <w:r w:rsidR="00484F45">
        <w:rPr>
          <w:rFonts w:cs="Arial"/>
          <w:szCs w:val="20"/>
        </w:rPr>
        <w:t xml:space="preserve"> mld. </w:t>
      </w:r>
      <w:r w:rsidR="001F2352" w:rsidRPr="00484F45">
        <w:rPr>
          <w:rFonts w:cs="Arial"/>
          <w:szCs w:val="20"/>
        </w:rPr>
        <w:t>Kč na 1</w:t>
      </w:r>
      <w:r w:rsidR="00D353CD">
        <w:rPr>
          <w:rFonts w:cs="Arial"/>
          <w:szCs w:val="20"/>
        </w:rPr>
        <w:t> 368,1</w:t>
      </w:r>
      <w:r w:rsidR="001F2352" w:rsidRPr="00484F45">
        <w:rPr>
          <w:rFonts w:cs="Arial"/>
          <w:szCs w:val="20"/>
        </w:rPr>
        <w:t xml:space="preserve"> mld. Kč)</w:t>
      </w:r>
      <w:r w:rsidR="00A911E9">
        <w:rPr>
          <w:rFonts w:cs="Arial"/>
          <w:szCs w:val="20"/>
        </w:rPr>
        <w:t xml:space="preserve"> skončil</w:t>
      </w:r>
      <w:r w:rsidR="001F2352" w:rsidRPr="00924D01">
        <w:rPr>
          <w:rFonts w:cs="Arial"/>
          <w:szCs w:val="20"/>
        </w:rPr>
        <w:t xml:space="preserve"> v roce 2020 </w:t>
      </w:r>
      <w:r w:rsidR="00A911E9">
        <w:rPr>
          <w:rFonts w:cs="Arial"/>
          <w:szCs w:val="20"/>
        </w:rPr>
        <w:t>navýšením</w:t>
      </w:r>
      <w:r w:rsidR="001F2352" w:rsidRPr="00924D01">
        <w:rPr>
          <w:rFonts w:cs="Arial"/>
          <w:szCs w:val="20"/>
        </w:rPr>
        <w:t xml:space="preserve"> přebytku celkové obchodní bilance se sousedními státy </w:t>
      </w:r>
      <w:r w:rsidR="001F2352" w:rsidRPr="00BB74DF">
        <w:rPr>
          <w:rFonts w:cs="Arial"/>
          <w:szCs w:val="20"/>
        </w:rPr>
        <w:t xml:space="preserve">o </w:t>
      </w:r>
      <w:r w:rsidR="00D353CD">
        <w:rPr>
          <w:rFonts w:cs="Arial"/>
          <w:szCs w:val="20"/>
        </w:rPr>
        <w:t>72,8</w:t>
      </w:r>
      <w:r w:rsidR="001F2352" w:rsidRPr="00BB74DF">
        <w:rPr>
          <w:rFonts w:cs="Arial"/>
          <w:szCs w:val="20"/>
        </w:rPr>
        <w:t xml:space="preserve"> mld. </w:t>
      </w:r>
      <w:r w:rsidR="001F2352" w:rsidRPr="00924D01">
        <w:rPr>
          <w:rFonts w:cs="Arial"/>
          <w:szCs w:val="20"/>
        </w:rPr>
        <w:t>Kč.</w:t>
      </w:r>
    </w:p>
    <w:p w:rsidR="001F2352" w:rsidRPr="003C6434" w:rsidRDefault="001F2352" w:rsidP="00E42E00">
      <w:pPr>
        <w:rPr>
          <w:sz w:val="16"/>
          <w:szCs w:val="16"/>
        </w:rPr>
      </w:pPr>
    </w:p>
    <w:p w:rsidR="005F699D" w:rsidRPr="0011724E" w:rsidRDefault="0011724E" w:rsidP="00F60E55">
      <w:pPr>
        <w:spacing w:after="40"/>
        <w:rPr>
          <w:rFonts w:cs="Arial"/>
          <w:b/>
          <w:szCs w:val="20"/>
        </w:rPr>
      </w:pPr>
      <w:r w:rsidRPr="0011724E">
        <w:rPr>
          <w:b/>
        </w:rPr>
        <w:t xml:space="preserve">Graf </w:t>
      </w:r>
      <w:r w:rsidR="00912269">
        <w:rPr>
          <w:b/>
        </w:rPr>
        <w:t>4</w:t>
      </w:r>
      <w:r w:rsidRPr="0011724E">
        <w:rPr>
          <w:b/>
        </w:rPr>
        <w:tab/>
      </w:r>
      <w:r w:rsidRPr="0011724E">
        <w:rPr>
          <w:b/>
        </w:rPr>
        <w:tab/>
      </w:r>
      <w:r w:rsidRPr="0011724E">
        <w:rPr>
          <w:rFonts w:cs="Arial"/>
          <w:b/>
          <w:szCs w:val="20"/>
        </w:rPr>
        <w:t>Bilance zahraničního obchodu se zbožím se sousedními státy</w:t>
      </w:r>
    </w:p>
    <w:p w:rsidR="0011724E" w:rsidRDefault="00FB182B" w:rsidP="00E42E00">
      <w:r>
        <w:rPr>
          <w:noProof/>
          <w:lang w:eastAsia="cs-CZ"/>
        </w:rPr>
        <w:drawing>
          <wp:inline distT="0" distB="0" distL="0" distR="0" wp14:anchorId="26E08FAD" wp14:editId="516DF78A">
            <wp:extent cx="5400040" cy="1342390"/>
            <wp:effectExtent l="0" t="0" r="10160" b="10160"/>
            <wp:docPr id="35" name="Graf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35BA" w:rsidRPr="003C6434" w:rsidRDefault="007135BA">
      <w:pPr>
        <w:spacing w:line="240" w:lineRule="auto"/>
        <w:jc w:val="left"/>
        <w:rPr>
          <w:b/>
          <w:sz w:val="18"/>
          <w:szCs w:val="18"/>
        </w:rPr>
      </w:pPr>
    </w:p>
    <w:p w:rsidR="00464E61" w:rsidRDefault="00904DF0" w:rsidP="00095129">
      <w:pPr>
        <w:shd w:val="clear" w:color="auto" w:fill="D5EAFF"/>
        <w:spacing w:before="80" w:line="240" w:lineRule="auto"/>
        <w:jc w:val="left"/>
        <w:rPr>
          <w:b/>
        </w:rPr>
      </w:pPr>
      <w:r>
        <w:rPr>
          <w:b/>
        </w:rPr>
        <w:t>Zahraniční obchod se zbožím</w:t>
      </w:r>
      <w:r w:rsidR="00464E61" w:rsidRPr="00095129">
        <w:rPr>
          <w:b/>
        </w:rPr>
        <w:t xml:space="preserve"> České republiky s Polskem v době pandemie</w:t>
      </w:r>
    </w:p>
    <w:p w:rsidR="00464E61" w:rsidRPr="00B64D20" w:rsidRDefault="00464E61" w:rsidP="00464E61">
      <w:pPr>
        <w:spacing w:line="240" w:lineRule="auto"/>
        <w:jc w:val="left"/>
        <w:rPr>
          <w:b/>
          <w:sz w:val="18"/>
          <w:szCs w:val="18"/>
        </w:rPr>
      </w:pPr>
    </w:p>
    <w:p w:rsidR="00464E61" w:rsidRPr="009B09E9" w:rsidRDefault="00464E61" w:rsidP="00A911E9">
      <w:r w:rsidRPr="00CF5C6D">
        <w:t xml:space="preserve">Celková obchodní bilance </w:t>
      </w:r>
      <w:r>
        <w:t xml:space="preserve">se zbožím </w:t>
      </w:r>
      <w:r w:rsidR="00D353CD">
        <w:t xml:space="preserve">s Polskem </w:t>
      </w:r>
      <w:r w:rsidRPr="00CF5C6D">
        <w:t xml:space="preserve">za leden až prosinec 2020 skončila schodkem ve </w:t>
      </w:r>
      <w:r w:rsidRPr="00B87902">
        <w:t xml:space="preserve">výši </w:t>
      </w:r>
      <w:r w:rsidR="00101C9A">
        <w:t>58,7</w:t>
      </w:r>
      <w:r w:rsidR="00B87902">
        <w:t> </w:t>
      </w:r>
      <w:r w:rsidRPr="00CF5C6D">
        <w:t>mld. Kč</w:t>
      </w:r>
      <w:r>
        <w:t>.</w:t>
      </w:r>
      <w:r w:rsidRPr="00CF5C6D">
        <w:t xml:space="preserve"> </w:t>
      </w:r>
      <w:r w:rsidRPr="00743FEB">
        <w:t>Největší meziroční negativní změna nastala v 1. čtvrtletí roku 2020, kdy</w:t>
      </w:r>
      <w:r w:rsidR="0084668F">
        <w:t xml:space="preserve"> deficit</w:t>
      </w:r>
      <w:r w:rsidRPr="00743FEB">
        <w:t xml:space="preserve"> obchodní bilance zaznamenal oproti období leden až březen 2019 </w:t>
      </w:r>
      <w:r w:rsidR="0084668F">
        <w:t>nárůst</w:t>
      </w:r>
      <w:r w:rsidRPr="00743FEB">
        <w:t xml:space="preserve"> o </w:t>
      </w:r>
      <w:r w:rsidRPr="00B87902">
        <w:t xml:space="preserve">3,5 </w:t>
      </w:r>
      <w:r w:rsidR="00D353CD">
        <w:t>mld. Kč, a </w:t>
      </w:r>
      <w:r w:rsidR="00AC5085">
        <w:t>to v </w:t>
      </w:r>
      <w:r w:rsidRPr="00743FEB">
        <w:t>důsledku meziročně vyšších záporných sald ve všech třech měsících, především pak v lednu</w:t>
      </w:r>
      <w:r>
        <w:rPr>
          <w:i/>
        </w:rPr>
        <w:t xml:space="preserve">. </w:t>
      </w:r>
      <w:r>
        <w:t xml:space="preserve">V následujících čtvrtletích v žádném měsíci nebyla dosažena aktivní bilance a záporné čtvrtletní saldo zůstalo pasivní až do konce roku. Oproti prvnímu čtvrtletí došlo ale </w:t>
      </w:r>
      <w:r w:rsidR="00B87902">
        <w:t xml:space="preserve">k </w:t>
      </w:r>
      <w:r>
        <w:t>výrazné změ</w:t>
      </w:r>
      <w:r w:rsidR="00AC5085">
        <w:t>ně při </w:t>
      </w:r>
      <w:r>
        <w:t>meziročním srovnání, kdy v druhém čtvrtletí se výš</w:t>
      </w:r>
      <w:r w:rsidR="008D3A04">
        <w:t>e bilančního deficitu snížila o </w:t>
      </w:r>
      <w:r>
        <w:t>3,</w:t>
      </w:r>
      <w:r w:rsidR="00EC4DF2">
        <w:t>3</w:t>
      </w:r>
      <w:r w:rsidR="008D3A04">
        <w:t> </w:t>
      </w:r>
      <w:r>
        <w:t xml:space="preserve">mld. Kč, v třetím o 2,9 mld. Kč a v posledním čtvrtletí roku 2020 o </w:t>
      </w:r>
      <w:r w:rsidR="00EC4DF2">
        <w:t>1,2</w:t>
      </w:r>
      <w:r>
        <w:t xml:space="preserve"> mld. Kč.</w:t>
      </w:r>
    </w:p>
    <w:p w:rsidR="00464E61" w:rsidRPr="00540030" w:rsidRDefault="00464E61" w:rsidP="00464E61">
      <w:pPr>
        <w:spacing w:line="240" w:lineRule="auto"/>
        <w:rPr>
          <w:i/>
          <w:sz w:val="18"/>
          <w:szCs w:val="18"/>
        </w:rPr>
      </w:pPr>
    </w:p>
    <w:p w:rsidR="00464E61" w:rsidRDefault="00464E61" w:rsidP="00464E61">
      <w:pPr>
        <w:pStyle w:val="TabulkaGraf"/>
        <w:spacing w:after="80"/>
      </w:pPr>
      <w:r>
        <w:t xml:space="preserve">Tabulka </w:t>
      </w:r>
      <w:r w:rsidR="005A6C68">
        <w:t>4</w:t>
      </w:r>
      <w:r>
        <w:tab/>
        <w:t>Zahraniční obchod s</w:t>
      </w:r>
      <w:r w:rsidR="004455AE">
        <w:t>e zboží</w:t>
      </w:r>
      <w:r w:rsidR="00DB69F4">
        <w:t>m</w:t>
      </w:r>
      <w:r w:rsidR="004455AE">
        <w:t xml:space="preserve"> mezi</w:t>
      </w:r>
      <w:r>
        <w:t> </w:t>
      </w:r>
      <w:r w:rsidR="00DB69F4">
        <w:t xml:space="preserve">ČR a </w:t>
      </w:r>
      <w:r>
        <w:t>Polskem v roce 2020</w:t>
      </w:r>
    </w:p>
    <w:tbl>
      <w:tblPr>
        <w:tblStyle w:val="Tmavtabulkasmkou5zvraznn2"/>
        <w:tblW w:w="8505" w:type="dxa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416"/>
        <w:gridCol w:w="1417"/>
        <w:gridCol w:w="1418"/>
        <w:gridCol w:w="1418"/>
        <w:gridCol w:w="1418"/>
        <w:gridCol w:w="1418"/>
      </w:tblGrid>
      <w:tr w:rsidR="00464E61" w:rsidTr="00BA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right w:val="single" w:sz="4" w:space="0" w:color="D9D9D9" w:themeColor="background1" w:themeShade="D9"/>
            </w:tcBorders>
            <w:shd w:val="clear" w:color="auto" w:fill="BD1B21"/>
          </w:tcPr>
          <w:p w:rsidR="00464E61" w:rsidRPr="00A82B51" w:rsidRDefault="00464E61" w:rsidP="00BA02F6">
            <w:pPr>
              <w:rPr>
                <w:sz w:val="18"/>
                <w:szCs w:val="18"/>
              </w:rPr>
            </w:pPr>
          </w:p>
        </w:tc>
        <w:tc>
          <w:tcPr>
            <w:tcW w:w="7089" w:type="dxa"/>
            <w:gridSpan w:val="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464E61" w:rsidRPr="0088496B" w:rsidRDefault="00464E61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 w:rsidRPr="0088496B">
              <w:rPr>
                <w:b w:val="0"/>
                <w:color w:val="CCECFF"/>
                <w:sz w:val="18"/>
                <w:szCs w:val="18"/>
              </w:rPr>
              <w:t>čtvrtletí</w:t>
            </w:r>
          </w:p>
        </w:tc>
      </w:tr>
      <w:tr w:rsidR="00464E61" w:rsidTr="00BA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BD1B21"/>
          </w:tcPr>
          <w:p w:rsidR="00464E61" w:rsidRPr="00A82B51" w:rsidRDefault="00464E61" w:rsidP="00BA02F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464E61" w:rsidRDefault="00464E61" w:rsidP="00BA02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ECFF"/>
                <w:sz w:val="18"/>
                <w:szCs w:val="18"/>
              </w:rPr>
            </w:pPr>
            <w:r>
              <w:rPr>
                <w:color w:val="CCECFF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464E61" w:rsidRDefault="00464E61" w:rsidP="00BA02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ECFF"/>
                <w:sz w:val="18"/>
                <w:szCs w:val="18"/>
              </w:rPr>
            </w:pPr>
            <w:r>
              <w:rPr>
                <w:color w:val="CCECFF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464E61" w:rsidRDefault="00464E61" w:rsidP="00BA02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ECFF"/>
                <w:sz w:val="18"/>
                <w:szCs w:val="18"/>
              </w:rPr>
            </w:pPr>
            <w:r>
              <w:rPr>
                <w:color w:val="CCECFF"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464E61" w:rsidRDefault="00464E61" w:rsidP="00BA02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ECFF"/>
                <w:sz w:val="18"/>
                <w:szCs w:val="18"/>
              </w:rPr>
            </w:pPr>
            <w:r>
              <w:rPr>
                <w:color w:val="CCECFF"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464E61" w:rsidRPr="0088496B" w:rsidRDefault="00464E61" w:rsidP="00BA02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ECFF"/>
                <w:sz w:val="18"/>
                <w:szCs w:val="18"/>
              </w:rPr>
            </w:pPr>
            <w:r w:rsidRPr="0088496B">
              <w:rPr>
                <w:color w:val="CCECFF"/>
                <w:sz w:val="18"/>
                <w:szCs w:val="18"/>
              </w:rPr>
              <w:t>1. - 4.</w:t>
            </w:r>
          </w:p>
        </w:tc>
      </w:tr>
      <w:tr w:rsidR="00464E61" w:rsidTr="00BA02F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464E61" w:rsidRDefault="00464E61" w:rsidP="00BA02F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9" w:type="dxa"/>
            <w:gridSpan w:val="5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464E61" w:rsidRPr="00077352" w:rsidRDefault="00464E61" w:rsidP="00BA0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mld. Kč</w:t>
            </w:r>
          </w:p>
        </w:tc>
      </w:tr>
      <w:tr w:rsidR="00464E61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shd w:val="clear" w:color="auto" w:fill="auto"/>
            <w:vAlign w:val="bottom"/>
          </w:tcPr>
          <w:p w:rsidR="00464E61" w:rsidRPr="00077352" w:rsidRDefault="00464E61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Obrat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</w:t>
            </w:r>
            <w:r w:rsidR="00101C9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</w:t>
            </w:r>
            <w:r w:rsidR="00101C9A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</w:t>
            </w:r>
            <w:r w:rsidR="00101C9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</w:t>
            </w:r>
            <w:r w:rsidR="00101C9A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101C9A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518,6</w:t>
            </w:r>
          </w:p>
        </w:tc>
      </w:tr>
      <w:tr w:rsidR="00464E61" w:rsidTr="00B2611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464E61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Vývoz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</w:t>
            </w:r>
            <w:r w:rsidR="00101C9A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</w:t>
            </w:r>
            <w:r w:rsidR="00101C9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</w:t>
            </w:r>
            <w:r w:rsidR="00101C9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101C9A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</w:t>
            </w:r>
            <w:r w:rsidR="00101C9A">
              <w:rPr>
                <w:sz w:val="18"/>
                <w:szCs w:val="18"/>
              </w:rPr>
              <w:t>9</w:t>
            </w:r>
          </w:p>
        </w:tc>
      </w:tr>
      <w:tr w:rsidR="00464E61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shd w:val="clear" w:color="auto" w:fill="auto"/>
            <w:vAlign w:val="bottom"/>
          </w:tcPr>
          <w:p w:rsidR="00464E61" w:rsidRPr="00077352" w:rsidRDefault="00464E61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Dovoz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</w:t>
            </w:r>
            <w:r w:rsidR="00101C9A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</w:t>
            </w:r>
            <w:r w:rsidR="00101C9A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764C77" w:rsidP="00101C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</w:t>
            </w:r>
            <w:r w:rsidR="00101C9A">
              <w:rPr>
                <w:sz w:val="18"/>
                <w:szCs w:val="18"/>
              </w:rPr>
              <w:t>6</w:t>
            </w:r>
          </w:p>
        </w:tc>
      </w:tr>
      <w:tr w:rsidR="00464E61" w:rsidTr="00B2611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Default="00464E61" w:rsidP="00BA02F6">
            <w:pPr>
              <w:jc w:val="left"/>
              <w:rPr>
                <w:b w:val="0"/>
                <w:sz w:val="18"/>
                <w:szCs w:val="18"/>
              </w:rPr>
            </w:pPr>
            <w:r w:rsidRPr="00F2764B">
              <w:rPr>
                <w:b w:val="0"/>
                <w:color w:val="auto"/>
                <w:sz w:val="18"/>
                <w:szCs w:val="18"/>
              </w:rPr>
              <w:t>Bil</w:t>
            </w:r>
            <w:r>
              <w:rPr>
                <w:b w:val="0"/>
                <w:color w:val="auto"/>
                <w:sz w:val="18"/>
                <w:szCs w:val="18"/>
              </w:rPr>
              <w:t>ance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64E61" w:rsidRPr="00077352" w:rsidRDefault="00E134F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</w:t>
            </w:r>
            <w:r w:rsidR="00101C9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01C9A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64E61" w:rsidRPr="00077352" w:rsidRDefault="00E134F9" w:rsidP="00101C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01C9A">
              <w:rPr>
                <w:sz w:val="18"/>
                <w:szCs w:val="18"/>
              </w:rPr>
              <w:t>58,7</w:t>
            </w:r>
          </w:p>
        </w:tc>
      </w:tr>
    </w:tbl>
    <w:p w:rsidR="00464E61" w:rsidRPr="00FB182B" w:rsidRDefault="00464E61" w:rsidP="00464E61">
      <w:pPr>
        <w:spacing w:line="240" w:lineRule="auto"/>
        <w:jc w:val="left"/>
        <w:rPr>
          <w:szCs w:val="20"/>
        </w:rPr>
      </w:pPr>
    </w:p>
    <w:p w:rsidR="00B64D20" w:rsidRDefault="00B64D20" w:rsidP="00B64D20">
      <w:pPr>
        <w:spacing w:before="40" w:after="80" w:line="240" w:lineRule="auto"/>
        <w:jc w:val="left"/>
        <w:rPr>
          <w:rFonts w:eastAsia="Times New Roman"/>
          <w:b/>
          <w:bCs/>
          <w:szCs w:val="28"/>
        </w:rPr>
      </w:pPr>
      <w:r w:rsidRPr="00941635">
        <w:rPr>
          <w:rFonts w:eastAsia="Times New Roman"/>
          <w:b/>
          <w:bCs/>
          <w:szCs w:val="28"/>
        </w:rPr>
        <w:t xml:space="preserve">Graf </w:t>
      </w:r>
      <w:r w:rsidR="00354677">
        <w:rPr>
          <w:rFonts w:eastAsia="Times New Roman"/>
          <w:b/>
          <w:bCs/>
          <w:szCs w:val="28"/>
        </w:rPr>
        <w:t>5</w:t>
      </w:r>
      <w:r w:rsidRPr="00941635">
        <w:rPr>
          <w:rFonts w:eastAsia="Times New Roman"/>
          <w:b/>
          <w:bCs/>
          <w:szCs w:val="28"/>
        </w:rPr>
        <w:tab/>
      </w:r>
      <w:r>
        <w:rPr>
          <w:rFonts w:eastAsia="Times New Roman"/>
          <w:b/>
          <w:bCs/>
          <w:szCs w:val="28"/>
        </w:rPr>
        <w:tab/>
      </w:r>
      <w:r w:rsidRPr="00DB69F4">
        <w:rPr>
          <w:rFonts w:eastAsia="Times New Roman"/>
          <w:b/>
          <w:bCs/>
          <w:spacing w:val="-2"/>
          <w:szCs w:val="28"/>
        </w:rPr>
        <w:t xml:space="preserve">Zahraniční obchod </w:t>
      </w:r>
      <w:r w:rsidR="00DB69F4" w:rsidRPr="00DB69F4">
        <w:rPr>
          <w:rFonts w:eastAsia="Times New Roman"/>
          <w:b/>
          <w:bCs/>
          <w:spacing w:val="-2"/>
          <w:szCs w:val="28"/>
        </w:rPr>
        <w:t>se zbožím mezi ČR a</w:t>
      </w:r>
      <w:r w:rsidRPr="00DB69F4">
        <w:rPr>
          <w:rFonts w:eastAsia="Times New Roman"/>
          <w:b/>
          <w:bCs/>
          <w:spacing w:val="-2"/>
          <w:szCs w:val="28"/>
        </w:rPr>
        <w:t> Polskem v jednotlivých čtvrtletích</w:t>
      </w:r>
    </w:p>
    <w:p w:rsidR="000F7240" w:rsidRDefault="00FB182B" w:rsidP="000F7240">
      <w:pPr>
        <w:spacing w:before="40" w:line="240" w:lineRule="auto"/>
        <w:jc w:val="left"/>
        <w:rPr>
          <w:rFonts w:eastAsia="Times New Roman"/>
          <w:b/>
          <w:bCs/>
          <w:szCs w:val="28"/>
        </w:rPr>
      </w:pPr>
      <w:r>
        <w:rPr>
          <w:noProof/>
          <w:lang w:eastAsia="cs-CZ"/>
        </w:rPr>
        <w:drawing>
          <wp:inline distT="0" distB="0" distL="0" distR="0" wp14:anchorId="3D52B6A0" wp14:editId="650FE472">
            <wp:extent cx="5400040" cy="1300480"/>
            <wp:effectExtent l="0" t="0" r="10160" b="13970"/>
            <wp:docPr id="36" name="Graf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4E61" w:rsidRPr="004A42DE" w:rsidRDefault="00464E61" w:rsidP="00FB182B">
      <w:pPr>
        <w:spacing w:after="200"/>
        <w:rPr>
          <w:rFonts w:cs="Arial"/>
          <w:szCs w:val="20"/>
        </w:rPr>
      </w:pPr>
      <w:r w:rsidRPr="004A42DE">
        <w:rPr>
          <w:rFonts w:cs="Arial"/>
          <w:szCs w:val="20"/>
        </w:rPr>
        <w:lastRenderedPageBreak/>
        <w:t xml:space="preserve">Z krátkodobějšího pohledu na vývoj zahraničního obchodu </w:t>
      </w:r>
      <w:r w:rsidR="001F763A">
        <w:rPr>
          <w:rFonts w:cs="Arial"/>
          <w:szCs w:val="20"/>
        </w:rPr>
        <w:t xml:space="preserve">České republiky s Polskem </w:t>
      </w:r>
      <w:r w:rsidRPr="004A42DE">
        <w:rPr>
          <w:rFonts w:cs="Arial"/>
          <w:b/>
          <w:szCs w:val="20"/>
        </w:rPr>
        <w:t>v jednotlivých měsících</w:t>
      </w:r>
      <w:r w:rsidRPr="004A42DE">
        <w:rPr>
          <w:rFonts w:cs="Arial"/>
          <w:szCs w:val="20"/>
        </w:rPr>
        <w:t xml:space="preserve"> roku 2020 vyplývá, že nejvíce se vyváželo </w:t>
      </w:r>
      <w:r w:rsidR="00AC5085">
        <w:rPr>
          <w:rFonts w:cs="Arial"/>
          <w:szCs w:val="20"/>
        </w:rPr>
        <w:t>i</w:t>
      </w:r>
      <w:r w:rsidRPr="004A42DE">
        <w:rPr>
          <w:rFonts w:cs="Arial"/>
          <w:szCs w:val="20"/>
        </w:rPr>
        <w:t xml:space="preserve"> dováželo zboží v </w:t>
      </w:r>
      <w:r w:rsidR="001F763A">
        <w:rPr>
          <w:rFonts w:cs="Arial"/>
          <w:szCs w:val="20"/>
        </w:rPr>
        <w:t>říjnu</w:t>
      </w:r>
      <w:r w:rsidRPr="004A42DE">
        <w:rPr>
          <w:rFonts w:cs="Arial"/>
          <w:szCs w:val="20"/>
        </w:rPr>
        <w:t xml:space="preserve"> (</w:t>
      </w:r>
      <w:r w:rsidR="00DC36D1">
        <w:rPr>
          <w:rFonts w:cs="Arial"/>
          <w:szCs w:val="20"/>
        </w:rPr>
        <w:t>24,1</w:t>
      </w:r>
      <w:r w:rsidR="00AC5085">
        <w:rPr>
          <w:rFonts w:cs="Arial"/>
          <w:szCs w:val="20"/>
        </w:rPr>
        <w:t> </w:t>
      </w:r>
      <w:r w:rsidRPr="004A42DE">
        <w:rPr>
          <w:rFonts w:cs="Arial"/>
          <w:szCs w:val="20"/>
        </w:rPr>
        <w:t xml:space="preserve">mld. Kč a </w:t>
      </w:r>
      <w:r w:rsidR="00DC36D1">
        <w:rPr>
          <w:rFonts w:cs="Arial"/>
          <w:szCs w:val="20"/>
        </w:rPr>
        <w:t>28,3</w:t>
      </w:r>
      <w:r w:rsidRPr="004A42DE">
        <w:rPr>
          <w:rFonts w:cs="Arial"/>
          <w:szCs w:val="20"/>
        </w:rPr>
        <w:t xml:space="preserve"> mld. Kč). Naopak </w:t>
      </w:r>
      <w:r w:rsidR="00AC5085">
        <w:rPr>
          <w:rFonts w:cs="Arial"/>
          <w:szCs w:val="20"/>
        </w:rPr>
        <w:t>nejmenší</w:t>
      </w:r>
      <w:r w:rsidRPr="004A42DE">
        <w:rPr>
          <w:rFonts w:cs="Arial"/>
          <w:szCs w:val="20"/>
        </w:rPr>
        <w:t xml:space="preserve"> měsíční vývoz a dovoz byl zaznamenán v</w:t>
      </w:r>
      <w:r w:rsidR="008771F6">
        <w:rPr>
          <w:rFonts w:cs="Arial"/>
          <w:szCs w:val="20"/>
        </w:rPr>
        <w:t xml:space="preserve"> době nástupu pandemie v naší zemi, a to v </w:t>
      </w:r>
      <w:r w:rsidRPr="004A42DE">
        <w:rPr>
          <w:rFonts w:cs="Arial"/>
          <w:szCs w:val="20"/>
        </w:rPr>
        <w:t>dubnu (</w:t>
      </w:r>
      <w:r w:rsidR="001F763A">
        <w:rPr>
          <w:rFonts w:cs="Arial"/>
          <w:szCs w:val="20"/>
        </w:rPr>
        <w:t>12,3</w:t>
      </w:r>
      <w:r w:rsidRPr="004A42DE">
        <w:rPr>
          <w:rFonts w:cs="Arial"/>
          <w:szCs w:val="20"/>
        </w:rPr>
        <w:t xml:space="preserve"> mld. Kč a </w:t>
      </w:r>
      <w:r w:rsidR="001F763A">
        <w:rPr>
          <w:rFonts w:cs="Arial"/>
          <w:szCs w:val="20"/>
        </w:rPr>
        <w:t>16,</w:t>
      </w:r>
      <w:r w:rsidR="00E24291">
        <w:rPr>
          <w:rFonts w:cs="Arial"/>
          <w:szCs w:val="20"/>
        </w:rPr>
        <w:t>4</w:t>
      </w:r>
      <w:r w:rsidRPr="004A42DE">
        <w:rPr>
          <w:rFonts w:cs="Arial"/>
          <w:szCs w:val="20"/>
        </w:rPr>
        <w:t xml:space="preserve"> mld. Kč). V</w:t>
      </w:r>
      <w:r w:rsidR="001F763A">
        <w:rPr>
          <w:rFonts w:cs="Arial"/>
          <w:szCs w:val="20"/>
        </w:rPr>
        <w:t> </w:t>
      </w:r>
      <w:r w:rsidR="00AC5085">
        <w:rPr>
          <w:rFonts w:cs="Arial"/>
          <w:szCs w:val="20"/>
        </w:rPr>
        <w:t>předchozím</w:t>
      </w:r>
      <w:r w:rsidR="001F763A">
        <w:rPr>
          <w:rFonts w:cs="Arial"/>
          <w:szCs w:val="20"/>
        </w:rPr>
        <w:t xml:space="preserve"> roce</w:t>
      </w:r>
      <w:r w:rsidR="00AC5085">
        <w:rPr>
          <w:rFonts w:cs="Arial"/>
          <w:szCs w:val="20"/>
        </w:rPr>
        <w:t xml:space="preserve"> 2019</w:t>
      </w:r>
      <w:r w:rsidRPr="004A42DE">
        <w:rPr>
          <w:rFonts w:cs="Arial"/>
          <w:szCs w:val="20"/>
        </w:rPr>
        <w:t xml:space="preserve"> vlivem čerpání celozávodních dovolených ve významných podnicích byly nejnižší hodnoty vývozu i </w:t>
      </w:r>
      <w:r w:rsidRPr="006C1943">
        <w:rPr>
          <w:rFonts w:cs="Arial"/>
          <w:szCs w:val="20"/>
        </w:rPr>
        <w:t>dovozu dosaženy shodně</w:t>
      </w:r>
      <w:r w:rsidRPr="004A42DE">
        <w:rPr>
          <w:rFonts w:cs="Arial"/>
          <w:szCs w:val="20"/>
        </w:rPr>
        <w:t xml:space="preserve"> </w:t>
      </w:r>
      <w:r w:rsidR="006C1943">
        <w:rPr>
          <w:rFonts w:cs="Arial"/>
          <w:szCs w:val="20"/>
        </w:rPr>
        <w:t xml:space="preserve">koncem roku </w:t>
      </w:r>
      <w:r w:rsidRPr="004A42DE">
        <w:rPr>
          <w:rFonts w:cs="Arial"/>
          <w:szCs w:val="20"/>
        </w:rPr>
        <w:t>v</w:t>
      </w:r>
      <w:r w:rsidR="008771F6">
        <w:rPr>
          <w:rFonts w:cs="Arial"/>
          <w:szCs w:val="20"/>
        </w:rPr>
        <w:t> </w:t>
      </w:r>
      <w:r w:rsidR="006C1943">
        <w:rPr>
          <w:rFonts w:cs="Arial"/>
          <w:szCs w:val="20"/>
        </w:rPr>
        <w:t>prosinci</w:t>
      </w:r>
      <w:r w:rsidRPr="004A42DE">
        <w:rPr>
          <w:rFonts w:cs="Arial"/>
          <w:szCs w:val="20"/>
        </w:rPr>
        <w:t>.</w:t>
      </w:r>
    </w:p>
    <w:p w:rsidR="00464E61" w:rsidRDefault="00464E61" w:rsidP="00464E61">
      <w:pPr>
        <w:pStyle w:val="TabulkaGraf"/>
        <w:spacing w:after="80"/>
      </w:pPr>
      <w:r>
        <w:t xml:space="preserve">Tabulka </w:t>
      </w:r>
      <w:r w:rsidR="005A6C68">
        <w:t>5</w:t>
      </w:r>
      <w:r>
        <w:tab/>
        <w:t>Vývoz zboží</w:t>
      </w:r>
      <w:r w:rsidR="00DB69F4">
        <w:t xml:space="preserve"> z ČR </w:t>
      </w:r>
      <w:r>
        <w:t>do Polska</w:t>
      </w:r>
    </w:p>
    <w:tbl>
      <w:tblPr>
        <w:tblStyle w:val="Tmavtabulkasmkou5zvraznn2"/>
        <w:tblW w:w="0" w:type="auto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129"/>
        <w:gridCol w:w="993"/>
        <w:gridCol w:w="1062"/>
        <w:gridCol w:w="1062"/>
        <w:gridCol w:w="1062"/>
        <w:gridCol w:w="1062"/>
        <w:gridCol w:w="1062"/>
        <w:gridCol w:w="1062"/>
      </w:tblGrid>
      <w:tr w:rsidR="00051A0E" w:rsidTr="0031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8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:rsidR="00051A0E" w:rsidRPr="00051A0E" w:rsidRDefault="00051A0E" w:rsidP="00051A0E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051A0E">
              <w:rPr>
                <w:color w:val="auto"/>
                <w:sz w:val="18"/>
                <w:szCs w:val="18"/>
              </w:rPr>
              <w:t>v mld. Kč</w:t>
            </w:r>
          </w:p>
        </w:tc>
      </w:tr>
      <w:tr w:rsidR="00051A0E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D9D9D9" w:themeColor="background1" w:themeShade="D9"/>
            </w:tcBorders>
            <w:shd w:val="clear" w:color="auto" w:fill="C00000"/>
          </w:tcPr>
          <w:p w:rsidR="00051A0E" w:rsidRPr="00A82B51" w:rsidRDefault="00051A0E" w:rsidP="00051A0E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051A0E" w:rsidRPr="0088496B" w:rsidRDefault="00051A0E" w:rsidP="00051A0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leden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051A0E" w:rsidRPr="0088496B" w:rsidRDefault="00051A0E" w:rsidP="00051A0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únor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051A0E" w:rsidRPr="0088496B" w:rsidRDefault="00051A0E" w:rsidP="00051A0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březen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051A0E" w:rsidRPr="0088496B" w:rsidRDefault="00051A0E" w:rsidP="00051A0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duben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051A0E" w:rsidRPr="0088496B" w:rsidRDefault="00051A0E" w:rsidP="00051A0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květen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051A0E" w:rsidRPr="0088496B" w:rsidRDefault="00051A0E" w:rsidP="00051A0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červen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051A0E" w:rsidRPr="0088496B" w:rsidRDefault="00051A0E" w:rsidP="00051A0E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170" w:hanging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pololetí</w:t>
            </w:r>
          </w:p>
        </w:tc>
      </w:tr>
      <w:tr w:rsidR="00464E61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bottom"/>
          </w:tcPr>
          <w:p w:rsidR="00464E61" w:rsidRPr="00077352" w:rsidRDefault="00464E61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077352">
              <w:rPr>
                <w:b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4E61" w:rsidRPr="00077352" w:rsidRDefault="001F763A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1F763A" w:rsidP="00E24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</w:t>
            </w:r>
            <w:r w:rsidR="00E24291">
              <w:rPr>
                <w:sz w:val="18"/>
                <w:szCs w:val="18"/>
              </w:rPr>
              <w:t>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1F763A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:rsidR="00464E61" w:rsidRPr="001F763A" w:rsidRDefault="001F763A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12,3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1F763A" w:rsidP="00E24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</w:t>
            </w:r>
            <w:r w:rsidR="00E24291">
              <w:rPr>
                <w:sz w:val="18"/>
                <w:szCs w:val="18"/>
              </w:rPr>
              <w:t>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1F763A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4291">
              <w:rPr>
                <w:sz w:val="18"/>
                <w:szCs w:val="18"/>
              </w:rPr>
              <w:t>8,6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9B339A" w:rsidP="00E24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</w:t>
            </w:r>
            <w:r w:rsidR="00E24291">
              <w:rPr>
                <w:sz w:val="18"/>
                <w:szCs w:val="18"/>
              </w:rPr>
              <w:t>5</w:t>
            </w:r>
          </w:p>
        </w:tc>
      </w:tr>
      <w:tr w:rsidR="00464E61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464E61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077352">
              <w:rPr>
                <w:b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64E61" w:rsidRPr="00077352" w:rsidRDefault="0091226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91226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91226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:rsidR="00464E61" w:rsidRPr="001F763A" w:rsidRDefault="0091226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19,8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91226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912269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64E61" w:rsidRPr="00077352" w:rsidRDefault="00BD7A51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</w:tr>
      <w:tr w:rsidR="00464E61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051A0E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077352">
              <w:rPr>
                <w:b w:val="0"/>
                <w:color w:val="auto"/>
                <w:sz w:val="18"/>
                <w:szCs w:val="18"/>
              </w:rPr>
              <w:t>I</w:t>
            </w:r>
            <w:r w:rsidR="00464E61" w:rsidRPr="00077352">
              <w:rPr>
                <w:b w:val="0"/>
                <w:color w:val="auto"/>
                <w:sz w:val="18"/>
                <w:szCs w:val="18"/>
              </w:rPr>
              <w:t>ndex</w:t>
            </w:r>
            <w:r>
              <w:rPr>
                <w:b w:val="0"/>
                <w:color w:val="auto"/>
                <w:sz w:val="18"/>
                <w:szCs w:val="18"/>
              </w:rPr>
              <w:t xml:space="preserve"> v %</w:t>
            </w:r>
            <w:r w:rsidR="00312178">
              <w:rPr>
                <w:rStyle w:val="Znakapoznpodarou"/>
                <w:b w:val="0"/>
                <w:color w:val="auto"/>
                <w:sz w:val="18"/>
                <w:szCs w:val="18"/>
              </w:rPr>
              <w:footnoteReference w:id="4"/>
            </w:r>
          </w:p>
        </w:tc>
        <w:tc>
          <w:tcPr>
            <w:tcW w:w="993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1F763A" w:rsidP="003A39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</w:t>
            </w:r>
            <w:r w:rsidR="003A39D6">
              <w:rPr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8F0603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1F763A" w:rsidP="008F06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</w:t>
            </w:r>
            <w:r w:rsidR="008F0603">
              <w:rPr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F2F2F2" w:themeFill="background1" w:themeFillShade="F2"/>
            <w:vAlign w:val="bottom"/>
          </w:tcPr>
          <w:p w:rsidR="00464E61" w:rsidRPr="001F763A" w:rsidRDefault="001F763A" w:rsidP="008F06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</w:t>
            </w:r>
            <w:r w:rsidR="008F0603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8F0603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1F763A" w:rsidP="00A439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A439CE">
              <w:rPr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64E61" w:rsidRPr="00077352" w:rsidRDefault="00A439CE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88496B" w:rsidRPr="0088496B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D9D9D9" w:themeColor="background1" w:themeShade="D9"/>
            </w:tcBorders>
            <w:shd w:val="clear" w:color="auto" w:fill="C00000"/>
          </w:tcPr>
          <w:p w:rsidR="004F629D" w:rsidRPr="00A82B51" w:rsidRDefault="004F629D" w:rsidP="004F629D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4F629D" w:rsidRPr="0088496B" w:rsidRDefault="004F629D" w:rsidP="004F62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červenec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4F629D" w:rsidRPr="0088496B" w:rsidRDefault="004F629D" w:rsidP="004F62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srpen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4F629D" w:rsidRPr="0088496B" w:rsidRDefault="004F629D" w:rsidP="004F62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září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4F629D" w:rsidRPr="0088496B" w:rsidRDefault="004F629D" w:rsidP="004F62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říjen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4F629D" w:rsidRPr="0088496B" w:rsidRDefault="004F629D" w:rsidP="004F62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listopad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4F629D" w:rsidRPr="0088496B" w:rsidRDefault="004F629D" w:rsidP="004F62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prosinec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4F629D" w:rsidRPr="0088496B" w:rsidRDefault="004F629D" w:rsidP="004F629D">
            <w:pPr>
              <w:pStyle w:val="Odstavecseseznamem"/>
              <w:numPr>
                <w:ilvl w:val="0"/>
                <w:numId w:val="6"/>
              </w:numPr>
              <w:spacing w:line="240" w:lineRule="auto"/>
              <w:ind w:left="170" w:hanging="1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pololetí</w:t>
            </w:r>
          </w:p>
        </w:tc>
      </w:tr>
      <w:tr w:rsidR="004F629D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bottom"/>
          </w:tcPr>
          <w:p w:rsidR="004F629D" w:rsidRPr="004F629D" w:rsidRDefault="004F629D" w:rsidP="00051A0E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4F629D">
              <w:rPr>
                <w:b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F629D" w:rsidRPr="004F629D" w:rsidRDefault="006C1943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6C1943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6C1943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062" w:type="dxa"/>
            <w:shd w:val="clear" w:color="auto" w:fill="DBE5F1" w:themeFill="accent1" w:themeFillTint="33"/>
            <w:vAlign w:val="bottom"/>
          </w:tcPr>
          <w:p w:rsidR="004F629D" w:rsidRPr="004F629D" w:rsidRDefault="006C1943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24,1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E24291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E24291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E24291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126,4</w:t>
            </w:r>
          </w:p>
        </w:tc>
      </w:tr>
      <w:tr w:rsidR="004F629D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bottom"/>
          </w:tcPr>
          <w:p w:rsidR="004F629D" w:rsidRPr="004F629D" w:rsidRDefault="004F629D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F629D" w:rsidRPr="004F629D" w:rsidRDefault="00AF3A5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AF3A5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AF3A5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062" w:type="dxa"/>
            <w:shd w:val="clear" w:color="auto" w:fill="DBE5F1" w:themeFill="accent1" w:themeFillTint="33"/>
            <w:vAlign w:val="bottom"/>
          </w:tcPr>
          <w:p w:rsidR="004F629D" w:rsidRPr="004F629D" w:rsidRDefault="00AF3A5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22,3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AF3A5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AF3A5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AF3A5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</w:tr>
      <w:tr w:rsidR="004F629D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4F629D" w:rsidRPr="004F629D" w:rsidRDefault="00051A0E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I</w:t>
            </w:r>
            <w:r w:rsidR="004F629D">
              <w:rPr>
                <w:b w:val="0"/>
                <w:color w:val="auto"/>
                <w:sz w:val="18"/>
                <w:szCs w:val="18"/>
              </w:rPr>
              <w:t>ndex</w:t>
            </w:r>
            <w:r>
              <w:rPr>
                <w:b w:val="0"/>
                <w:color w:val="auto"/>
                <w:sz w:val="18"/>
                <w:szCs w:val="18"/>
              </w:rPr>
              <w:t xml:space="preserve"> v 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F629D" w:rsidRPr="004F629D" w:rsidRDefault="006C1943" w:rsidP="00A439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</w:t>
            </w:r>
            <w:r w:rsidR="00A439CE">
              <w:rPr>
                <w:sz w:val="18"/>
                <w:szCs w:val="18"/>
              </w:rPr>
              <w:t>2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6C1943" w:rsidP="00A439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</w:t>
            </w:r>
            <w:r w:rsidR="00A439CE">
              <w:rPr>
                <w:sz w:val="18"/>
                <w:szCs w:val="18"/>
              </w:rPr>
              <w:t>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6C1943" w:rsidP="00A439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</w:t>
            </w:r>
            <w:r w:rsidR="00A439CE">
              <w:rPr>
                <w:sz w:val="18"/>
                <w:szCs w:val="18"/>
              </w:rPr>
              <w:t>5</w:t>
            </w:r>
          </w:p>
        </w:tc>
        <w:tc>
          <w:tcPr>
            <w:tcW w:w="1062" w:type="dxa"/>
            <w:shd w:val="clear" w:color="auto" w:fill="DBE5F1" w:themeFill="accent1" w:themeFillTint="33"/>
            <w:vAlign w:val="bottom"/>
          </w:tcPr>
          <w:p w:rsidR="004F629D" w:rsidRPr="004F629D" w:rsidRDefault="006C1943" w:rsidP="00A439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108,</w:t>
            </w:r>
            <w:r w:rsidR="00A439C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A439CE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A439CE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4F629D" w:rsidRPr="004F629D" w:rsidRDefault="009B339A" w:rsidP="00A439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</w:t>
            </w:r>
            <w:r w:rsidR="00A439CE">
              <w:rPr>
                <w:sz w:val="18"/>
                <w:szCs w:val="18"/>
              </w:rPr>
              <w:t>9</w:t>
            </w:r>
          </w:p>
        </w:tc>
      </w:tr>
    </w:tbl>
    <w:p w:rsidR="00464E61" w:rsidRPr="003748CE" w:rsidRDefault="00464E61" w:rsidP="00464E61"/>
    <w:p w:rsidR="00051A0E" w:rsidRDefault="00051A0E" w:rsidP="00051A0E">
      <w:pPr>
        <w:spacing w:before="40" w:after="80" w:line="240" w:lineRule="auto"/>
        <w:jc w:val="left"/>
        <w:rPr>
          <w:rFonts w:eastAsia="Times New Roman"/>
          <w:b/>
          <w:bCs/>
          <w:szCs w:val="28"/>
        </w:rPr>
      </w:pPr>
      <w:r w:rsidRPr="00941635">
        <w:rPr>
          <w:rFonts w:eastAsia="Times New Roman"/>
          <w:b/>
          <w:bCs/>
          <w:szCs w:val="28"/>
        </w:rPr>
        <w:t xml:space="preserve">Graf </w:t>
      </w:r>
      <w:r w:rsidR="00354677">
        <w:rPr>
          <w:rFonts w:eastAsia="Times New Roman"/>
          <w:b/>
          <w:bCs/>
          <w:szCs w:val="28"/>
        </w:rPr>
        <w:t>6</w:t>
      </w:r>
      <w:r w:rsidRPr="00941635">
        <w:rPr>
          <w:rFonts w:eastAsia="Times New Roman"/>
          <w:b/>
          <w:bCs/>
          <w:szCs w:val="28"/>
        </w:rPr>
        <w:tab/>
      </w:r>
      <w:r>
        <w:rPr>
          <w:rFonts w:eastAsia="Times New Roman"/>
          <w:b/>
          <w:bCs/>
          <w:szCs w:val="28"/>
        </w:rPr>
        <w:tab/>
        <w:t>Zahraniční obchod s</w:t>
      </w:r>
      <w:r w:rsidR="00DB69F4">
        <w:rPr>
          <w:rFonts w:eastAsia="Times New Roman"/>
          <w:b/>
          <w:bCs/>
          <w:szCs w:val="28"/>
        </w:rPr>
        <w:t xml:space="preserve">e zbožím mezi ČR a </w:t>
      </w:r>
      <w:r>
        <w:rPr>
          <w:rFonts w:eastAsia="Times New Roman"/>
          <w:b/>
          <w:bCs/>
          <w:szCs w:val="28"/>
        </w:rPr>
        <w:t>Polskem v roce 2020</w:t>
      </w:r>
    </w:p>
    <w:p w:rsidR="00464E61" w:rsidRDefault="00FB182B" w:rsidP="00051A0E">
      <w:r>
        <w:rPr>
          <w:noProof/>
          <w:lang w:eastAsia="cs-CZ"/>
        </w:rPr>
        <w:drawing>
          <wp:inline distT="0" distB="0" distL="0" distR="0" wp14:anchorId="3E3CB0B1" wp14:editId="794E2F87">
            <wp:extent cx="5400040" cy="1546860"/>
            <wp:effectExtent l="0" t="0" r="10160" b="15240"/>
            <wp:docPr id="37" name="Graf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1943" w:rsidRDefault="006C1943" w:rsidP="00312178">
      <w:pPr>
        <w:pStyle w:val="TabulkaGraf"/>
      </w:pPr>
    </w:p>
    <w:p w:rsidR="00D04CA8" w:rsidRDefault="00D04CA8" w:rsidP="00D04CA8">
      <w:pPr>
        <w:pStyle w:val="TabulkaGraf"/>
        <w:spacing w:after="80"/>
      </w:pPr>
      <w:r>
        <w:t xml:space="preserve">Tabulka </w:t>
      </w:r>
      <w:r w:rsidR="005A6C68">
        <w:t>6</w:t>
      </w:r>
      <w:r>
        <w:tab/>
        <w:t>Dovoz zboží z</w:t>
      </w:r>
      <w:r w:rsidR="00DB69F4">
        <w:t> </w:t>
      </w:r>
      <w:r>
        <w:t>Polska</w:t>
      </w:r>
      <w:r w:rsidR="00DB69F4">
        <w:t xml:space="preserve"> do ČR</w:t>
      </w:r>
    </w:p>
    <w:tbl>
      <w:tblPr>
        <w:tblStyle w:val="Tmavtabulkasmkou5zvraznn2"/>
        <w:tblW w:w="0" w:type="auto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129"/>
        <w:gridCol w:w="993"/>
        <w:gridCol w:w="1062"/>
        <w:gridCol w:w="1062"/>
        <w:gridCol w:w="1062"/>
        <w:gridCol w:w="1062"/>
        <w:gridCol w:w="1062"/>
        <w:gridCol w:w="1062"/>
      </w:tblGrid>
      <w:tr w:rsidR="00D04CA8" w:rsidTr="0031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8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:rsidR="00D04CA8" w:rsidRPr="00051A0E" w:rsidRDefault="00D04CA8" w:rsidP="00DC36D1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051A0E">
              <w:rPr>
                <w:color w:val="auto"/>
                <w:sz w:val="18"/>
                <w:szCs w:val="18"/>
              </w:rPr>
              <w:t>v mld. Kč</w:t>
            </w:r>
          </w:p>
        </w:tc>
      </w:tr>
      <w:tr w:rsidR="00D04CA8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D9D9D9" w:themeColor="background1" w:themeShade="D9"/>
            </w:tcBorders>
            <w:shd w:val="clear" w:color="auto" w:fill="C00000"/>
          </w:tcPr>
          <w:p w:rsidR="00D04CA8" w:rsidRPr="00A82B51" w:rsidRDefault="00D04CA8" w:rsidP="00DC36D1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color w:val="D9D9D9" w:themeColor="background1" w:themeShade="D9"/>
                <w:sz w:val="18"/>
                <w:szCs w:val="18"/>
              </w:rPr>
              <w:t>leden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color w:val="D9D9D9" w:themeColor="background1" w:themeShade="D9"/>
                <w:sz w:val="18"/>
                <w:szCs w:val="18"/>
              </w:rPr>
              <w:t>únor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color w:val="D9D9D9" w:themeColor="background1" w:themeShade="D9"/>
                <w:sz w:val="18"/>
                <w:szCs w:val="18"/>
              </w:rPr>
              <w:t>březen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color w:val="D9D9D9" w:themeColor="background1" w:themeShade="D9"/>
                <w:sz w:val="18"/>
                <w:szCs w:val="18"/>
              </w:rPr>
              <w:t>duben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color w:val="D9D9D9" w:themeColor="background1" w:themeShade="D9"/>
                <w:sz w:val="18"/>
                <w:szCs w:val="18"/>
              </w:rPr>
              <w:t>květen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color w:val="D9D9D9" w:themeColor="background1" w:themeShade="D9"/>
                <w:sz w:val="18"/>
                <w:szCs w:val="18"/>
              </w:rPr>
              <w:t>červen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88496B" w:rsidP="0088496B">
            <w:pPr>
              <w:pStyle w:val="Odstavecseseznamem"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D9D9" w:themeColor="background1" w:themeShade="D9"/>
                <w:sz w:val="18"/>
                <w:szCs w:val="18"/>
              </w:rPr>
            </w:pPr>
            <w:r>
              <w:rPr>
                <w:b/>
                <w:color w:val="D9D9D9" w:themeColor="background1" w:themeShade="D9"/>
                <w:sz w:val="18"/>
                <w:szCs w:val="18"/>
              </w:rPr>
              <w:t>1. pololetí</w:t>
            </w:r>
          </w:p>
        </w:tc>
      </w:tr>
      <w:tr w:rsidR="00D04CA8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bottom"/>
          </w:tcPr>
          <w:p w:rsidR="00D04CA8" w:rsidRPr="00077352" w:rsidRDefault="00D04CA8" w:rsidP="00DC36D1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077352">
              <w:rPr>
                <w:b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04CA8" w:rsidRPr="00077352" w:rsidRDefault="006C1943" w:rsidP="00E24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E24291">
              <w:rPr>
                <w:sz w:val="18"/>
                <w:szCs w:val="18"/>
              </w:rPr>
              <w:t>7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E2429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:rsidR="00D04CA8" w:rsidRPr="001F763A" w:rsidRDefault="00E2429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E2429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</w:tr>
      <w:tr w:rsidR="00D04CA8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D04CA8" w:rsidP="00DC36D1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077352">
              <w:rPr>
                <w:b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bottom"/>
          </w:tcPr>
          <w:p w:rsidR="00D04CA8" w:rsidRPr="001F763A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077352" w:rsidRDefault="009B339A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</w:t>
            </w:r>
          </w:p>
        </w:tc>
      </w:tr>
      <w:tr w:rsidR="00D04CA8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D04CA8" w:rsidP="00DC36D1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077352">
              <w:rPr>
                <w:b w:val="0"/>
                <w:color w:val="auto"/>
                <w:sz w:val="18"/>
                <w:szCs w:val="18"/>
              </w:rPr>
              <w:t>Index</w:t>
            </w:r>
            <w:r>
              <w:rPr>
                <w:b w:val="0"/>
                <w:color w:val="auto"/>
                <w:sz w:val="18"/>
                <w:szCs w:val="18"/>
              </w:rPr>
              <w:t xml:space="preserve"> v %</w:t>
            </w:r>
          </w:p>
        </w:tc>
        <w:tc>
          <w:tcPr>
            <w:tcW w:w="993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6246A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0B39E5" w:rsidP="006246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</w:t>
            </w:r>
            <w:r w:rsidR="006246A1">
              <w:rPr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0B39E5" w:rsidP="006246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</w:t>
            </w:r>
            <w:r w:rsidR="006246A1">
              <w:rPr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F2F2F2" w:themeFill="background1" w:themeFillShade="F2"/>
            <w:vAlign w:val="bottom"/>
          </w:tcPr>
          <w:p w:rsidR="00D04CA8" w:rsidRPr="001F763A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64,4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106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077352" w:rsidRDefault="009B339A" w:rsidP="006246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</w:t>
            </w:r>
            <w:r w:rsidR="006246A1">
              <w:rPr>
                <w:sz w:val="18"/>
                <w:szCs w:val="18"/>
              </w:rPr>
              <w:t>8</w:t>
            </w:r>
          </w:p>
        </w:tc>
      </w:tr>
      <w:tr w:rsidR="00D04CA8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D9D9D9" w:themeColor="background1" w:themeShade="D9"/>
            </w:tcBorders>
            <w:shd w:val="clear" w:color="auto" w:fill="C00000"/>
          </w:tcPr>
          <w:p w:rsidR="00D04CA8" w:rsidRPr="00A82B51" w:rsidRDefault="00D04CA8" w:rsidP="00DC36D1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červenec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srpen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září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říjen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listopad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D04CA8" w:rsidP="00DC36D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88496B">
              <w:rPr>
                <w:bCs/>
                <w:color w:val="D9D9D9" w:themeColor="background1" w:themeShade="D9"/>
                <w:sz w:val="18"/>
                <w:szCs w:val="18"/>
              </w:rPr>
              <w:t>prosinec</w:t>
            </w:r>
          </w:p>
        </w:tc>
        <w:tc>
          <w:tcPr>
            <w:tcW w:w="1062" w:type="dxa"/>
            <w:tcBorders>
              <w:left w:val="single" w:sz="4" w:space="0" w:color="D9D9D9" w:themeColor="background1" w:themeShade="D9"/>
            </w:tcBorders>
            <w:shd w:val="clear" w:color="auto" w:fill="C00000"/>
            <w:vAlign w:val="center"/>
          </w:tcPr>
          <w:p w:rsidR="00D04CA8" w:rsidRPr="0088496B" w:rsidRDefault="0088496B" w:rsidP="0088496B">
            <w:pPr>
              <w:pStyle w:val="Odstavecseseznamem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D9D9D9" w:themeColor="background1" w:themeShade="D9"/>
                <w:sz w:val="18"/>
                <w:szCs w:val="18"/>
              </w:rPr>
            </w:pPr>
            <w:r>
              <w:rPr>
                <w:bCs/>
                <w:color w:val="D9D9D9" w:themeColor="background1" w:themeShade="D9"/>
                <w:sz w:val="18"/>
                <w:szCs w:val="18"/>
              </w:rPr>
              <w:t>2. pololetí</w:t>
            </w:r>
          </w:p>
        </w:tc>
      </w:tr>
      <w:tr w:rsidR="00D04CA8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bottom"/>
          </w:tcPr>
          <w:p w:rsidR="00D04CA8" w:rsidRPr="004F629D" w:rsidRDefault="00D04CA8" w:rsidP="00DC36D1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4F629D">
              <w:rPr>
                <w:b w:val="0"/>
                <w:color w:val="auto"/>
                <w:sz w:val="18"/>
                <w:szCs w:val="18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04CA8" w:rsidRPr="004F629D" w:rsidRDefault="00E2429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062" w:type="dxa"/>
            <w:shd w:val="clear" w:color="auto" w:fill="DBE5F1" w:themeFill="accent1" w:themeFillTint="33"/>
            <w:vAlign w:val="bottom"/>
          </w:tcPr>
          <w:p w:rsidR="00D04CA8" w:rsidRPr="004F629D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28,3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E2429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E2429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153,8</w:t>
            </w:r>
          </w:p>
        </w:tc>
      </w:tr>
      <w:tr w:rsidR="00D04CA8" w:rsidTr="0031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bottom"/>
          </w:tcPr>
          <w:p w:rsidR="00D04CA8" w:rsidRPr="004F629D" w:rsidRDefault="00D04CA8" w:rsidP="00DC36D1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04CA8" w:rsidRPr="004F629D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062" w:type="dxa"/>
            <w:shd w:val="clear" w:color="auto" w:fill="DBE5F1" w:themeFill="accent1" w:themeFillTint="33"/>
            <w:vAlign w:val="bottom"/>
          </w:tcPr>
          <w:p w:rsidR="00D04CA8" w:rsidRPr="004F629D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27,9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6C1943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92191A" w:rsidP="00DC3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147,6</w:t>
            </w:r>
          </w:p>
        </w:tc>
      </w:tr>
      <w:tr w:rsidR="00D04CA8" w:rsidTr="0031217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D04CA8" w:rsidRPr="004F629D" w:rsidRDefault="00D04CA8" w:rsidP="00DC36D1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Index v %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04CA8" w:rsidRPr="004F629D" w:rsidRDefault="000B39E5" w:rsidP="006246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</w:t>
            </w:r>
            <w:r w:rsidR="006246A1">
              <w:rPr>
                <w:sz w:val="18"/>
                <w:szCs w:val="18"/>
              </w:rPr>
              <w:t>3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1062" w:type="dxa"/>
            <w:shd w:val="clear" w:color="auto" w:fill="DBE5F1" w:themeFill="accent1" w:themeFillTint="33"/>
            <w:vAlign w:val="bottom"/>
          </w:tcPr>
          <w:p w:rsidR="00D04CA8" w:rsidRPr="004F629D" w:rsidRDefault="000B39E5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101,3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6246A1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0B39E5" w:rsidP="006246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</w:t>
            </w:r>
            <w:r w:rsidR="006246A1">
              <w:rPr>
                <w:sz w:val="18"/>
                <w:szCs w:val="18"/>
              </w:rPr>
              <w:t>9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D04CA8" w:rsidRPr="004F629D" w:rsidRDefault="0092191A" w:rsidP="00DC36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46A1">
              <w:rPr>
                <w:sz w:val="18"/>
                <w:szCs w:val="18"/>
              </w:rPr>
              <w:t>04,2</w:t>
            </w:r>
          </w:p>
        </w:tc>
      </w:tr>
    </w:tbl>
    <w:p w:rsidR="008F6CFB" w:rsidRDefault="008F6CFB" w:rsidP="008F6CFB">
      <w:pPr>
        <w:shd w:val="clear" w:color="auto" w:fill="D5EAFF"/>
        <w:rPr>
          <w:b/>
        </w:rPr>
      </w:pPr>
      <w:r>
        <w:rPr>
          <w:b/>
        </w:rPr>
        <w:lastRenderedPageBreak/>
        <w:t xml:space="preserve">Vliv </w:t>
      </w:r>
      <w:r w:rsidR="00DE1E01">
        <w:rPr>
          <w:b/>
        </w:rPr>
        <w:t xml:space="preserve">vývoje </w:t>
      </w:r>
      <w:r>
        <w:rPr>
          <w:b/>
        </w:rPr>
        <w:t xml:space="preserve">kurzu </w:t>
      </w:r>
      <w:r w:rsidR="00255E6B">
        <w:rPr>
          <w:b/>
        </w:rPr>
        <w:t xml:space="preserve">české </w:t>
      </w:r>
      <w:r>
        <w:rPr>
          <w:b/>
        </w:rPr>
        <w:t xml:space="preserve">koruny </w:t>
      </w:r>
      <w:r w:rsidR="00DE1E01">
        <w:rPr>
          <w:b/>
        </w:rPr>
        <w:t xml:space="preserve">vůči euru </w:t>
      </w:r>
      <w:r>
        <w:rPr>
          <w:b/>
        </w:rPr>
        <w:t xml:space="preserve">na obchod </w:t>
      </w:r>
      <w:r w:rsidR="00DE1E01">
        <w:rPr>
          <w:b/>
        </w:rPr>
        <w:t>s Polskem</w:t>
      </w:r>
    </w:p>
    <w:p w:rsidR="008F6CFB" w:rsidRPr="00255E6B" w:rsidRDefault="008F6CFB" w:rsidP="00250DEA">
      <w:pPr>
        <w:tabs>
          <w:tab w:val="left" w:pos="0"/>
          <w:tab w:val="left" w:pos="1418"/>
        </w:tabs>
        <w:rPr>
          <w:szCs w:val="20"/>
        </w:rPr>
      </w:pPr>
    </w:p>
    <w:p w:rsidR="006C1943" w:rsidRDefault="006C1943" w:rsidP="00250DEA">
      <w:pPr>
        <w:tabs>
          <w:tab w:val="left" w:pos="0"/>
          <w:tab w:val="left" w:pos="1418"/>
        </w:tabs>
      </w:pPr>
      <w:r w:rsidRPr="00290101">
        <w:t xml:space="preserve">V roce 2020 se český </w:t>
      </w:r>
      <w:r w:rsidRPr="00290101">
        <w:rPr>
          <w:b/>
        </w:rPr>
        <w:t>vývoz</w:t>
      </w:r>
      <w:r w:rsidRPr="00290101">
        <w:t xml:space="preserve"> do Polska snížil o 1,</w:t>
      </w:r>
      <w:r w:rsidR="007C442D">
        <w:t>5</w:t>
      </w:r>
      <w:r w:rsidRPr="00290101">
        <w:t xml:space="preserve"> %, což bylo ale </w:t>
      </w:r>
      <w:r w:rsidR="00DB69F4">
        <w:t xml:space="preserve">méně, než o kolik </w:t>
      </w:r>
      <w:r w:rsidRPr="00290101">
        <w:t>pokles</w:t>
      </w:r>
      <w:r w:rsidR="00DB69F4">
        <w:t xml:space="preserve">l </w:t>
      </w:r>
      <w:r w:rsidRPr="00290101">
        <w:t>celkov</w:t>
      </w:r>
      <w:r w:rsidR="00DB69F4">
        <w:t>ý</w:t>
      </w:r>
      <w:r w:rsidRPr="00290101">
        <w:t xml:space="preserve"> česk</w:t>
      </w:r>
      <w:r w:rsidR="00DB69F4">
        <w:t>ý</w:t>
      </w:r>
      <w:r w:rsidRPr="00290101">
        <w:t xml:space="preserve"> vývoz (</w:t>
      </w:r>
      <w:r w:rsidR="00DB69F4">
        <w:t>4,</w:t>
      </w:r>
      <w:r w:rsidR="007C442D">
        <w:t>4</w:t>
      </w:r>
      <w:r w:rsidR="00DB69F4">
        <w:t xml:space="preserve"> %)</w:t>
      </w:r>
      <w:r w:rsidRPr="00290101">
        <w:t xml:space="preserve">. Také </w:t>
      </w:r>
      <w:r w:rsidRPr="00290101">
        <w:rPr>
          <w:b/>
        </w:rPr>
        <w:t>dovoz</w:t>
      </w:r>
      <w:r w:rsidRPr="00290101">
        <w:t xml:space="preserve"> z Polska byl nižší jen o 2,</w:t>
      </w:r>
      <w:r w:rsidR="007C442D">
        <w:t>5</w:t>
      </w:r>
      <w:r w:rsidRPr="00290101">
        <w:t xml:space="preserve"> % oproti celkovému poklesu českého dovozu o 5,</w:t>
      </w:r>
      <w:r w:rsidR="007C442D">
        <w:t>7</w:t>
      </w:r>
      <w:r w:rsidRPr="00290101">
        <w:t xml:space="preserve"> %.</w:t>
      </w:r>
    </w:p>
    <w:p w:rsidR="00250DEA" w:rsidRPr="008C5D13" w:rsidRDefault="00250DEA" w:rsidP="00250DEA">
      <w:pPr>
        <w:tabs>
          <w:tab w:val="left" w:pos="0"/>
          <w:tab w:val="left" w:pos="1418"/>
        </w:tabs>
        <w:rPr>
          <w:szCs w:val="20"/>
        </w:rPr>
      </w:pPr>
    </w:p>
    <w:p w:rsidR="00E84282" w:rsidRDefault="0086002B" w:rsidP="0056527E">
      <w:pPr>
        <w:rPr>
          <w:rFonts w:cs="Arial"/>
          <w:szCs w:val="20"/>
        </w:rPr>
      </w:pPr>
      <w:r w:rsidRPr="00E84282">
        <w:rPr>
          <w:rFonts w:cs="Arial"/>
          <w:b/>
          <w:szCs w:val="20"/>
        </w:rPr>
        <w:t>Vývoz</w:t>
      </w:r>
      <w:r w:rsidRPr="00E84282">
        <w:rPr>
          <w:rFonts w:cs="Arial"/>
          <w:szCs w:val="20"/>
        </w:rPr>
        <w:t xml:space="preserve"> zboží do Polska meziročně klesl o </w:t>
      </w:r>
      <w:r w:rsidR="007C442D">
        <w:rPr>
          <w:rFonts w:cs="Arial"/>
          <w:szCs w:val="20"/>
        </w:rPr>
        <w:t>3,6</w:t>
      </w:r>
      <w:r w:rsidR="00E84282" w:rsidRPr="00E84282">
        <w:rPr>
          <w:rFonts w:cs="Arial"/>
          <w:szCs w:val="20"/>
        </w:rPr>
        <w:t xml:space="preserve"> mld. Kč</w:t>
      </w:r>
      <w:r w:rsidRPr="00E84282">
        <w:rPr>
          <w:rFonts w:cs="Arial"/>
          <w:szCs w:val="20"/>
        </w:rPr>
        <w:t xml:space="preserve"> a dosáhl </w:t>
      </w:r>
      <w:r w:rsidR="00E84282" w:rsidRPr="00E84282">
        <w:rPr>
          <w:rFonts w:cs="Arial"/>
          <w:szCs w:val="20"/>
        </w:rPr>
        <w:t>hodnoty 229,</w:t>
      </w:r>
      <w:r w:rsidR="007C442D">
        <w:rPr>
          <w:rFonts w:cs="Arial"/>
          <w:szCs w:val="20"/>
        </w:rPr>
        <w:t>9</w:t>
      </w:r>
      <w:r w:rsidRPr="00E84282">
        <w:rPr>
          <w:rFonts w:cs="Arial"/>
          <w:szCs w:val="20"/>
        </w:rPr>
        <w:t xml:space="preserve"> mld. Kč. </w:t>
      </w:r>
      <w:r w:rsidR="00E84282">
        <w:rPr>
          <w:rFonts w:cs="Arial"/>
          <w:szCs w:val="20"/>
        </w:rPr>
        <w:t xml:space="preserve">V důsledku značného oslabení </w:t>
      </w:r>
      <w:r w:rsidR="0056527E">
        <w:rPr>
          <w:rFonts w:cs="Arial"/>
          <w:szCs w:val="20"/>
        </w:rPr>
        <w:t>koruny vůči euru</w:t>
      </w:r>
      <w:r w:rsidR="00E84282">
        <w:rPr>
          <w:rStyle w:val="Znakapoznpodarou"/>
          <w:rFonts w:cs="Arial"/>
          <w:color w:val="292929"/>
          <w:spacing w:val="2"/>
          <w:sz w:val="18"/>
          <w:szCs w:val="20"/>
        </w:rPr>
        <w:footnoteReference w:id="5"/>
      </w:r>
      <w:r w:rsidR="00E84282">
        <w:rPr>
          <w:rFonts w:cs="Arial"/>
          <w:color w:val="292929"/>
          <w:spacing w:val="2"/>
          <w:sz w:val="18"/>
          <w:szCs w:val="20"/>
          <w:vertAlign w:val="superscript"/>
        </w:rPr>
        <w:t xml:space="preserve"> </w:t>
      </w:r>
      <w:r w:rsidR="00E84282">
        <w:rPr>
          <w:rFonts w:cs="Arial"/>
          <w:szCs w:val="20"/>
        </w:rPr>
        <w:t xml:space="preserve"> zaznamenal vývoz vyjádřený </w:t>
      </w:r>
      <w:r w:rsidR="006A4165">
        <w:rPr>
          <w:rFonts w:cs="Arial"/>
          <w:szCs w:val="20"/>
        </w:rPr>
        <w:t>v</w:t>
      </w:r>
      <w:r w:rsidR="00E84282">
        <w:rPr>
          <w:rFonts w:cs="Arial"/>
          <w:szCs w:val="20"/>
        </w:rPr>
        <w:t> této měně výraznější meziroční pokles oproti snížení v Kč. V přepočtu na eura vývoz do Polska klesl o 4,</w:t>
      </w:r>
      <w:r w:rsidR="007C442D">
        <w:rPr>
          <w:rFonts w:cs="Arial"/>
          <w:szCs w:val="20"/>
        </w:rPr>
        <w:t>3</w:t>
      </w:r>
      <w:r w:rsidR="00E84282">
        <w:rPr>
          <w:rFonts w:cs="Arial"/>
          <w:szCs w:val="20"/>
        </w:rPr>
        <w:t xml:space="preserve"> % z 9,</w:t>
      </w:r>
      <w:r w:rsidR="007C059E">
        <w:rPr>
          <w:rFonts w:cs="Arial"/>
          <w:szCs w:val="20"/>
        </w:rPr>
        <w:t>1 mld. </w:t>
      </w:r>
      <w:r w:rsidR="00E84282">
        <w:rPr>
          <w:rFonts w:cs="Arial"/>
          <w:szCs w:val="20"/>
        </w:rPr>
        <w:t>EUR v roce 2019 na 8,7 mld. EUR v roce 2020.</w:t>
      </w:r>
    </w:p>
    <w:p w:rsidR="0056527E" w:rsidRPr="008C5D13" w:rsidRDefault="0056527E" w:rsidP="0056527E">
      <w:pPr>
        <w:rPr>
          <w:rFonts w:cs="Arial"/>
          <w:szCs w:val="20"/>
        </w:rPr>
      </w:pPr>
    </w:p>
    <w:p w:rsidR="008771F6" w:rsidRDefault="008771F6" w:rsidP="0056527E">
      <w:pPr>
        <w:spacing w:after="80" w:line="240" w:lineRule="auto"/>
        <w:jc w:val="left"/>
        <w:rPr>
          <w:rFonts w:eastAsia="Times New Roman"/>
          <w:b/>
          <w:bCs/>
          <w:szCs w:val="28"/>
        </w:rPr>
      </w:pPr>
      <w:r w:rsidRPr="00941635">
        <w:rPr>
          <w:rFonts w:eastAsia="Times New Roman"/>
          <w:b/>
          <w:bCs/>
          <w:szCs w:val="28"/>
        </w:rPr>
        <w:t xml:space="preserve">Graf </w:t>
      </w:r>
      <w:r w:rsidR="00354677">
        <w:rPr>
          <w:rFonts w:eastAsia="Times New Roman"/>
          <w:b/>
          <w:bCs/>
          <w:szCs w:val="28"/>
        </w:rPr>
        <w:t>7</w:t>
      </w:r>
      <w:r w:rsidRPr="00941635">
        <w:rPr>
          <w:rFonts w:eastAsia="Times New Roman"/>
          <w:b/>
          <w:bCs/>
          <w:szCs w:val="28"/>
        </w:rPr>
        <w:tab/>
      </w:r>
      <w:r>
        <w:rPr>
          <w:rFonts w:eastAsia="Times New Roman"/>
          <w:b/>
          <w:bCs/>
          <w:szCs w:val="28"/>
        </w:rPr>
        <w:tab/>
        <w:t xml:space="preserve">Meziroční změny vývozu </w:t>
      </w:r>
      <w:r w:rsidR="00242EB8">
        <w:rPr>
          <w:rFonts w:eastAsia="Times New Roman"/>
          <w:b/>
          <w:bCs/>
          <w:szCs w:val="28"/>
        </w:rPr>
        <w:t xml:space="preserve">zboží </w:t>
      </w:r>
      <w:r w:rsidR="00DB69F4">
        <w:rPr>
          <w:rFonts w:eastAsia="Times New Roman"/>
          <w:b/>
          <w:bCs/>
          <w:szCs w:val="28"/>
        </w:rPr>
        <w:t xml:space="preserve">z ČR </w:t>
      </w:r>
      <w:r w:rsidR="00242EB8">
        <w:rPr>
          <w:rFonts w:eastAsia="Times New Roman"/>
          <w:b/>
          <w:bCs/>
          <w:szCs w:val="28"/>
        </w:rPr>
        <w:t>do Polska</w:t>
      </w:r>
    </w:p>
    <w:p w:rsidR="00422A5E" w:rsidRDefault="005B4C89" w:rsidP="005B4C89">
      <w:pPr>
        <w:spacing w:before="40" w:line="240" w:lineRule="auto"/>
        <w:jc w:val="left"/>
        <w:rPr>
          <w:rFonts w:eastAsia="Times New Roman"/>
          <w:b/>
          <w:bCs/>
          <w:szCs w:val="28"/>
        </w:rPr>
      </w:pPr>
      <w:r>
        <w:rPr>
          <w:noProof/>
          <w:lang w:eastAsia="cs-CZ"/>
        </w:rPr>
        <w:drawing>
          <wp:inline distT="0" distB="0" distL="0" distR="0" wp14:anchorId="27F843D1" wp14:editId="04EFC98B">
            <wp:extent cx="5400040" cy="1760855"/>
            <wp:effectExtent l="0" t="0" r="10160" b="1079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059E" w:rsidRPr="008C5D13" w:rsidRDefault="007C059E" w:rsidP="007C059E">
      <w:pPr>
        <w:rPr>
          <w:color w:val="292929"/>
          <w:szCs w:val="20"/>
        </w:rPr>
      </w:pPr>
    </w:p>
    <w:p w:rsidR="00290101" w:rsidRDefault="0056527E" w:rsidP="007C059E">
      <w:pPr>
        <w:rPr>
          <w:color w:val="292929"/>
          <w:szCs w:val="20"/>
        </w:rPr>
      </w:pPr>
      <w:r w:rsidRPr="007C059E">
        <w:rPr>
          <w:color w:val="292929"/>
          <w:szCs w:val="20"/>
        </w:rPr>
        <w:t xml:space="preserve">V absolutním vyjádření klesl </w:t>
      </w:r>
      <w:r w:rsidRPr="007C059E">
        <w:rPr>
          <w:b/>
          <w:color w:val="292929"/>
          <w:szCs w:val="20"/>
        </w:rPr>
        <w:t>d</w:t>
      </w:r>
      <w:r w:rsidR="00290101" w:rsidRPr="007C059E">
        <w:rPr>
          <w:b/>
          <w:color w:val="292929"/>
          <w:szCs w:val="20"/>
        </w:rPr>
        <w:t>ovoz</w:t>
      </w:r>
      <w:r w:rsidR="00290101" w:rsidRPr="007C059E">
        <w:rPr>
          <w:color w:val="292929"/>
          <w:szCs w:val="20"/>
        </w:rPr>
        <w:t xml:space="preserve"> </w:t>
      </w:r>
      <w:r w:rsidRPr="007C059E">
        <w:rPr>
          <w:color w:val="292929"/>
          <w:szCs w:val="20"/>
        </w:rPr>
        <w:t xml:space="preserve">zboží z Polska </w:t>
      </w:r>
      <w:r w:rsidR="00290101" w:rsidRPr="007C059E">
        <w:rPr>
          <w:color w:val="292929"/>
          <w:szCs w:val="20"/>
        </w:rPr>
        <w:t xml:space="preserve">meziročně o </w:t>
      </w:r>
      <w:r w:rsidRPr="007C059E">
        <w:rPr>
          <w:color w:val="292929"/>
          <w:szCs w:val="20"/>
        </w:rPr>
        <w:t>7,</w:t>
      </w:r>
      <w:r w:rsidR="00726CE8">
        <w:rPr>
          <w:color w:val="292929"/>
          <w:szCs w:val="20"/>
        </w:rPr>
        <w:t>5</w:t>
      </w:r>
      <w:r w:rsidR="00290101" w:rsidRPr="007C059E">
        <w:rPr>
          <w:color w:val="292929"/>
          <w:szCs w:val="20"/>
        </w:rPr>
        <w:t xml:space="preserve"> mld. Kč a </w:t>
      </w:r>
      <w:r w:rsidR="007C059E" w:rsidRPr="007C059E">
        <w:rPr>
          <w:color w:val="292929"/>
          <w:szCs w:val="20"/>
        </w:rPr>
        <w:t xml:space="preserve">v roce 2020 </w:t>
      </w:r>
      <w:r w:rsidR="00290101" w:rsidRPr="007C059E">
        <w:rPr>
          <w:color w:val="292929"/>
          <w:szCs w:val="20"/>
        </w:rPr>
        <w:t xml:space="preserve">činil </w:t>
      </w:r>
      <w:r w:rsidRPr="007C059E">
        <w:rPr>
          <w:color w:val="292929"/>
          <w:szCs w:val="20"/>
        </w:rPr>
        <w:t>288,</w:t>
      </w:r>
      <w:r w:rsidR="00726CE8">
        <w:rPr>
          <w:color w:val="292929"/>
          <w:szCs w:val="20"/>
        </w:rPr>
        <w:t>6</w:t>
      </w:r>
      <w:r w:rsidR="00290101" w:rsidRPr="007C059E">
        <w:rPr>
          <w:color w:val="292929"/>
          <w:szCs w:val="20"/>
        </w:rPr>
        <w:t xml:space="preserve"> mld. Kč. Stejně jako vývoz zaznamenal </w:t>
      </w:r>
      <w:r w:rsidR="007C059E">
        <w:rPr>
          <w:color w:val="292929"/>
          <w:szCs w:val="20"/>
        </w:rPr>
        <w:t>i dovoz vyjádřený v </w:t>
      </w:r>
      <w:r w:rsidR="00250DEA">
        <w:rPr>
          <w:color w:val="292929"/>
          <w:szCs w:val="20"/>
        </w:rPr>
        <w:t>eurech</w:t>
      </w:r>
      <w:r w:rsidR="00290101" w:rsidRPr="007C059E">
        <w:rPr>
          <w:color w:val="292929"/>
          <w:szCs w:val="20"/>
        </w:rPr>
        <w:t xml:space="preserve"> výraznější meziroční snížení v porovnání s poklesem v Kč. V přepočtu na eura klesl dovoz o </w:t>
      </w:r>
      <w:r w:rsidRPr="007C059E">
        <w:rPr>
          <w:color w:val="292929"/>
          <w:szCs w:val="20"/>
        </w:rPr>
        <w:t>5,</w:t>
      </w:r>
      <w:r w:rsidR="00726CE8">
        <w:rPr>
          <w:color w:val="292929"/>
          <w:szCs w:val="20"/>
        </w:rPr>
        <w:t>2</w:t>
      </w:r>
      <w:r w:rsidR="00290101" w:rsidRPr="007C059E">
        <w:rPr>
          <w:color w:val="292929"/>
          <w:szCs w:val="20"/>
        </w:rPr>
        <w:t xml:space="preserve"> % </w:t>
      </w:r>
      <w:r w:rsidRPr="007C059E">
        <w:rPr>
          <w:color w:val="292929"/>
          <w:szCs w:val="20"/>
        </w:rPr>
        <w:t>z 11,5 mld. EUR v roce 2019 na 10,9 mld. EUR v roce 2020</w:t>
      </w:r>
      <w:r w:rsidR="007C059E">
        <w:rPr>
          <w:color w:val="292929"/>
          <w:szCs w:val="20"/>
        </w:rPr>
        <w:t>.</w:t>
      </w:r>
    </w:p>
    <w:p w:rsidR="007C059E" w:rsidRPr="00255E6B" w:rsidRDefault="007C059E" w:rsidP="007C059E">
      <w:pPr>
        <w:rPr>
          <w:color w:val="292929"/>
          <w:szCs w:val="20"/>
        </w:rPr>
      </w:pPr>
    </w:p>
    <w:p w:rsidR="00422A5E" w:rsidRDefault="00422A5E" w:rsidP="007C059E">
      <w:pPr>
        <w:spacing w:after="80" w:line="240" w:lineRule="auto"/>
        <w:jc w:val="left"/>
        <w:rPr>
          <w:rFonts w:eastAsia="Times New Roman"/>
          <w:b/>
          <w:bCs/>
          <w:szCs w:val="28"/>
        </w:rPr>
      </w:pPr>
      <w:r w:rsidRPr="00941635">
        <w:rPr>
          <w:rFonts w:eastAsia="Times New Roman"/>
          <w:b/>
          <w:bCs/>
          <w:szCs w:val="28"/>
        </w:rPr>
        <w:t xml:space="preserve">Graf </w:t>
      </w:r>
      <w:r w:rsidR="00354677">
        <w:rPr>
          <w:rFonts w:eastAsia="Times New Roman"/>
          <w:b/>
          <w:bCs/>
          <w:szCs w:val="28"/>
        </w:rPr>
        <w:t>8</w:t>
      </w:r>
      <w:r w:rsidRPr="00941635">
        <w:rPr>
          <w:rFonts w:eastAsia="Times New Roman"/>
          <w:b/>
          <w:bCs/>
          <w:szCs w:val="28"/>
        </w:rPr>
        <w:tab/>
      </w:r>
      <w:r>
        <w:rPr>
          <w:rFonts w:eastAsia="Times New Roman"/>
          <w:b/>
          <w:bCs/>
          <w:szCs w:val="28"/>
        </w:rPr>
        <w:tab/>
        <w:t xml:space="preserve">Meziroční změny </w:t>
      </w:r>
      <w:r w:rsidR="00354677">
        <w:rPr>
          <w:rFonts w:eastAsia="Times New Roman"/>
          <w:b/>
          <w:bCs/>
          <w:szCs w:val="28"/>
        </w:rPr>
        <w:t>do</w:t>
      </w:r>
      <w:r>
        <w:rPr>
          <w:rFonts w:eastAsia="Times New Roman"/>
          <w:b/>
          <w:bCs/>
          <w:szCs w:val="28"/>
        </w:rPr>
        <w:t xml:space="preserve">vozu zboží </w:t>
      </w:r>
      <w:r w:rsidR="00354677">
        <w:rPr>
          <w:rFonts w:eastAsia="Times New Roman"/>
          <w:b/>
          <w:bCs/>
          <w:szCs w:val="28"/>
        </w:rPr>
        <w:t>z</w:t>
      </w:r>
      <w:r w:rsidR="00DB69F4">
        <w:rPr>
          <w:rFonts w:eastAsia="Times New Roman"/>
          <w:b/>
          <w:bCs/>
          <w:szCs w:val="28"/>
        </w:rPr>
        <w:t> </w:t>
      </w:r>
      <w:r>
        <w:rPr>
          <w:rFonts w:eastAsia="Times New Roman"/>
          <w:b/>
          <w:bCs/>
          <w:szCs w:val="28"/>
        </w:rPr>
        <w:t>Polska</w:t>
      </w:r>
      <w:r w:rsidR="00DB69F4">
        <w:rPr>
          <w:rFonts w:eastAsia="Times New Roman"/>
          <w:b/>
          <w:bCs/>
          <w:szCs w:val="28"/>
        </w:rPr>
        <w:t xml:space="preserve"> do ČR</w:t>
      </w:r>
    </w:p>
    <w:p w:rsidR="00422A5E" w:rsidRDefault="008C5D13" w:rsidP="005B4C89">
      <w:pPr>
        <w:rPr>
          <w:color w:val="292929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667B6E06" wp14:editId="1B065FEA">
            <wp:extent cx="5400040" cy="1663065"/>
            <wp:effectExtent l="0" t="0" r="10160" b="13335"/>
            <wp:docPr id="39" name="Graf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135BA" w:rsidRDefault="007135BA" w:rsidP="00095129">
      <w:pPr>
        <w:shd w:val="clear" w:color="auto" w:fill="D5EAFF"/>
        <w:rPr>
          <w:b/>
        </w:rPr>
      </w:pPr>
      <w:r w:rsidRPr="00095129">
        <w:rPr>
          <w:b/>
        </w:rPr>
        <w:lastRenderedPageBreak/>
        <w:t>Zbožová struktura</w:t>
      </w:r>
    </w:p>
    <w:p w:rsidR="007135BA" w:rsidRDefault="007135BA">
      <w:pPr>
        <w:spacing w:line="240" w:lineRule="auto"/>
        <w:jc w:val="left"/>
        <w:rPr>
          <w:b/>
        </w:rPr>
      </w:pPr>
    </w:p>
    <w:p w:rsidR="006A4165" w:rsidRDefault="006A4165" w:rsidP="006A4165">
      <w:r w:rsidRPr="006A4165">
        <w:t xml:space="preserve">Ve zbožové struktuře českého </w:t>
      </w:r>
      <w:r w:rsidRPr="006A4165">
        <w:rPr>
          <w:b/>
        </w:rPr>
        <w:t>vývozu</w:t>
      </w:r>
      <w:r w:rsidRPr="006A4165">
        <w:t xml:space="preserve"> do Polska stojí na prvním místě </w:t>
      </w:r>
      <w:r w:rsidRPr="006A4165">
        <w:rPr>
          <w:b/>
        </w:rPr>
        <w:t>motorová vozidla, přívěsy a návěsy</w:t>
      </w:r>
      <w:r w:rsidRPr="006A4165">
        <w:t xml:space="preserve"> (včetně dílů a příslušenství)</w:t>
      </w:r>
      <w:r w:rsidR="00F75B09">
        <w:rPr>
          <w:rStyle w:val="Znakapoznpodarou"/>
        </w:rPr>
        <w:footnoteReference w:id="6"/>
      </w:r>
      <w:r w:rsidRPr="006A4165">
        <w:t xml:space="preserve">, jejichž podíl tvoří dlouhodobě asi pětinu celkového českého vývozu do této země. </w:t>
      </w:r>
      <w:r w:rsidR="00726CE8" w:rsidRPr="00726CE8">
        <w:t>V roce 2020 dosáhl po</w:t>
      </w:r>
      <w:r w:rsidR="00EB0B8E">
        <w:t>díl tohoto vývozu 19,9 %, tj. o 2,8 </w:t>
      </w:r>
      <w:r w:rsidR="00726CE8" w:rsidRPr="00726CE8">
        <w:t>p.b</w:t>
      </w:r>
      <w:r w:rsidR="00EB0B8E">
        <w:t xml:space="preserve">. </w:t>
      </w:r>
      <w:r w:rsidR="00726CE8" w:rsidRPr="00726CE8">
        <w:t>méně</w:t>
      </w:r>
      <w:r w:rsidR="00605264">
        <w:t xml:space="preserve"> </w:t>
      </w:r>
      <w:r w:rsidR="00726CE8" w:rsidRPr="00726CE8">
        <w:t>než v roce 2019, zato o 2,</w:t>
      </w:r>
      <w:r w:rsidR="00816E31">
        <w:t>2</w:t>
      </w:r>
      <w:r w:rsidR="00726CE8" w:rsidRPr="00726CE8">
        <w:t xml:space="preserve"> p.b. více než v roce 2015.</w:t>
      </w:r>
      <w:r w:rsidRPr="006A4165">
        <w:t xml:space="preserve"> K dalším komoditám s významným podílem na vývozu patří chemické látky a přípravky (9,7 %)</w:t>
      </w:r>
      <w:r w:rsidR="00175F92">
        <w:t>,</w:t>
      </w:r>
      <w:r w:rsidRPr="006A4165">
        <w:t xml:space="preserve"> základní kovy (8,</w:t>
      </w:r>
      <w:r w:rsidR="00726CE8">
        <w:t>4</w:t>
      </w:r>
      <w:r w:rsidRPr="006A4165">
        <w:t xml:space="preserve"> %)</w:t>
      </w:r>
      <w:r w:rsidR="00175F92">
        <w:t>,</w:t>
      </w:r>
      <w:r w:rsidRPr="006A4165">
        <w:t xml:space="preserve"> </w:t>
      </w:r>
      <w:r w:rsidRPr="00EB0B8E">
        <w:rPr>
          <w:spacing w:val="-4"/>
        </w:rPr>
        <w:t>stroje a zařízení (7,</w:t>
      </w:r>
      <w:r w:rsidR="00726CE8" w:rsidRPr="00EB0B8E">
        <w:rPr>
          <w:spacing w:val="-4"/>
        </w:rPr>
        <w:t>7</w:t>
      </w:r>
      <w:r w:rsidRPr="00EB0B8E">
        <w:rPr>
          <w:spacing w:val="-4"/>
        </w:rPr>
        <w:t xml:space="preserve"> %), elektrická zařízení (7,</w:t>
      </w:r>
      <w:r w:rsidR="00726CE8" w:rsidRPr="00EB0B8E">
        <w:rPr>
          <w:spacing w:val="-4"/>
        </w:rPr>
        <w:t>2</w:t>
      </w:r>
      <w:r w:rsidRPr="00EB0B8E">
        <w:rPr>
          <w:spacing w:val="-4"/>
        </w:rPr>
        <w:t xml:space="preserve"> %), počítače, elektronické a optické přístroje (7,</w:t>
      </w:r>
      <w:r w:rsidR="00175F92" w:rsidRPr="00EB0B8E">
        <w:rPr>
          <w:spacing w:val="-4"/>
        </w:rPr>
        <w:t>2</w:t>
      </w:r>
      <w:r w:rsidRPr="00EB0B8E">
        <w:rPr>
          <w:spacing w:val="-4"/>
        </w:rPr>
        <w:t xml:space="preserve"> </w:t>
      </w:r>
      <w:r w:rsidR="00AC5085" w:rsidRPr="00EB0B8E">
        <w:rPr>
          <w:spacing w:val="-4"/>
        </w:rPr>
        <w:t>%),</w:t>
      </w:r>
      <w:r w:rsidR="00AC5085">
        <w:t xml:space="preserve"> kovodělné výrobky (5,7 %) a </w:t>
      </w:r>
      <w:r w:rsidRPr="006A4165">
        <w:t>potravinářské výrobky (5,</w:t>
      </w:r>
      <w:r w:rsidR="00726CE8">
        <w:t>5</w:t>
      </w:r>
      <w:r w:rsidRPr="006A4165">
        <w:t xml:space="preserve"> %).</w:t>
      </w:r>
    </w:p>
    <w:p w:rsidR="00742187" w:rsidRPr="00545026" w:rsidRDefault="004B60B3" w:rsidP="006A4165">
      <w:pPr>
        <w:rPr>
          <w:sz w:val="18"/>
          <w:szCs w:val="18"/>
        </w:rPr>
      </w:pPr>
      <w:r w:rsidRPr="004B60B3">
        <w:t xml:space="preserve"> </w:t>
      </w:r>
    </w:p>
    <w:p w:rsidR="00742187" w:rsidRDefault="00742187" w:rsidP="00742187">
      <w:pPr>
        <w:pStyle w:val="TabulkaGraf"/>
        <w:spacing w:after="80"/>
      </w:pPr>
      <w:r>
        <w:t xml:space="preserve">Tabulka </w:t>
      </w:r>
      <w:r w:rsidR="005A6C68">
        <w:t>7</w:t>
      </w:r>
      <w:r>
        <w:tab/>
        <w:t xml:space="preserve">Zahraniční obchod s motorovými vozidly (včetně dílů) </w:t>
      </w:r>
      <w:r w:rsidR="00DB69F4">
        <w:t xml:space="preserve">mezi ČR a </w:t>
      </w:r>
      <w:r>
        <w:t>Polskem</w:t>
      </w:r>
    </w:p>
    <w:tbl>
      <w:tblPr>
        <w:tblStyle w:val="Tmavtabulkasmkou5zvraznn2"/>
        <w:tblW w:w="0" w:type="auto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742187" w:rsidTr="00B26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right w:val="single" w:sz="4" w:space="0" w:color="D9D9D9" w:themeColor="background1" w:themeShade="D9"/>
            </w:tcBorders>
            <w:shd w:val="clear" w:color="auto" w:fill="BD1B21"/>
          </w:tcPr>
          <w:p w:rsidR="00742187" w:rsidRPr="00A82B51" w:rsidRDefault="00742187" w:rsidP="00BA02F6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1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742187" w:rsidRPr="0017169D" w:rsidRDefault="00742187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2015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742187" w:rsidRPr="0017169D" w:rsidRDefault="00742187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2016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742187" w:rsidRPr="0017169D" w:rsidRDefault="00742187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2017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742187" w:rsidRPr="0017169D" w:rsidRDefault="00742187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2018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742187" w:rsidRPr="0017169D" w:rsidRDefault="00742187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2019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742187" w:rsidRPr="0017169D" w:rsidRDefault="00742187" w:rsidP="00BA02F6">
            <w:pPr>
              <w:pStyle w:val="Odstavecseseznamem"/>
              <w:spacing w:line="240" w:lineRule="auto"/>
              <w:ind w:lef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2020</w:t>
            </w:r>
          </w:p>
        </w:tc>
      </w:tr>
      <w:tr w:rsidR="00742187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:rsidR="00742187" w:rsidRDefault="00742187" w:rsidP="00BA02F6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7277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742187" w:rsidRPr="00077352" w:rsidRDefault="00742187" w:rsidP="00BA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mld. Kč</w:t>
            </w:r>
          </w:p>
        </w:tc>
      </w:tr>
      <w:tr w:rsidR="00910E96" w:rsidTr="00B2611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910E96" w:rsidRPr="00910E96" w:rsidRDefault="00910E96" w:rsidP="00910E9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O</w:t>
            </w:r>
            <w:r w:rsidRPr="00910E96">
              <w:rPr>
                <w:b w:val="0"/>
                <w:color w:val="auto"/>
                <w:sz w:val="18"/>
                <w:szCs w:val="18"/>
              </w:rPr>
              <w:t>brat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910E96" w:rsidRPr="00910E96" w:rsidRDefault="0092191A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85,2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910E96" w:rsidRPr="00910E96" w:rsidRDefault="0092191A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97,7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910E96" w:rsidRPr="00910E96" w:rsidRDefault="0092191A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107,4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910E96" w:rsidRPr="00910E96" w:rsidRDefault="0092191A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111,6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910E96" w:rsidRPr="00910E96" w:rsidRDefault="0092191A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119,9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910E96" w:rsidRPr="00910E96" w:rsidRDefault="00BC3A7E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106,0</w:t>
            </w:r>
          </w:p>
        </w:tc>
      </w:tr>
      <w:tr w:rsidR="00E67F18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E67F18" w:rsidRPr="00077352" w:rsidRDefault="00E67F18" w:rsidP="00E67F18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Vývoz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36,1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41,3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47,1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49,2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53,1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92191A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45,7</w:t>
            </w:r>
          </w:p>
        </w:tc>
      </w:tr>
      <w:tr w:rsidR="00E67F18" w:rsidTr="00B2611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auto"/>
            <w:vAlign w:val="bottom"/>
          </w:tcPr>
          <w:p w:rsidR="00E67F18" w:rsidRPr="00077352" w:rsidRDefault="00E67F18" w:rsidP="00E67F18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Dovoz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E67F18">
              <w:rPr>
                <w:rFonts w:cs="Arial"/>
                <w:color w:val="000000"/>
                <w:sz w:val="18"/>
                <w:szCs w:val="18"/>
                <w:lang w:eastAsia="cs-CZ"/>
              </w:rPr>
              <w:t>49,1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56,5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60,3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62,4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66,9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92191A" w:rsidP="00BC3A7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60,</w:t>
            </w:r>
            <w:r w:rsidR="00BC3A7E">
              <w:rPr>
                <w:rFonts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E67F18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E67F18" w:rsidRDefault="00E67F18" w:rsidP="00E67F18">
            <w:pPr>
              <w:jc w:val="left"/>
              <w:rPr>
                <w:b w:val="0"/>
                <w:sz w:val="18"/>
                <w:szCs w:val="18"/>
              </w:rPr>
            </w:pPr>
            <w:r w:rsidRPr="00F2764B">
              <w:rPr>
                <w:b w:val="0"/>
                <w:color w:val="auto"/>
                <w:sz w:val="18"/>
                <w:szCs w:val="18"/>
              </w:rPr>
              <w:t>Bil</w:t>
            </w:r>
            <w:r>
              <w:rPr>
                <w:b w:val="0"/>
                <w:color w:val="auto"/>
                <w:sz w:val="18"/>
                <w:szCs w:val="18"/>
              </w:rPr>
              <w:t>ance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-13,0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-15,2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-13,2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-13,2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E67F18" w:rsidP="00E67F1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-13,8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67F18" w:rsidRPr="00E67F18" w:rsidRDefault="0092191A" w:rsidP="00BC3A7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-14,</w:t>
            </w:r>
            <w:r w:rsidR="00BC3A7E">
              <w:rPr>
                <w:rFonts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</w:tbl>
    <w:p w:rsidR="00742187" w:rsidRPr="00545026" w:rsidRDefault="00742187" w:rsidP="00742187">
      <w:pPr>
        <w:rPr>
          <w:szCs w:val="20"/>
        </w:rPr>
      </w:pPr>
    </w:p>
    <w:p w:rsidR="00DE1E01" w:rsidRPr="006A4165" w:rsidRDefault="006A4165" w:rsidP="00DE1E01">
      <w:r w:rsidRPr="006A4165">
        <w:t xml:space="preserve">Vývoz </w:t>
      </w:r>
      <w:r w:rsidRPr="006A4165">
        <w:rPr>
          <w:b/>
        </w:rPr>
        <w:t>motorových vozidel</w:t>
      </w:r>
      <w:r w:rsidRPr="006A4165">
        <w:t xml:space="preserve"> </w:t>
      </w:r>
      <w:r w:rsidR="00D20115">
        <w:t xml:space="preserve">(včetně dílů a příslušenství) </w:t>
      </w:r>
      <w:r w:rsidRPr="006A4165">
        <w:t xml:space="preserve">z Česka do Polska vzrostl od roku 2015 zhruba o čtvrtinu a v roce 2020 dosáhl 45,7 mld. Kč, o </w:t>
      </w:r>
      <w:r w:rsidR="00BC3A7E">
        <w:t>13,8</w:t>
      </w:r>
      <w:r w:rsidRPr="006A4165">
        <w:t xml:space="preserve"> % méně než v roce 2019. </w:t>
      </w:r>
      <w:r w:rsidR="00DE1E01" w:rsidRPr="00DE1E01">
        <w:t>Podíly, které v rámci této skupiny připadají na jednotlivé komodity</w:t>
      </w:r>
      <w:r w:rsidR="00AC5085">
        <w:t>, jsou</w:t>
      </w:r>
      <w:r w:rsidR="00DE1E01" w:rsidRPr="00DE1E01">
        <w:t xml:space="preserve"> uveden</w:t>
      </w:r>
      <w:r w:rsidR="00AC5085">
        <w:t>y</w:t>
      </w:r>
      <w:r w:rsidR="00DE1E01" w:rsidRPr="00DE1E01">
        <w:t xml:space="preserve"> v grafu 9.</w:t>
      </w:r>
    </w:p>
    <w:p w:rsidR="00E67F18" w:rsidRPr="0051737F" w:rsidRDefault="00E67F18">
      <w:pPr>
        <w:spacing w:line="240" w:lineRule="auto"/>
        <w:jc w:val="left"/>
        <w:rPr>
          <w:szCs w:val="20"/>
        </w:rPr>
      </w:pPr>
    </w:p>
    <w:p w:rsidR="00D12F4C" w:rsidRPr="0011724E" w:rsidRDefault="00D12F4C" w:rsidP="00D12F4C">
      <w:pPr>
        <w:spacing w:after="40"/>
        <w:rPr>
          <w:rFonts w:cs="Arial"/>
          <w:b/>
          <w:szCs w:val="20"/>
        </w:rPr>
      </w:pPr>
      <w:r w:rsidRPr="0011724E">
        <w:rPr>
          <w:b/>
        </w:rPr>
        <w:t xml:space="preserve">Graf </w:t>
      </w:r>
      <w:r w:rsidR="00354677">
        <w:rPr>
          <w:b/>
        </w:rPr>
        <w:t>9</w:t>
      </w:r>
      <w:r w:rsidRPr="0011724E">
        <w:rPr>
          <w:b/>
        </w:rPr>
        <w:tab/>
      </w:r>
      <w:r w:rsidR="009C3AFF">
        <w:rPr>
          <w:b/>
        </w:rPr>
        <w:tab/>
      </w:r>
      <w:r w:rsidR="00CF76C4">
        <w:rPr>
          <w:rFonts w:cs="Arial"/>
          <w:b/>
          <w:szCs w:val="20"/>
        </w:rPr>
        <w:t>P</w:t>
      </w:r>
      <w:r>
        <w:rPr>
          <w:rFonts w:cs="Arial"/>
          <w:b/>
          <w:szCs w:val="20"/>
        </w:rPr>
        <w:t>odíl motorových vozidel a dílů s Polskem v roce 2020</w:t>
      </w:r>
      <w:r w:rsidR="00DB69F4">
        <w:rPr>
          <w:rFonts w:cs="Arial"/>
          <w:b/>
          <w:szCs w:val="20"/>
        </w:rPr>
        <w:t xml:space="preserve"> *</w:t>
      </w:r>
    </w:p>
    <w:p w:rsidR="00D12F4C" w:rsidRDefault="00890C21" w:rsidP="00D12F4C">
      <w:pPr>
        <w:rPr>
          <w:highlight w:val="lightGray"/>
        </w:rPr>
      </w:pPr>
      <w:r>
        <w:rPr>
          <w:noProof/>
          <w:lang w:eastAsia="cs-CZ"/>
        </w:rPr>
        <mc:AlternateContent>
          <mc:Choice Requires="cx1">
            <w:drawing>
              <wp:inline distT="0" distB="0" distL="0" distR="0" wp14:anchorId="74C294EE" wp14:editId="14F44385">
                <wp:extent cx="5400040" cy="1235710"/>
                <wp:effectExtent l="0" t="0" r="10160" b="2540"/>
                <wp:docPr id="40" name="Graf 40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</wp:inline>
            </w:drawing>
          </mc:Choice>
          <mc:Fallback>
            <w:drawing>
              <wp:inline distT="0" distB="0" distL="0" distR="0" wp14:anchorId="74C294EE" wp14:editId="14F44385">
                <wp:extent cx="5400040" cy="1235710"/>
                <wp:effectExtent l="0" t="0" r="10160" b="2540"/>
                <wp:docPr id="40" name="Graf 40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Graf 40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123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12F4C" w:rsidRPr="00DB69F4" w:rsidRDefault="00DB69F4" w:rsidP="00DB69F4">
      <w:pPr>
        <w:spacing w:before="20"/>
        <w:rPr>
          <w:sz w:val="16"/>
          <w:szCs w:val="16"/>
        </w:rPr>
      </w:pPr>
      <w:r w:rsidRPr="00DB69F4">
        <w:rPr>
          <w:sz w:val="16"/>
          <w:szCs w:val="16"/>
        </w:rPr>
        <w:t xml:space="preserve">* Podíl CPA 292 </w:t>
      </w:r>
      <w:r w:rsidR="001B67B4">
        <w:rPr>
          <w:sz w:val="16"/>
          <w:szCs w:val="16"/>
        </w:rPr>
        <w:t xml:space="preserve">na oddílu CPA 29: </w:t>
      </w:r>
      <w:r w:rsidR="009C3AFF">
        <w:rPr>
          <w:sz w:val="16"/>
          <w:szCs w:val="16"/>
        </w:rPr>
        <w:t>ve</w:t>
      </w:r>
      <w:r w:rsidRPr="00DB69F4">
        <w:rPr>
          <w:sz w:val="16"/>
          <w:szCs w:val="16"/>
        </w:rPr>
        <w:t xml:space="preserve"> vývoz</w:t>
      </w:r>
      <w:r w:rsidR="008C5D13">
        <w:rPr>
          <w:sz w:val="16"/>
          <w:szCs w:val="16"/>
        </w:rPr>
        <w:t>u</w:t>
      </w:r>
      <w:r w:rsidR="001B67B4">
        <w:rPr>
          <w:sz w:val="16"/>
          <w:szCs w:val="16"/>
        </w:rPr>
        <w:t xml:space="preserve"> </w:t>
      </w:r>
      <w:r w:rsidR="00322092">
        <w:rPr>
          <w:sz w:val="16"/>
          <w:szCs w:val="16"/>
        </w:rPr>
        <w:t>-</w:t>
      </w:r>
      <w:r w:rsidRPr="00DB69F4">
        <w:rPr>
          <w:sz w:val="16"/>
          <w:szCs w:val="16"/>
        </w:rPr>
        <w:t xml:space="preserve"> </w:t>
      </w:r>
      <w:r w:rsidR="001B67B4">
        <w:rPr>
          <w:sz w:val="16"/>
          <w:szCs w:val="16"/>
        </w:rPr>
        <w:t>0</w:t>
      </w:r>
      <w:r w:rsidR="008C5D13">
        <w:rPr>
          <w:sz w:val="16"/>
          <w:szCs w:val="16"/>
        </w:rPr>
        <w:t>,</w:t>
      </w:r>
      <w:r w:rsidR="001B67B4">
        <w:rPr>
          <w:sz w:val="16"/>
          <w:szCs w:val="16"/>
        </w:rPr>
        <w:t>9</w:t>
      </w:r>
      <w:r w:rsidRPr="00DB69F4">
        <w:rPr>
          <w:sz w:val="16"/>
          <w:szCs w:val="16"/>
        </w:rPr>
        <w:t xml:space="preserve"> %, </w:t>
      </w:r>
      <w:r w:rsidR="009C3AFF">
        <w:rPr>
          <w:sz w:val="16"/>
          <w:szCs w:val="16"/>
        </w:rPr>
        <w:t>v</w:t>
      </w:r>
      <w:r w:rsidR="001B67B4">
        <w:rPr>
          <w:sz w:val="16"/>
          <w:szCs w:val="16"/>
        </w:rPr>
        <w:t> </w:t>
      </w:r>
      <w:r w:rsidRPr="00DB69F4">
        <w:rPr>
          <w:sz w:val="16"/>
          <w:szCs w:val="16"/>
        </w:rPr>
        <w:t>dovoz</w:t>
      </w:r>
      <w:r w:rsidR="008C5D13">
        <w:rPr>
          <w:sz w:val="16"/>
          <w:szCs w:val="16"/>
        </w:rPr>
        <w:t>u</w:t>
      </w:r>
      <w:r w:rsidR="001B67B4">
        <w:rPr>
          <w:sz w:val="16"/>
          <w:szCs w:val="16"/>
        </w:rPr>
        <w:t xml:space="preserve"> -</w:t>
      </w:r>
      <w:r w:rsidRPr="00DB69F4">
        <w:rPr>
          <w:sz w:val="16"/>
          <w:szCs w:val="16"/>
        </w:rPr>
        <w:t xml:space="preserve"> </w:t>
      </w:r>
      <w:r w:rsidR="001B67B4">
        <w:rPr>
          <w:sz w:val="16"/>
          <w:szCs w:val="16"/>
        </w:rPr>
        <w:t xml:space="preserve">2,4 </w:t>
      </w:r>
      <w:r w:rsidRPr="00DB69F4">
        <w:rPr>
          <w:sz w:val="16"/>
          <w:szCs w:val="16"/>
        </w:rPr>
        <w:t>%</w:t>
      </w:r>
      <w:r>
        <w:rPr>
          <w:sz w:val="16"/>
          <w:szCs w:val="16"/>
        </w:rPr>
        <w:t>.</w:t>
      </w:r>
    </w:p>
    <w:p w:rsidR="00DB69F4" w:rsidRPr="00DB69F4" w:rsidRDefault="00DB69F4" w:rsidP="007135BA">
      <w:pPr>
        <w:rPr>
          <w:sz w:val="18"/>
          <w:szCs w:val="18"/>
        </w:rPr>
      </w:pPr>
    </w:p>
    <w:p w:rsidR="006A4165" w:rsidRPr="00771802" w:rsidRDefault="006A4165" w:rsidP="006A4165">
      <w:r w:rsidRPr="006A4165">
        <w:t xml:space="preserve">Druhou nejvýznamnější položkou českého vývozu do Polska jsou </w:t>
      </w:r>
      <w:r w:rsidRPr="006A4165">
        <w:rPr>
          <w:b/>
        </w:rPr>
        <w:t>chemické látky a přípravky</w:t>
      </w:r>
      <w:r w:rsidR="008C3953">
        <w:rPr>
          <w:b/>
        </w:rPr>
        <w:t>.</w:t>
      </w:r>
      <w:r w:rsidRPr="006A4165">
        <w:rPr>
          <w:b/>
        </w:rPr>
        <w:t xml:space="preserve"> </w:t>
      </w:r>
      <w:r w:rsidRPr="006A4165">
        <w:t>V roce 2020 dosáhl jejich vývoz 22,</w:t>
      </w:r>
      <w:r w:rsidR="00175F92">
        <w:t>3</w:t>
      </w:r>
      <w:r w:rsidRPr="006A4165">
        <w:t xml:space="preserve"> mld. Kč, z čehož největší část tvořily základní chemické látky, hnojiva a dusíkaté sloučeniny, plasty a syntetický kaučuk v primárních formách.</w:t>
      </w:r>
      <w:r w:rsidRPr="00D41D84">
        <w:t xml:space="preserve"> </w:t>
      </w:r>
    </w:p>
    <w:p w:rsidR="007135BA" w:rsidRPr="009C3AFF" w:rsidRDefault="007135BA" w:rsidP="007135BA">
      <w:pPr>
        <w:rPr>
          <w:sz w:val="18"/>
          <w:szCs w:val="18"/>
        </w:rPr>
      </w:pPr>
    </w:p>
    <w:p w:rsidR="006A4165" w:rsidRDefault="006A4165" w:rsidP="009C3AFF">
      <w:r w:rsidRPr="006A4165">
        <w:t>Nejvýraznější položk</w:t>
      </w:r>
      <w:r w:rsidR="00B46783">
        <w:t>ou</w:t>
      </w:r>
      <w:r w:rsidRPr="006A4165">
        <w:t xml:space="preserve"> vývozu </w:t>
      </w:r>
      <w:r w:rsidRPr="006A4165">
        <w:rPr>
          <w:b/>
        </w:rPr>
        <w:t>základních kovů</w:t>
      </w:r>
      <w:r w:rsidRPr="006A4165">
        <w:t xml:space="preserve"> (19,</w:t>
      </w:r>
      <w:r w:rsidR="00175F92">
        <w:t>3</w:t>
      </w:r>
      <w:r w:rsidRPr="006A4165">
        <w:t xml:space="preserve"> mld. Kč v roce 2020) </w:t>
      </w:r>
      <w:r w:rsidRPr="00B46783">
        <w:t>bylo suro</w:t>
      </w:r>
      <w:r w:rsidRPr="006A4165">
        <w:t xml:space="preserve">vé železo, ocel a feroslitiny. Ve vývozu </w:t>
      </w:r>
      <w:r w:rsidRPr="006A4165">
        <w:rPr>
          <w:b/>
        </w:rPr>
        <w:t>strojů a zařízení</w:t>
      </w:r>
      <w:r w:rsidRPr="006A4165">
        <w:t xml:space="preserve"> (17,</w:t>
      </w:r>
      <w:r w:rsidR="00175F92">
        <w:t>6</w:t>
      </w:r>
      <w:r w:rsidRPr="006A4165">
        <w:t xml:space="preserve"> mld. Kč) měly největší zastoupení všestranně použitelné stroje a zařízení, jako jsou například průmyslová chladící a klimatizační zařízení, čerpadla a kompresory.</w:t>
      </w:r>
    </w:p>
    <w:p w:rsidR="006A4165" w:rsidRDefault="006A4165" w:rsidP="006A4165">
      <w:r w:rsidRPr="006A4165">
        <w:lastRenderedPageBreak/>
        <w:t xml:space="preserve">Vývoz </w:t>
      </w:r>
      <w:r w:rsidRPr="006A4165">
        <w:rPr>
          <w:b/>
        </w:rPr>
        <w:t xml:space="preserve">elektrických zařízení </w:t>
      </w:r>
      <w:r w:rsidRPr="006A4165">
        <w:t>dosáhl v roce 2020 hodnoty 16,7 mld. Kč a zahrnoval především elektrické motory, generátory, transformátory a elektrická vedení a elektroinstalační zařízení.</w:t>
      </w:r>
    </w:p>
    <w:p w:rsidR="00E019F6" w:rsidRDefault="00E019F6" w:rsidP="006A4165"/>
    <w:p w:rsidR="00E019F6" w:rsidRPr="00E019F6" w:rsidRDefault="00E019F6" w:rsidP="00E019F6">
      <w:pPr>
        <w:rPr>
          <w:b/>
        </w:rPr>
      </w:pPr>
      <w:r w:rsidRPr="00E019F6">
        <w:t xml:space="preserve">Stejně jako u vývozu stojí na prvním místě </w:t>
      </w:r>
      <w:r w:rsidRPr="00E019F6">
        <w:rPr>
          <w:b/>
        </w:rPr>
        <w:t>dovozu</w:t>
      </w:r>
      <w:r w:rsidRPr="00E019F6">
        <w:t xml:space="preserve"> z Polska do České republiky </w:t>
      </w:r>
      <w:r w:rsidRPr="00E019F6">
        <w:rPr>
          <w:b/>
        </w:rPr>
        <w:t xml:space="preserve">motorová vozidla </w:t>
      </w:r>
      <w:r w:rsidRPr="00E019F6">
        <w:t>(včetně dílů a příslušenství),</w:t>
      </w:r>
      <w:r w:rsidRPr="00E019F6">
        <w:rPr>
          <w:b/>
        </w:rPr>
        <w:t xml:space="preserve"> </w:t>
      </w:r>
      <w:r w:rsidRPr="00E019F6">
        <w:t>která se na celkovém českém dovozu z Polska dlouhodobě podílejí asi dvaceti procenty. V roce 2020 představoval jejich podíl 20,9 %, o 1,7 procentního bodu méně než v předchozím roce. K dalším důležitým dovozním komoditám patří základní kovy s podílem na dovozu (12,4 %), potravinářské výrobky (10,4 %), chemické látky a přípravky (9,3</w:t>
      </w:r>
      <w:r>
        <w:t> </w:t>
      </w:r>
      <w:r w:rsidRPr="00E019F6">
        <w:t>%) a pryžové a plastové výrobky (5,8 %).</w:t>
      </w:r>
    </w:p>
    <w:p w:rsidR="00E019F6" w:rsidRPr="00E019F6" w:rsidRDefault="00E019F6" w:rsidP="00E019F6">
      <w:pPr>
        <w:rPr>
          <w:b/>
        </w:rPr>
      </w:pPr>
    </w:p>
    <w:p w:rsidR="00E019F6" w:rsidRDefault="00E019F6" w:rsidP="00E019F6">
      <w:r w:rsidRPr="00E019F6">
        <w:t xml:space="preserve">Dovoz </w:t>
      </w:r>
      <w:r w:rsidRPr="00E019F6">
        <w:rPr>
          <w:b/>
        </w:rPr>
        <w:t xml:space="preserve">motorových vozidel </w:t>
      </w:r>
      <w:r w:rsidRPr="00E019F6">
        <w:t>z Polska se od roku 2015 navýšil zhruba o pětinu. V roce 2020 dosáhl 60,</w:t>
      </w:r>
      <w:r w:rsidR="00175F92">
        <w:t>3</w:t>
      </w:r>
      <w:r w:rsidRPr="00E019F6">
        <w:t xml:space="preserve"> mld. Kč, což však byl oproti předešlému roku pokles zhruba o desetinu. Z celkové hodnoty dovozu této komoditní skupiny připadají dvě třetiny na dovoz dílů a příslušenství motorových vozidel.</w:t>
      </w:r>
    </w:p>
    <w:p w:rsidR="00E019F6" w:rsidRDefault="00E019F6" w:rsidP="00E019F6"/>
    <w:p w:rsidR="00E019F6" w:rsidRPr="0011724E" w:rsidRDefault="00E019F6" w:rsidP="00E019F6">
      <w:pPr>
        <w:spacing w:after="40"/>
        <w:rPr>
          <w:rFonts w:cs="Arial"/>
          <w:b/>
          <w:szCs w:val="20"/>
        </w:rPr>
      </w:pPr>
      <w:r w:rsidRPr="0011724E">
        <w:rPr>
          <w:b/>
        </w:rPr>
        <w:t xml:space="preserve">Graf </w:t>
      </w:r>
      <w:r w:rsidR="009F461F">
        <w:rPr>
          <w:b/>
        </w:rPr>
        <w:t>10</w:t>
      </w:r>
      <w:r>
        <w:rPr>
          <w:b/>
        </w:rPr>
        <w:tab/>
      </w:r>
      <w:r w:rsidR="009C3AFF">
        <w:rPr>
          <w:b/>
        </w:rPr>
        <w:tab/>
      </w:r>
      <w:r w:rsidRPr="00FE0ED8">
        <w:rPr>
          <w:rFonts w:cs="Arial"/>
          <w:b/>
          <w:spacing w:val="-4"/>
          <w:szCs w:val="20"/>
        </w:rPr>
        <w:t xml:space="preserve">Podíl </w:t>
      </w:r>
      <w:r w:rsidR="00FE0ED8" w:rsidRPr="00FE0ED8">
        <w:rPr>
          <w:rFonts w:cs="Arial"/>
          <w:b/>
          <w:spacing w:val="-4"/>
          <w:szCs w:val="20"/>
        </w:rPr>
        <w:t>jednotlivých</w:t>
      </w:r>
      <w:r w:rsidRPr="00FE0ED8">
        <w:rPr>
          <w:rFonts w:cs="Arial"/>
          <w:b/>
          <w:spacing w:val="-4"/>
          <w:szCs w:val="20"/>
        </w:rPr>
        <w:t xml:space="preserve"> položek ve skupině základních kovů s Polskem v roce 2020</w:t>
      </w:r>
    </w:p>
    <w:p w:rsidR="00E019F6" w:rsidRPr="00E019F6" w:rsidRDefault="00E7231D" w:rsidP="00E019F6">
      <w:r>
        <w:rPr>
          <w:noProof/>
          <w:lang w:eastAsia="cs-CZ"/>
        </w:rPr>
        <mc:AlternateContent>
          <mc:Choice Requires="cx1">
            <w:drawing>
              <wp:inline distT="0" distB="0" distL="0" distR="0" wp14:anchorId="407D90A6" wp14:editId="1845CCBB">
                <wp:extent cx="5400040" cy="2623820"/>
                <wp:effectExtent l="0" t="0" r="10160" b="5080"/>
                <wp:docPr id="18" name="Graf 18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9"/>
                  </a:graphicData>
                </a:graphic>
              </wp:inline>
            </w:drawing>
          </mc:Choice>
          <mc:Fallback>
            <w:drawing>
              <wp:inline distT="0" distB="0" distL="0" distR="0" wp14:anchorId="407D90A6" wp14:editId="1845CCBB">
                <wp:extent cx="5400040" cy="2623820"/>
                <wp:effectExtent l="0" t="0" r="10160" b="5080"/>
                <wp:docPr id="18" name="Graf 1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Graf 1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2623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bookmarkStart w:id="0" w:name="_GoBack"/>
      <w:bookmarkEnd w:id="0"/>
    </w:p>
    <w:p w:rsidR="00FE0ED8" w:rsidRPr="00DB69F4" w:rsidRDefault="00FE0ED8" w:rsidP="00FE0ED8">
      <w:pPr>
        <w:spacing w:before="20"/>
        <w:rPr>
          <w:sz w:val="16"/>
          <w:szCs w:val="16"/>
        </w:rPr>
      </w:pPr>
      <w:r w:rsidRPr="00DB69F4">
        <w:rPr>
          <w:sz w:val="16"/>
          <w:szCs w:val="16"/>
        </w:rPr>
        <w:t xml:space="preserve">* Podíl </w:t>
      </w:r>
      <w:r>
        <w:rPr>
          <w:sz w:val="16"/>
          <w:szCs w:val="16"/>
        </w:rPr>
        <w:t>položky „odlévání kovů“ na skupině základních kovů: ve</w:t>
      </w:r>
      <w:r w:rsidRPr="00DB69F4">
        <w:rPr>
          <w:sz w:val="16"/>
          <w:szCs w:val="16"/>
        </w:rPr>
        <w:t xml:space="preserve"> vývoz</w:t>
      </w:r>
      <w:r>
        <w:rPr>
          <w:sz w:val="16"/>
          <w:szCs w:val="16"/>
        </w:rPr>
        <w:t>u -</w:t>
      </w:r>
      <w:r w:rsidRPr="00DB69F4">
        <w:rPr>
          <w:sz w:val="16"/>
          <w:szCs w:val="16"/>
        </w:rPr>
        <w:t xml:space="preserve"> </w:t>
      </w:r>
      <w:r>
        <w:rPr>
          <w:sz w:val="16"/>
          <w:szCs w:val="16"/>
        </w:rPr>
        <w:t>1,1</w:t>
      </w:r>
      <w:r w:rsidRPr="00DB69F4">
        <w:rPr>
          <w:sz w:val="16"/>
          <w:szCs w:val="16"/>
        </w:rPr>
        <w:t xml:space="preserve"> %, </w:t>
      </w:r>
      <w:r>
        <w:rPr>
          <w:sz w:val="16"/>
          <w:szCs w:val="16"/>
        </w:rPr>
        <w:t>v </w:t>
      </w:r>
      <w:r w:rsidRPr="00DB69F4">
        <w:rPr>
          <w:sz w:val="16"/>
          <w:szCs w:val="16"/>
        </w:rPr>
        <w:t>dovoz</w:t>
      </w:r>
      <w:r>
        <w:rPr>
          <w:sz w:val="16"/>
          <w:szCs w:val="16"/>
        </w:rPr>
        <w:t>u -</w:t>
      </w:r>
      <w:r w:rsidRPr="00DB69F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0,3 </w:t>
      </w:r>
      <w:r w:rsidRPr="00DB69F4">
        <w:rPr>
          <w:sz w:val="16"/>
          <w:szCs w:val="16"/>
        </w:rPr>
        <w:t>%</w:t>
      </w:r>
      <w:r>
        <w:rPr>
          <w:sz w:val="16"/>
          <w:szCs w:val="16"/>
        </w:rPr>
        <w:t>.</w:t>
      </w:r>
    </w:p>
    <w:p w:rsidR="00E019F6" w:rsidRPr="00E7231D" w:rsidRDefault="00E019F6" w:rsidP="00E019F6">
      <w:pPr>
        <w:rPr>
          <w:szCs w:val="20"/>
        </w:rPr>
      </w:pPr>
    </w:p>
    <w:p w:rsidR="00E019F6" w:rsidRPr="00E019F6" w:rsidRDefault="00E019F6" w:rsidP="00E019F6">
      <w:r w:rsidRPr="00E019F6">
        <w:t xml:space="preserve">Druhou nejdůležitější českou dovozní komoditou z Polska jsou </w:t>
      </w:r>
      <w:r w:rsidRPr="00E019F6">
        <w:rPr>
          <w:b/>
        </w:rPr>
        <w:t xml:space="preserve">základní kovy, </w:t>
      </w:r>
      <w:r w:rsidRPr="00E019F6">
        <w:t>kterých se v roce 2020 dovezlo za</w:t>
      </w:r>
      <w:r w:rsidRPr="00E019F6">
        <w:rPr>
          <w:b/>
        </w:rPr>
        <w:t xml:space="preserve"> </w:t>
      </w:r>
      <w:r w:rsidRPr="00E019F6">
        <w:t>35,</w:t>
      </w:r>
      <w:r w:rsidR="00A13FBC">
        <w:t>8</w:t>
      </w:r>
      <w:r w:rsidRPr="00E019F6">
        <w:t xml:space="preserve"> mld. Kč. Většinu tvořily drahé kovy a jiné neželezné kovy, dále pak surové železo, ocel a feroslitiny.</w:t>
      </w:r>
    </w:p>
    <w:p w:rsidR="00E019F6" w:rsidRPr="00E7231D" w:rsidRDefault="00E019F6" w:rsidP="00E019F6">
      <w:pPr>
        <w:rPr>
          <w:szCs w:val="20"/>
        </w:rPr>
      </w:pPr>
    </w:p>
    <w:p w:rsidR="009C3AFF" w:rsidRPr="00E019F6" w:rsidRDefault="009C3AFF" w:rsidP="009C3AFF">
      <w:r w:rsidRPr="00E019F6">
        <w:rPr>
          <w:b/>
        </w:rPr>
        <w:t>Chemických látek a přípravků</w:t>
      </w:r>
      <w:r w:rsidRPr="00E019F6">
        <w:t xml:space="preserve"> bylo v roce 2020</w:t>
      </w:r>
      <w:r>
        <w:t xml:space="preserve"> z Polska</w:t>
      </w:r>
      <w:r w:rsidRPr="00E019F6">
        <w:t xml:space="preserve"> importováno v hodnotě </w:t>
      </w:r>
      <w:r w:rsidR="00175F92">
        <w:t>27,0</w:t>
      </w:r>
      <w:r w:rsidRPr="00E019F6">
        <w:t xml:space="preserve"> mld. Kč. Jejich dovoz meziročně stoupl o </w:t>
      </w:r>
      <w:r w:rsidR="00175F92">
        <w:t>11,1</w:t>
      </w:r>
      <w:r w:rsidRPr="00E019F6">
        <w:t xml:space="preserve"> %, tj. o 2,7 mld. Kč. </w:t>
      </w:r>
      <w:r>
        <w:t>N</w:t>
      </w:r>
      <w:r w:rsidRPr="00E019F6">
        <w:t>ejvětší</w:t>
      </w:r>
      <w:r>
        <w:t xml:space="preserve"> část</w:t>
      </w:r>
      <w:r w:rsidRPr="00E019F6">
        <w:t xml:space="preserve"> dovozu této zbožové skupiny </w:t>
      </w:r>
      <w:r>
        <w:t xml:space="preserve">tvořily </w:t>
      </w:r>
      <w:r w:rsidRPr="00E019F6">
        <w:t xml:space="preserve">základní chemické látky, hnojiva </w:t>
      </w:r>
      <w:r>
        <w:t>a dusíkaté sloučeniny, plasty a </w:t>
      </w:r>
      <w:r w:rsidRPr="00E019F6">
        <w:t>syntetický kaučuk v primárních formách.</w:t>
      </w:r>
    </w:p>
    <w:p w:rsidR="00E019F6" w:rsidRPr="00E019F6" w:rsidRDefault="00E019F6" w:rsidP="00E019F6"/>
    <w:p w:rsidR="00E019F6" w:rsidRPr="00490E89" w:rsidRDefault="00E019F6" w:rsidP="00E019F6">
      <w:r w:rsidRPr="00E019F6">
        <w:t xml:space="preserve">Dovoz </w:t>
      </w:r>
      <w:r w:rsidRPr="00E019F6">
        <w:rPr>
          <w:b/>
        </w:rPr>
        <w:t>pryžových a plastových výrobků</w:t>
      </w:r>
      <w:r w:rsidRPr="00E019F6">
        <w:t xml:space="preserve"> klesl oproti předešlému roku o </w:t>
      </w:r>
      <w:r w:rsidR="00175F92">
        <w:t>2,8</w:t>
      </w:r>
      <w:r w:rsidRPr="00E019F6">
        <w:t xml:space="preserve"> % na 16,</w:t>
      </w:r>
      <w:r w:rsidR="00175F92">
        <w:t>8</w:t>
      </w:r>
      <w:r w:rsidRPr="00E019F6">
        <w:t xml:space="preserve"> mld. Kč. Zahrnoval především pryžové pláště a duše a plastové obaly.</w:t>
      </w:r>
    </w:p>
    <w:p w:rsidR="004B60B3" w:rsidRPr="004B60B3" w:rsidRDefault="004B60B3" w:rsidP="00095129">
      <w:pPr>
        <w:shd w:val="clear" w:color="auto" w:fill="D5EAFF"/>
        <w:rPr>
          <w:b/>
        </w:rPr>
      </w:pPr>
      <w:r w:rsidRPr="00095129">
        <w:rPr>
          <w:b/>
        </w:rPr>
        <w:lastRenderedPageBreak/>
        <w:t>Obchod s potravinářskými výrobky</w:t>
      </w:r>
    </w:p>
    <w:p w:rsidR="004B60B3" w:rsidRPr="004B60B3" w:rsidRDefault="004B60B3" w:rsidP="004B60B3">
      <w:pPr>
        <w:rPr>
          <w:b/>
        </w:rPr>
      </w:pPr>
    </w:p>
    <w:p w:rsidR="0051737F" w:rsidRDefault="00E019F6" w:rsidP="00E019F6">
      <w:r w:rsidRPr="00E019F6">
        <w:t>Obchod mezi Polskem a Českou republikou s potravinářskými výrobky v roce 2020 meziročně vzrostl o 3,</w:t>
      </w:r>
      <w:r w:rsidR="00AC2782">
        <w:t>7</w:t>
      </w:r>
      <w:r w:rsidRPr="00E019F6">
        <w:t xml:space="preserve"> % na 42,</w:t>
      </w:r>
      <w:r w:rsidR="00AC2782">
        <w:t>8</w:t>
      </w:r>
      <w:r w:rsidRPr="00E019F6">
        <w:t xml:space="preserve"> mld. Kč. Oproti roku 2015 se však jeho velikost snížila téměř o pětinu, přičemž se na tomto poklesu podílel jak vývoz, tak i dovoz. </w:t>
      </w:r>
    </w:p>
    <w:p w:rsidR="0051737F" w:rsidRPr="00EB2F3E" w:rsidRDefault="0051737F" w:rsidP="00E019F6">
      <w:pPr>
        <w:rPr>
          <w:szCs w:val="20"/>
        </w:rPr>
      </w:pPr>
    </w:p>
    <w:p w:rsidR="00E019F6" w:rsidRPr="00E019F6" w:rsidRDefault="00E019F6" w:rsidP="00E019F6">
      <w:r w:rsidRPr="00E019F6">
        <w:t xml:space="preserve">Pro potravinářský obchod České republiky s Polskem je charakteristická dlouhodobě </w:t>
      </w:r>
      <w:r w:rsidRPr="00132087">
        <w:rPr>
          <w:b/>
        </w:rPr>
        <w:t>záporná</w:t>
      </w:r>
      <w:r w:rsidRPr="00E019F6">
        <w:t xml:space="preserve"> </w:t>
      </w:r>
      <w:r w:rsidRPr="00132087">
        <w:rPr>
          <w:b/>
        </w:rPr>
        <w:t>bilance</w:t>
      </w:r>
      <w:r w:rsidRPr="00E019F6">
        <w:t>, která v roce 2020 dosáhla 17,</w:t>
      </w:r>
      <w:r w:rsidR="00AC2782">
        <w:t>3</w:t>
      </w:r>
      <w:r w:rsidRPr="00E019F6">
        <w:t xml:space="preserve"> mld. Kč, což znamenalo zlepšení o 0,</w:t>
      </w:r>
      <w:r w:rsidR="00AC2782">
        <w:t>4</w:t>
      </w:r>
      <w:r w:rsidRPr="00E019F6">
        <w:t xml:space="preserve"> mld. Kč v porovn</w:t>
      </w:r>
      <w:r w:rsidR="006F41A3">
        <w:t>ání s předchozím rokem a o</w:t>
      </w:r>
      <w:r w:rsidR="005D241D">
        <w:t xml:space="preserve"> </w:t>
      </w:r>
      <w:r w:rsidR="006F41A3">
        <w:t>1,</w:t>
      </w:r>
      <w:r w:rsidR="00AC2782">
        <w:t>6</w:t>
      </w:r>
      <w:r w:rsidR="006F41A3">
        <w:t> mld. </w:t>
      </w:r>
      <w:r w:rsidRPr="00E019F6">
        <w:t>Kč oproti roku 2015.</w:t>
      </w:r>
    </w:p>
    <w:p w:rsidR="00F45C35" w:rsidRPr="00132087" w:rsidRDefault="00F45C35" w:rsidP="004B60B3">
      <w:pPr>
        <w:rPr>
          <w:sz w:val="18"/>
          <w:szCs w:val="18"/>
        </w:rPr>
      </w:pPr>
    </w:p>
    <w:p w:rsidR="00F45C35" w:rsidRDefault="00F45C35" w:rsidP="00F45C35">
      <w:pPr>
        <w:pStyle w:val="TabulkaGraf"/>
        <w:spacing w:after="80"/>
      </w:pPr>
      <w:r>
        <w:t xml:space="preserve">Tabulka </w:t>
      </w:r>
      <w:r w:rsidR="005A6C68">
        <w:t>8</w:t>
      </w:r>
      <w:r>
        <w:tab/>
        <w:t xml:space="preserve">Zahraniční obchod s potravinářskými výrobky </w:t>
      </w:r>
      <w:r w:rsidR="009C3AFF">
        <w:t>mezi ČR a</w:t>
      </w:r>
      <w:r>
        <w:t xml:space="preserve"> Polskem</w:t>
      </w:r>
    </w:p>
    <w:tbl>
      <w:tblPr>
        <w:tblStyle w:val="Tmavtabulkasmkou5zvraznn2"/>
        <w:tblW w:w="0" w:type="auto"/>
        <w:tblBorders>
          <w:top w:val="single" w:sz="4" w:space="0" w:color="C00000"/>
          <w:bottom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F45C35" w:rsidTr="00B26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right w:val="single" w:sz="4" w:space="0" w:color="D9D9D9" w:themeColor="background1" w:themeShade="D9"/>
            </w:tcBorders>
            <w:shd w:val="clear" w:color="auto" w:fill="BD1B21"/>
          </w:tcPr>
          <w:p w:rsidR="00F45C35" w:rsidRPr="00A82B51" w:rsidRDefault="00F45C35" w:rsidP="00BA02F6">
            <w:pPr>
              <w:rPr>
                <w:sz w:val="18"/>
                <w:szCs w:val="18"/>
              </w:rPr>
            </w:pPr>
            <w:r w:rsidRPr="00A82B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1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45C35" w:rsidRPr="0017169D" w:rsidRDefault="00F45C35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2015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45C35" w:rsidRPr="0017169D" w:rsidRDefault="00F45C35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2016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45C35" w:rsidRPr="0017169D" w:rsidRDefault="00F45C35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2017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45C35" w:rsidRPr="0017169D" w:rsidRDefault="00F45C35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2018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45C35" w:rsidRPr="0017169D" w:rsidRDefault="00F45C35" w:rsidP="00BA02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2019</w:t>
            </w:r>
          </w:p>
        </w:tc>
        <w:tc>
          <w:tcPr>
            <w:tcW w:w="1213" w:type="dxa"/>
            <w:tcBorders>
              <w:left w:val="single" w:sz="4" w:space="0" w:color="D9D9D9" w:themeColor="background1" w:themeShade="D9"/>
            </w:tcBorders>
            <w:shd w:val="clear" w:color="auto" w:fill="BD1B21"/>
            <w:vAlign w:val="center"/>
          </w:tcPr>
          <w:p w:rsidR="00F45C35" w:rsidRPr="0017169D" w:rsidRDefault="00F45C35" w:rsidP="00BA02F6">
            <w:pPr>
              <w:pStyle w:val="Odstavecseseznamem"/>
              <w:spacing w:line="240" w:lineRule="auto"/>
              <w:ind w:lef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ECFF"/>
                <w:sz w:val="18"/>
                <w:szCs w:val="18"/>
              </w:rPr>
            </w:pPr>
            <w:r>
              <w:rPr>
                <w:b w:val="0"/>
                <w:color w:val="CCECFF"/>
                <w:sz w:val="18"/>
                <w:szCs w:val="18"/>
              </w:rPr>
              <w:t>2020</w:t>
            </w:r>
          </w:p>
        </w:tc>
      </w:tr>
      <w:tr w:rsidR="00F45C35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:rsidR="00F45C35" w:rsidRDefault="00F45C35" w:rsidP="00BA02F6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7277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F45C35" w:rsidRPr="00077352" w:rsidRDefault="00F45C35" w:rsidP="00BA0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mld. Kč</w:t>
            </w:r>
          </w:p>
        </w:tc>
      </w:tr>
      <w:tr w:rsidR="00E019F6" w:rsidTr="00B2611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E019F6" w:rsidRPr="00E019F6" w:rsidRDefault="00E019F6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 w:rsidRPr="00E019F6">
              <w:rPr>
                <w:b w:val="0"/>
                <w:color w:val="auto"/>
                <w:sz w:val="18"/>
                <w:szCs w:val="18"/>
              </w:rPr>
              <w:t>Obrat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E019F6" w:rsidRPr="00E019F6" w:rsidRDefault="006E3D68" w:rsidP="00BA02F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51,8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019F6" w:rsidRPr="00E019F6" w:rsidRDefault="006E3D68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49,9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019F6" w:rsidRPr="00E019F6" w:rsidRDefault="006E3D68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40,7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019F6" w:rsidRPr="00E019F6" w:rsidRDefault="006E3D68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40,3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019F6" w:rsidRPr="00E019F6" w:rsidRDefault="006E3D68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41,2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E019F6" w:rsidRPr="00E019F6" w:rsidRDefault="006E3D68" w:rsidP="00BC3A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</w:t>
            </w:r>
            <w:r w:rsidR="00BC3A7E">
              <w:rPr>
                <w:sz w:val="18"/>
                <w:szCs w:val="18"/>
              </w:rPr>
              <w:t>8</w:t>
            </w:r>
          </w:p>
        </w:tc>
      </w:tr>
      <w:tr w:rsidR="00F45C35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F45C35" w:rsidRPr="00077352" w:rsidRDefault="00F45C35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Vývoz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F45C35" w:rsidRDefault="006E3D68" w:rsidP="00BA02F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>16,4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6E3D68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6E3D68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6E3D68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6E3D68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Pr="00077352" w:rsidRDefault="006E3D68" w:rsidP="00BC3A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="00BC3A7E">
              <w:rPr>
                <w:sz w:val="18"/>
                <w:szCs w:val="18"/>
              </w:rPr>
              <w:t>8</w:t>
            </w:r>
          </w:p>
        </w:tc>
      </w:tr>
      <w:tr w:rsidR="00F45C35" w:rsidTr="00B2611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shd w:val="clear" w:color="auto" w:fill="auto"/>
            <w:vAlign w:val="bottom"/>
          </w:tcPr>
          <w:p w:rsidR="00F45C35" w:rsidRPr="00077352" w:rsidRDefault="00F45C35" w:rsidP="00BA02F6">
            <w:pPr>
              <w:jc w:val="lef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Dovoz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F45C35" w:rsidRDefault="00F45C35" w:rsidP="00BA02F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Pr="00077352" w:rsidRDefault="006E3D68" w:rsidP="00BA02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45C35" w:rsidTr="00B26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bottom w:val="single" w:sz="4" w:space="0" w:color="C00000"/>
            </w:tcBorders>
            <w:shd w:val="clear" w:color="auto" w:fill="auto"/>
            <w:vAlign w:val="bottom"/>
          </w:tcPr>
          <w:p w:rsidR="00F45C35" w:rsidRDefault="00F45C35" w:rsidP="00BA02F6">
            <w:pPr>
              <w:jc w:val="left"/>
              <w:rPr>
                <w:b w:val="0"/>
                <w:sz w:val="18"/>
                <w:szCs w:val="18"/>
              </w:rPr>
            </w:pPr>
            <w:r w:rsidRPr="00F2764B">
              <w:rPr>
                <w:b w:val="0"/>
                <w:color w:val="auto"/>
                <w:sz w:val="18"/>
                <w:szCs w:val="18"/>
              </w:rPr>
              <w:t>Bil</w:t>
            </w:r>
            <w:r>
              <w:rPr>
                <w:b w:val="0"/>
                <w:color w:val="auto"/>
                <w:sz w:val="18"/>
                <w:szCs w:val="18"/>
              </w:rPr>
              <w:t>ance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-18,9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-16,8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-16,4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Default="00F45C35" w:rsidP="00BA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-17,7</w:t>
            </w:r>
          </w:p>
        </w:tc>
        <w:tc>
          <w:tcPr>
            <w:tcW w:w="1213" w:type="dxa"/>
            <w:shd w:val="clear" w:color="auto" w:fill="auto"/>
            <w:vAlign w:val="bottom"/>
          </w:tcPr>
          <w:p w:rsidR="00F45C35" w:rsidRPr="00077352" w:rsidRDefault="006E3D68" w:rsidP="00BC3A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-17,</w:t>
            </w:r>
            <w:r w:rsidR="00BC3A7E">
              <w:rPr>
                <w:sz w:val="18"/>
                <w:szCs w:val="18"/>
              </w:rPr>
              <w:t>3</w:t>
            </w:r>
          </w:p>
        </w:tc>
      </w:tr>
    </w:tbl>
    <w:p w:rsidR="00F45C35" w:rsidRPr="006F41A3" w:rsidRDefault="00F45C35" w:rsidP="00F45C35">
      <w:pPr>
        <w:rPr>
          <w:sz w:val="24"/>
          <w:szCs w:val="24"/>
        </w:rPr>
      </w:pPr>
    </w:p>
    <w:p w:rsidR="00E019F6" w:rsidRDefault="00E019F6" w:rsidP="00E019F6">
      <w:r w:rsidRPr="00132087">
        <w:rPr>
          <w:b/>
        </w:rPr>
        <w:t>Vývoz</w:t>
      </w:r>
      <w:r w:rsidRPr="00E019F6">
        <w:t xml:space="preserve"> českých potravinářských výrobků do Polska v roce 2020 meziročně vzrostl výrazněji než dovoz, a to o </w:t>
      </w:r>
      <w:r w:rsidR="00AC2782">
        <w:t>8,1</w:t>
      </w:r>
      <w:r w:rsidRPr="00E019F6">
        <w:t xml:space="preserve"> % na 12,</w:t>
      </w:r>
      <w:r w:rsidR="00AC2782">
        <w:t>8</w:t>
      </w:r>
      <w:r w:rsidRPr="00E019F6">
        <w:t xml:space="preserve"> mld. Kč. V porovnání s rokem 2015 však zůstal o více než pětinu menší. Vyvážíme hlavně ostatní potravinářské výrobky (čokoláda a cukrovinky), průmyslová krmiva, rostlinné a živočišné tuky a oleje a mléčné výrobky. Ve sledovaném období se nejvíce rozšířil vývoz průmyslových krmiv a mlýnských výrobků. Opač</w:t>
      </w:r>
      <w:r w:rsidR="006F41A3">
        <w:t>ná tendence je nejvíce patrná u </w:t>
      </w:r>
      <w:r w:rsidRPr="00E019F6">
        <w:t>živočišných a rostlinných tuků.</w:t>
      </w:r>
    </w:p>
    <w:p w:rsidR="004B60B3" w:rsidRPr="00EB2F3E" w:rsidRDefault="004B60B3" w:rsidP="007135BA">
      <w:pPr>
        <w:rPr>
          <w:szCs w:val="20"/>
        </w:rPr>
      </w:pPr>
    </w:p>
    <w:p w:rsidR="00485896" w:rsidRPr="0011724E" w:rsidRDefault="00485896" w:rsidP="00485896">
      <w:pPr>
        <w:spacing w:after="40"/>
        <w:rPr>
          <w:rFonts w:cs="Arial"/>
          <w:b/>
          <w:szCs w:val="20"/>
        </w:rPr>
      </w:pPr>
      <w:r w:rsidRPr="0011724E">
        <w:rPr>
          <w:b/>
        </w:rPr>
        <w:t xml:space="preserve">Graf </w:t>
      </w:r>
      <w:r w:rsidR="00354677">
        <w:rPr>
          <w:b/>
        </w:rPr>
        <w:t>1</w:t>
      </w:r>
      <w:r w:rsidR="009F461F">
        <w:rPr>
          <w:b/>
        </w:rPr>
        <w:t>1</w:t>
      </w:r>
      <w:r w:rsidRPr="0011724E">
        <w:rPr>
          <w:b/>
        </w:rPr>
        <w:tab/>
      </w:r>
      <w:r w:rsidRPr="0011724E">
        <w:rPr>
          <w:b/>
        </w:rPr>
        <w:tab/>
      </w:r>
      <w:r>
        <w:rPr>
          <w:rFonts w:cs="Arial"/>
          <w:b/>
          <w:szCs w:val="20"/>
        </w:rPr>
        <w:t xml:space="preserve">Dovoz potravinářských výrobků </w:t>
      </w:r>
      <w:r w:rsidR="00BC38D6">
        <w:rPr>
          <w:rFonts w:cs="Arial"/>
          <w:b/>
          <w:szCs w:val="20"/>
        </w:rPr>
        <w:t xml:space="preserve">z Polska </w:t>
      </w:r>
      <w:r w:rsidR="009C3AFF">
        <w:rPr>
          <w:rFonts w:cs="Arial"/>
          <w:b/>
          <w:szCs w:val="20"/>
        </w:rPr>
        <w:t xml:space="preserve">do ČR </w:t>
      </w:r>
      <w:r>
        <w:rPr>
          <w:rFonts w:cs="Arial"/>
          <w:b/>
          <w:szCs w:val="20"/>
        </w:rPr>
        <w:t>v roce 2020 (podíly v %)</w:t>
      </w:r>
    </w:p>
    <w:p w:rsidR="00485896" w:rsidRDefault="00890C21" w:rsidP="00485896">
      <w:r>
        <w:rPr>
          <w:noProof/>
          <w:lang w:eastAsia="cs-CZ"/>
        </w:rPr>
        <mc:AlternateContent>
          <mc:Choice Requires="cx1">
            <w:drawing>
              <wp:inline distT="0" distB="0" distL="0" distR="0" wp14:anchorId="4BD6FE1D" wp14:editId="0DB5D57D">
                <wp:extent cx="5400040" cy="2922270"/>
                <wp:effectExtent l="0" t="0" r="10160" b="11430"/>
                <wp:docPr id="43" name="Graf 43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1"/>
                  </a:graphicData>
                </a:graphic>
              </wp:inline>
            </w:drawing>
          </mc:Choice>
          <mc:Fallback>
            <w:drawing>
              <wp:inline distT="0" distB="0" distL="0" distR="0" wp14:anchorId="4BD6FE1D" wp14:editId="0DB5D57D">
                <wp:extent cx="5400040" cy="2922270"/>
                <wp:effectExtent l="0" t="0" r="10160" b="11430"/>
                <wp:docPr id="43" name="Graf 43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Graf 43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2922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32087" w:rsidRDefault="00E019F6" w:rsidP="006B4BA9">
      <w:r w:rsidRPr="00132087">
        <w:rPr>
          <w:b/>
        </w:rPr>
        <w:lastRenderedPageBreak/>
        <w:t>Dovoz</w:t>
      </w:r>
      <w:r w:rsidRPr="00E019F6">
        <w:t xml:space="preserve"> potravinářských výrobků z Polska do Česk</w:t>
      </w:r>
      <w:r w:rsidR="009465C1">
        <w:t>é republiky</w:t>
      </w:r>
      <w:r w:rsidRPr="00E019F6">
        <w:t xml:space="preserve"> v roce 2020 m</w:t>
      </w:r>
      <w:r w:rsidR="006F41A3">
        <w:t>eziročn</w:t>
      </w:r>
      <w:r w:rsidR="009465C1">
        <w:t>ě stoupl o </w:t>
      </w:r>
      <w:r w:rsidR="00BD5C2F">
        <w:t>1,</w:t>
      </w:r>
      <w:r w:rsidR="00AC2782">
        <w:t>9</w:t>
      </w:r>
      <w:r w:rsidR="009465C1">
        <w:t> </w:t>
      </w:r>
      <w:r w:rsidR="00BD5C2F">
        <w:t>% na </w:t>
      </w:r>
      <w:r w:rsidR="006F41A3">
        <w:t>30,0 </w:t>
      </w:r>
      <w:r w:rsidRPr="00E019F6">
        <w:t xml:space="preserve">mld. Kč, v porovnání s rokem 2015 to však bylo o </w:t>
      </w:r>
      <w:r w:rsidRPr="00A23EEE">
        <w:t>více než 5 mld. Kč méně.</w:t>
      </w:r>
      <w:r w:rsidRPr="00E019F6">
        <w:t xml:space="preserve"> </w:t>
      </w:r>
    </w:p>
    <w:p w:rsidR="00EB2F3E" w:rsidRDefault="00EB2F3E" w:rsidP="006B4BA9"/>
    <w:p w:rsidR="0051737F" w:rsidRDefault="00E019F6" w:rsidP="006B4BA9">
      <w:r w:rsidRPr="00E019F6">
        <w:t>K nejvýznamnějším položkám dovozu potravin patří zpracované a konzervované maso a výrobky z něj (především vepřové, hovězí a drůbeží maso), ostatní potravinářské výrobky (</w:t>
      </w:r>
      <w:r w:rsidR="00DE1E01">
        <w:t xml:space="preserve">čokoláda, </w:t>
      </w:r>
      <w:r w:rsidR="00BD5C2F">
        <w:t>káva</w:t>
      </w:r>
      <w:r w:rsidR="00DE1E01">
        <w:t>, hotové pokrmy</w:t>
      </w:r>
      <w:r w:rsidR="00BD5C2F">
        <w:t xml:space="preserve"> a cukrovinky</w:t>
      </w:r>
      <w:r w:rsidRPr="00E019F6">
        <w:t>), mléčné výrobky</w:t>
      </w:r>
      <w:r w:rsidR="006E3D68">
        <w:t xml:space="preserve"> (sýry a tvaroh, máslo a mléčné pomazánky)</w:t>
      </w:r>
      <w:r w:rsidRPr="00E019F6">
        <w:t xml:space="preserve"> a pekařské, cukrářské a jiné moučné výrobky. </w:t>
      </w:r>
    </w:p>
    <w:p w:rsidR="0051737F" w:rsidRPr="0026621D" w:rsidRDefault="0051737F" w:rsidP="00E019F6">
      <w:pPr>
        <w:rPr>
          <w:szCs w:val="20"/>
        </w:rPr>
      </w:pPr>
    </w:p>
    <w:p w:rsidR="00E019F6" w:rsidRPr="00E019F6" w:rsidRDefault="00E019F6" w:rsidP="00E019F6">
      <w:r w:rsidRPr="00E019F6">
        <w:t xml:space="preserve">Největší přírůstek dovozu </w:t>
      </w:r>
      <w:r w:rsidR="006E3D68">
        <w:t>od roku 2015 byl zaznamenán u </w:t>
      </w:r>
      <w:r w:rsidRPr="00E019F6">
        <w:t>zpra</w:t>
      </w:r>
      <w:r w:rsidR="00BD5C2F">
        <w:t>covaných a konzervovaných ryb a </w:t>
      </w:r>
      <w:r w:rsidRPr="00E019F6">
        <w:t>zpracovaného a konzervovaného ovoce a zeleniny, naopak největší propad se ukázal u dovozu kávy, rostlinných a živočišných olejů a tuků.</w:t>
      </w:r>
    </w:p>
    <w:p w:rsidR="00E019F6" w:rsidRDefault="00E019F6" w:rsidP="00E019F6">
      <w:pPr>
        <w:rPr>
          <w:b/>
          <w:highlight w:val="green"/>
        </w:rPr>
      </w:pPr>
    </w:p>
    <w:p w:rsidR="00E019F6" w:rsidRPr="00E019F6" w:rsidRDefault="00E019F6" w:rsidP="00E019F6">
      <w:pPr>
        <w:shd w:val="clear" w:color="auto" w:fill="D5EAFF"/>
        <w:rPr>
          <w:b/>
        </w:rPr>
      </w:pPr>
      <w:r w:rsidRPr="00E019F6">
        <w:rPr>
          <w:b/>
        </w:rPr>
        <w:t>Bilance z hlediska zbožové struktury</w:t>
      </w:r>
    </w:p>
    <w:p w:rsidR="00E019F6" w:rsidRDefault="00E019F6" w:rsidP="007135BA"/>
    <w:p w:rsidR="00E019F6" w:rsidRDefault="00E019F6" w:rsidP="00E019F6">
      <w:r w:rsidRPr="00E019F6">
        <w:t>V roce 2020 byl z </w:t>
      </w:r>
      <w:r w:rsidRPr="00E019F6">
        <w:rPr>
          <w:b/>
        </w:rPr>
        <w:t>hlediska komoditní struktury</w:t>
      </w:r>
      <w:r w:rsidRPr="00E019F6">
        <w:t xml:space="preserve"> největší deficit </w:t>
      </w:r>
      <w:r w:rsidRPr="00E019F6">
        <w:rPr>
          <w:b/>
        </w:rPr>
        <w:t>bilance</w:t>
      </w:r>
      <w:r w:rsidRPr="00E019F6">
        <w:t xml:space="preserve"> zahraničního obchodu </w:t>
      </w:r>
      <w:r w:rsidR="009C3AFF">
        <w:t xml:space="preserve">se zbožím </w:t>
      </w:r>
      <w:r w:rsidRPr="00E019F6">
        <w:t>s Polskem zaznamenán u potravinářských výrobků (17,</w:t>
      </w:r>
      <w:r w:rsidR="00AC2782">
        <w:t>3</w:t>
      </w:r>
      <w:r w:rsidRPr="00E019F6">
        <w:t xml:space="preserve"> mld. </w:t>
      </w:r>
      <w:r w:rsidR="006F41A3">
        <w:t>Kč), základních kovů (16,5 mld. </w:t>
      </w:r>
      <w:r w:rsidRPr="00E019F6">
        <w:t>Kč) a motorových vozidel</w:t>
      </w:r>
      <w:r w:rsidR="009465C1">
        <w:t xml:space="preserve">, včetně dílů a příslušenství </w:t>
      </w:r>
      <w:r w:rsidRPr="00E019F6">
        <w:t>(14,</w:t>
      </w:r>
      <w:r w:rsidR="009465C1">
        <w:t>5</w:t>
      </w:r>
      <w:r w:rsidRPr="00E019F6">
        <w:t xml:space="preserve"> mld. Kč). Přebytek bilance byl nejvyšší u počítačů, elekt</w:t>
      </w:r>
      <w:r w:rsidR="006F41A3">
        <w:t>ronických a </w:t>
      </w:r>
      <w:r w:rsidRPr="00E019F6">
        <w:t>optických přístrojů a zařízení (7,</w:t>
      </w:r>
      <w:r w:rsidR="009465C1">
        <w:t>8</w:t>
      </w:r>
      <w:r w:rsidRPr="00E019F6">
        <w:t xml:space="preserve"> mld. Kč), st</w:t>
      </w:r>
      <w:r w:rsidR="009465C1">
        <w:t>rojů a </w:t>
      </w:r>
      <w:r w:rsidR="009C3AFF">
        <w:t>zařízení (4,</w:t>
      </w:r>
      <w:r w:rsidR="009465C1">
        <w:t>4</w:t>
      </w:r>
      <w:r w:rsidR="009C3AFF">
        <w:t xml:space="preserve"> mld. Kč) a </w:t>
      </w:r>
      <w:r w:rsidRPr="00E019F6">
        <w:t xml:space="preserve">elektrických zařízení (2,7 mld. Kč). </w:t>
      </w:r>
    </w:p>
    <w:p w:rsidR="00E019F6" w:rsidRPr="0026621D" w:rsidRDefault="00E019F6" w:rsidP="00E019F6">
      <w:pPr>
        <w:rPr>
          <w:szCs w:val="20"/>
        </w:rPr>
      </w:pPr>
    </w:p>
    <w:p w:rsidR="00B10928" w:rsidRPr="0011724E" w:rsidRDefault="00B10928" w:rsidP="00B10928">
      <w:pPr>
        <w:spacing w:after="40"/>
        <w:rPr>
          <w:rFonts w:cs="Arial"/>
          <w:b/>
          <w:szCs w:val="20"/>
        </w:rPr>
      </w:pPr>
      <w:r w:rsidRPr="0011724E">
        <w:rPr>
          <w:b/>
        </w:rPr>
        <w:t xml:space="preserve">Graf </w:t>
      </w:r>
      <w:r w:rsidR="00354677">
        <w:rPr>
          <w:b/>
        </w:rPr>
        <w:t>1</w:t>
      </w:r>
      <w:r w:rsidR="009F461F">
        <w:rPr>
          <w:b/>
        </w:rPr>
        <w:t>2</w:t>
      </w:r>
      <w:r w:rsidRPr="0011724E">
        <w:rPr>
          <w:b/>
        </w:rPr>
        <w:tab/>
      </w:r>
      <w:r w:rsidRPr="0011724E">
        <w:rPr>
          <w:b/>
        </w:rPr>
        <w:tab/>
      </w:r>
      <w:r w:rsidRPr="0011724E">
        <w:rPr>
          <w:rFonts w:cs="Arial"/>
          <w:b/>
          <w:szCs w:val="20"/>
        </w:rPr>
        <w:t>Bilance zahraničního obcho</w:t>
      </w:r>
      <w:r>
        <w:rPr>
          <w:rFonts w:cs="Arial"/>
          <w:b/>
          <w:szCs w:val="20"/>
        </w:rPr>
        <w:t xml:space="preserve">du se zbožím </w:t>
      </w:r>
      <w:r w:rsidR="009C3AFF">
        <w:rPr>
          <w:rFonts w:cs="Arial"/>
          <w:b/>
          <w:szCs w:val="20"/>
        </w:rPr>
        <w:t>mezi ČR a</w:t>
      </w:r>
      <w:r w:rsidR="00BC38D6">
        <w:rPr>
          <w:rFonts w:cs="Arial"/>
          <w:b/>
          <w:szCs w:val="20"/>
        </w:rPr>
        <w:t xml:space="preserve"> Polskem </w:t>
      </w:r>
      <w:r>
        <w:rPr>
          <w:rFonts w:cs="Arial"/>
          <w:b/>
          <w:szCs w:val="20"/>
        </w:rPr>
        <w:t>v roce 2020</w:t>
      </w:r>
    </w:p>
    <w:p w:rsidR="007135BA" w:rsidRDefault="0073623D" w:rsidP="007135BA">
      <w:r>
        <w:rPr>
          <w:noProof/>
          <w:lang w:eastAsia="cs-CZ"/>
        </w:rPr>
        <w:drawing>
          <wp:inline distT="0" distB="0" distL="0" distR="0" wp14:anchorId="7B8BDC8F" wp14:editId="5F6BA291">
            <wp:extent cx="5400040" cy="3943350"/>
            <wp:effectExtent l="0" t="0" r="1016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D241D" w:rsidRDefault="006F41A3" w:rsidP="006F41A3">
      <w:r w:rsidRPr="00E019F6">
        <w:lastRenderedPageBreak/>
        <w:t xml:space="preserve">K největšímu zlepšení </w:t>
      </w:r>
      <w:r w:rsidR="005D241D">
        <w:t xml:space="preserve">obchodní </w:t>
      </w:r>
      <w:r w:rsidRPr="00E019F6">
        <w:t xml:space="preserve">bilance </w:t>
      </w:r>
      <w:r w:rsidR="00341CF8">
        <w:t xml:space="preserve">v posledních letech </w:t>
      </w:r>
      <w:r w:rsidRPr="00E019F6">
        <w:t>o</w:t>
      </w:r>
      <w:r w:rsidR="00CC65FB">
        <w:t>d</w:t>
      </w:r>
      <w:r w:rsidRPr="00E019F6">
        <w:t xml:space="preserve"> roku 2015 </w:t>
      </w:r>
      <w:r w:rsidR="00341CF8">
        <w:t>do roku 2020 došlo u </w:t>
      </w:r>
      <w:r w:rsidRPr="00E019F6">
        <w:t xml:space="preserve">komodit </w:t>
      </w:r>
      <w:r w:rsidRPr="00890C21">
        <w:t>rafinované ropné produkty</w:t>
      </w:r>
      <w:r w:rsidR="0043303B" w:rsidRPr="00890C21">
        <w:t xml:space="preserve"> a koks</w:t>
      </w:r>
      <w:r w:rsidRPr="00890C21">
        <w:t xml:space="preserve"> </w:t>
      </w:r>
      <w:r>
        <w:t>(</w:t>
      </w:r>
      <w:r w:rsidR="00257446">
        <w:t>zmenšení schodku</w:t>
      </w:r>
      <w:r w:rsidR="00341CF8">
        <w:t xml:space="preserve"> </w:t>
      </w:r>
      <w:r>
        <w:t>o </w:t>
      </w:r>
      <w:r w:rsidRPr="00E019F6">
        <w:t>6,4 mld. Kč), počítače, elektronické a optické přístroje a zařízení (</w:t>
      </w:r>
      <w:r w:rsidR="00341CF8">
        <w:t xml:space="preserve">zvýšení </w:t>
      </w:r>
      <w:r w:rsidR="00257446">
        <w:t>přebytku</w:t>
      </w:r>
      <w:r w:rsidR="00341CF8">
        <w:t xml:space="preserve"> </w:t>
      </w:r>
      <w:r w:rsidRPr="00E019F6">
        <w:t xml:space="preserve">o </w:t>
      </w:r>
      <w:r w:rsidR="009465C1">
        <w:t>6,3</w:t>
      </w:r>
      <w:r w:rsidRPr="00E019F6">
        <w:t xml:space="preserve"> </w:t>
      </w:r>
      <w:r w:rsidR="005D241D">
        <w:t>mld. Kč) a produkty lesnictví a </w:t>
      </w:r>
      <w:r w:rsidRPr="00E019F6">
        <w:t>těžby dřeva (</w:t>
      </w:r>
      <w:r w:rsidR="00341CF8">
        <w:t xml:space="preserve">přechod z pasiva do aktiva </w:t>
      </w:r>
      <w:r w:rsidRPr="00E019F6">
        <w:t xml:space="preserve">o 3,3 mld. Kč). </w:t>
      </w:r>
    </w:p>
    <w:p w:rsidR="005D241D" w:rsidRDefault="005D241D" w:rsidP="006F41A3"/>
    <w:p w:rsidR="006F41A3" w:rsidRPr="005F497A" w:rsidRDefault="006F41A3" w:rsidP="006F41A3">
      <w:r w:rsidRPr="00E019F6">
        <w:t>Na druhé straně se zhor</w:t>
      </w:r>
      <w:r>
        <w:t>šila bilance</w:t>
      </w:r>
      <w:r w:rsidR="005D241D">
        <w:t xml:space="preserve"> zahraničního obchodu</w:t>
      </w:r>
      <w:r>
        <w:t xml:space="preserve"> chemických látek a </w:t>
      </w:r>
      <w:r w:rsidRPr="00E019F6">
        <w:t>přípravků (</w:t>
      </w:r>
      <w:r w:rsidR="00341CF8">
        <w:t xml:space="preserve">přechod z aktiva do pasiva </w:t>
      </w:r>
      <w:r w:rsidRPr="00E019F6">
        <w:t>o 4,</w:t>
      </w:r>
      <w:r w:rsidR="009465C1">
        <w:t>8</w:t>
      </w:r>
      <w:r w:rsidRPr="00E019F6">
        <w:t xml:space="preserve"> mld. Kč), černého a hnědého uhlí a lignitu (</w:t>
      </w:r>
      <w:r w:rsidR="009458C2">
        <w:t>zvětšení</w:t>
      </w:r>
      <w:r w:rsidR="005D241D">
        <w:t xml:space="preserve"> pasiva o </w:t>
      </w:r>
      <w:r w:rsidRPr="00E019F6">
        <w:t>3,5 mld. Kč) a papíru a výrobků z papíru (</w:t>
      </w:r>
      <w:r w:rsidR="005D241D">
        <w:t xml:space="preserve">prohloubení deficitu </w:t>
      </w:r>
      <w:r w:rsidRPr="00E019F6">
        <w:t>o 2,9 mld. Kč).</w:t>
      </w:r>
    </w:p>
    <w:p w:rsidR="007B70FE" w:rsidRPr="007211B2" w:rsidRDefault="007B70FE" w:rsidP="007653F7">
      <w:pPr>
        <w:rPr>
          <w:rFonts w:cs="Arial"/>
          <w:szCs w:val="20"/>
        </w:rPr>
      </w:pPr>
    </w:p>
    <w:p w:rsidR="006A2A46" w:rsidRDefault="006A2A46" w:rsidP="00E42E00"/>
    <w:p w:rsidR="006A2A46" w:rsidRDefault="006A2A46" w:rsidP="00E42E00"/>
    <w:p w:rsidR="006A2A46" w:rsidRDefault="006A2A46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26621D" w:rsidRDefault="0026621D" w:rsidP="00E42E00"/>
    <w:p w:rsidR="006A2A46" w:rsidRDefault="006A2A46" w:rsidP="00E42E00"/>
    <w:p w:rsidR="006A2A46" w:rsidRDefault="006F5F46" w:rsidP="00E42E00">
      <w:r w:rsidRPr="006F5F46">
        <w:rPr>
          <w:b/>
        </w:rPr>
        <w:t>Zpracovali</w:t>
      </w:r>
      <w:r>
        <w:t>: ing. Monika Bartlová, ing. Petra Křížová</w:t>
      </w:r>
    </w:p>
    <w:p w:rsidR="006F5F46" w:rsidRDefault="006F5F46" w:rsidP="00E42E00"/>
    <w:p w:rsidR="007B1333" w:rsidRDefault="007B1333" w:rsidP="00E42E00">
      <w:pPr>
        <w:rPr>
          <w:b/>
        </w:rPr>
      </w:pPr>
      <w:r>
        <w:rPr>
          <w:b/>
        </w:rPr>
        <w:t>Kontakt</w:t>
      </w:r>
    </w:p>
    <w:p w:rsidR="007B1333" w:rsidRDefault="006F5F46" w:rsidP="00E42E00">
      <w:r>
        <w:t>Monika Bartlová</w:t>
      </w:r>
    </w:p>
    <w:p w:rsidR="007B1333" w:rsidRDefault="007B1333" w:rsidP="00E42E00">
      <w:r>
        <w:t>Odbor</w:t>
      </w:r>
      <w:r w:rsidR="00FC114E">
        <w:t xml:space="preserve"> statistiky zahraničního obchodu</w:t>
      </w:r>
    </w:p>
    <w:p w:rsidR="007135BA" w:rsidRDefault="007B1333" w:rsidP="00E42E00">
      <w:r>
        <w:t>E-mail:</w:t>
      </w:r>
      <w:r w:rsidR="006F5F46">
        <w:t xml:space="preserve"> monika.bartlova@czso.cz</w:t>
      </w:r>
    </w:p>
    <w:sectPr w:rsidR="007135BA" w:rsidSect="00405244">
      <w:headerReference w:type="default" r:id="rId24"/>
      <w:footerReference w:type="default" r:id="rId2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2A" w:rsidRDefault="00DE142A" w:rsidP="00BA6370">
      <w:r>
        <w:separator/>
      </w:r>
    </w:p>
  </w:endnote>
  <w:endnote w:type="continuationSeparator" w:id="0">
    <w:p w:rsidR="00DE142A" w:rsidRDefault="00DE14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D8" w:rsidRDefault="00FE0ED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0ED8" w:rsidRPr="001404AB" w:rsidRDefault="00FE0ED8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FE0ED8" w:rsidRPr="00A81EB3" w:rsidRDefault="00FE0ED8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7231D">
                            <w:rPr>
                              <w:rFonts w:cs="Arial"/>
                              <w:noProof/>
                              <w:szCs w:val="15"/>
                            </w:rPr>
                            <w:t>8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:rsidR="00FE0ED8" w:rsidRPr="001404AB" w:rsidRDefault="00FE0ED8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FE0ED8" w:rsidRPr="00A81EB3" w:rsidRDefault="00FE0ED8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7231D">
                      <w:rPr>
                        <w:rFonts w:cs="Arial"/>
                        <w:noProof/>
                        <w:szCs w:val="15"/>
                      </w:rPr>
                      <w:t>8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33CE0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2A" w:rsidRDefault="00DE142A" w:rsidP="00BA6370">
      <w:r>
        <w:separator/>
      </w:r>
    </w:p>
  </w:footnote>
  <w:footnote w:type="continuationSeparator" w:id="0">
    <w:p w:rsidR="00DE142A" w:rsidRDefault="00DE142A" w:rsidP="00BA6370">
      <w:r>
        <w:continuationSeparator/>
      </w:r>
    </w:p>
  </w:footnote>
  <w:footnote w:id="1">
    <w:p w:rsidR="00FE0ED8" w:rsidRPr="00A46E5F" w:rsidRDefault="00FE0ED8">
      <w:pPr>
        <w:pStyle w:val="Textpoznpodarou"/>
        <w:rPr>
          <w:sz w:val="16"/>
          <w:szCs w:val="16"/>
        </w:rPr>
      </w:pPr>
      <w:r w:rsidRPr="00A46E5F">
        <w:rPr>
          <w:rStyle w:val="Znakapoznpodarou"/>
          <w:sz w:val="16"/>
          <w:szCs w:val="16"/>
        </w:rPr>
        <w:footnoteRef/>
      </w:r>
      <w:r w:rsidRPr="00A46E5F">
        <w:rPr>
          <w:sz w:val="16"/>
          <w:szCs w:val="16"/>
        </w:rPr>
        <w:t xml:space="preserve"> </w:t>
      </w:r>
      <w:hyperlink r:id="rId1" w:history="1">
        <w:r w:rsidRPr="00A46E5F">
          <w:rPr>
            <w:rStyle w:val="Hypertextovodkaz"/>
            <w:color w:val="auto"/>
            <w:sz w:val="16"/>
            <w:szCs w:val="16"/>
          </w:rPr>
          <w:t>Metodika zahraničního obchodu se zbožím (princip změny vlastnictví) | ČSÚ (czso.cz)</w:t>
        </w:r>
      </w:hyperlink>
    </w:p>
  </w:footnote>
  <w:footnote w:id="2">
    <w:p w:rsidR="00FE0ED8" w:rsidRPr="00F37C1E" w:rsidRDefault="00FE0ED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Údaje za rok 2020 jsou předběžné, údaje za roky 2015 až 2019 jsou definitivní.</w:t>
      </w:r>
    </w:p>
  </w:footnote>
  <w:footnote w:id="3">
    <w:p w:rsidR="00FE0ED8" w:rsidRPr="0084668F" w:rsidRDefault="00FE0ED8">
      <w:pPr>
        <w:pStyle w:val="Textpoznpodarou"/>
      </w:pPr>
      <w:r w:rsidRPr="0084668F">
        <w:rPr>
          <w:rStyle w:val="Znakapoznpodarou"/>
        </w:rPr>
        <w:footnoteRef/>
      </w:r>
      <w:r w:rsidRPr="0084668F">
        <w:rPr>
          <w:sz w:val="16"/>
          <w:szCs w:val="16"/>
        </w:rPr>
        <w:t xml:space="preserve"> AT- Rakousko, CN - Čína, DE - Německo, FR - Francie, GB - Spojené království, IT - Itálie, PL - Polsko, SK - Slovensko</w:t>
      </w:r>
    </w:p>
  </w:footnote>
  <w:footnote w:id="4">
    <w:p w:rsidR="00FE0ED8" w:rsidRPr="00312178" w:rsidRDefault="00FE0ED8">
      <w:pPr>
        <w:pStyle w:val="Textpoznpodarou"/>
        <w:rPr>
          <w:sz w:val="16"/>
          <w:szCs w:val="16"/>
        </w:rPr>
      </w:pPr>
      <w:r w:rsidRPr="00312178">
        <w:rPr>
          <w:rStyle w:val="Znakapoznpodarou"/>
          <w:sz w:val="16"/>
          <w:szCs w:val="16"/>
        </w:rPr>
        <w:footnoteRef/>
      </w:r>
      <w:r w:rsidRPr="00312178">
        <w:rPr>
          <w:sz w:val="16"/>
          <w:szCs w:val="16"/>
        </w:rPr>
        <w:t xml:space="preserve"> Meziroční index (stejné období předchozího roku = 100).</w:t>
      </w:r>
    </w:p>
  </w:footnote>
  <w:footnote w:id="5">
    <w:p w:rsidR="00FE0ED8" w:rsidRDefault="00FE0ED8" w:rsidP="00E84282">
      <w:pPr>
        <w:pStyle w:val="Textpoznpodarou"/>
        <w:spacing w:after="80"/>
        <w:rPr>
          <w:rFonts w:cs="Arial"/>
          <w:color w:val="292929"/>
          <w:sz w:val="16"/>
          <w:szCs w:val="18"/>
        </w:rPr>
      </w:pPr>
      <w:r>
        <w:rPr>
          <w:rStyle w:val="Znakapoznpodarou"/>
          <w:rFonts w:cs="Arial"/>
          <w:color w:val="292929"/>
          <w:sz w:val="16"/>
          <w:szCs w:val="18"/>
        </w:rPr>
        <w:footnoteRef/>
      </w:r>
      <w:r>
        <w:rPr>
          <w:rFonts w:cs="Arial"/>
          <w:color w:val="292929"/>
          <w:sz w:val="16"/>
          <w:szCs w:val="18"/>
        </w:rPr>
        <w:t xml:space="preserve"> Česká měna výrazně oslabila vůči euru za období leden až prosinec 2020, kdy se dostala na 26,444 korun za euro,  proti lednu až prosinci 2019 (25,672 Kč/ EUR). Oslabení se projevilo již v březnu 2020 a pokračovalo v dalších měsících, přičemž v květnu, červnu a říjnu se měsíční průměr dostal nad 27 Kč za EUR.</w:t>
      </w:r>
    </w:p>
    <w:p w:rsidR="00FE0ED8" w:rsidRDefault="00FE0ED8" w:rsidP="00E84282">
      <w:pPr>
        <w:pStyle w:val="Textpoznpodarou"/>
        <w:rPr>
          <w:rFonts w:cs="Arial"/>
          <w:color w:val="292929"/>
          <w:sz w:val="16"/>
          <w:szCs w:val="18"/>
        </w:rPr>
      </w:pPr>
      <w:r>
        <w:rPr>
          <w:rFonts w:cs="Arial"/>
          <w:color w:val="292929"/>
          <w:sz w:val="16"/>
          <w:szCs w:val="18"/>
        </w:rPr>
        <w:t>V lednu až prosinci 2018 zakončil měsíční kumulovaný průměr podle České národní banky na 25,643 Kč za EUR.</w:t>
      </w:r>
    </w:p>
    <w:p w:rsidR="00FE0ED8" w:rsidRDefault="00FE0ED8" w:rsidP="00E84282">
      <w:pPr>
        <w:pStyle w:val="Textpoznpodarou"/>
        <w:rPr>
          <w:rFonts w:cs="Arial"/>
          <w:color w:val="292929"/>
          <w:sz w:val="16"/>
          <w:szCs w:val="18"/>
        </w:rPr>
      </w:pPr>
    </w:p>
  </w:footnote>
  <w:footnote w:id="6">
    <w:p w:rsidR="00FE0ED8" w:rsidRDefault="00FE0ED8" w:rsidP="00F75B09">
      <w:pPr>
        <w:spacing w:line="240" w:lineRule="auto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A4165">
        <w:rPr>
          <w:sz w:val="16"/>
          <w:szCs w:val="16"/>
        </w:rPr>
        <w:t>Klasifikace produkce CZ-CPA</w:t>
      </w:r>
      <w:r>
        <w:rPr>
          <w:sz w:val="16"/>
          <w:szCs w:val="16"/>
        </w:rPr>
        <w:t xml:space="preserve">, oddíl 29 – motorová vozidla (kromě motocyklů), přívěsy a návěsy se skládá z: </w:t>
      </w:r>
    </w:p>
    <w:p w:rsidR="00FE0ED8" w:rsidRDefault="00FE0ED8" w:rsidP="00F75B09">
      <w:pPr>
        <w:spacing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291 – motorová vozidla (kromě motocyklů), </w:t>
      </w:r>
    </w:p>
    <w:p w:rsidR="00FE0ED8" w:rsidRDefault="00FE0ED8" w:rsidP="00F75B09">
      <w:pPr>
        <w:spacing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292 – karoserie motorových vozidel, přívěsy a návěsy, </w:t>
      </w:r>
    </w:p>
    <w:p w:rsidR="00FE0ED8" w:rsidRDefault="00FE0ED8" w:rsidP="00F75B09">
      <w:pPr>
        <w:spacing w:line="240" w:lineRule="auto"/>
        <w:ind w:left="720" w:firstLine="720"/>
      </w:pPr>
      <w:r>
        <w:rPr>
          <w:sz w:val="16"/>
          <w:szCs w:val="16"/>
        </w:rPr>
        <w:t>293 – díly a příslušenství pro motorová vozidla (kromě motocyklů).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D8" w:rsidRDefault="00FE0ED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EA90D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FE6"/>
    <w:multiLevelType w:val="hybridMultilevel"/>
    <w:tmpl w:val="49360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8DB"/>
    <w:multiLevelType w:val="hybridMultilevel"/>
    <w:tmpl w:val="BA107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27BD"/>
    <w:multiLevelType w:val="hybridMultilevel"/>
    <w:tmpl w:val="184C6C16"/>
    <w:lvl w:ilvl="0" w:tplc="FA9A88B6">
      <w:start w:val="3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886F9E"/>
    <w:multiLevelType w:val="hybridMultilevel"/>
    <w:tmpl w:val="55447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62FF"/>
    <w:multiLevelType w:val="hybridMultilevel"/>
    <w:tmpl w:val="372286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623BA"/>
    <w:multiLevelType w:val="hybridMultilevel"/>
    <w:tmpl w:val="71EA7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7EBA"/>
    <w:multiLevelType w:val="hybridMultilevel"/>
    <w:tmpl w:val="F80A316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50"/>
    <w:rsid w:val="0000392A"/>
    <w:rsid w:val="000205D8"/>
    <w:rsid w:val="00022D60"/>
    <w:rsid w:val="00043BF4"/>
    <w:rsid w:val="00047A19"/>
    <w:rsid w:val="00051A0E"/>
    <w:rsid w:val="00064A7C"/>
    <w:rsid w:val="00077352"/>
    <w:rsid w:val="00083130"/>
    <w:rsid w:val="000843A5"/>
    <w:rsid w:val="00086E75"/>
    <w:rsid w:val="000934A3"/>
    <w:rsid w:val="00095129"/>
    <w:rsid w:val="00097DB4"/>
    <w:rsid w:val="000B14A1"/>
    <w:rsid w:val="000B2F5B"/>
    <w:rsid w:val="000B39E5"/>
    <w:rsid w:val="000B6F63"/>
    <w:rsid w:val="000D37FC"/>
    <w:rsid w:val="000F5B28"/>
    <w:rsid w:val="000F7240"/>
    <w:rsid w:val="00101C9A"/>
    <w:rsid w:val="00102CCA"/>
    <w:rsid w:val="00115D3F"/>
    <w:rsid w:val="0011724E"/>
    <w:rsid w:val="00127216"/>
    <w:rsid w:val="00132087"/>
    <w:rsid w:val="00132964"/>
    <w:rsid w:val="00133223"/>
    <w:rsid w:val="001404AB"/>
    <w:rsid w:val="00152821"/>
    <w:rsid w:val="001658A9"/>
    <w:rsid w:val="001665E3"/>
    <w:rsid w:val="00166BA0"/>
    <w:rsid w:val="0017169D"/>
    <w:rsid w:val="0017231D"/>
    <w:rsid w:val="00174842"/>
    <w:rsid w:val="00175ABA"/>
    <w:rsid w:val="00175F92"/>
    <w:rsid w:val="001810DC"/>
    <w:rsid w:val="001834E9"/>
    <w:rsid w:val="00184358"/>
    <w:rsid w:val="001845AD"/>
    <w:rsid w:val="00186649"/>
    <w:rsid w:val="001A59BF"/>
    <w:rsid w:val="001B38AF"/>
    <w:rsid w:val="001B607F"/>
    <w:rsid w:val="001B67B4"/>
    <w:rsid w:val="001D2496"/>
    <w:rsid w:val="001D28BF"/>
    <w:rsid w:val="001D369A"/>
    <w:rsid w:val="001E785C"/>
    <w:rsid w:val="001F1263"/>
    <w:rsid w:val="001F176B"/>
    <w:rsid w:val="001F2352"/>
    <w:rsid w:val="001F6C45"/>
    <w:rsid w:val="001F763A"/>
    <w:rsid w:val="002070FB"/>
    <w:rsid w:val="00213729"/>
    <w:rsid w:val="00216FD4"/>
    <w:rsid w:val="002224EF"/>
    <w:rsid w:val="00225045"/>
    <w:rsid w:val="0023216E"/>
    <w:rsid w:val="00234719"/>
    <w:rsid w:val="002406FA"/>
    <w:rsid w:val="00242EB8"/>
    <w:rsid w:val="00250DEA"/>
    <w:rsid w:val="00252B58"/>
    <w:rsid w:val="00255E6B"/>
    <w:rsid w:val="00256DC9"/>
    <w:rsid w:val="00257446"/>
    <w:rsid w:val="0026621D"/>
    <w:rsid w:val="00273062"/>
    <w:rsid w:val="00290101"/>
    <w:rsid w:val="00293D20"/>
    <w:rsid w:val="002B2E47"/>
    <w:rsid w:val="002C0688"/>
    <w:rsid w:val="002C33B5"/>
    <w:rsid w:val="002D6A6C"/>
    <w:rsid w:val="00312178"/>
    <w:rsid w:val="00314D5D"/>
    <w:rsid w:val="003213BA"/>
    <w:rsid w:val="00322092"/>
    <w:rsid w:val="0032536B"/>
    <w:rsid w:val="003301A3"/>
    <w:rsid w:val="003310FF"/>
    <w:rsid w:val="00340DBE"/>
    <w:rsid w:val="00341CF8"/>
    <w:rsid w:val="00354677"/>
    <w:rsid w:val="00365458"/>
    <w:rsid w:val="0036777B"/>
    <w:rsid w:val="003748CE"/>
    <w:rsid w:val="00377ACD"/>
    <w:rsid w:val="003821E1"/>
    <w:rsid w:val="0038282A"/>
    <w:rsid w:val="003831D6"/>
    <w:rsid w:val="00397580"/>
    <w:rsid w:val="003A1794"/>
    <w:rsid w:val="003A350A"/>
    <w:rsid w:val="003A39D6"/>
    <w:rsid w:val="003A3CF4"/>
    <w:rsid w:val="003A45C8"/>
    <w:rsid w:val="003B34FC"/>
    <w:rsid w:val="003B7E3C"/>
    <w:rsid w:val="003C2DCF"/>
    <w:rsid w:val="003C6434"/>
    <w:rsid w:val="003C7EA0"/>
    <w:rsid w:val="003C7FE7"/>
    <w:rsid w:val="003D0499"/>
    <w:rsid w:val="003E10F6"/>
    <w:rsid w:val="003F526A"/>
    <w:rsid w:val="00405244"/>
    <w:rsid w:val="00406A19"/>
    <w:rsid w:val="00411995"/>
    <w:rsid w:val="00412CEB"/>
    <w:rsid w:val="00422A5E"/>
    <w:rsid w:val="004236A8"/>
    <w:rsid w:val="00425FD0"/>
    <w:rsid w:val="0043303B"/>
    <w:rsid w:val="00436A02"/>
    <w:rsid w:val="004436EE"/>
    <w:rsid w:val="004455AE"/>
    <w:rsid w:val="0045547F"/>
    <w:rsid w:val="00461AA0"/>
    <w:rsid w:val="00464E61"/>
    <w:rsid w:val="00480D41"/>
    <w:rsid w:val="00484F45"/>
    <w:rsid w:val="00485896"/>
    <w:rsid w:val="004920AD"/>
    <w:rsid w:val="004A42DE"/>
    <w:rsid w:val="004B60B3"/>
    <w:rsid w:val="004C5E1D"/>
    <w:rsid w:val="004D05B3"/>
    <w:rsid w:val="004D0C7A"/>
    <w:rsid w:val="004D4002"/>
    <w:rsid w:val="004E0B31"/>
    <w:rsid w:val="004E44AB"/>
    <w:rsid w:val="004E479E"/>
    <w:rsid w:val="004E7868"/>
    <w:rsid w:val="004F629D"/>
    <w:rsid w:val="004F78E6"/>
    <w:rsid w:val="005007F0"/>
    <w:rsid w:val="0050088D"/>
    <w:rsid w:val="00500EC5"/>
    <w:rsid w:val="00501479"/>
    <w:rsid w:val="005113C2"/>
    <w:rsid w:val="00512D99"/>
    <w:rsid w:val="0051737F"/>
    <w:rsid w:val="00525163"/>
    <w:rsid w:val="00531DBB"/>
    <w:rsid w:val="005320B3"/>
    <w:rsid w:val="005340E7"/>
    <w:rsid w:val="00540030"/>
    <w:rsid w:val="00544B6D"/>
    <w:rsid w:val="00545026"/>
    <w:rsid w:val="00553DAA"/>
    <w:rsid w:val="00556CD9"/>
    <w:rsid w:val="005646B3"/>
    <w:rsid w:val="0056527E"/>
    <w:rsid w:val="00565832"/>
    <w:rsid w:val="00570920"/>
    <w:rsid w:val="00576430"/>
    <w:rsid w:val="005915C4"/>
    <w:rsid w:val="005A6C68"/>
    <w:rsid w:val="005B4C89"/>
    <w:rsid w:val="005C6438"/>
    <w:rsid w:val="005D241D"/>
    <w:rsid w:val="005D3A63"/>
    <w:rsid w:val="005D6D5F"/>
    <w:rsid w:val="005F317D"/>
    <w:rsid w:val="005F699D"/>
    <w:rsid w:val="005F79FB"/>
    <w:rsid w:val="00604406"/>
    <w:rsid w:val="00605264"/>
    <w:rsid w:val="00605F4A"/>
    <w:rsid w:val="0060696C"/>
    <w:rsid w:val="00607822"/>
    <w:rsid w:val="006103AA"/>
    <w:rsid w:val="00613BBF"/>
    <w:rsid w:val="00622B80"/>
    <w:rsid w:val="006246A1"/>
    <w:rsid w:val="006314AD"/>
    <w:rsid w:val="00636FEB"/>
    <w:rsid w:val="0064139A"/>
    <w:rsid w:val="00650466"/>
    <w:rsid w:val="006702D2"/>
    <w:rsid w:val="00671DED"/>
    <w:rsid w:val="00673A7C"/>
    <w:rsid w:val="00690C26"/>
    <w:rsid w:val="00691959"/>
    <w:rsid w:val="006A0AAC"/>
    <w:rsid w:val="006A161C"/>
    <w:rsid w:val="006A2A46"/>
    <w:rsid w:val="006A33B7"/>
    <w:rsid w:val="006A4165"/>
    <w:rsid w:val="006B4BA9"/>
    <w:rsid w:val="006C09DD"/>
    <w:rsid w:val="006C1943"/>
    <w:rsid w:val="006D16A3"/>
    <w:rsid w:val="006E024F"/>
    <w:rsid w:val="006E3D68"/>
    <w:rsid w:val="006E4AF7"/>
    <w:rsid w:val="006E4E81"/>
    <w:rsid w:val="006E6E9E"/>
    <w:rsid w:val="006F41A3"/>
    <w:rsid w:val="006F4581"/>
    <w:rsid w:val="006F5F46"/>
    <w:rsid w:val="00702DF0"/>
    <w:rsid w:val="00703398"/>
    <w:rsid w:val="00707F7D"/>
    <w:rsid w:val="00712947"/>
    <w:rsid w:val="007135BA"/>
    <w:rsid w:val="007168E9"/>
    <w:rsid w:val="00717EC5"/>
    <w:rsid w:val="007211B2"/>
    <w:rsid w:val="00726CE8"/>
    <w:rsid w:val="0073623D"/>
    <w:rsid w:val="00736616"/>
    <w:rsid w:val="00737B80"/>
    <w:rsid w:val="00742187"/>
    <w:rsid w:val="00743FEB"/>
    <w:rsid w:val="0076417B"/>
    <w:rsid w:val="00764C77"/>
    <w:rsid w:val="007653F7"/>
    <w:rsid w:val="00766A42"/>
    <w:rsid w:val="0076744E"/>
    <w:rsid w:val="00767737"/>
    <w:rsid w:val="00782469"/>
    <w:rsid w:val="007834A4"/>
    <w:rsid w:val="007A57F2"/>
    <w:rsid w:val="007A5C0E"/>
    <w:rsid w:val="007B1333"/>
    <w:rsid w:val="007B5106"/>
    <w:rsid w:val="007B70FE"/>
    <w:rsid w:val="007C059E"/>
    <w:rsid w:val="007C442D"/>
    <w:rsid w:val="007E1A88"/>
    <w:rsid w:val="007E23A3"/>
    <w:rsid w:val="007F4AEB"/>
    <w:rsid w:val="007F75B2"/>
    <w:rsid w:val="0080028E"/>
    <w:rsid w:val="008043C4"/>
    <w:rsid w:val="0080588D"/>
    <w:rsid w:val="00813F6D"/>
    <w:rsid w:val="00815588"/>
    <w:rsid w:val="00816E31"/>
    <w:rsid w:val="00830309"/>
    <w:rsid w:val="00831B1B"/>
    <w:rsid w:val="00843913"/>
    <w:rsid w:val="0084668F"/>
    <w:rsid w:val="00846A05"/>
    <w:rsid w:val="00846EE4"/>
    <w:rsid w:val="0085059B"/>
    <w:rsid w:val="008547F4"/>
    <w:rsid w:val="0086002B"/>
    <w:rsid w:val="00861D0E"/>
    <w:rsid w:val="008620C7"/>
    <w:rsid w:val="008634B2"/>
    <w:rsid w:val="00865451"/>
    <w:rsid w:val="00867569"/>
    <w:rsid w:val="008771F6"/>
    <w:rsid w:val="0088496B"/>
    <w:rsid w:val="008851FD"/>
    <w:rsid w:val="00890C21"/>
    <w:rsid w:val="008A18A9"/>
    <w:rsid w:val="008A750A"/>
    <w:rsid w:val="008B1C1B"/>
    <w:rsid w:val="008B7303"/>
    <w:rsid w:val="008C2BDE"/>
    <w:rsid w:val="008C384C"/>
    <w:rsid w:val="008C3953"/>
    <w:rsid w:val="008C48A2"/>
    <w:rsid w:val="008C5D13"/>
    <w:rsid w:val="008D0F11"/>
    <w:rsid w:val="008D3A04"/>
    <w:rsid w:val="008D7664"/>
    <w:rsid w:val="008E7442"/>
    <w:rsid w:val="008F0603"/>
    <w:rsid w:val="008F5BA7"/>
    <w:rsid w:val="008F6CFB"/>
    <w:rsid w:val="008F73B4"/>
    <w:rsid w:val="0090461A"/>
    <w:rsid w:val="00904DF0"/>
    <w:rsid w:val="0090741A"/>
    <w:rsid w:val="00910E96"/>
    <w:rsid w:val="00912269"/>
    <w:rsid w:val="009128EB"/>
    <w:rsid w:val="0092191A"/>
    <w:rsid w:val="00924D01"/>
    <w:rsid w:val="0093150A"/>
    <w:rsid w:val="00931A52"/>
    <w:rsid w:val="00932E36"/>
    <w:rsid w:val="00933414"/>
    <w:rsid w:val="009351BC"/>
    <w:rsid w:val="00941635"/>
    <w:rsid w:val="009458C2"/>
    <w:rsid w:val="009464BB"/>
    <w:rsid w:val="009465C1"/>
    <w:rsid w:val="009470FD"/>
    <w:rsid w:val="00954D89"/>
    <w:rsid w:val="00965A61"/>
    <w:rsid w:val="00995147"/>
    <w:rsid w:val="009A019C"/>
    <w:rsid w:val="009A62E3"/>
    <w:rsid w:val="009B09E9"/>
    <w:rsid w:val="009B2620"/>
    <w:rsid w:val="009B339A"/>
    <w:rsid w:val="009B55B1"/>
    <w:rsid w:val="009B6BDC"/>
    <w:rsid w:val="009C3AFF"/>
    <w:rsid w:val="009F461F"/>
    <w:rsid w:val="00A06272"/>
    <w:rsid w:val="00A108D1"/>
    <w:rsid w:val="00A13FBC"/>
    <w:rsid w:val="00A20625"/>
    <w:rsid w:val="00A226E3"/>
    <w:rsid w:val="00A23EEE"/>
    <w:rsid w:val="00A4343D"/>
    <w:rsid w:val="00A439CE"/>
    <w:rsid w:val="00A46E5F"/>
    <w:rsid w:val="00A47890"/>
    <w:rsid w:val="00A502F1"/>
    <w:rsid w:val="00A55E52"/>
    <w:rsid w:val="00A56C80"/>
    <w:rsid w:val="00A70A83"/>
    <w:rsid w:val="00A8027C"/>
    <w:rsid w:val="00A81EB3"/>
    <w:rsid w:val="00A82B51"/>
    <w:rsid w:val="00A8442C"/>
    <w:rsid w:val="00A911E9"/>
    <w:rsid w:val="00A969C9"/>
    <w:rsid w:val="00AA5098"/>
    <w:rsid w:val="00AA74A7"/>
    <w:rsid w:val="00AC2782"/>
    <w:rsid w:val="00AC5085"/>
    <w:rsid w:val="00AF307B"/>
    <w:rsid w:val="00AF3A55"/>
    <w:rsid w:val="00AF7D79"/>
    <w:rsid w:val="00B00C1D"/>
    <w:rsid w:val="00B03AFE"/>
    <w:rsid w:val="00B07D7F"/>
    <w:rsid w:val="00B10928"/>
    <w:rsid w:val="00B12C2F"/>
    <w:rsid w:val="00B14F4D"/>
    <w:rsid w:val="00B152F3"/>
    <w:rsid w:val="00B2611A"/>
    <w:rsid w:val="00B32434"/>
    <w:rsid w:val="00B33194"/>
    <w:rsid w:val="00B4000B"/>
    <w:rsid w:val="00B4122F"/>
    <w:rsid w:val="00B413DC"/>
    <w:rsid w:val="00B43F59"/>
    <w:rsid w:val="00B46783"/>
    <w:rsid w:val="00B47776"/>
    <w:rsid w:val="00B53121"/>
    <w:rsid w:val="00B54CC8"/>
    <w:rsid w:val="00B645B8"/>
    <w:rsid w:val="00B64D20"/>
    <w:rsid w:val="00B8061B"/>
    <w:rsid w:val="00B83B9D"/>
    <w:rsid w:val="00B85FF3"/>
    <w:rsid w:val="00B86550"/>
    <w:rsid w:val="00B87336"/>
    <w:rsid w:val="00B87902"/>
    <w:rsid w:val="00B91830"/>
    <w:rsid w:val="00BA02F6"/>
    <w:rsid w:val="00BA439F"/>
    <w:rsid w:val="00BA6370"/>
    <w:rsid w:val="00BB74DF"/>
    <w:rsid w:val="00BC38D6"/>
    <w:rsid w:val="00BC3A7E"/>
    <w:rsid w:val="00BC748B"/>
    <w:rsid w:val="00BD3D85"/>
    <w:rsid w:val="00BD5C2F"/>
    <w:rsid w:val="00BD7A51"/>
    <w:rsid w:val="00BE161E"/>
    <w:rsid w:val="00BF13FC"/>
    <w:rsid w:val="00BF6E3D"/>
    <w:rsid w:val="00C152CC"/>
    <w:rsid w:val="00C153F2"/>
    <w:rsid w:val="00C1783B"/>
    <w:rsid w:val="00C269D4"/>
    <w:rsid w:val="00C32DCE"/>
    <w:rsid w:val="00C4160D"/>
    <w:rsid w:val="00C626A1"/>
    <w:rsid w:val="00C7124A"/>
    <w:rsid w:val="00C75039"/>
    <w:rsid w:val="00C813A8"/>
    <w:rsid w:val="00C8406E"/>
    <w:rsid w:val="00CA3088"/>
    <w:rsid w:val="00CB150D"/>
    <w:rsid w:val="00CB2709"/>
    <w:rsid w:val="00CB6F89"/>
    <w:rsid w:val="00CC0A01"/>
    <w:rsid w:val="00CC65FB"/>
    <w:rsid w:val="00CC7704"/>
    <w:rsid w:val="00CD6ED2"/>
    <w:rsid w:val="00CE228C"/>
    <w:rsid w:val="00CF545B"/>
    <w:rsid w:val="00CF5C6D"/>
    <w:rsid w:val="00CF76C4"/>
    <w:rsid w:val="00D04CA8"/>
    <w:rsid w:val="00D055AB"/>
    <w:rsid w:val="00D05CC2"/>
    <w:rsid w:val="00D123B7"/>
    <w:rsid w:val="00D12F4C"/>
    <w:rsid w:val="00D20115"/>
    <w:rsid w:val="00D27D69"/>
    <w:rsid w:val="00D353CD"/>
    <w:rsid w:val="00D448C2"/>
    <w:rsid w:val="00D666C3"/>
    <w:rsid w:val="00D806AF"/>
    <w:rsid w:val="00DB2879"/>
    <w:rsid w:val="00DB69F4"/>
    <w:rsid w:val="00DC36D1"/>
    <w:rsid w:val="00DD1EAE"/>
    <w:rsid w:val="00DE0C75"/>
    <w:rsid w:val="00DE142A"/>
    <w:rsid w:val="00DE1E01"/>
    <w:rsid w:val="00DF2D22"/>
    <w:rsid w:val="00DF47FE"/>
    <w:rsid w:val="00E019F6"/>
    <w:rsid w:val="00E134F9"/>
    <w:rsid w:val="00E1778D"/>
    <w:rsid w:val="00E2404B"/>
    <w:rsid w:val="00E24291"/>
    <w:rsid w:val="00E26704"/>
    <w:rsid w:val="00E271D1"/>
    <w:rsid w:val="00E31980"/>
    <w:rsid w:val="00E36FE6"/>
    <w:rsid w:val="00E42E00"/>
    <w:rsid w:val="00E606E9"/>
    <w:rsid w:val="00E6423C"/>
    <w:rsid w:val="00E66132"/>
    <w:rsid w:val="00E67D9A"/>
    <w:rsid w:val="00E67F18"/>
    <w:rsid w:val="00E7231D"/>
    <w:rsid w:val="00E75BA7"/>
    <w:rsid w:val="00E84282"/>
    <w:rsid w:val="00E85D8D"/>
    <w:rsid w:val="00E865C6"/>
    <w:rsid w:val="00E93830"/>
    <w:rsid w:val="00E93E0E"/>
    <w:rsid w:val="00EA18D2"/>
    <w:rsid w:val="00EA7B94"/>
    <w:rsid w:val="00EB0B8E"/>
    <w:rsid w:val="00EB1ED3"/>
    <w:rsid w:val="00EB2F3E"/>
    <w:rsid w:val="00EB4B5C"/>
    <w:rsid w:val="00EB601F"/>
    <w:rsid w:val="00EC1630"/>
    <w:rsid w:val="00EC2D51"/>
    <w:rsid w:val="00EC2D93"/>
    <w:rsid w:val="00EC4DF2"/>
    <w:rsid w:val="00EC6652"/>
    <w:rsid w:val="00ED63B1"/>
    <w:rsid w:val="00ED7B69"/>
    <w:rsid w:val="00EE3A50"/>
    <w:rsid w:val="00EE3F68"/>
    <w:rsid w:val="00EF0B31"/>
    <w:rsid w:val="00EF5A98"/>
    <w:rsid w:val="00F002AA"/>
    <w:rsid w:val="00F03342"/>
    <w:rsid w:val="00F03DBD"/>
    <w:rsid w:val="00F05BC5"/>
    <w:rsid w:val="00F13564"/>
    <w:rsid w:val="00F2406F"/>
    <w:rsid w:val="00F26395"/>
    <w:rsid w:val="00F2764B"/>
    <w:rsid w:val="00F31BAC"/>
    <w:rsid w:val="00F32540"/>
    <w:rsid w:val="00F32DA4"/>
    <w:rsid w:val="00F337CA"/>
    <w:rsid w:val="00F37C1E"/>
    <w:rsid w:val="00F45C35"/>
    <w:rsid w:val="00F52B3C"/>
    <w:rsid w:val="00F601BE"/>
    <w:rsid w:val="00F60E55"/>
    <w:rsid w:val="00F62D28"/>
    <w:rsid w:val="00F75964"/>
    <w:rsid w:val="00F75B09"/>
    <w:rsid w:val="00F8559A"/>
    <w:rsid w:val="00F96906"/>
    <w:rsid w:val="00FA4F32"/>
    <w:rsid w:val="00FB182B"/>
    <w:rsid w:val="00FB62AA"/>
    <w:rsid w:val="00FB687C"/>
    <w:rsid w:val="00FC0087"/>
    <w:rsid w:val="00FC114E"/>
    <w:rsid w:val="00FC55CC"/>
    <w:rsid w:val="00FD6F7E"/>
    <w:rsid w:val="00FE0ED8"/>
    <w:rsid w:val="00FE2ED4"/>
    <w:rsid w:val="00FE52A7"/>
    <w:rsid w:val="00FF50F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46CA768"/>
  <w15:docId w15:val="{9A7974D9-A008-4CC2-A049-783ED8B9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37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293D2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1665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1665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1665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7zvraznn2">
    <w:name w:val="Grid Table 7 Colorful Accent 2"/>
    <w:basedOn w:val="Normlntabulka"/>
    <w:uiPriority w:val="52"/>
    <w:rsid w:val="001665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Prosttabulka5">
    <w:name w:val="Plain Table 5"/>
    <w:basedOn w:val="Normlntabulka"/>
    <w:uiPriority w:val="45"/>
    <w:rsid w:val="001665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D0C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4D0C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rsid w:val="004D0C7A"/>
    <w:pPr>
      <w:ind w:left="720"/>
      <w:contextualSpacing/>
    </w:pPr>
  </w:style>
  <w:style w:type="table" w:styleId="Tmavtabulkasmkou5zvraznn2">
    <w:name w:val="Grid Table 5 Dark Accent 2"/>
    <w:basedOn w:val="Normlntabulka"/>
    <w:uiPriority w:val="50"/>
    <w:rsid w:val="004D0C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Znakapoznpodarou">
    <w:name w:val="footnote reference"/>
    <w:semiHidden/>
    <w:unhideWhenUsed/>
    <w:rsid w:val="008D766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76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66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66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664"/>
    <w:rPr>
      <w:rFonts w:ascii="Arial" w:hAnsi="Arial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7664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7664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46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4/relationships/chartEx" Target="charts/chartEx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14/relationships/chartEx" Target="charts/chartEx1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0.xml"/><Relationship Id="rId10" Type="http://schemas.openxmlformats.org/officeDocument/2006/relationships/chart" Target="charts/chart3.xml"/><Relationship Id="rId19" Type="http://schemas.microsoft.com/office/2014/relationships/chartEx" Target="charts/chartEx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1-vzonu_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va327\AppData\Local\Temp\Anal&#253;za%20CZ-2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bartlova327\Documents\A_ZO_NP\a\rocni\aa_ZOsZ_Polsko\grafy\grafy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bartlova327\Documents\A_ZO_NP\a\rocni\aa_ZOsZ_Polsko\grafy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91223263172947"/>
          <c:y val="0.17207349081364831"/>
          <c:w val="0.88327235414395056"/>
          <c:h val="0.75544878546232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g1_B!$B$3</c:f>
              <c:strCache>
                <c:ptCount val="1"/>
                <c:pt idx="0">
                  <c:v>  s Polskem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 w="9525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  <c:invertIfNegative val="0"/>
          <c:cat>
            <c:numRef>
              <c:f>g1_B!$C$2:$H$2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g1_B!$C$3:$H$3</c:f>
              <c:numCache>
                <c:formatCode>#\ ##0.0</c:formatCode>
                <c:ptCount val="6"/>
                <c:pt idx="0">
                  <c:v>-64.2</c:v>
                </c:pt>
                <c:pt idx="1">
                  <c:v>-72.599999999999994</c:v>
                </c:pt>
                <c:pt idx="2">
                  <c:v>-58.5</c:v>
                </c:pt>
                <c:pt idx="3">
                  <c:v>-63.6</c:v>
                </c:pt>
                <c:pt idx="4">
                  <c:v>-62.6</c:v>
                </c:pt>
                <c:pt idx="5">
                  <c:v>-58.7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DC-45C8-AF67-F3CC35A75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81216"/>
        <c:axId val="120683136"/>
      </c:barChart>
      <c:catAx>
        <c:axId val="12068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3136"/>
        <c:crosses val="autoZero"/>
        <c:auto val="1"/>
        <c:lblAlgn val="ctr"/>
        <c:lblOffset val="100"/>
        <c:noMultiLvlLbl val="0"/>
      </c:catAx>
      <c:valAx>
        <c:axId val="120683136"/>
        <c:scaling>
          <c:orientation val="minMax"/>
          <c:max val="0"/>
          <c:min val="-8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</a:t>
                </a:r>
                <a:r>
                  <a:rPr lang="cs-CZ"/>
                  <a:t> mld. Kč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4807203433282961E-3"/>
              <c:y val="0.25239174946063675"/>
            </c:manualLayout>
          </c:layout>
          <c:overlay val="0"/>
        </c:title>
        <c:numFmt formatCode="0_ ;\-0\ " sourceLinked="0"/>
        <c:majorTickMark val="none"/>
        <c:minorTickMark val="none"/>
        <c:tickLblPos val="nextTo"/>
        <c:spPr>
          <a:ln w="3175">
            <a:solidFill>
              <a:srgbClr val="1C1C1C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1216"/>
        <c:crosses val="autoZero"/>
        <c:crossBetween val="between"/>
        <c:majorUnit val="20"/>
      </c:valAx>
      <c:spPr>
        <a:solidFill>
          <a:schemeClr val="bg1"/>
        </a:solidFill>
        <a:ln w="3175">
          <a:solidFill>
            <a:schemeClr val="tx2"/>
          </a:solidFill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94817307206125"/>
          <c:y val="8.4299898049259248E-2"/>
          <c:w val="0.65564745737781027"/>
          <c:h val="0.89565300541874004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5.3706946876824285E-2"/>
                  <c:y val="2.517670902647960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FF-400E-8358-F42E19A2988B}"/>
                </c:ext>
              </c:extLst>
            </c:dLbl>
            <c:dLbl>
              <c:idx val="1"/>
              <c:layout>
                <c:manualLayout>
                  <c:x val="-0.10274372446001168"/>
                  <c:y val="3.8894238939557015E-3"/>
                </c:manualLayout>
              </c:layout>
              <c:spPr>
                <a:solidFill>
                  <a:schemeClr val="bg1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602451838879159E-2"/>
                      <c:h val="3.818366805272935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AFF-400E-8358-F42E19A2988B}"/>
                </c:ext>
              </c:extLst>
            </c:dLbl>
            <c:dLbl>
              <c:idx val="2"/>
              <c:layout>
                <c:manualLayout>
                  <c:x val="-0.21716287215411559"/>
                  <c:y val="2.8424504490895473E-4"/>
                </c:manualLayout>
              </c:layout>
              <c:spPr>
                <a:solidFill>
                  <a:srgbClr val="F7C9D2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FF-400E-8358-F42E19A2988B}"/>
                </c:ext>
              </c:extLst>
            </c:dLbl>
            <c:dLbl>
              <c:idx val="3"/>
              <c:layout>
                <c:manualLayout>
                  <c:x val="-7.2387624051371946E-2"/>
                  <c:y val="3.1976938134532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FF-400E-8358-F42E19A2988B}"/>
                </c:ext>
              </c:extLst>
            </c:dLbl>
            <c:dLbl>
              <c:idx val="4"/>
              <c:layout>
                <c:manualLayout>
                  <c:x val="-5.6042031523642732E-2"/>
                  <c:y val="2.837482347312946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FF-400E-8358-F42E19A2988B}"/>
                </c:ext>
              </c:extLst>
            </c:dLbl>
            <c:dLbl>
              <c:idx val="5"/>
              <c:layout>
                <c:manualLayout>
                  <c:x val="-6.5382370110916438E-2"/>
                  <c:y val="3.74547669845322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FF-400E-8358-F42E19A2988B}"/>
                </c:ext>
              </c:extLst>
            </c:dLbl>
            <c:dLbl>
              <c:idx val="6"/>
              <c:layout>
                <c:manualLayout>
                  <c:x val="-6.5382370110916604E-2"/>
                  <c:y val="3.1981973476337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FF-400E-8358-F42E19A2988B}"/>
                </c:ext>
              </c:extLst>
            </c:dLbl>
            <c:dLbl>
              <c:idx val="7"/>
              <c:layout>
                <c:manualLayout>
                  <c:x val="-5.6042031523642732E-2"/>
                  <c:y val="3.4816870912718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FF-400E-8358-F42E19A2988B}"/>
                </c:ext>
              </c:extLst>
            </c:dLbl>
            <c:dLbl>
              <c:idx val="8"/>
              <c:layout>
                <c:manualLayout>
                  <c:x val="-8.4063047285464182E-2"/>
                  <c:y val="7.55301270794388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AFF-400E-8358-F42E19A2988B}"/>
                </c:ext>
              </c:extLst>
            </c:dLbl>
            <c:dLbl>
              <c:idx val="9"/>
              <c:layout>
                <c:manualLayout>
                  <c:x val="-3.7361354349095238E-2"/>
                  <c:y val="7.55301270794388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FF-400E-8358-F42E19A2988B}"/>
                </c:ext>
              </c:extLst>
            </c:dLbl>
            <c:dLbl>
              <c:idx val="10"/>
              <c:layout>
                <c:manualLayout>
                  <c:x val="-8.1727962638645651E-2"/>
                  <c:y val="3.746042536049959E-3"/>
                </c:manualLayout>
              </c:layout>
              <c:spPr>
                <a:solidFill>
                  <a:schemeClr val="bg1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AFF-400E-8358-F42E19A2988B}"/>
                </c:ext>
              </c:extLst>
            </c:dLbl>
            <c:dLbl>
              <c:idx val="11"/>
              <c:layout>
                <c:manualLayout>
                  <c:x val="-0.20782253356684188"/>
                  <c:y val="2.5176709026479601E-7"/>
                </c:manualLayout>
              </c:layout>
              <c:spPr>
                <a:solidFill>
                  <a:schemeClr val="bg1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AFF-400E-8358-F42E19A2988B}"/>
                </c:ext>
              </c:extLst>
            </c:dLbl>
            <c:dLbl>
              <c:idx val="12"/>
              <c:layout>
                <c:manualLayout>
                  <c:x val="0.11208406304728546"/>
                  <c:y val="-3.6035423629600257E-3"/>
                </c:manualLayout>
              </c:layout>
              <c:spPr>
                <a:solidFill>
                  <a:srgbClr val="F7C9D2"/>
                </a:solidFill>
                <a:ln>
                  <a:solidFill>
                    <a:schemeClr val="bg1">
                      <a:lumMod val="65000"/>
                    </a:schemeClr>
                  </a:solidFill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AFF-400E-8358-F42E19A2988B}"/>
                </c:ext>
              </c:extLst>
            </c:dLbl>
            <c:dLbl>
              <c:idx val="13"/>
              <c:layout>
                <c:manualLayout>
                  <c:x val="6.0712200817279627E-2"/>
                  <c:y val="2.51767090235486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AFF-400E-8358-F42E19A2988B}"/>
                </c:ext>
              </c:extLst>
            </c:dLbl>
            <c:dLbl>
              <c:idx val="14"/>
              <c:layout>
                <c:manualLayout>
                  <c:x val="7.472270869819031E-2"/>
                  <c:y val="2.51767090235486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AFF-400E-8358-F42E19A2988B}"/>
                </c:ext>
              </c:extLst>
            </c:dLbl>
            <c:dLbl>
              <c:idx val="15"/>
              <c:layout>
                <c:manualLayout>
                  <c:x val="-0.18680677174547586"/>
                  <c:y val="2.517670902941055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AFF-400E-8358-F42E19A2988B}"/>
                </c:ext>
              </c:extLst>
            </c:dLbl>
            <c:dLbl>
              <c:idx val="16"/>
              <c:layout>
                <c:manualLayout>
                  <c:x val="-8.87332165791009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AFF-400E-8358-F42E19A2988B}"/>
                </c:ext>
              </c:extLst>
            </c:dLbl>
            <c:spPr>
              <a:noFill/>
              <a:ln>
                <a:solidFill>
                  <a:schemeClr val="bg1">
                    <a:lumMod val="65000"/>
                  </a:scheme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'g12 cpa2_B'!$A$1:$A$17</c:f>
              <c:strCache>
                <c:ptCount val="17"/>
                <c:pt idx="0">
                  <c:v>produkty lesnictví, těžby dřeva</c:v>
                </c:pt>
                <c:pt idx="1">
                  <c:v>černé a hnědé uhlí</c:v>
                </c:pt>
                <c:pt idx="2">
                  <c:v>potravinářské výrobky</c:v>
                </c:pt>
                <c:pt idx="3">
                  <c:v>tabákové výrobky</c:v>
                </c:pt>
                <c:pt idx="4">
                  <c:v>textilie</c:v>
                </c:pt>
                <c:pt idx="5">
                  <c:v>dřevo, dřevěné výrobky</c:v>
                </c:pt>
                <c:pt idx="6">
                  <c:v>papír a výrobky z papíru</c:v>
                </c:pt>
                <c:pt idx="7">
                  <c:v>rafinované ropné produkty, koks</c:v>
                </c:pt>
                <c:pt idx="8">
                  <c:v>chemické látky a přípravky</c:v>
                </c:pt>
                <c:pt idx="9">
                  <c:v>základní farmaceutické výrobky</c:v>
                </c:pt>
                <c:pt idx="10">
                  <c:v>pryžové a plastové výrobky</c:v>
                </c:pt>
                <c:pt idx="11">
                  <c:v>základní kovy</c:v>
                </c:pt>
                <c:pt idx="12">
                  <c:v>počítače, elektronické přístroje</c:v>
                </c:pt>
                <c:pt idx="13">
                  <c:v>elektrická zařízení</c:v>
                </c:pt>
                <c:pt idx="14">
                  <c:v>stroje a zařízení</c:v>
                </c:pt>
                <c:pt idx="15">
                  <c:v>motorová vozidla (včetně dílů)</c:v>
                </c:pt>
                <c:pt idx="16">
                  <c:v>nábytek </c:v>
                </c:pt>
              </c:strCache>
            </c:strRef>
          </c:cat>
          <c:val>
            <c:numRef>
              <c:f>'g12 cpa2_B'!$B$1:$B$17</c:f>
              <c:numCache>
                <c:formatCode>#\ ##0.0</c:formatCode>
                <c:ptCount val="17"/>
                <c:pt idx="0">
                  <c:v>2</c:v>
                </c:pt>
                <c:pt idx="1">
                  <c:v>-6.1</c:v>
                </c:pt>
                <c:pt idx="2">
                  <c:v>-17.3</c:v>
                </c:pt>
                <c:pt idx="3">
                  <c:v>-3.3</c:v>
                </c:pt>
                <c:pt idx="4">
                  <c:v>1.9</c:v>
                </c:pt>
                <c:pt idx="5">
                  <c:v>-2.4</c:v>
                </c:pt>
                <c:pt idx="6">
                  <c:v>-3.1</c:v>
                </c:pt>
                <c:pt idx="7">
                  <c:v>-2.2999999999999998</c:v>
                </c:pt>
                <c:pt idx="8">
                  <c:v>-4.7</c:v>
                </c:pt>
                <c:pt idx="9">
                  <c:v>-0.3</c:v>
                </c:pt>
                <c:pt idx="10">
                  <c:v>-4.5999999999999996</c:v>
                </c:pt>
                <c:pt idx="11">
                  <c:v>-16.5</c:v>
                </c:pt>
                <c:pt idx="12">
                  <c:v>7.8</c:v>
                </c:pt>
                <c:pt idx="13">
                  <c:v>2.7</c:v>
                </c:pt>
                <c:pt idx="14">
                  <c:v>4.4000000000000004</c:v>
                </c:pt>
                <c:pt idx="15">
                  <c:v>-14.5</c:v>
                </c:pt>
                <c:pt idx="16">
                  <c:v>-5.7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AFF-400E-8358-F42E19A29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overlap val="100"/>
        <c:axId val="51929088"/>
        <c:axId val="51931008"/>
      </c:barChart>
      <c:catAx>
        <c:axId val="5192908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ysDot"/>
            </a:ln>
          </c:spPr>
        </c:majorGridlines>
        <c:numFmt formatCode="General" sourceLinked="1"/>
        <c:majorTickMark val="none"/>
        <c:minorTickMark val="none"/>
        <c:tickLblPos val="low"/>
        <c:spPr>
          <a:ln w="19050" cmpd="sng">
            <a:solidFill>
              <a:schemeClr val="tx1"/>
            </a:solidFill>
          </a:ln>
          <a:effectLst>
            <a:outerShdw blurRad="50800" dist="50800" dir="5400000" sx="5000" sy="5000" algn="ctr" rotWithShape="0">
              <a:srgbClr val="000000">
                <a:alpha val="42000"/>
              </a:srgbClr>
            </a:outerShdw>
          </a:effectLst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51931008"/>
        <c:crosses val="autoZero"/>
        <c:auto val="1"/>
        <c:lblAlgn val="ctr"/>
        <c:lblOffset val="300"/>
        <c:noMultiLvlLbl val="0"/>
      </c:catAx>
      <c:valAx>
        <c:axId val="51931008"/>
        <c:scaling>
          <c:orientation val="minMax"/>
          <c:max val="10"/>
          <c:min val="-22"/>
        </c:scaling>
        <c:delete val="1"/>
        <c:axPos val="b"/>
        <c:numFmt formatCode="#,##0;#,##0" sourceLinked="0"/>
        <c:majorTickMark val="out"/>
        <c:minorTickMark val="none"/>
        <c:tickLblPos val="nextTo"/>
        <c:crossAx val="51929088"/>
        <c:crosses val="autoZero"/>
        <c:crossBetween val="between"/>
        <c:majorUnit val="10"/>
      </c:valAx>
    </c:plotArea>
    <c:plotVisOnly val="0"/>
    <c:dispBlanksAs val="gap"/>
    <c:showDLblsOverMax val="0"/>
  </c:chart>
  <c:spPr>
    <a:solidFill>
      <a:schemeClr val="bg1"/>
    </a:solidFill>
    <a:ln>
      <a:solidFill>
        <a:schemeClr val="bg1">
          <a:lumMod val="65000"/>
        </a:schemeClr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8683153046421846E-2"/>
          <c:y val="0.17560595344743585"/>
          <c:w val="0.77938500813688849"/>
          <c:h val="0.77752387334561901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g2_odv!$A$3</c:f>
              <c:strCache>
                <c:ptCount val="1"/>
                <c:pt idx="0">
                  <c:v>  sousední státy</c:v>
                </c:pt>
              </c:strCache>
            </c:strRef>
          </c:tx>
          <c:spPr>
            <a:pattFill prst="trellis">
              <a:fgClr>
                <a:srgbClr val="E23657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  <a:bevel/>
              </a:ln>
            </c:spPr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g2_odv!$B$2:$D$2</c:f>
              <c:strCache>
                <c:ptCount val="3"/>
                <c:pt idx="0">
                  <c:v>obrat</c:v>
                </c:pt>
                <c:pt idx="1">
                  <c:v>vývoz</c:v>
                </c:pt>
                <c:pt idx="2">
                  <c:v>dovoz</c:v>
                </c:pt>
              </c:strCache>
            </c:strRef>
          </c:cat>
          <c:val>
            <c:numRef>
              <c:f>g2_odv!$B$3:$D$3</c:f>
              <c:numCache>
                <c:formatCode>0.0%</c:formatCode>
                <c:ptCount val="3"/>
                <c:pt idx="0">
                  <c:v>0.46300000000000002</c:v>
                </c:pt>
                <c:pt idx="1">
                  <c:v>0.51400000000000001</c:v>
                </c:pt>
                <c:pt idx="2">
                  <c:v>0.40899999999999997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1-476A-9AE9-E6820E33C4DD}"/>
            </c:ext>
          </c:extLst>
        </c:ser>
        <c:ser>
          <c:idx val="1"/>
          <c:order val="1"/>
          <c:tx>
            <c:strRef>
              <c:f>g2_odv!$A$4</c:f>
              <c:strCache>
                <c:ptCount val="1"/>
                <c:pt idx="0">
                  <c:v>  ostatní státy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g2_odv!$B$2:$D$2</c:f>
              <c:strCache>
                <c:ptCount val="3"/>
                <c:pt idx="0">
                  <c:v>obrat</c:v>
                </c:pt>
                <c:pt idx="1">
                  <c:v>vývoz</c:v>
                </c:pt>
                <c:pt idx="2">
                  <c:v>dovoz</c:v>
                </c:pt>
              </c:strCache>
            </c:strRef>
          </c:cat>
          <c:val>
            <c:numRef>
              <c:f>g2_odv!$B$4:$D$4</c:f>
              <c:numCache>
                <c:formatCode>0.0%</c:formatCode>
                <c:ptCount val="3"/>
                <c:pt idx="0">
                  <c:v>0.53700000000000003</c:v>
                </c:pt>
                <c:pt idx="1">
                  <c:v>0.48599999999999999</c:v>
                </c:pt>
                <c:pt idx="2">
                  <c:v>0.59099999999999997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1-476A-9AE9-E6820E33C4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3"/>
        <c:overlap val="100"/>
        <c:serLines/>
        <c:axId val="48150400"/>
        <c:axId val="48151552"/>
      </c:barChart>
      <c:catAx>
        <c:axId val="4815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</c:spPr>
        <c:txPr>
          <a:bodyPr/>
          <a:lstStyle/>
          <a:p>
            <a:pPr>
              <a:defRPr sz="800"/>
            </a:pPr>
            <a:endParaRPr lang="cs-CZ"/>
          </a:p>
        </c:txPr>
        <c:crossAx val="48151552"/>
        <c:crosses val="autoZero"/>
        <c:auto val="1"/>
        <c:lblAlgn val="ctr"/>
        <c:lblOffset val="150"/>
        <c:noMultiLvlLbl val="0"/>
      </c:catAx>
      <c:valAx>
        <c:axId val="48151552"/>
        <c:scaling>
          <c:orientation val="minMax"/>
          <c:max val="1"/>
        </c:scaling>
        <c:delete val="1"/>
        <c:axPos val="l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48150400"/>
        <c:crosses val="autoZero"/>
        <c:crossBetween val="between"/>
      </c:valAx>
      <c:spPr>
        <a:solidFill>
          <a:schemeClr val="bg1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0830057704924718"/>
          <c:y val="0.31960641090076508"/>
          <c:w val="0.18179034190007456"/>
          <c:h val="0.3746169015116364"/>
        </c:manualLayout>
      </c:layout>
      <c:overlay val="0"/>
      <c:spPr>
        <a:ln>
          <a:solidFill>
            <a:schemeClr val="tx2"/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301935942217752E-2"/>
          <c:y val="3.4391812134594281E-2"/>
          <c:w val="0.66944960827265021"/>
          <c:h val="0.94218833756891518"/>
        </c:manualLayout>
      </c:layout>
      <c:doughnutChart>
        <c:varyColors val="1"/>
        <c:ser>
          <c:idx val="0"/>
          <c:order val="0"/>
          <c:tx>
            <c:strRef>
              <c:f>'g3_V+D_sousedi'!$C$2</c:f>
              <c:strCache>
                <c:ptCount val="1"/>
                <c:pt idx="0">
                  <c:v>2020</c:v>
                </c:pt>
              </c:strCache>
            </c:strRef>
          </c:tx>
          <c:spPr>
            <a:ln w="15875">
              <a:solidFill>
                <a:srgbClr val="7F7F7F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AF7-4D9A-8ACE-4BC117AE0CD8}"/>
              </c:ext>
            </c:extLst>
          </c:dPt>
          <c:dPt>
            <c:idx val="1"/>
            <c:bubble3D val="0"/>
            <c:spPr>
              <a:solidFill>
                <a:srgbClr val="E23657"/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AF7-4D9A-8ACE-4BC117AE0CD8}"/>
              </c:ext>
            </c:extLst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AF7-4D9A-8ACE-4BC117AE0CD8}"/>
              </c:ext>
            </c:extLst>
          </c:dPt>
          <c:dPt>
            <c:idx val="3"/>
            <c:bubble3D val="0"/>
            <c:spPr>
              <a:solidFill>
                <a:srgbClr val="FFE161"/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AF7-4D9A-8ACE-4BC117AE0CD8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'g3_V+D_sousedi'!$B$3:$B$6</c:f>
              <c:strCache>
                <c:ptCount val="4"/>
                <c:pt idx="0">
                  <c:v> Německo</c:v>
                </c:pt>
                <c:pt idx="1">
                  <c:v> Polsko</c:v>
                </c:pt>
                <c:pt idx="2">
                  <c:v> Rakousko</c:v>
                </c:pt>
                <c:pt idx="3">
                  <c:v> Slovensko</c:v>
                </c:pt>
              </c:strCache>
            </c:strRef>
          </c:cat>
          <c:val>
            <c:numRef>
              <c:f>'g3_V+D_sousedi'!$C$3:$C$6</c:f>
              <c:numCache>
                <c:formatCode>0.0%</c:formatCode>
                <c:ptCount val="4"/>
                <c:pt idx="0">
                  <c:v>0.61399999999999999</c:v>
                </c:pt>
                <c:pt idx="1">
                  <c:v>0.127</c:v>
                </c:pt>
                <c:pt idx="2">
                  <c:v>0.08</c:v>
                </c:pt>
                <c:pt idx="3">
                  <c:v>0.17899999999999999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F7-4D9A-8ACE-4BC117AE0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solidFill>
          <a:schemeClr val="bg1"/>
        </a:solidFill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1841289069635528"/>
          <c:y val="0.18471802135844131"/>
          <c:w val="0.2597148433368906"/>
          <c:h val="0.66583677040369948"/>
        </c:manualLayout>
      </c:layout>
      <c:overlay val="0"/>
      <c:spPr>
        <a:solidFill>
          <a:sysClr val="window" lastClr="FFFFFF"/>
        </a:solidFill>
        <a:ln w="127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78174559166007E-2"/>
          <c:y val="3.0372314571789637E-2"/>
          <c:w val="0.85098320456421817"/>
          <c:h val="0.94846366426418915"/>
        </c:manualLayout>
      </c:layout>
      <c:doughnutChart>
        <c:varyColors val="1"/>
        <c:ser>
          <c:idx val="0"/>
          <c:order val="0"/>
          <c:tx>
            <c:strRef>
              <c:f>'g3_V+D_sousedi'!$G$2</c:f>
              <c:strCache>
                <c:ptCount val="1"/>
                <c:pt idx="0">
                  <c:v>2020</c:v>
                </c:pt>
              </c:strCache>
            </c:strRef>
          </c:tx>
          <c:spPr>
            <a:ln w="15875">
              <a:solidFill>
                <a:srgbClr val="7F7F7F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F4F-4C27-BC20-A737950EABDA}"/>
              </c:ext>
            </c:extLst>
          </c:dPt>
          <c:dPt>
            <c:idx val="1"/>
            <c:bubble3D val="0"/>
            <c:spPr>
              <a:solidFill>
                <a:srgbClr val="E23657"/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F4F-4C27-BC20-A737950EABDA}"/>
              </c:ext>
            </c:extLst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F4F-4C27-BC20-A737950EABDA}"/>
              </c:ext>
            </c:extLst>
          </c:dPt>
          <c:dPt>
            <c:idx val="3"/>
            <c:bubble3D val="0"/>
            <c:spPr>
              <a:solidFill>
                <a:srgbClr val="FFE161"/>
              </a:solidFill>
              <a:ln w="15875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F4F-4C27-BC20-A737950EABDA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'g3_V+D_sousedi'!$F$3:$F$6</c:f>
              <c:strCache>
                <c:ptCount val="4"/>
                <c:pt idx="0">
                  <c:v> Německo</c:v>
                </c:pt>
                <c:pt idx="1">
                  <c:v> Polsko</c:v>
                </c:pt>
                <c:pt idx="2">
                  <c:v> Rakousko</c:v>
                </c:pt>
                <c:pt idx="3">
                  <c:v> Slovensko</c:v>
                </c:pt>
              </c:strCache>
            </c:strRef>
          </c:cat>
          <c:val>
            <c:numRef>
              <c:f>'g3_V+D_sousedi'!$G$3:$G$6</c:f>
              <c:numCache>
                <c:formatCode>0.0%</c:formatCode>
                <c:ptCount val="4"/>
                <c:pt idx="0">
                  <c:v>0.6</c:v>
                </c:pt>
                <c:pt idx="1">
                  <c:v>0.21099999999999999</c:v>
                </c:pt>
                <c:pt idx="2">
                  <c:v>7.1999999999999995E-2</c:v>
                </c:pt>
                <c:pt idx="3">
                  <c:v>0.11700000000000001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4F-4C27-BC20-A737950EA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solidFill>
          <a:schemeClr val="bg1"/>
        </a:solidFill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732936111071986E-2"/>
          <c:y val="4.56105028651759E-2"/>
          <c:w val="0.92310827578890076"/>
          <c:h val="0.679015664443218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E23657"/>
            </a:solidFill>
            <a:ln w="12700">
              <a:solidFill>
                <a:srgbClr val="7F7F7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2700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D20-4E84-B405-7C471D6BB2F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12700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D20-4E84-B405-7C471D6BB2FC}"/>
              </c:ext>
            </c:extLst>
          </c:dPt>
          <c:dPt>
            <c:idx val="3"/>
            <c:invertIfNegative val="0"/>
            <c:bubble3D val="0"/>
            <c:spPr>
              <a:solidFill>
                <a:srgbClr val="FFE161"/>
              </a:solidFill>
              <a:ln w="12700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D20-4E84-B405-7C471D6BB2F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2700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1D20-4E84-B405-7C471D6BB2FC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12700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1D20-4E84-B405-7C471D6BB2FC}"/>
              </c:ext>
            </c:extLst>
          </c:dPt>
          <c:dPt>
            <c:idx val="7"/>
            <c:invertIfNegative val="0"/>
            <c:bubble3D val="0"/>
            <c:spPr>
              <a:solidFill>
                <a:srgbClr val="FFE161"/>
              </a:solidFill>
              <a:ln w="12700">
                <a:solidFill>
                  <a:srgbClr val="7F7F7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D20-4E84-B405-7C471D6BB2FC}"/>
              </c:ext>
            </c:extLst>
          </c:dPt>
          <c:dLbls>
            <c:spPr>
              <a:noFill/>
              <a:ln w="6350">
                <a:solidFill>
                  <a:schemeClr val="bg1">
                    <a:lumMod val="50000"/>
                  </a:schemeClr>
                </a:solidFill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g4_B_sousedi!$B$2:$I$3</c:f>
              <c:multiLvlStrCache>
                <c:ptCount val="8"/>
                <c:lvl>
                  <c:pt idx="0">
                    <c:v>Německo</c:v>
                  </c:pt>
                  <c:pt idx="1">
                    <c:v>Polsko</c:v>
                  </c:pt>
                  <c:pt idx="2">
                    <c:v>Rakousko</c:v>
                  </c:pt>
                  <c:pt idx="3">
                    <c:v>Slovensko</c:v>
                  </c:pt>
                  <c:pt idx="4">
                    <c:v>Německo</c:v>
                  </c:pt>
                  <c:pt idx="5">
                    <c:v>Polsko</c:v>
                  </c:pt>
                  <c:pt idx="6">
                    <c:v>Rakousko</c:v>
                  </c:pt>
                  <c:pt idx="7">
                    <c:v>Slovensko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g4_B_sousedi!$B$4:$I$4</c:f>
              <c:numCache>
                <c:formatCode>0.0</c:formatCode>
                <c:ptCount val="8"/>
                <c:pt idx="0">
                  <c:v>228.9</c:v>
                </c:pt>
                <c:pt idx="1">
                  <c:v>-62.6</c:v>
                </c:pt>
                <c:pt idx="2">
                  <c:v>48.3</c:v>
                </c:pt>
                <c:pt idx="3">
                  <c:v>158.69999999999999</c:v>
                </c:pt>
                <c:pt idx="4">
                  <c:v>293.60000000000002</c:v>
                </c:pt>
                <c:pt idx="5">
                  <c:v>-58.7</c:v>
                </c:pt>
                <c:pt idx="6">
                  <c:v>46</c:v>
                </c:pt>
                <c:pt idx="7">
                  <c:v>165.1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D20-4E84-B405-7C471D6BB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81216"/>
        <c:axId val="120683136"/>
      </c:barChart>
      <c:catAx>
        <c:axId val="120681216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low"/>
        <c:spPr>
          <a:ln w="317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3136"/>
        <c:crosses val="autoZero"/>
        <c:auto val="1"/>
        <c:lblAlgn val="ctr"/>
        <c:lblOffset val="50"/>
        <c:noMultiLvlLbl val="0"/>
      </c:catAx>
      <c:valAx>
        <c:axId val="120683136"/>
        <c:scaling>
          <c:orientation val="minMax"/>
          <c:max val="500"/>
          <c:min val="-250"/>
        </c:scaling>
        <c:delete val="1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</a:t>
                </a:r>
                <a:r>
                  <a:rPr lang="cs-CZ"/>
                  <a:t> mld. Kč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4807203433282961E-3"/>
              <c:y val="0.25239174946063675"/>
            </c:manualLayout>
          </c:layout>
          <c:overlay val="0"/>
        </c:title>
        <c:numFmt formatCode="0_ ;\-0\ " sourceLinked="0"/>
        <c:majorTickMark val="out"/>
        <c:minorTickMark val="none"/>
        <c:tickLblPos val="nextTo"/>
        <c:crossAx val="120681216"/>
        <c:crosses val="autoZero"/>
        <c:crossBetween val="between"/>
        <c:majorUnit val="50"/>
      </c:valAx>
      <c:spPr>
        <a:solidFill>
          <a:schemeClr val="bg1"/>
        </a:solidFill>
        <a:ln w="3175">
          <a:solidFill>
            <a:schemeClr val="bg1">
              <a:lumMod val="65000"/>
            </a:schemeClr>
          </a:solidFill>
          <a:prstDash val="solid"/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56894739360761"/>
          <c:y val="5.4758263912663092E-2"/>
          <c:w val="0.77542921105450058"/>
          <c:h val="0.70540302027463953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'g5_vdb ctvrtl'!$B$4</c:f>
              <c:strCache>
                <c:ptCount val="1"/>
                <c:pt idx="0">
                  <c:v>  vývoz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12700">
              <a:solidFill>
                <a:srgbClr val="7F7F7F"/>
              </a:solidFill>
            </a:ln>
          </c:spPr>
          <c:invertIfNegative val="0"/>
          <c:cat>
            <c:multiLvlStrRef>
              <c:f>'g5_vdb ctvrtl'!$C$1:$J$2</c:f>
              <c:multiLvlStrCache>
                <c:ptCount val="8"/>
                <c:lvl>
                  <c:pt idx="0">
                    <c:v>I.</c:v>
                  </c:pt>
                  <c:pt idx="1">
                    <c:v>II.</c:v>
                  </c:pt>
                  <c:pt idx="2">
                    <c:v>III</c:v>
                  </c:pt>
                  <c:pt idx="3">
                    <c:v>IV</c:v>
                  </c:pt>
                  <c:pt idx="4">
                    <c:v>I.</c:v>
                  </c:pt>
                  <c:pt idx="5">
                    <c:v>II.</c:v>
                  </c:pt>
                  <c:pt idx="6">
                    <c:v>III</c:v>
                  </c:pt>
                  <c:pt idx="7">
                    <c:v>IV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'g5_vdb ctvrtl'!$C$4:$J$4</c:f>
              <c:numCache>
                <c:formatCode>#\ ##0.0</c:formatCode>
                <c:ptCount val="8"/>
                <c:pt idx="0">
                  <c:v>58.6</c:v>
                </c:pt>
                <c:pt idx="1">
                  <c:v>58.7</c:v>
                </c:pt>
                <c:pt idx="2">
                  <c:v>56.4</c:v>
                </c:pt>
                <c:pt idx="3">
                  <c:v>59.7</c:v>
                </c:pt>
                <c:pt idx="4">
                  <c:v>57.8</c:v>
                </c:pt>
                <c:pt idx="5">
                  <c:v>45.6</c:v>
                </c:pt>
                <c:pt idx="6">
                  <c:v>60.4</c:v>
                </c:pt>
                <c:pt idx="7">
                  <c:v>66.099999999999994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42-4F8C-848A-3B09BFA7C8BB}"/>
            </c:ext>
          </c:extLst>
        </c:ser>
        <c:ser>
          <c:idx val="0"/>
          <c:order val="0"/>
          <c:tx>
            <c:strRef>
              <c:f>'g5_vdb ctvrtl'!$B$3</c:f>
              <c:strCache>
                <c:ptCount val="1"/>
                <c:pt idx="0">
                  <c:v>  dovoz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  <a:prstDash val="solid"/>
            </a:ln>
          </c:spPr>
          <c:invertIfNegative val="0"/>
          <c:cat>
            <c:multiLvlStrRef>
              <c:f>'g5_vdb ctvrtl'!$C$1:$J$2</c:f>
              <c:multiLvlStrCache>
                <c:ptCount val="8"/>
                <c:lvl>
                  <c:pt idx="0">
                    <c:v>I.</c:v>
                  </c:pt>
                  <c:pt idx="1">
                    <c:v>II.</c:v>
                  </c:pt>
                  <c:pt idx="2">
                    <c:v>III</c:v>
                  </c:pt>
                  <c:pt idx="3">
                    <c:v>IV</c:v>
                  </c:pt>
                  <c:pt idx="4">
                    <c:v>I.</c:v>
                  </c:pt>
                  <c:pt idx="5">
                    <c:v>II.</c:v>
                  </c:pt>
                  <c:pt idx="6">
                    <c:v>III</c:v>
                  </c:pt>
                  <c:pt idx="7">
                    <c:v>IV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'g5_vdb ctvrtl'!$C$3:$J$3</c:f>
              <c:numCache>
                <c:formatCode>#\ ##0.0</c:formatCode>
                <c:ptCount val="8"/>
                <c:pt idx="0">
                  <c:v>72</c:v>
                </c:pt>
                <c:pt idx="1">
                  <c:v>76.5</c:v>
                </c:pt>
                <c:pt idx="2">
                  <c:v>72.8</c:v>
                </c:pt>
                <c:pt idx="3">
                  <c:v>74.8</c:v>
                </c:pt>
                <c:pt idx="4">
                  <c:v>74.8</c:v>
                </c:pt>
                <c:pt idx="5">
                  <c:v>60</c:v>
                </c:pt>
                <c:pt idx="6">
                  <c:v>73.900000000000006</c:v>
                </c:pt>
                <c:pt idx="7">
                  <c:v>79.900000000000006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42-4F8C-848A-3B09BFA7C8BB}"/>
            </c:ext>
          </c:extLst>
        </c:ser>
        <c:ser>
          <c:idx val="2"/>
          <c:order val="2"/>
          <c:tx>
            <c:strRef>
              <c:f>'g5_vdb ctvrtl'!$B$5</c:f>
              <c:strCache>
                <c:ptCount val="1"/>
                <c:pt idx="0">
                  <c:v>  bilance</c:v>
                </c:pt>
              </c:strCache>
            </c:strRef>
          </c:tx>
          <c:spPr>
            <a:solidFill>
              <a:srgbClr val="E23657"/>
            </a:solidFill>
            <a:ln>
              <a:solidFill>
                <a:schemeClr val="tx2"/>
              </a:solidFill>
            </a:ln>
          </c:spPr>
          <c:invertIfNegative val="0"/>
          <c:cat>
            <c:multiLvlStrRef>
              <c:f>'g5_vdb ctvrtl'!$C$1:$J$2</c:f>
              <c:multiLvlStrCache>
                <c:ptCount val="8"/>
                <c:lvl>
                  <c:pt idx="0">
                    <c:v>I.</c:v>
                  </c:pt>
                  <c:pt idx="1">
                    <c:v>II.</c:v>
                  </c:pt>
                  <c:pt idx="2">
                    <c:v>III</c:v>
                  </c:pt>
                  <c:pt idx="3">
                    <c:v>IV</c:v>
                  </c:pt>
                  <c:pt idx="4">
                    <c:v>I.</c:v>
                  </c:pt>
                  <c:pt idx="5">
                    <c:v>II.</c:v>
                  </c:pt>
                  <c:pt idx="6">
                    <c:v>III</c:v>
                  </c:pt>
                  <c:pt idx="7">
                    <c:v>IV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'g5_vdb ctvrtl'!$C$5:$J$5</c:f>
              <c:numCache>
                <c:formatCode>#\ ##0.0</c:formatCode>
                <c:ptCount val="8"/>
                <c:pt idx="0">
                  <c:v>-13.4</c:v>
                </c:pt>
                <c:pt idx="1">
                  <c:v>-17.7</c:v>
                </c:pt>
                <c:pt idx="2">
                  <c:v>-16.399999999999999</c:v>
                </c:pt>
                <c:pt idx="3">
                  <c:v>-15.1</c:v>
                </c:pt>
                <c:pt idx="4">
                  <c:v>-17</c:v>
                </c:pt>
                <c:pt idx="5">
                  <c:v>-14.4</c:v>
                </c:pt>
                <c:pt idx="6">
                  <c:v>-13.5</c:v>
                </c:pt>
                <c:pt idx="7">
                  <c:v>-13.8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42-4F8C-848A-3B09BFA7C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1"/>
        <c:axId val="120681216"/>
        <c:axId val="120683136"/>
      </c:barChart>
      <c:catAx>
        <c:axId val="12068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3136"/>
        <c:crosses val="autoZero"/>
        <c:auto val="1"/>
        <c:lblAlgn val="ctr"/>
        <c:lblOffset val="30"/>
        <c:noMultiLvlLbl val="0"/>
      </c:catAx>
      <c:valAx>
        <c:axId val="120683136"/>
        <c:scaling>
          <c:orientation val="minMax"/>
          <c:max val="85"/>
          <c:min val="-25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</a:t>
                </a:r>
                <a:r>
                  <a:rPr lang="cs-CZ"/>
                  <a:t> mld. Kč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4807203433282961E-3"/>
              <c:y val="0.25239174946063675"/>
            </c:manualLayout>
          </c:layout>
          <c:overlay val="0"/>
        </c:title>
        <c:numFmt formatCode="0_ ;\-0\ " sourceLinked="0"/>
        <c:majorTickMark val="none"/>
        <c:minorTickMark val="none"/>
        <c:tickLblPos val="nextTo"/>
        <c:spPr>
          <a:ln w="3175">
            <a:solidFill>
              <a:srgbClr val="1C1C1C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1216"/>
        <c:crosses val="autoZero"/>
        <c:crossBetween val="between"/>
        <c:majorUnit val="25"/>
      </c:valAx>
      <c:spPr>
        <a:solidFill>
          <a:schemeClr val="bg1"/>
        </a:solidFill>
        <a:ln w="3175">
          <a:solidFill>
            <a:schemeClr val="bg1">
              <a:lumMod val="65000"/>
            </a:schemeClr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519202562914934"/>
          <c:y val="0.21746593777688616"/>
          <c:w val="0.10745503319438011"/>
          <c:h val="0.56506812444622756"/>
        </c:manualLayout>
      </c:layout>
      <c:overlay val="0"/>
      <c:spPr>
        <a:solidFill>
          <a:sysClr val="window" lastClr="FFFFFF"/>
        </a:solidFill>
        <a:ln w="12700">
          <a:solidFill>
            <a:schemeClr val="tx2"/>
          </a:solidFill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56894739360761"/>
          <c:y val="6.5486400187237753E-2"/>
          <c:w val="0.77542921105450058"/>
          <c:h val="0.7809264924686960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'g6_vdb mesice'!$B$4</c:f>
              <c:strCache>
                <c:ptCount val="1"/>
                <c:pt idx="0">
                  <c:v>  vývoz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12700">
              <a:solidFill>
                <a:srgbClr val="7F7F7F"/>
              </a:solidFill>
            </a:ln>
          </c:spPr>
          <c:invertIfNegative val="0"/>
          <c:cat>
            <c:strRef>
              <c:f>'g6_vdb mesice'!$C$2:$N$2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'g6_vdb mesice'!$C$4:$N$4</c:f>
              <c:numCache>
                <c:formatCode>#\ ##0.0</c:formatCode>
                <c:ptCount val="12"/>
                <c:pt idx="0">
                  <c:v>19.100000000000001</c:v>
                </c:pt>
                <c:pt idx="1">
                  <c:v>19.399999999999999</c:v>
                </c:pt>
                <c:pt idx="2">
                  <c:v>19.3</c:v>
                </c:pt>
                <c:pt idx="3">
                  <c:v>12.3</c:v>
                </c:pt>
                <c:pt idx="4">
                  <c:v>14.8</c:v>
                </c:pt>
                <c:pt idx="5">
                  <c:v>18.600000000000001</c:v>
                </c:pt>
                <c:pt idx="6">
                  <c:v>18.899999999999999</c:v>
                </c:pt>
                <c:pt idx="7">
                  <c:v>18.399999999999999</c:v>
                </c:pt>
                <c:pt idx="8">
                  <c:v>23.1</c:v>
                </c:pt>
                <c:pt idx="9">
                  <c:v>24.1</c:v>
                </c:pt>
                <c:pt idx="10">
                  <c:v>22</c:v>
                </c:pt>
                <c:pt idx="11">
                  <c:v>19.899999999999999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2B-401D-BA57-413C7D9B5C0E}"/>
            </c:ext>
          </c:extLst>
        </c:ser>
        <c:ser>
          <c:idx val="0"/>
          <c:order val="0"/>
          <c:tx>
            <c:strRef>
              <c:f>'g6_vdb mesice'!$B$3</c:f>
              <c:strCache>
                <c:ptCount val="1"/>
                <c:pt idx="0">
                  <c:v>  dovoz</c:v>
                </c:pt>
              </c:strCache>
            </c:strRef>
          </c:tx>
          <c:spPr>
            <a:ln w="12700">
              <a:solidFill>
                <a:schemeClr val="tx2">
                  <a:lumMod val="75000"/>
                </a:schemeClr>
              </a:solidFill>
              <a:prstDash val="solid"/>
            </a:ln>
          </c:spPr>
          <c:invertIfNegative val="0"/>
          <c:cat>
            <c:strRef>
              <c:f>'g6_vdb mesice'!$C$2:$N$2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'g6_vdb mesice'!$C$3:$N$3</c:f>
              <c:numCache>
                <c:formatCode>#\ ##0.0</c:formatCode>
                <c:ptCount val="12"/>
                <c:pt idx="0">
                  <c:v>24.7</c:v>
                </c:pt>
                <c:pt idx="1">
                  <c:v>24.9</c:v>
                </c:pt>
                <c:pt idx="2">
                  <c:v>25.2</c:v>
                </c:pt>
                <c:pt idx="3">
                  <c:v>16.399999999999999</c:v>
                </c:pt>
                <c:pt idx="4">
                  <c:v>19.8</c:v>
                </c:pt>
                <c:pt idx="5">
                  <c:v>23.9</c:v>
                </c:pt>
                <c:pt idx="6">
                  <c:v>24.2</c:v>
                </c:pt>
                <c:pt idx="7">
                  <c:v>23</c:v>
                </c:pt>
                <c:pt idx="8">
                  <c:v>26.7</c:v>
                </c:pt>
                <c:pt idx="9">
                  <c:v>28.3</c:v>
                </c:pt>
                <c:pt idx="10">
                  <c:v>27.4</c:v>
                </c:pt>
                <c:pt idx="11">
                  <c:v>24.2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2B-401D-BA57-413C7D9B5C0E}"/>
            </c:ext>
          </c:extLst>
        </c:ser>
        <c:ser>
          <c:idx val="2"/>
          <c:order val="2"/>
          <c:tx>
            <c:strRef>
              <c:f>'g6_vdb mesice'!$B$5</c:f>
              <c:strCache>
                <c:ptCount val="1"/>
                <c:pt idx="0">
                  <c:v>  bilance</c:v>
                </c:pt>
              </c:strCache>
            </c:strRef>
          </c:tx>
          <c:spPr>
            <a:solidFill>
              <a:srgbClr val="E23657"/>
            </a:solidFill>
            <a:ln>
              <a:solidFill>
                <a:schemeClr val="tx2"/>
              </a:solidFill>
            </a:ln>
          </c:spPr>
          <c:invertIfNegative val="0"/>
          <c:cat>
            <c:strRef>
              <c:f>'g6_vdb mesice'!$C$2:$N$2</c:f>
              <c:strCache>
                <c:ptCount val="12"/>
                <c:pt idx="0">
                  <c:v>I.</c:v>
                </c:pt>
                <c:pt idx="1">
                  <c:v>II.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'g6_vdb mesice'!$C$5:$N$5</c:f>
              <c:numCache>
                <c:formatCode>#\ ##0.0</c:formatCode>
                <c:ptCount val="12"/>
                <c:pt idx="0">
                  <c:v>-5.6</c:v>
                </c:pt>
                <c:pt idx="1">
                  <c:v>-5.5</c:v>
                </c:pt>
                <c:pt idx="2">
                  <c:v>-5.9</c:v>
                </c:pt>
                <c:pt idx="3">
                  <c:v>-4</c:v>
                </c:pt>
                <c:pt idx="4">
                  <c:v>-5</c:v>
                </c:pt>
                <c:pt idx="5">
                  <c:v>-5.3</c:v>
                </c:pt>
                <c:pt idx="6">
                  <c:v>-5.3</c:v>
                </c:pt>
                <c:pt idx="7">
                  <c:v>-4.7</c:v>
                </c:pt>
                <c:pt idx="8">
                  <c:v>-3.6</c:v>
                </c:pt>
                <c:pt idx="9">
                  <c:v>-4.0999999999999996</c:v>
                </c:pt>
                <c:pt idx="10">
                  <c:v>-5.4</c:v>
                </c:pt>
                <c:pt idx="11">
                  <c:v>-4.3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2B-401D-BA57-413C7D9B5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1"/>
        <c:axId val="120681216"/>
        <c:axId val="120683136"/>
      </c:barChart>
      <c:catAx>
        <c:axId val="12068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3136"/>
        <c:crosses val="autoZero"/>
        <c:auto val="1"/>
        <c:lblAlgn val="ctr"/>
        <c:lblOffset val="100"/>
        <c:noMultiLvlLbl val="0"/>
      </c:catAx>
      <c:valAx>
        <c:axId val="120683136"/>
        <c:scaling>
          <c:orientation val="minMax"/>
          <c:max val="30"/>
          <c:min val="-1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</a:t>
                </a:r>
                <a:r>
                  <a:rPr lang="cs-CZ"/>
                  <a:t> mld. Kč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4807203433282961E-3"/>
              <c:y val="0.25239174946063675"/>
            </c:manualLayout>
          </c:layout>
          <c:overlay val="0"/>
        </c:title>
        <c:numFmt formatCode="0_ ;\-0\ " sourceLinked="0"/>
        <c:majorTickMark val="none"/>
        <c:minorTickMark val="none"/>
        <c:tickLblPos val="nextTo"/>
        <c:spPr>
          <a:ln w="3175">
            <a:solidFill>
              <a:srgbClr val="1C1C1C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1216"/>
        <c:crosses val="autoZero"/>
        <c:crossBetween val="between"/>
        <c:majorUnit val="10"/>
      </c:valAx>
      <c:spPr>
        <a:solidFill>
          <a:schemeClr val="bg1"/>
        </a:solidFill>
        <a:ln w="3175">
          <a:solidFill>
            <a:schemeClr val="tx2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519202562914934"/>
          <c:y val="0.21746593777688616"/>
          <c:w val="0.10745503319438011"/>
          <c:h val="0.56506812444622756"/>
        </c:manualLayout>
      </c:layout>
      <c:overlay val="0"/>
      <c:spPr>
        <a:solidFill>
          <a:sysClr val="window" lastClr="FFFFFF"/>
        </a:solidFill>
        <a:ln w="12700">
          <a:solidFill>
            <a:schemeClr val="tx2"/>
          </a:solidFill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123141101309036E-2"/>
          <c:y val="3.7382186523167021E-2"/>
          <c:w val="0.90909558942152313"/>
          <c:h val="0.69080826435157139"/>
        </c:manualLayout>
      </c:layout>
      <c:lineChart>
        <c:grouping val="standard"/>
        <c:varyColors val="0"/>
        <c:ser>
          <c:idx val="1"/>
          <c:order val="1"/>
          <c:tx>
            <c:strRef>
              <c:f>'g7+8 eur'!$B$4</c:f>
              <c:strCache>
                <c:ptCount val="1"/>
                <c:pt idx="0">
                  <c:v>  EUR</c:v>
                </c:pt>
              </c:strCache>
            </c:strRef>
          </c:tx>
          <c:spPr>
            <a:ln w="15875">
              <a:solidFill>
                <a:srgbClr val="C00000"/>
              </a:solidFill>
            </a:ln>
          </c:spPr>
          <c:marker>
            <c:symbol val="square"/>
            <c:size val="4"/>
            <c:spPr>
              <a:solidFill>
                <a:schemeClr val="bg1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6"/>
              <c:layout>
                <c:manualLayout>
                  <c:x val="-3.2860136414006015E-2"/>
                  <c:y val="9.7392463247793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32-4CB4-AAB3-2860A2F11A7B}"/>
                </c:ext>
              </c:extLst>
            </c:dLbl>
            <c:dLbl>
              <c:idx val="7"/>
              <c:layout>
                <c:manualLayout>
                  <c:x val="-3.2860136414006015E-2"/>
                  <c:y val="0.1043009261148056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32-4CB4-AAB3-2860A2F11A7B}"/>
                </c:ext>
              </c:extLst>
            </c:dLbl>
            <c:spPr>
              <a:solidFill>
                <a:srgbClr val="FADAE0"/>
              </a:solidFill>
              <a:ln>
                <a:solidFill>
                  <a:srgbClr val="C00000"/>
                </a:solidFill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rgbClr val="C00000"/>
                      </a:solidFill>
                    </a:ln>
                  </c:spPr>
                </c15:leaderLines>
              </c:ext>
            </c:extLst>
          </c:dLbls>
          <c:cat>
            <c:strRef>
              <c:f>'g7+8 eur'!$C$2:$J$2</c:f>
              <c:strCache>
                <c:ptCount val="8"/>
                <c:pt idx="0">
                  <c:v>I./2019</c:v>
                </c:pt>
                <c:pt idx="1">
                  <c:v>II.</c:v>
                </c:pt>
                <c:pt idx="2">
                  <c:v>III</c:v>
                </c:pt>
                <c:pt idx="3">
                  <c:v>IV</c:v>
                </c:pt>
                <c:pt idx="4">
                  <c:v>I./2020</c:v>
                </c:pt>
                <c:pt idx="5">
                  <c:v>II.</c:v>
                </c:pt>
                <c:pt idx="6">
                  <c:v>III</c:v>
                </c:pt>
                <c:pt idx="7">
                  <c:v>IV</c:v>
                </c:pt>
              </c:strCache>
            </c:strRef>
          </c:cat>
          <c:val>
            <c:numRef>
              <c:f>'g7+8 eur'!$C$4:$J$4</c:f>
              <c:numCache>
                <c:formatCode>#\ ##0.0</c:formatCode>
                <c:ptCount val="8"/>
                <c:pt idx="0">
                  <c:v>2.0999999999999943</c:v>
                </c:pt>
                <c:pt idx="1">
                  <c:v>0.90000000000000568</c:v>
                </c:pt>
                <c:pt idx="2">
                  <c:v>4.7999999999999972</c:v>
                </c:pt>
                <c:pt idx="3">
                  <c:v>-0.90000000000000568</c:v>
                </c:pt>
                <c:pt idx="4">
                  <c:v>-0.90000000000000568</c:v>
                </c:pt>
                <c:pt idx="5">
                  <c:v>-26.200000000000003</c:v>
                </c:pt>
                <c:pt idx="6">
                  <c:v>4</c:v>
                </c:pt>
                <c:pt idx="7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32-4CB4-AAB3-2860A2F11A7B}"/>
            </c:ext>
          </c:extLst>
        </c:ser>
        <c:ser>
          <c:idx val="0"/>
          <c:order val="0"/>
          <c:tx>
            <c:strRef>
              <c:f>'g7+8 eur'!$B$3</c:f>
              <c:strCache>
                <c:ptCount val="1"/>
                <c:pt idx="0">
                  <c:v>  CZK</c:v>
                </c:pt>
              </c:strCache>
            </c:strRef>
          </c:tx>
          <c:spPr>
            <a:ln w="15875">
              <a:solidFill>
                <a:schemeClr val="tx2">
                  <a:lumMod val="60000"/>
                  <a:lumOff val="40000"/>
                </a:schemeClr>
              </a:solidFill>
              <a:prstDash val="sysDot"/>
            </a:ln>
          </c:spPr>
          <c:marker>
            <c:symbol val="triangle"/>
            <c:size val="5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5"/>
              <c:layout>
                <c:manualLayout>
                  <c:x val="-3.9537390602094553E-2"/>
                  <c:y val="-0.120324651726226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32-4CB4-AAB3-2860A2F11A7B}"/>
                </c:ext>
              </c:extLst>
            </c:dLbl>
            <c:spPr>
              <a:noFill/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'g7+8 eur'!$C$2:$J$2</c:f>
              <c:strCache>
                <c:ptCount val="8"/>
                <c:pt idx="0">
                  <c:v>I./2019</c:v>
                </c:pt>
                <c:pt idx="1">
                  <c:v>II.</c:v>
                </c:pt>
                <c:pt idx="2">
                  <c:v>III</c:v>
                </c:pt>
                <c:pt idx="3">
                  <c:v>IV</c:v>
                </c:pt>
                <c:pt idx="4">
                  <c:v>I./2020</c:v>
                </c:pt>
                <c:pt idx="5">
                  <c:v>II.</c:v>
                </c:pt>
                <c:pt idx="6">
                  <c:v>III</c:v>
                </c:pt>
                <c:pt idx="7">
                  <c:v>IV</c:v>
                </c:pt>
              </c:strCache>
            </c:strRef>
          </c:cat>
          <c:val>
            <c:numRef>
              <c:f>'g7+8 eur'!$C$3:$J$3</c:f>
              <c:numCache>
                <c:formatCode>#\ ##0.0</c:formatCode>
                <c:ptCount val="8"/>
                <c:pt idx="0">
                  <c:v>3.2000000000000028</c:v>
                </c:pt>
                <c:pt idx="1">
                  <c:v>1.2000000000000028</c:v>
                </c:pt>
                <c:pt idx="2">
                  <c:v>5</c:v>
                </c:pt>
                <c:pt idx="3">
                  <c:v>-2</c:v>
                </c:pt>
                <c:pt idx="4">
                  <c:v>-1.2999999999999972</c:v>
                </c:pt>
                <c:pt idx="5">
                  <c:v>-22.299999999999997</c:v>
                </c:pt>
                <c:pt idx="6">
                  <c:v>7</c:v>
                </c:pt>
                <c:pt idx="7">
                  <c:v>10.599999999999994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A32-4CB4-AAB3-2860A2F11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681216"/>
        <c:axId val="120683136"/>
      </c:lineChart>
      <c:catAx>
        <c:axId val="12068121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čtvrtletí</a:t>
                </a:r>
              </a:p>
            </c:rich>
          </c:tx>
          <c:layout>
            <c:manualLayout>
              <c:xMode val="edge"/>
              <c:yMode val="edge"/>
              <c:x val="0.13026220384659276"/>
              <c:y val="0.83113533885187429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3136"/>
        <c:crosses val="autoZero"/>
        <c:auto val="1"/>
        <c:lblAlgn val="ctr"/>
        <c:lblOffset val="50"/>
        <c:noMultiLvlLbl val="0"/>
      </c:catAx>
      <c:valAx>
        <c:axId val="120683136"/>
        <c:scaling>
          <c:orientation val="minMax"/>
          <c:max val="25"/>
          <c:min val="-45"/>
        </c:scaling>
        <c:delete val="1"/>
        <c:axPos val="l"/>
        <c:majorGridlines>
          <c:spPr>
            <a:ln w="3175">
              <a:noFill/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meziroční</a:t>
                </a:r>
                <a:r>
                  <a:rPr lang="cs-CZ" baseline="0"/>
                  <a:t> změny v %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8713450292397661E-2"/>
              <c:y val="5.8404921607021341E-2"/>
            </c:manualLayout>
          </c:layout>
          <c:overlay val="0"/>
        </c:title>
        <c:numFmt formatCode="0_ ;\-0\ " sourceLinked="0"/>
        <c:majorTickMark val="out"/>
        <c:minorTickMark val="none"/>
        <c:tickLblPos val="nextTo"/>
        <c:crossAx val="120681216"/>
        <c:crossesAt val="1"/>
        <c:crossBetween val="between"/>
        <c:majorUnit val="10"/>
      </c:valAx>
      <c:spPr>
        <a:solidFill>
          <a:schemeClr val="bg1"/>
        </a:solidFill>
        <a:ln w="3175">
          <a:solidFill>
            <a:schemeClr val="tx2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388284658397641"/>
          <c:y val="0.85977898916481599"/>
          <c:w val="0.36195662384307231"/>
          <c:h val="0.10473079753919649"/>
        </c:manualLayout>
      </c:layout>
      <c:overlay val="0"/>
      <c:spPr>
        <a:solidFill>
          <a:sysClr val="window" lastClr="FFFFFF"/>
        </a:solidFill>
        <a:ln w="12700">
          <a:solidFill>
            <a:schemeClr val="tx2"/>
          </a:solidFill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166398816581624E-2"/>
          <c:y val="3.7756500225248894E-2"/>
          <c:w val="0.91805233170625045"/>
          <c:h val="0.67601614301067781"/>
        </c:manualLayout>
      </c:layout>
      <c:lineChart>
        <c:grouping val="standard"/>
        <c:varyColors val="0"/>
        <c:ser>
          <c:idx val="1"/>
          <c:order val="1"/>
          <c:tx>
            <c:strRef>
              <c:f>'g7+8 eur'!$B$24</c:f>
              <c:strCache>
                <c:ptCount val="1"/>
                <c:pt idx="0">
                  <c:v>  EUR</c:v>
                </c:pt>
              </c:strCache>
            </c:strRef>
          </c:tx>
          <c:spPr>
            <a:ln w="15875">
              <a:solidFill>
                <a:srgbClr val="C00000"/>
              </a:solidFill>
            </a:ln>
          </c:spPr>
          <c:marker>
            <c:symbol val="square"/>
            <c:size val="4"/>
            <c:spPr>
              <a:solidFill>
                <a:schemeClr val="bg1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1"/>
              <c:layout>
                <c:manualLayout>
                  <c:x val="-3.2860136414006015E-2"/>
                  <c:y val="0.10943065064671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23-46F9-9A4D-1AED727FD671}"/>
                </c:ext>
              </c:extLst>
            </c:dLbl>
            <c:dLbl>
              <c:idx val="3"/>
              <c:layout>
                <c:manualLayout>
                  <c:x val="-3.5843895266062048E-2"/>
                  <c:y val="-0.123678348496593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23-46F9-9A4D-1AED727FD671}"/>
                </c:ext>
              </c:extLst>
            </c:dLbl>
            <c:dLbl>
              <c:idx val="4"/>
              <c:layout>
                <c:manualLayout>
                  <c:x val="-3.2860136414006098E-2"/>
                  <c:y val="-8.4332906352932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23-46F9-9A4D-1AED727FD671}"/>
                </c:ext>
              </c:extLst>
            </c:dLbl>
            <c:spPr>
              <a:solidFill>
                <a:srgbClr val="FADAE0"/>
              </a:solidFill>
              <a:ln>
                <a:solidFill>
                  <a:srgbClr val="C00000"/>
                </a:solidFill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solidFill>
                        <a:srgbClr val="C00000"/>
                      </a:solidFill>
                    </a:ln>
                  </c:spPr>
                </c15:leaderLines>
              </c:ext>
            </c:extLst>
          </c:dLbls>
          <c:cat>
            <c:strRef>
              <c:f>'g7+8 eur'!$C$22:$J$22</c:f>
              <c:strCache>
                <c:ptCount val="8"/>
                <c:pt idx="0">
                  <c:v>I./2019</c:v>
                </c:pt>
                <c:pt idx="1">
                  <c:v>II.</c:v>
                </c:pt>
                <c:pt idx="2">
                  <c:v>III</c:v>
                </c:pt>
                <c:pt idx="3">
                  <c:v>IV</c:v>
                </c:pt>
                <c:pt idx="4">
                  <c:v>I./2020</c:v>
                </c:pt>
                <c:pt idx="5">
                  <c:v>II.</c:v>
                </c:pt>
                <c:pt idx="6">
                  <c:v>III</c:v>
                </c:pt>
                <c:pt idx="7">
                  <c:v>IV</c:v>
                </c:pt>
              </c:strCache>
            </c:strRef>
          </c:cat>
          <c:val>
            <c:numRef>
              <c:f>'g7+8 eur'!$C$24:$J$24</c:f>
              <c:numCache>
                <c:formatCode>#\ ##0.0</c:formatCode>
                <c:ptCount val="8"/>
                <c:pt idx="0">
                  <c:v>0.5</c:v>
                </c:pt>
                <c:pt idx="1">
                  <c:v>4.7000000000000028</c:v>
                </c:pt>
                <c:pt idx="2">
                  <c:v>2.5999999999999943</c:v>
                </c:pt>
                <c:pt idx="3">
                  <c:v>-3.7999999999999972</c:v>
                </c:pt>
                <c:pt idx="4">
                  <c:v>4.2000000000000028</c:v>
                </c:pt>
                <c:pt idx="5">
                  <c:v>-25.400000000000006</c:v>
                </c:pt>
                <c:pt idx="6">
                  <c:v>-1.2999999999999972</c:v>
                </c:pt>
                <c:pt idx="7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223-46F9-9A4D-1AED727FD671}"/>
            </c:ext>
          </c:extLst>
        </c:ser>
        <c:ser>
          <c:idx val="0"/>
          <c:order val="0"/>
          <c:tx>
            <c:strRef>
              <c:f>'g7+8 eur'!$B$23</c:f>
              <c:strCache>
                <c:ptCount val="1"/>
                <c:pt idx="0">
                  <c:v>  CZK</c:v>
                </c:pt>
              </c:strCache>
            </c:strRef>
          </c:tx>
          <c:spPr>
            <a:ln w="15875">
              <a:solidFill>
                <a:schemeClr val="tx2">
                  <a:lumMod val="60000"/>
                  <a:lumOff val="40000"/>
                </a:schemeClr>
              </a:solidFill>
              <a:prstDash val="sysDot"/>
            </a:ln>
          </c:spPr>
          <c:marker>
            <c:symbol val="triangle"/>
            <c:size val="5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1"/>
              <c:layout>
                <c:manualLayout>
                  <c:x val="-3.3979729199596943E-2"/>
                  <c:y val="-0.112244146500397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23-46F9-9A4D-1AED727FD671}"/>
                </c:ext>
              </c:extLst>
            </c:dLbl>
            <c:dLbl>
              <c:idx val="3"/>
              <c:layout>
                <c:manualLayout>
                  <c:x val="-3.6963488051652983E-2"/>
                  <c:y val="9.9499272435505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23-46F9-9A4D-1AED727FD671}"/>
                </c:ext>
              </c:extLst>
            </c:dLbl>
            <c:dLbl>
              <c:idx val="4"/>
              <c:layout>
                <c:manualLayout>
                  <c:x val="-3.3979729199597027E-2"/>
                  <c:y val="0.123302864488025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23-46F9-9A4D-1AED727FD671}"/>
                </c:ext>
              </c:extLst>
            </c:dLbl>
            <c:dLbl>
              <c:idx val="5"/>
              <c:layout>
                <c:manualLayout>
                  <c:x val="-4.1945587790620284E-2"/>
                  <c:y val="-0.1146630764418696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23-46F9-9A4D-1AED727FD671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accent1">
                    <a:lumMod val="75000"/>
                  </a:schemeClr>
                </a:solidFill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'g7+8 eur'!$C$22:$J$22</c:f>
              <c:strCache>
                <c:ptCount val="8"/>
                <c:pt idx="0">
                  <c:v>I./2019</c:v>
                </c:pt>
                <c:pt idx="1">
                  <c:v>II.</c:v>
                </c:pt>
                <c:pt idx="2">
                  <c:v>III</c:v>
                </c:pt>
                <c:pt idx="3">
                  <c:v>IV</c:v>
                </c:pt>
                <c:pt idx="4">
                  <c:v>I./2020</c:v>
                </c:pt>
                <c:pt idx="5">
                  <c:v>II.</c:v>
                </c:pt>
                <c:pt idx="6">
                  <c:v>III</c:v>
                </c:pt>
                <c:pt idx="7">
                  <c:v>IV</c:v>
                </c:pt>
              </c:strCache>
            </c:strRef>
          </c:cat>
          <c:val>
            <c:numRef>
              <c:f>'g7+8 eur'!$C$23:$J$23</c:f>
              <c:numCache>
                <c:formatCode>#\ ##0.0</c:formatCode>
                <c:ptCount val="8"/>
                <c:pt idx="0">
                  <c:v>1.5999999999999943</c:v>
                </c:pt>
                <c:pt idx="1">
                  <c:v>5</c:v>
                </c:pt>
                <c:pt idx="2">
                  <c:v>2.7999999999999972</c:v>
                </c:pt>
                <c:pt idx="3">
                  <c:v>-4.7999999999999972</c:v>
                </c:pt>
                <c:pt idx="4">
                  <c:v>3.9000000000000057</c:v>
                </c:pt>
                <c:pt idx="5">
                  <c:v>-21.5</c:v>
                </c:pt>
                <c:pt idx="6">
                  <c:v>1.5</c:v>
                </c:pt>
                <c:pt idx="7">
                  <c:v>6.7999999999999972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223-46F9-9A4D-1AED727FD67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0681216"/>
        <c:axId val="120683136"/>
      </c:lineChart>
      <c:catAx>
        <c:axId val="12068121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čtvrtletí</a:t>
                </a:r>
              </a:p>
            </c:rich>
          </c:tx>
          <c:layout>
            <c:manualLayout>
              <c:xMode val="edge"/>
              <c:yMode val="edge"/>
              <c:x val="0.11908535440401079"/>
              <c:y val="0.82355520782721692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20683136"/>
        <c:crosses val="autoZero"/>
        <c:auto val="1"/>
        <c:lblAlgn val="ctr"/>
        <c:lblOffset val="50"/>
        <c:noMultiLvlLbl val="0"/>
      </c:catAx>
      <c:valAx>
        <c:axId val="120683136"/>
        <c:scaling>
          <c:orientation val="minMax"/>
          <c:max val="25"/>
          <c:min val="-45"/>
        </c:scaling>
        <c:delete val="1"/>
        <c:axPos val="l"/>
        <c:majorGridlines>
          <c:spPr>
            <a:ln w="3175">
              <a:noFill/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meziroční</a:t>
                </a:r>
                <a:r>
                  <a:rPr lang="cs-CZ" baseline="0"/>
                  <a:t> změny v %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8713450292397661E-2"/>
              <c:y val="5.8404921607021341E-2"/>
            </c:manualLayout>
          </c:layout>
          <c:overlay val="0"/>
        </c:title>
        <c:numFmt formatCode="0_ ;\-0\ " sourceLinked="0"/>
        <c:majorTickMark val="out"/>
        <c:minorTickMark val="none"/>
        <c:tickLblPos val="nextTo"/>
        <c:crossAx val="120681216"/>
        <c:crossesAt val="1"/>
        <c:crossBetween val="between"/>
        <c:majorUnit val="10"/>
      </c:valAx>
      <c:spPr>
        <a:solidFill>
          <a:schemeClr val="bg1"/>
        </a:solidFill>
        <a:ln w="3175">
          <a:solidFill>
            <a:schemeClr val="tx2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165317493208083"/>
          <c:y val="0.85294116013276122"/>
          <c:w val="0.36195662384307231"/>
          <c:h val="0.10473079753919649"/>
        </c:manualLayout>
      </c:layout>
      <c:overlay val="0"/>
      <c:spPr>
        <a:solidFill>
          <a:sysClr val="window" lastClr="FFFFFF"/>
        </a:solidFill>
        <a:ln w="12700">
          <a:solidFill>
            <a:schemeClr val="tx2"/>
          </a:solidFill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'g9 cpa2 d+v cpa29'!$A$1:$B$6</cx:f>
        <cx:lvl ptCount="6">
          <cx:pt idx="0">motorová vozidla </cx:pt>
          <cx:pt idx="1">karoserie </cx:pt>
          <cx:pt idx="2">díly a příslušenství 
pro motorová vozidla </cx:pt>
          <cx:pt idx="3">motorová vozidla </cx:pt>
          <cx:pt idx="4">karoserie </cx:pt>
          <cx:pt idx="5">díly a příslušenství 
pro motorová vozidla </cx:pt>
        </cx:lvl>
        <cx:lvl ptCount="6">
          <cx:pt idx="0">VÝVOZ</cx:pt>
          <cx:pt idx="3">DOVOZ</cx:pt>
        </cx:lvl>
      </cx:strDim>
      <cx:numDim type="size">
        <cx:f>'g9 cpa2 d+v cpa29'!$C$1:$C$6</cx:f>
        <cx:lvl ptCount="6" formatCode="0,0%">
          <cx:pt idx="0">0.61299999999999999</cx:pt>
          <cx:pt idx="1">0.0089999999999999993</cx:pt>
          <cx:pt idx="2">0.378</cx:pt>
          <cx:pt idx="3">0.316</cx:pt>
          <cx:pt idx="4">0.024</cx:pt>
          <cx:pt idx="5">0.66000000000000003</cx:pt>
        </cx:lvl>
      </cx:numDim>
    </cx:data>
  </cx:chartData>
  <cx:chart>
    <cx:plotArea>
      <cx:plotAreaRegion>
        <cx:series layoutId="treemap" uniqueId="{CC9AE85C-9A8D-41E7-8777-3289D8769588}">
          <cx:spPr>
            <a:solidFill>
              <a:schemeClr val="tx2">
                <a:lumMod val="20000"/>
                <a:lumOff val="80000"/>
              </a:schemeClr>
            </a:solidFill>
            <a:ln w="6350">
              <a:solidFill>
                <a:schemeClr val="bg1">
                  <a:lumMod val="65000"/>
                </a:schemeClr>
              </a:solidFill>
            </a:ln>
          </cx:spPr>
          <cx:dataPt idx="4">
            <cx:spPr>
              <a:solidFill>
                <a:srgbClr val="F7C9D2"/>
              </a:solidFill>
            </cx:spPr>
          </cx:dataPt>
          <cx:dataLabels>
            <cx:numFmt formatCode="0,0%" sourceLinked="0"/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lang="cs-CZ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 sz="80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x:txPr>
            <cx:visibility seriesName="0" categoryName="1" value="1"/>
            <cx:separator>
</cx:separator>
            <cx:dataLabel idx="0">
              <cx:numFmt formatCode="0,0%" sourceLinked="0"/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lang="cs-CZ" sz="900" b="1" i="0" u="none" strike="noStrike" kern="1200" baseline="0">
                      <a:solidFill>
                        <a:schemeClr val="tx2">
                          <a:lumMod val="50000"/>
                        </a:schemeClr>
                      </a:solidFill>
                      <a:latin typeface="Arial" panose="020B0604020202020204" pitchFamily="34" charset="0"/>
                      <a:ea typeface="Arial" panose="020B0604020202020204" pitchFamily="34" charset="0"/>
                      <a:cs typeface="Arial" panose="020B0604020202020204" pitchFamily="34" charset="0"/>
                    </a:defRPr>
                  </a:pPr>
                  <a:r>
                    <a:rPr lang="cs-CZ" sz="900" b="1">
                      <a:solidFill>
                        <a:schemeClr val="tx2">
                          <a:lumMod val="50000"/>
                        </a:schemeClr>
                      </a:solidFill>
                      <a:latin typeface="Arial" panose="020B0604020202020204" pitchFamily="34" charset="0"/>
                      <a:cs typeface="Arial" panose="020B0604020202020204" pitchFamily="34" charset="0"/>
                    </a:rPr>
                    <a:t>VÝVOZ</a:t>
                  </a:r>
                </a:p>
              </cx:txPr>
              <cx:visibility seriesName="0" categoryName="1" value="1"/>
              <cx:separator>
</cx:separator>
            </cx:dataLabel>
            <cx:dataLabel idx="4">
              <cx:numFmt formatCode="0,0%" sourceLinked="0"/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lang="cs-CZ" sz="900" b="1" i="0" u="none" strike="noStrike" kern="1200" baseline="0">
                      <a:solidFill>
                        <a:schemeClr val="accent2">
                          <a:lumMod val="50000"/>
                        </a:schemeClr>
                      </a:solidFill>
                      <a:latin typeface="Arial" panose="020B0604020202020204" pitchFamily="34" charset="0"/>
                      <a:ea typeface="Arial" panose="020B0604020202020204" pitchFamily="34" charset="0"/>
                      <a:cs typeface="Arial" panose="020B0604020202020204" pitchFamily="34" charset="0"/>
                    </a:defRPr>
                  </a:pPr>
                  <a:r>
                    <a:rPr lang="cs-CZ" sz="900" b="1">
                      <a:solidFill>
                        <a:schemeClr val="accent2">
                          <a:lumMod val="50000"/>
                        </a:schemeClr>
                      </a:solidFill>
                      <a:latin typeface="Arial" panose="020B0604020202020204" pitchFamily="34" charset="0"/>
                      <a:cs typeface="Arial" panose="020B0604020202020204" pitchFamily="34" charset="0"/>
                    </a:rPr>
                    <a:t>DOVOZ</a:t>
                  </a:r>
                </a:p>
              </cx:txPr>
              <cx:visibility seriesName="0" categoryName="1" value="1"/>
              <cx:separator>
</cx:separator>
            </cx:dataLabel>
          </cx:dataLabels>
          <cx:dataId val="0"/>
          <cx:layoutPr/>
        </cx:series>
      </cx:plotAreaRegion>
    </cx:plotArea>
  </cx:chart>
  <cx:spPr>
    <a:solidFill>
      <a:schemeClr val="bg1"/>
    </a:solidFill>
  </cx:spPr>
  <cx:clrMapOvr bg1="lt1" tx1="dk1" bg2="lt2" tx2="dk2" accent1="accent1" accent2="accent2" accent3="accent3" accent4="accent4" accent5="accent5" accent6="accent6" hlink="hlink" folHlink="folHlink"/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'g10 cpa24_ d+v '!$A$1:$B$10</cx:f>
        <cx:lvl ptCount="10">
          <cx:pt idx="0">surové železo, ocel 
a feroslitiny</cx:pt>
          <cx:pt idx="1">ocelové trouby, trubky, duté profily, potrubní tvarovky</cx:pt>
          <cx:pt idx="2">ostatní výrobky získané jednostupň. zpracováním oceli</cx:pt>
          <cx:pt idx="3">drahé a jiné neželezné kovy</cx:pt>
          <cx:pt idx="4">odlévání kovů</cx:pt>
          <cx:pt idx="5">surové železo, ocel 
a feroslitiny</cx:pt>
          <cx:pt idx="6">ocelové trouby, trubky</cx:pt>
          <cx:pt idx="7">ostatní výrobky získané jednost. zpracováním oceli</cx:pt>
          <cx:pt idx="8">drahé a jiné 
neželezné kovy</cx:pt>
          <cx:pt idx="9">odlévání kovů</cx:pt>
        </cx:lvl>
        <cx:lvl ptCount="10">
          <cx:pt idx="0">VÝVOZ</cx:pt>
          <cx:pt idx="1"/>
          <cx:pt idx="2"/>
          <cx:pt idx="3"/>
          <cx:pt idx="4"/>
          <cx:pt idx="5">DOVOZ</cx:pt>
          <cx:pt idx="6"/>
          <cx:pt idx="7"/>
          <cx:pt idx="8"/>
          <cx:pt idx="9"/>
        </cx:lvl>
      </cx:strDim>
      <cx:numDim type="size">
        <cx:f>'g10 cpa24_ d+v '!$C$1:$C$10</cx:f>
        <cx:lvl ptCount="10" formatCode="0,0%">
          <cx:pt idx="0">0.59999999999999998</cx:pt>
          <cx:pt idx="1">0.128</cx:pt>
          <cx:pt idx="2">0.152</cx:pt>
          <cx:pt idx="3">0.109</cx:pt>
          <cx:pt idx="4">0.010999999999999999</cx:pt>
          <cx:pt idx="5">0.38900000000000001</cx:pt>
          <cx:pt idx="6">0.053999999999999999</cx:pt>
          <cx:pt idx="7">0.11600000000000001</cx:pt>
          <cx:pt idx="8">0.438</cx:pt>
          <cx:pt idx="9">0.0030000000000000001</cx:pt>
        </cx:lvl>
      </cx:numDim>
    </cx:data>
  </cx:chartData>
  <cx:chart>
    <cx:plotArea>
      <cx:plotAreaRegion>
        <cx:series layoutId="treemap" uniqueId="{50A0A8F1-6C37-42F2-9A56-22D861E110F1}">
          <cx:dataPt idx="0">
            <cx:spPr>
              <a:solidFill>
                <a:schemeClr val="tx2">
                  <a:lumMod val="20000"/>
                  <a:lumOff val="80000"/>
                </a:schemeClr>
              </a:solidFill>
              <a:ln w="6350">
                <a:solidFill>
                  <a:schemeClr val="bg1">
                    <a:lumMod val="65000"/>
                  </a:schemeClr>
                </a:solidFill>
              </a:ln>
            </cx:spPr>
          </cx:dataPt>
          <cx:dataPt idx="6">
            <cx:spPr>
              <a:solidFill>
                <a:srgbClr val="F7C9D2"/>
              </a:solidFill>
              <a:ln w="6350">
                <a:solidFill>
                  <a:schemeClr val="bg1">
                    <a:lumMod val="65000"/>
                  </a:schemeClr>
                </a:solidFill>
              </a:ln>
            </cx:spPr>
          </cx:dataPt>
          <cx:dataLabels pos="in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lang="cs-CZ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 sz="80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x:txPr>
            <cx:visibility seriesName="0" categoryName="1" value="1"/>
            <cx:separator>
</cx:separator>
            <cx:dataLabel idx="0" pos="inEnd"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lang="cs-CZ" sz="900" b="1" i="0" u="none" strike="noStrike" kern="1200" baseline="0">
                      <a:solidFill>
                        <a:schemeClr val="tx2">
                          <a:lumMod val="50000"/>
                        </a:schemeClr>
                      </a:solidFill>
                      <a:latin typeface="Arial" panose="020B0604020202020204" pitchFamily="34" charset="0"/>
                      <a:ea typeface="Arial" panose="020B0604020202020204" pitchFamily="34" charset="0"/>
                      <a:cs typeface="Arial" panose="020B0604020202020204" pitchFamily="34" charset="0"/>
                    </a:defRPr>
                  </a:pPr>
                  <a:r>
                    <a:rPr lang="cs-CZ" sz="900" b="1">
                      <a:solidFill>
                        <a:schemeClr val="tx2">
                          <a:lumMod val="50000"/>
                        </a:schemeClr>
                      </a:solidFill>
                      <a:latin typeface="Arial" panose="020B0604020202020204" pitchFamily="34" charset="0"/>
                      <a:cs typeface="Arial" panose="020B0604020202020204" pitchFamily="34" charset="0"/>
                    </a:rPr>
                    <a:t>VÝVOZ</a:t>
                  </a:r>
                </a:p>
              </cx:txPr>
              <cx:visibility seriesName="0" categoryName="1" value="1"/>
              <cx:separator>
</cx:separator>
            </cx:dataLabel>
            <cx:dataLabel idx="5" pos="inEnd"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lang="cs-CZ" sz="900" b="0" i="0" u="none" strike="noStrike" kern="1200" baseline="0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atin typeface="Calibri" panose="020F0502020204030204"/>
                    </a:defRPr>
                  </a:pPr>
                  <a:r>
                    <a:rPr lang="cs-CZ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rPr>
                    <a:t>odlévání kovů
1,1%</a:t>
                  </a:r>
                </a:p>
              </cx:txPr>
              <cx:visibility seriesName="0" categoryName="1" value="1"/>
              <cx:separator>
</cx:separator>
            </cx:dataLabel>
            <cx:dataLabel idx="6" pos="inEnd"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lang="cs-CZ" sz="900" b="1" i="0" u="none" strike="noStrike" kern="1200" baseline="0">
                      <a:solidFill>
                        <a:schemeClr val="accent2">
                          <a:lumMod val="50000"/>
                        </a:schemeClr>
                      </a:solidFill>
                      <a:latin typeface="Arial" panose="020B0604020202020204" pitchFamily="34" charset="0"/>
                      <a:ea typeface="Arial" panose="020B0604020202020204" pitchFamily="34" charset="0"/>
                      <a:cs typeface="Arial" panose="020B0604020202020204" pitchFamily="34" charset="0"/>
                    </a:defRPr>
                  </a:pPr>
                  <a:r>
                    <a:rPr lang="cs-CZ" sz="900" b="1">
                      <a:solidFill>
                        <a:schemeClr val="accent2">
                          <a:lumMod val="50000"/>
                        </a:schemeClr>
                      </a:solidFill>
                    </a:rPr>
                    <a:t>DOVOZ</a:t>
                  </a:r>
                </a:p>
              </cx:txPr>
              <cx:visibility seriesName="0" categoryName="1" value="1"/>
              <cx:separator>
</cx:separator>
            </cx:dataLabel>
          </cx:dataLabels>
          <cx:dataId val="0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'g11  cpa10 dovoz'!$A$1:$A$9</cx:f>
        <cx:lvl ptCount="9">
          <cx:pt idx="0">zpracované a konzervované maso a výrobky z masa</cx:pt>
          <cx:pt idx="1">zpracov.
a konzerv. ryby, korýši</cx:pt>
          <cx:pt idx="2">zpracované a konzervované ovoce a zelenina</cx:pt>
          <cx:pt idx="3">rostlinné 
a živočišné oleje </cx:pt>
          <cx:pt idx="4">mléčné výrobky 
a zmrzlina</cx:pt>
          <cx:pt idx="5">mlýn. výrobky</cx:pt>
          <cx:pt idx="6">pekařské, cukrářské 
a jiné moučné výrobky
(suchary, sušenky)</cx:pt>
          <cx:pt idx="7">ostatní potravinářské výrobky 
(čokoláda, káva, 
hotové pokrmy, cukrovinky)</cx:pt>
          <cx:pt idx="8">průmys-
lová krmiva</cx:pt>
        </cx:lvl>
      </cx:strDim>
      <cx:numDim type="size">
        <cx:f>'g11  cpa10 dovoz'!$B$1:$B$9</cx:f>
        <cx:lvl ptCount="9" formatCode="0,0%">
          <cx:pt idx="0">0.29899999999999999</cx:pt>
          <cx:pt idx="1">0.050000000000000003</cx:pt>
          <cx:pt idx="2">0.084000000000000005</cx:pt>
          <cx:pt idx="3">0.041000000000000002</cx:pt>
          <cx:pt idx="4">0.156</cx:pt>
          <cx:pt idx="5">0.021999999999999999</cx:pt>
          <cx:pt idx="6">0.12</cx:pt>
          <cx:pt idx="7">0.17899999999999999</cx:pt>
          <cx:pt idx="8">0.049000000000000002</cx:pt>
        </cx:lvl>
      </cx:numDim>
    </cx:data>
  </cx:chartData>
  <cx:chart>
    <cx:plotArea>
      <cx:plotAreaRegion>
        <cx:series layoutId="treemap" uniqueId="{341D90B1-6A13-4BB8-9704-A80C4D05078C}">
          <cx:spPr>
            <a:solidFill>
              <a:schemeClr val="tx2">
                <a:lumMod val="40000"/>
                <a:lumOff val="60000"/>
              </a:schemeClr>
            </a:solidFill>
            <a:ln w="6350">
              <a:solidFill>
                <a:schemeClr val="bg1">
                  <a:lumMod val="65000"/>
                </a:schemeClr>
              </a:solidFill>
            </a:ln>
          </cx:spPr>
          <cx:dataPt idx="0">
            <cx:spPr>
              <a:solidFill>
                <a:schemeClr val="tx2">
                  <a:lumMod val="20000"/>
                  <a:lumOff val="80000"/>
                </a:schemeClr>
              </a:solidFill>
            </cx:spPr>
          </cx:dataPt>
          <cx:dataPt idx="1">
            <cx:spPr>
              <a:solidFill>
                <a:srgbClr val="BDE5E4"/>
              </a:solidFill>
            </cx:spPr>
          </cx:dataPt>
          <cx:dataPt idx="2">
            <cx:spPr>
              <a:solidFill>
                <a:srgbClr val="FADAE0"/>
              </a:solidFill>
            </cx:spPr>
          </cx:dataPt>
          <cx:dataPt idx="3">
            <cx:spPr>
              <a:solidFill>
                <a:schemeClr val="accent2">
                  <a:lumMod val="20000"/>
                  <a:lumOff val="80000"/>
                </a:schemeClr>
              </a:solidFill>
            </cx:spPr>
          </cx:dataPt>
          <cx:dataPt idx="4">
            <cx:spPr>
              <a:solidFill>
                <a:schemeClr val="bg1">
                  <a:lumMod val="85000"/>
                </a:schemeClr>
              </a:solidFill>
            </cx:spPr>
          </cx:dataPt>
          <cx:dataPt idx="5">
            <cx:spPr>
              <a:solidFill>
                <a:schemeClr val="bg1">
                  <a:lumMod val="95000"/>
                </a:schemeClr>
              </a:solidFill>
            </cx:spPr>
          </cx:dataPt>
          <cx:dataPt idx="6">
            <cx:spPr>
              <a:solidFill>
                <a:srgbClr val="E5E2D1"/>
              </a:solidFill>
            </cx:spPr>
          </cx:dataPt>
          <cx:dataPt idx="7">
            <cx:spPr>
              <a:solidFill>
                <a:srgbClr val="FFF5D5"/>
              </a:solidFill>
            </cx:spPr>
          </cx:dataPt>
          <cx:dataPt idx="8">
            <cx:spPr>
              <a:solidFill>
                <a:srgbClr val="FEDCC2"/>
              </a:solidFill>
            </cx:spPr>
          </cx:dataPt>
          <cx:dataLabels pos="inEnd">
            <cx:numFmt formatCode="0,0%" sourceLinked="0"/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lang="cs-CZ"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 sz="80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x:txPr>
            <cx:visibility seriesName="0" categoryName="1" value="1"/>
            <cx:separator>
</cx:separator>
            <cx:dataLabel idx="5" pos="inEnd">
              <cx:numFmt formatCode="0,0%" sourceLinked="0"/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 lang="cs-CZ" sz="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Arial" panose="020B0604020202020204" pitchFamily="34" charset="0"/>
                      <a:cs typeface="Arial" panose="020B0604020202020204" pitchFamily="34" charset="0"/>
                    </a:defRPr>
                  </a:pPr>
                  <a:r>
                    <a:rPr lang="cs-CZ" sz="80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rPr>
                    <a:t>mlýn. výrobky
2,2%</a:t>
                  </a:r>
                </a:p>
              </cx:txPr>
              <cx:visibility seriesName="0" categoryName="1" value="1"/>
              <cx:separator>
</cx:separator>
            </cx:dataLabel>
          </cx:dataLabels>
          <cx:dataId val="0"/>
          <cx:layoutPr>
            <cx:parentLabelLayout val="overlapping"/>
          </cx:layoutPr>
        </cx:series>
      </cx:plotAreaRegion>
    </cx:plotArea>
  </cx:chart>
  <cx:spPr>
    <a:solidFill>
      <a:schemeClr val="bg1"/>
    </a:solidFill>
  </cx:spPr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0.24733</cdr:x>
      <cdr:y>0.40211</cdr:y>
    </cdr:from>
    <cdr:to>
      <cdr:x>0.46321</cdr:x>
      <cdr:y>0.64021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15114" y="723894"/>
          <a:ext cx="711465" cy="42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1 814,1 mld. Kč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0.35712</cdr:x>
      <cdr:y>0.40211</cdr:y>
    </cdr:from>
    <cdr:to>
      <cdr:x>0.64319</cdr:x>
      <cdr:y>0.64021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724534" y="723894"/>
          <a:ext cx="580386" cy="42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1 368,1 mld. Kč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0.30884</cdr:x>
      <cdr:y>0.92817</cdr:y>
    </cdr:from>
    <cdr:to>
      <cdr:x>0.45184</cdr:x>
      <cdr:y>1</cdr:y>
    </cdr:to>
    <cdr:sp macro="" textlink="">
      <cdr:nvSpPr>
        <cdr:cNvPr id="13" name="TextovéPole 2"/>
        <cdr:cNvSpPr txBox="1"/>
      </cdr:nvSpPr>
      <cdr:spPr>
        <a:xfrm xmlns:a="http://schemas.openxmlformats.org/drawingml/2006/main">
          <a:off x="1679705" y="3686622"/>
          <a:ext cx="777745" cy="2853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0">
              <a:latin typeface="Arial" pitchFamily="34" charset="0"/>
              <a:cs typeface="Arial" pitchFamily="34" charset="0"/>
            </a:rPr>
            <a:t>v mld. Kč</a:t>
          </a:r>
          <a:endParaRPr lang="cs-CZ" sz="800" b="0" i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0.04456</cdr:x>
      <cdr:y>0.01749</cdr:y>
    </cdr:from>
    <cdr:to>
      <cdr:x>0.37653</cdr:x>
      <cdr:y>0.09621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42353" y="57150"/>
          <a:ext cx="1805522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 b="1">
              <a:latin typeface="Arial" panose="020B0604020202020204" pitchFamily="34" charset="0"/>
              <a:cs typeface="Arial" panose="020B0604020202020204" pitchFamily="34" charset="0"/>
            </a:rPr>
            <a:t>vybrané oddíly CZ-CPA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6FA5-9EE5-4DCF-B257-88B8E106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CZ-2.dotx</Template>
  <TotalTime>3008</TotalTime>
  <Pages>11</Pages>
  <Words>2388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16446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Monika Bartlová</dc:creator>
  <cp:lastModifiedBy>Ing. Monika Bartlová</cp:lastModifiedBy>
  <cp:revision>203</cp:revision>
  <dcterms:created xsi:type="dcterms:W3CDTF">2020-11-05T14:39:00Z</dcterms:created>
  <dcterms:modified xsi:type="dcterms:W3CDTF">2021-03-09T06:36:00Z</dcterms:modified>
</cp:coreProperties>
</file>